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rFonts w:ascii="黑体"/>
        </w:rPr>
      </w:pPr>
      <w:r>
        <w:rPr>
          <w:rFonts w:hint="eastAsia" w:ascii="黑体"/>
        </w:rPr>
        <w:t>ICS 77.120.10</w:t>
      </w:r>
    </w:p>
    <w:p>
      <w:pPr>
        <w:spacing w:line="240" w:lineRule="exact"/>
        <w:rPr>
          <w:rFonts w:ascii="黑体"/>
        </w:rPr>
      </w:pPr>
      <w:r>
        <w:rPr>
          <w:rFonts w:hint="eastAsia" w:ascii="黑体"/>
        </w:rPr>
        <w:t>H</w:t>
      </w:r>
      <w:r>
        <w:rPr>
          <w:rFonts w:ascii="黑体"/>
        </w:rPr>
        <w:t xml:space="preserve"> </w:t>
      </w:r>
      <w:r>
        <w:rPr>
          <w:rFonts w:hint="eastAsia" w:ascii="黑体"/>
        </w:rPr>
        <w:t>12</w:t>
      </w:r>
    </w:p>
    <w:p>
      <w:pPr>
        <w:spacing w:line="0" w:lineRule="atLeast"/>
        <w:jc w:val="center"/>
        <w:rPr>
          <w:rFonts w:ascii="Arial Black" w:hAnsi="Arial Black" w:eastAsia="GungsuhChe"/>
          <w:bCs/>
          <w:spacing w:val="-40"/>
          <w:w w:val="80"/>
          <w:sz w:val="130"/>
        </w:rPr>
      </w:pPr>
      <w:r>
        <w:rPr>
          <w:rFonts w:ascii="仿宋_GB2312" w:eastAsia="仿宋_GB2312"/>
          <w:b/>
          <w:spacing w:val="-80"/>
          <w:w w:val="80"/>
          <w:sz w:val="130"/>
        </w:rPr>
        <w:t xml:space="preserve">          </w:t>
      </w:r>
      <w:r>
        <w:rPr>
          <w:rFonts w:ascii="Arial Black" w:hAnsi="Arial Black" w:eastAsia="GungsuhChe"/>
          <w:b/>
          <w:spacing w:val="-80"/>
          <w:w w:val="80"/>
          <w:sz w:val="130"/>
        </w:rPr>
        <w:t xml:space="preserve">  </w:t>
      </w:r>
      <w:r>
        <w:rPr>
          <w:rFonts w:hint="eastAsia" w:ascii="Arial Black" w:hAnsi="Arial Black" w:eastAsia="GungsuhChe"/>
          <w:b/>
          <w:spacing w:val="-80"/>
          <w:w w:val="80"/>
          <w:sz w:val="130"/>
        </w:rPr>
        <w:t xml:space="preserve">    </w:t>
      </w:r>
      <w:r>
        <w:object>
          <v:shape id="_x0000_i1025" o:spt="75" type="#_x0000_t75" style="height:54pt;width:110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12">
            <o:LockedField>false</o:LockedField>
          </o:OLEObject>
        </w:object>
      </w:r>
      <w:r>
        <w:rPr>
          <w:rFonts w:ascii="Arial Black" w:hAnsi="Arial Black" w:eastAsia="GungsuhChe"/>
          <w:b/>
          <w:spacing w:val="-80"/>
          <w:w w:val="80"/>
          <w:sz w:val="130"/>
        </w:rPr>
        <w:t xml:space="preserve">  </w:t>
      </w:r>
    </w:p>
    <w:p>
      <w:pPr>
        <w:pStyle w:val="4"/>
        <w:spacing w:before="289" w:beforeLines="50"/>
        <w:rPr>
          <w:rFonts w:eastAsia="宋体"/>
          <w:b/>
          <w:bCs/>
          <w:spacing w:val="40"/>
          <w:w w:val="150"/>
          <w:lang w:val="en-GB"/>
        </w:rPr>
      </w:pPr>
      <w:r>
        <w:rPr>
          <w:rFonts w:eastAsia="宋体"/>
          <w:b/>
          <w:bCs/>
          <w:spacing w:val="40"/>
          <w:w w:val="150"/>
          <w:lang w:val="en-GB"/>
        </w:rPr>
        <w:t>中华人民共和国国家</w:t>
      </w:r>
      <w:r>
        <w:rPr>
          <w:rFonts w:hint="eastAsia" w:eastAsia="宋体"/>
          <w:b/>
          <w:bCs/>
          <w:spacing w:val="40"/>
          <w:w w:val="150"/>
          <w:lang w:val="en-GB"/>
        </w:rPr>
        <w:t>标准</w:t>
      </w:r>
    </w:p>
    <w:p>
      <w:pPr>
        <w:adjustRightInd w:val="0"/>
        <w:snapToGrid w:val="0"/>
        <w:spacing w:before="289" w:beforeLines="50"/>
        <w:rPr>
          <w:rFonts w:ascii="黑体" w:eastAsia="黑体"/>
          <w:sz w:val="28"/>
          <w:lang w:val="en-GB"/>
        </w:rPr>
      </w:pPr>
      <w:r>
        <w:rPr>
          <w:rFonts w:hint="eastAsia" w:ascii="黑体" w:eastAsia="黑体"/>
          <w:sz w:val="28"/>
        </w:rPr>
        <w:t xml:space="preserve">                                     </w:t>
      </w:r>
      <w:r>
        <w:rPr>
          <w:rFonts w:ascii="黑体" w:eastAsia="黑体"/>
          <w:sz w:val="28"/>
        </w:rPr>
        <w:t xml:space="preserve">   </w:t>
      </w:r>
      <w:r>
        <w:rPr>
          <w:rFonts w:hint="eastAsia" w:ascii="黑体" w:eastAsia="黑体"/>
          <w:sz w:val="28"/>
        </w:rPr>
        <w:t xml:space="preserve">          </w:t>
      </w:r>
      <w:r>
        <w:rPr>
          <w:rFonts w:ascii="黑体" w:eastAsia="黑体"/>
          <w:sz w:val="28"/>
        </w:rPr>
        <w:t>GB</w:t>
      </w:r>
      <w:r>
        <w:rPr>
          <w:rFonts w:hint="eastAsia" w:ascii="黑体" w:eastAsia="黑体"/>
          <w:sz w:val="28"/>
        </w:rPr>
        <w:t>/</w:t>
      </w:r>
      <w:r>
        <w:rPr>
          <w:rFonts w:ascii="黑体" w:eastAsia="黑体"/>
          <w:sz w:val="28"/>
        </w:rPr>
        <w:t xml:space="preserve">T </w:t>
      </w:r>
      <w:r>
        <w:rPr>
          <w:rFonts w:hint="eastAsia" w:ascii="黑体" w:eastAsia="黑体"/>
          <w:sz w:val="28"/>
        </w:rPr>
        <w:t>20975.12</w:t>
      </w:r>
      <w:r>
        <w:rPr>
          <w:rFonts w:hint="eastAsia" w:ascii="黑体" w:eastAsia="黑体"/>
          <w:sz w:val="28"/>
          <w:lang w:val="en-GB"/>
        </w:rPr>
        <w:t>—20</w:t>
      </w:r>
      <w:r>
        <w:rPr>
          <w:rFonts w:hint="eastAsia" w:ascii="黑体" w:eastAsia="黑体"/>
          <w:sz w:val="28"/>
        </w:rPr>
        <w:t>1</w:t>
      </w:r>
      <w:r>
        <w:rPr>
          <w:rFonts w:hint="eastAsia" w:ascii="黑体" w:eastAsia="黑体"/>
          <w:sz w:val="28"/>
          <w:lang w:val="en-GB"/>
        </w:rPr>
        <w:t>X</w:t>
      </w:r>
    </w:p>
    <w:p>
      <w:pPr>
        <w:wordWrap w:val="0"/>
        <w:adjustRightInd w:val="0"/>
        <w:snapToGrid w:val="0"/>
        <w:spacing w:after="289" w:afterLines="50"/>
        <w:jc w:val="right"/>
        <w:rPr>
          <w:rFonts w:hint="eastAsia" w:ascii="宋体" w:hAnsi="宋体" w:eastAsia="宋体" w:cs="宋体"/>
          <w:szCs w:val="21"/>
          <w:lang w:val="en-GB"/>
        </w:rPr>
      </w:pPr>
      <w:r>
        <w:rPr>
          <w:rFonts w:hint="eastAsia" w:ascii="宋体" w:hAnsi="宋体" w:eastAsia="宋体" w:cs="宋体"/>
        </w:rPr>
        <w:pict>
          <v:line id="Line 2" o:spid="_x0000_s1026" o:spt="20" style="position:absolute;left:0pt;margin-left:0pt;margin-top:21.4pt;height:0pt;width:479.75pt;z-index:25165619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hint="eastAsia" w:ascii="宋体" w:hAnsi="宋体" w:eastAsia="宋体" w:cs="宋体"/>
          <w:szCs w:val="21"/>
          <w:lang w:val="en-GB"/>
        </w:rPr>
        <w:t xml:space="preserve">代替GB/T </w:t>
      </w:r>
      <w:r>
        <w:rPr>
          <w:rFonts w:hint="eastAsia" w:ascii="宋体" w:hAnsi="宋体" w:eastAsia="宋体" w:cs="宋体"/>
          <w:szCs w:val="21"/>
        </w:rPr>
        <w:t>20975.12</w:t>
      </w:r>
      <w:r>
        <w:rPr>
          <w:rFonts w:hint="eastAsia" w:ascii="宋体" w:hAnsi="宋体" w:eastAsia="宋体" w:cs="宋体"/>
          <w:szCs w:val="21"/>
          <w:lang w:val="en-GB"/>
        </w:rPr>
        <w:t>—200</w:t>
      </w:r>
      <w:r>
        <w:rPr>
          <w:rFonts w:hint="eastAsia" w:ascii="宋体" w:hAnsi="宋体" w:eastAsia="宋体" w:cs="宋体"/>
          <w:szCs w:val="21"/>
        </w:rPr>
        <w:t>8</w:t>
      </w:r>
      <w:r>
        <w:rPr>
          <w:rFonts w:hint="eastAsia" w:ascii="宋体" w:hAnsi="宋体" w:eastAsia="宋体" w:cs="宋体"/>
          <w:szCs w:val="21"/>
          <w:lang w:val="en-GB"/>
        </w:rPr>
        <w:t xml:space="preserve"> 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/>
    <w:p/>
    <w:p>
      <w:pPr>
        <w:pStyle w:val="37"/>
        <w:framePr w:w="0" w:hRule="auto" w:wrap="auto" w:vAnchor="margin" w:hAnchor="text" w:xAlign="left" w:yAlign="inline"/>
        <w:spacing w:line="800" w:lineRule="exact"/>
      </w:pPr>
      <w:r>
        <w:rPr>
          <w:rFonts w:hint="eastAsia"/>
        </w:rPr>
        <w:t>铝及铝合金化学分析方法</w:t>
      </w:r>
    </w:p>
    <w:p>
      <w:pPr>
        <w:pStyle w:val="37"/>
        <w:framePr w:w="0" w:hRule="auto" w:wrap="auto" w:vAnchor="margin" w:hAnchor="text" w:xAlign="left" w:yAlign="inline"/>
        <w:spacing w:line="800" w:lineRule="exact"/>
      </w:pPr>
      <w:r>
        <w:rPr>
          <w:rFonts w:hint="eastAsia"/>
        </w:rPr>
        <w:t>第12部分：钛含量的测定</w:t>
      </w:r>
    </w:p>
    <w:p>
      <w:pPr>
        <w:pStyle w:val="37"/>
        <w:framePr w:w="0" w:hRule="auto" w:wrap="auto" w:vAnchor="margin" w:hAnchor="text" w:xAlign="left" w:yAlign="inline"/>
        <w:spacing w:line="800" w:lineRule="exact"/>
      </w:pPr>
    </w:p>
    <w:p>
      <w:pPr>
        <w:pStyle w:val="42"/>
        <w:spacing w:before="0" w:line="240" w:lineRule="auto"/>
        <w:rPr>
          <w:rFonts w:ascii="黑体" w:eastAsia="黑体"/>
          <w:szCs w:val="28"/>
        </w:rPr>
      </w:pPr>
    </w:p>
    <w:p>
      <w:pPr>
        <w:spacing w:line="240" w:lineRule="atLeast"/>
        <w:jc w:val="center"/>
        <w:rPr>
          <w:rFonts w:ascii="黑体" w:hAnsi="黑体" w:eastAsia="黑体" w:cs="Calibri"/>
          <w:sz w:val="28"/>
          <w:szCs w:val="28"/>
        </w:rPr>
      </w:pPr>
      <w:r>
        <w:rPr>
          <w:rFonts w:ascii="黑体" w:hAnsi="黑体" w:eastAsia="黑体" w:cs="Calibri"/>
          <w:sz w:val="28"/>
          <w:szCs w:val="28"/>
        </w:rPr>
        <w:t>Methods for chemical analysis of aluminium and aluminium alloys-</w:t>
      </w:r>
    </w:p>
    <w:p>
      <w:pPr>
        <w:spacing w:line="240" w:lineRule="atLeast"/>
        <w:jc w:val="center"/>
        <w:rPr>
          <w:rFonts w:ascii="黑体" w:hAnsi="黑体" w:eastAsia="黑体" w:cs="Calibri"/>
          <w:sz w:val="28"/>
          <w:szCs w:val="28"/>
        </w:rPr>
      </w:pPr>
      <w:r>
        <w:rPr>
          <w:rFonts w:ascii="黑体" w:hAnsi="黑体" w:eastAsia="黑体" w:cs="Calibri"/>
          <w:sz w:val="28"/>
          <w:szCs w:val="28"/>
        </w:rPr>
        <w:t>Part 12: Determination of titanium content</w:t>
      </w:r>
    </w:p>
    <w:p>
      <w:pPr>
        <w:pStyle w:val="31"/>
        <w:rPr>
          <w:sz w:val="28"/>
          <w:szCs w:val="28"/>
        </w:rPr>
      </w:pPr>
    </w:p>
    <w:p>
      <w:pPr>
        <w:pStyle w:val="31"/>
        <w:rPr>
          <w:sz w:val="28"/>
          <w:szCs w:val="28"/>
        </w:rPr>
      </w:pPr>
    </w:p>
    <w:p>
      <w:pPr>
        <w:pStyle w:val="31"/>
        <w:rPr>
          <w:sz w:val="28"/>
          <w:szCs w:val="28"/>
        </w:rPr>
      </w:pPr>
      <w:r>
        <w:rPr>
          <w:rFonts w:hint="eastAsia"/>
          <w:sz w:val="28"/>
          <w:szCs w:val="28"/>
        </w:rPr>
        <w:t>（审定稿）</w:t>
      </w:r>
    </w:p>
    <w:p>
      <w:pPr>
        <w:pStyle w:val="2"/>
        <w:spacing w:before="289"/>
      </w:pPr>
    </w:p>
    <w:p/>
    <w:p/>
    <w:p>
      <w:pPr>
        <w:rPr>
          <w:lang w:val="en-GB"/>
        </w:rPr>
      </w:pPr>
    </w:p>
    <w:p>
      <w:pPr>
        <w:rPr>
          <w:lang w:val="en-GB"/>
        </w:rPr>
      </w:pPr>
    </w:p>
    <w:p>
      <w:pPr>
        <w:spacing w:line="300" w:lineRule="exact"/>
        <w:rPr>
          <w:w w:val="150"/>
          <w:sz w:val="36"/>
        </w:rPr>
      </w:pPr>
      <w:r>
        <w:rPr>
          <w:rFonts w:hint="eastAsia" w:ascii="黑体" w:eastAsia="黑体"/>
          <w:sz w:val="28"/>
        </w:rPr>
        <w:t xml:space="preserve">201X-XX-XX 发布            </w:t>
      </w:r>
      <w:r>
        <w:rPr>
          <w:rFonts w:ascii="黑体" w:eastAsia="黑体"/>
          <w:sz w:val="28"/>
        </w:rPr>
        <w:t xml:space="preserve"> </w:t>
      </w:r>
      <w:r>
        <w:rPr>
          <w:rFonts w:hint="eastAsia" w:ascii="黑体" w:eastAsia="黑体"/>
          <w:sz w:val="28"/>
        </w:rPr>
        <w:t xml:space="preserve">          </w:t>
      </w:r>
      <w:r>
        <w:rPr>
          <w:rFonts w:ascii="黑体" w:eastAsia="黑体"/>
          <w:sz w:val="28"/>
        </w:rPr>
        <w:t xml:space="preserve">     </w:t>
      </w:r>
      <w:r>
        <w:rPr>
          <w:rFonts w:hint="eastAsia" w:ascii="黑体" w:eastAsia="黑体"/>
          <w:sz w:val="28"/>
        </w:rPr>
        <w:t xml:space="preserve">         201X-XX-XX 实施</w:t>
      </w:r>
    </w:p>
    <w:p>
      <w:pPr>
        <w:spacing w:before="289" w:beforeLines="50"/>
        <w:jc w:val="center"/>
        <w:rPr>
          <w:rFonts w:eastAsia="MS Mincho"/>
          <w:sz w:val="52"/>
        </w:rPr>
        <w:sectPr>
          <w:footerReference r:id="rId3" w:type="default"/>
          <w:footerReference r:id="rId4" w:type="even"/>
          <w:pgSz w:w="11907" w:h="16840"/>
          <w:pgMar w:top="567" w:right="851" w:bottom="1134" w:left="1418" w:header="113" w:footer="397" w:gutter="0"/>
          <w:pgNumType w:start="0"/>
          <w:cols w:space="720" w:num="1"/>
          <w:titlePg/>
          <w:docGrid w:type="lines" w:linePitch="579" w:charSpace="0"/>
        </w:sectPr>
      </w:pPr>
      <w:r>
        <w:rPr>
          <w:rFonts w:eastAsia="黑体"/>
          <w:sz w:val="36"/>
        </w:rPr>
        <w:pict>
          <v:shape id="文本框 4" o:spid="_x0000_s1029" o:spt="202" type="#_x0000_t202" style="position:absolute;left:0pt;margin-left:52.1pt;margin-top:10.55pt;height:43.75pt;width:333pt;z-index:251658240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380" w:lineRule="exact"/>
                    <w:jc w:val="distribute"/>
                    <w:rPr>
                      <w:rFonts w:ascii="宋体" w:hAnsi="宋体"/>
                      <w:b/>
                      <w:spacing w:val="-50"/>
                      <w:w w:val="90"/>
                      <w:sz w:val="36"/>
                      <w:szCs w:val="36"/>
                    </w:rPr>
                  </w:pPr>
                  <w:r>
                    <w:rPr>
                      <w:rFonts w:hint="eastAsia" w:ascii="宋体" w:hAnsi="宋体"/>
                      <w:b/>
                      <w:spacing w:val="-50"/>
                      <w:w w:val="90"/>
                      <w:sz w:val="36"/>
                      <w:szCs w:val="36"/>
                    </w:rPr>
                    <w:t>国家市场监督管理总局</w:t>
                  </w:r>
                </w:p>
                <w:p>
                  <w:pPr>
                    <w:spacing w:line="380" w:lineRule="exact"/>
                    <w:jc w:val="distribute"/>
                    <w:rPr>
                      <w:rFonts w:ascii="宋体" w:hAnsi="宋体"/>
                      <w:b/>
                      <w:spacing w:val="-50"/>
                      <w:w w:val="90"/>
                      <w:sz w:val="36"/>
                      <w:szCs w:val="36"/>
                    </w:rPr>
                  </w:pPr>
                  <w:r>
                    <w:rPr>
                      <w:rFonts w:hint="eastAsia" w:ascii="宋体" w:hAnsi="宋体"/>
                      <w:b/>
                      <w:spacing w:val="-50"/>
                      <w:w w:val="90"/>
                      <w:sz w:val="36"/>
                      <w:szCs w:val="36"/>
                    </w:rPr>
                    <w:t>中国国家标准化管理委员会</w:t>
                  </w:r>
                </w:p>
              </w:txbxContent>
            </v:textbox>
          </v:shape>
        </w:pict>
      </w:r>
      <w:r>
        <w:rPr>
          <w:rFonts w:eastAsia="黑体"/>
          <w:w w:val="150"/>
          <w:sz w:val="36"/>
        </w:rPr>
        <w:pict>
          <v:line id="直线 3" o:spid="_x0000_s1028" o:spt="20" style="position:absolute;left:0pt;flip:y;margin-left:0pt;margin-top:4.95pt;height:0pt;width:479.75pt;z-index:25165721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eastAsia="黑体"/>
          <w:sz w:val="52"/>
          <w:szCs w:val="44"/>
        </w:rPr>
        <w:t xml:space="preserve"> </w:t>
      </w:r>
      <w:r>
        <w:rPr>
          <w:rFonts w:eastAsia="黑体"/>
          <w:sz w:val="52"/>
        </w:rPr>
        <w:t xml:space="preserve">  </w:t>
      </w:r>
      <w:r>
        <w:rPr>
          <w:rFonts w:hint="eastAsia" w:eastAsia="黑体"/>
          <w:sz w:val="52"/>
        </w:rPr>
        <w:t xml:space="preserve">                        </w:t>
      </w:r>
      <w:r>
        <w:rPr>
          <w:rFonts w:hint="eastAsia" w:ascii="黑体" w:eastAsia="黑体"/>
          <w:sz w:val="28"/>
        </w:rPr>
        <w:t xml:space="preserve">发 </w:t>
      </w:r>
      <w:r>
        <w:rPr>
          <w:rFonts w:hint="eastAsia" w:ascii="黑体" w:eastAsia="黑体"/>
          <w:sz w:val="28"/>
          <w:lang w:eastAsia="ja-JP"/>
        </w:rPr>
        <w:t>布</w:t>
      </w:r>
    </w:p>
    <w:p>
      <w:pPr>
        <w:pStyle w:val="30"/>
        <w:numPr>
          <w:ilvl w:val="0"/>
          <w:numId w:val="2"/>
        </w:numPr>
      </w:pPr>
      <w:r>
        <w:rPr>
          <w:rFonts w:hint="eastAsia"/>
        </w:rPr>
        <w:t>前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言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GB/T 20975《铝及铝合金化学分析方法》分为3</w:t>
      </w:r>
      <w:r>
        <w:rPr>
          <w:rFonts w:ascii="宋体" w:hAnsi="宋体"/>
        </w:rPr>
        <w:t>7</w:t>
      </w:r>
      <w:r>
        <w:rPr>
          <w:rFonts w:hint="eastAsia" w:ascii="宋体" w:hAnsi="宋体"/>
        </w:rPr>
        <w:t>部分：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——第1部分：汞含量的测定 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——第2部分：砷含量的测定 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——第3部分：铜含量的测定 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——第4部分：铁含量的测定 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——第5部分：硅含量的测定 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——第6部分：镉含量的测定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——第7部分：锰含量的测定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——第8部分：锌含量的测定 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——第9部分：锂含量的测定  火焰原子吸收光谱法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——第10部分：锡含量的测定 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——第11部分：铅含量的测定 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——第12部分：钛含量的测定 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——第13部分：钒含量的测定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——第14部分：镍含量的测定 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——第15部分：硼含量的测定 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——第16部分：镁含量的测定 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——第17部分：锶含量的测定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——第18部分：铬含量的测定 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——第19部分：锆含量的测定 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——第20部分：镓含量的测定  丁基罗丹明B分光光度法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——第21部分: 钙含量的测定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——第22部分：铍含量的测定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——第23部分：锑含量的测定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——第24部分：稀土总含量的测定 </w:t>
      </w:r>
    </w:p>
    <w:p>
      <w:pPr>
        <w:pStyle w:val="6"/>
        <w:ind w:firstLine="420" w:firstLineChars="200"/>
        <w:rPr>
          <w:rFonts w:hAnsi="宋体"/>
        </w:rPr>
      </w:pPr>
      <w:r>
        <w:rPr>
          <w:rFonts w:hint="eastAsia" w:hAnsi="宋体"/>
        </w:rPr>
        <w:t>——第25部分：</w:t>
      </w:r>
      <w:r>
        <w:rPr>
          <w:rFonts w:hint="eastAsia" w:hAnsi="宋体"/>
          <w:color w:val="000000" w:themeColor="text1"/>
        </w:rPr>
        <w:t>元素</w:t>
      </w:r>
      <w:r>
        <w:rPr>
          <w:rFonts w:hAnsi="宋体"/>
          <w:color w:val="000000" w:themeColor="text1"/>
        </w:rPr>
        <w:t>含量的测定</w:t>
      </w:r>
      <w:r>
        <w:rPr>
          <w:rFonts w:hint="eastAsia" w:hAnsi="宋体"/>
          <w:color w:val="000000" w:themeColor="text1"/>
        </w:rPr>
        <w:t xml:space="preserve"> </w:t>
      </w:r>
      <w:r>
        <w:rPr>
          <w:rFonts w:hAnsi="宋体"/>
          <w:color w:val="FF0000"/>
        </w:rPr>
        <w:t xml:space="preserve"> </w:t>
      </w:r>
      <w:r>
        <w:rPr>
          <w:rFonts w:hint="eastAsia" w:hAnsi="宋体"/>
        </w:rPr>
        <w:t>电感耦合等离子体原子发射光谱法</w:t>
      </w:r>
    </w:p>
    <w:p>
      <w:pPr>
        <w:pStyle w:val="6"/>
        <w:ind w:firstLine="420" w:firstLineChars="200"/>
        <w:rPr>
          <w:rFonts w:hAnsi="宋体"/>
        </w:rPr>
      </w:pPr>
      <w:r>
        <w:rPr>
          <w:rFonts w:hint="eastAsia" w:hAnsi="宋体"/>
        </w:rPr>
        <w:t>——第26部分：碳含量的测定  红外吸收法</w:t>
      </w:r>
    </w:p>
    <w:p>
      <w:pPr>
        <w:pStyle w:val="6"/>
        <w:ind w:firstLine="420" w:firstLineChars="200"/>
        <w:rPr>
          <w:rFonts w:hAnsi="宋体"/>
        </w:rPr>
      </w:pPr>
      <w:r>
        <w:rPr>
          <w:rFonts w:hint="eastAsia" w:hAnsi="宋体"/>
        </w:rPr>
        <w:t>——第27部分：铈、镧、钪含量的测定 电感耦合等离子体原子发射光谱法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——第28部分：钴含量的测定  火焰原子吸收光谱法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——第29部分：鉬含量的测定  硫氰酸盐分光光度法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——第30部分：氢含量的测定  加热提取热导法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——第31部分: 磷含量的测定  钼蓝分光光度法</w:t>
      </w:r>
    </w:p>
    <w:p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——第32部分：</w:t>
      </w:r>
      <w:r>
        <w:rPr>
          <w:rFonts w:hint="eastAsia" w:ascii="宋体" w:hAnsi="宋体"/>
        </w:rPr>
        <w:t>铋含量的测定</w:t>
      </w:r>
    </w:p>
    <w:p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——第33部分：钾含量的测定  火焰原子吸收光谱法</w:t>
      </w:r>
    </w:p>
    <w:p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——第34部分：钠含量的测定  火焰原子吸收光谱法</w:t>
      </w:r>
    </w:p>
    <w:p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——第35部分：钨含量的测定  火焰原子吸收光谱法</w:t>
      </w:r>
    </w:p>
    <w:p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——第36部分：银含量的测定  火焰原子吸收光谱法</w:t>
      </w:r>
    </w:p>
    <w:p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——第37部分：铌含量的测定</w:t>
      </w:r>
    </w:p>
    <w:p>
      <w:pPr>
        <w:pStyle w:val="6"/>
        <w:ind w:firstLine="420" w:firstLineChars="200"/>
        <w:rPr>
          <w:rFonts w:hAnsi="宋体"/>
        </w:rPr>
      </w:pPr>
      <w:bookmarkStart w:id="0" w:name="SectionMark4"/>
      <w:r>
        <w:rPr>
          <w:rFonts w:hint="eastAsia" w:hAnsi="宋体"/>
        </w:rPr>
        <w:t>本部分为GB/T 20975的第12部分。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本部分按照GB/T 1.1-2009给出的规则起草。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本部分是对GB/T 20975.12-2008《铝及铝合金化学分析方法  第12部分：钛含量的测定》的修订，本部分与GB/T 20975.12-2008相比，除编辑性修改外，主要技术变化如下：</w:t>
      </w:r>
    </w:p>
    <w:p>
      <w:pPr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——增加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标准使用安全警告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——增加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规范性引用文件（见2）；</w:t>
      </w:r>
    </w:p>
    <w:p>
      <w:pPr>
        <w:ind w:firstLine="420" w:firstLineChars="2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——修改了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4.2 </w:t>
      </w:r>
      <w:r>
        <w:rPr>
          <w:rFonts w:hint="eastAsia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二安替吡啉甲烷分光光度法</w:t>
      </w:r>
      <w:r>
        <w:rPr>
          <w:rFonts w:hint="eastAsia" w:hAnsi="宋体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铝溶液浓度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”；</w:t>
      </w:r>
    </w:p>
    <w:p>
      <w:pPr>
        <w:ind w:firstLine="420" w:firstLineChars="200"/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——修改了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4.5 </w:t>
      </w:r>
      <w:r>
        <w:rPr>
          <w:rFonts w:hint="eastAsia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二安替吡啉甲烷分光光度法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的称取质量和溶解样品的试剂用量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”；</w:t>
      </w:r>
    </w:p>
    <w:p>
      <w:pPr>
        <w:ind w:firstLine="420" w:firstLineChars="200"/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——修改了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4.5 </w:t>
      </w:r>
      <w:r>
        <w:rPr>
          <w:rFonts w:hint="eastAsia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二安替吡啉甲烷分光光度法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的分取体积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”；</w:t>
      </w:r>
    </w:p>
    <w:p>
      <w:pPr>
        <w:pStyle w:val="19"/>
        <w:ind w:firstLine="420"/>
        <w:rPr>
          <w:rFonts w:hint="eastAsia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——修改了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1 </w:t>
      </w:r>
      <w:r>
        <w:rPr>
          <w:rFonts w:hint="eastAsia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过氧化氢分光光度法</w:t>
      </w:r>
      <w:r>
        <w:rPr>
          <w:rFonts w:hint="eastAsia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的测定范围，由0.5 %～7.0 %修改为0.5 %～16.0 %</w:t>
      </w:r>
      <w:r>
        <w:rPr>
          <w:rFonts w:hint="eastAsia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”；</w:t>
      </w:r>
    </w:p>
    <w:p>
      <w:pPr>
        <w:pStyle w:val="19"/>
        <w:ind w:firstLine="420"/>
        <w:rPr>
          <w:rFonts w:hint="eastAsia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——修改了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5.1 </w:t>
      </w:r>
      <w:r>
        <w:rPr>
          <w:rFonts w:hint="eastAsia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过氧化氢分光光度法</w:t>
      </w:r>
      <w:r>
        <w:rPr>
          <w:rFonts w:hint="eastAsia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的称取质量</w:t>
      </w:r>
      <w:r>
        <w:rPr>
          <w:rFonts w:hint="eastAsia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”；</w:t>
      </w:r>
    </w:p>
    <w:p>
      <w:pPr>
        <w:pStyle w:val="19"/>
        <w:ind w:firstLine="420"/>
        <w:rPr>
          <w:rFonts w:hint="eastAsia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——修改了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5.5 </w:t>
      </w:r>
      <w:r>
        <w:rPr>
          <w:rFonts w:hint="eastAsia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过氧化氢分光光度法</w:t>
      </w:r>
      <w:r>
        <w:rPr>
          <w:rFonts w:hint="eastAsia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的分取体积、定容体积</w:t>
      </w:r>
      <w:r>
        <w:rPr>
          <w:rFonts w:hint="eastAsia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”；</w:t>
      </w:r>
    </w:p>
    <w:p>
      <w:pPr>
        <w:pStyle w:val="19"/>
        <w:ind w:left="0" w:leftChars="0" w:firstLine="420" w:firstLineChars="200"/>
        <w:rPr>
          <w:rFonts w:hint="eastAsia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——修改了</w:t>
      </w:r>
      <w:r>
        <w:rPr>
          <w:rFonts w:hint="eastAsia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5.5</w:t>
      </w:r>
      <w:r>
        <w:rPr>
          <w:rFonts w:hint="eastAsia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工作曲线</w:t>
      </w:r>
      <w:r>
        <w:rPr>
          <w:rFonts w:hint="eastAsia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”。</w:t>
      </w:r>
    </w:p>
    <w:p>
      <w:pPr>
        <w:ind w:right="-874" w:rightChars="-416" w:firstLine="42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本部分由中国有色金属工业协会提出。</w:t>
      </w:r>
    </w:p>
    <w:p>
      <w:pPr>
        <w:ind w:right="-874" w:rightChars="-416" w:firstLine="435"/>
        <w:rPr>
          <w:rFonts w:ascii="宋体" w:hAnsi="宋体" w:cs="宋体"/>
        </w:rPr>
      </w:pPr>
      <w:r>
        <w:rPr>
          <w:rFonts w:hint="eastAsia" w:ascii="宋体" w:hAnsi="宋体" w:cs="宋体"/>
        </w:rPr>
        <w:t>本部分由全国有色金属标准化技术委员会</w:t>
      </w:r>
      <w:r>
        <w:rPr>
          <w:rFonts w:hint="eastAsia" w:ascii="宋体" w:hAnsi="宋体" w:cs="宋体"/>
          <w:szCs w:val="21"/>
        </w:rPr>
        <w:t>（SAC/TC243）</w:t>
      </w:r>
      <w:r>
        <w:rPr>
          <w:rFonts w:hint="eastAsia" w:ascii="宋体" w:hAnsi="宋体" w:cs="宋体"/>
        </w:rPr>
        <w:t>归口。</w:t>
      </w:r>
    </w:p>
    <w:p>
      <w:pPr>
        <w:numPr>
          <w:ilvl w:val="0"/>
          <w:numId w:val="6"/>
        </w:numPr>
        <w:tabs>
          <w:tab w:val="left" w:pos="480"/>
        </w:tabs>
        <w:rPr>
          <w:rFonts w:ascii="宋体" w:hAnsi="宋体" w:cs="宋体"/>
          <w:szCs w:val="20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本部分起草单位：国标（北京）检验认证有限公司、</w:t>
      </w:r>
      <w:r>
        <w:rPr>
          <w:rFonts w:hint="eastAsia"/>
          <w:color w:val="FF0000"/>
          <w:lang w:val="en-US" w:eastAsia="zh-CN"/>
        </w:rPr>
        <w:t>有色金属技术经济研究院、</w:t>
      </w:r>
      <w:r>
        <w:rPr>
          <w:rFonts w:hint="eastAsia" w:ascii="宋体" w:hAnsi="宋体" w:cs="宋体"/>
        </w:rPr>
        <w:t>国</w:t>
      </w:r>
      <w:r>
        <w:rPr>
          <w:rFonts w:hint="eastAsia" w:ascii="宋体" w:hAnsi="宋体" w:cs="宋体"/>
          <w:szCs w:val="20"/>
        </w:rPr>
        <w:t>家再生有色金属橡塑材料质量监督检验中心、中铝材料应用研究院有限公司、北京有色金属与稀土应用研究所、贵州省分析测试研究院、西北有色金属研究院、中铝洛阳铜业有限公司、辽宁忠旺集团有限公司、广西柳州银海铝业股份有限公司、山东南山铝业股份有限公司、华南理工大学、昆明冶金研究院</w:t>
      </w:r>
      <w:r>
        <w:rPr>
          <w:rFonts w:hint="eastAsia" w:ascii="宋体" w:hAnsi="宋体" w:cs="宋体"/>
          <w:szCs w:val="20"/>
          <w:lang w:eastAsia="zh-CN"/>
        </w:rPr>
        <w:t>、</w:t>
      </w:r>
      <w:r>
        <w:rPr>
          <w:rFonts w:hint="eastAsia"/>
          <w:color w:val="FF0000"/>
          <w:lang w:val="en-US" w:eastAsia="zh-CN"/>
        </w:rPr>
        <w:t>东北轻合金有限责任公司</w:t>
      </w:r>
      <w:r>
        <w:rPr>
          <w:rFonts w:hint="eastAsia" w:ascii="宋体" w:hAnsi="宋体" w:cs="宋体"/>
          <w:szCs w:val="20"/>
        </w:rPr>
        <w:t>。</w:t>
      </w:r>
    </w:p>
    <w:p>
      <w:pPr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本部分主要起草人：</w:t>
      </w:r>
    </w:p>
    <w:p>
      <w:pPr>
        <w:ind w:firstLine="420" w:firstLineChars="200"/>
        <w:rPr>
          <w:rFonts w:hAnsi="宋体"/>
        </w:rPr>
      </w:pPr>
      <w:r>
        <w:rPr>
          <w:rFonts w:hint="eastAsia" w:hAnsi="宋体"/>
        </w:rPr>
        <w:t>本部分所代替标准的历次版本情况为：</w:t>
      </w:r>
    </w:p>
    <w:p>
      <w:pPr>
        <w:pStyle w:val="6"/>
        <w:ind w:firstLine="420" w:firstLineChars="200"/>
        <w:rPr>
          <w:rFonts w:hAnsi="宋体" w:cs="宋体"/>
          <w:bCs/>
        </w:rPr>
      </w:pPr>
      <w:r>
        <w:rPr>
          <w:rFonts w:hint="eastAsia" w:hAnsi="宋体" w:cs="宋体"/>
          <w:bCs/>
        </w:rPr>
        <w:t>——GB/T 6987.12—1986。</w:t>
      </w:r>
    </w:p>
    <w:p>
      <w:pPr>
        <w:pStyle w:val="6"/>
        <w:ind w:firstLine="420" w:firstLineChars="200"/>
        <w:rPr>
          <w:rFonts w:hAnsi="宋体" w:cs="宋体"/>
          <w:bCs/>
          <w:color w:val="FF0000"/>
        </w:rPr>
      </w:pPr>
      <w:r>
        <w:rPr>
          <w:rFonts w:hint="eastAsia" w:hAnsi="宋体" w:cs="宋体"/>
          <w:bCs/>
          <w:color w:val="FF0000"/>
        </w:rPr>
        <w:t>——GB/T 6987.12—2001、GB/T 6987.31—2001。</w:t>
      </w:r>
    </w:p>
    <w:p>
      <w:pPr>
        <w:pStyle w:val="19"/>
        <w:ind w:firstLine="420"/>
      </w:pPr>
      <w:r>
        <w:rPr>
          <w:rFonts w:hint="eastAsia" w:hAnsi="宋体" w:cs="宋体"/>
          <w:bCs/>
          <w:szCs w:val="21"/>
        </w:rPr>
        <w:t>——GB/T 20975.12—2008。</w:t>
      </w:r>
    </w:p>
    <w:p>
      <w:pPr>
        <w:ind w:firstLine="420" w:firstLineChars="200"/>
        <w:rPr>
          <w:rFonts w:ascii="宋体" w:hAnsi="宋体" w:cs="宋体"/>
        </w:rPr>
      </w:pPr>
    </w:p>
    <w:p>
      <w:pPr>
        <w:ind w:firstLine="420" w:firstLineChars="200"/>
        <w:rPr>
          <w:rFonts w:ascii="宋体" w:hAnsi="宋体" w:cs="宋体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pgSz w:w="11907" w:h="16839"/>
          <w:pgMar w:top="1418" w:right="1134" w:bottom="1134" w:left="1418" w:header="1418" w:footer="851" w:gutter="0"/>
          <w:pgNumType w:fmt="upperRoman" w:start="1"/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铝及铝合金化学分析方法</w:t>
      </w:r>
    </w:p>
    <w:p>
      <w:pPr>
        <w:spacing w:line="360" w:lineRule="auto"/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第12部分：钛含量的测定 </w:t>
      </w:r>
    </w:p>
    <w:p>
      <w:pPr>
        <w:spacing w:before="156" w:beforeLines="50" w:after="156" w:afterLines="50"/>
        <w:ind w:firstLine="420"/>
        <w:jc w:val="lef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警告—使用本标准的人员应有正规实验室工作的实践经验。本标准并未指出所有可能的安全问题。使用者有责任采取适当的安全和健康措施，并保证符合国家有关法规规定的条件。</w:t>
      </w:r>
    </w:p>
    <w:p>
      <w:pPr>
        <w:pStyle w:val="19"/>
        <w:spacing w:line="312" w:lineRule="auto"/>
        <w:ind w:firstLine="0" w:firstLineChars="0"/>
        <w:rPr>
          <w:rFonts w:ascii="黑体" w:hAnsi="黑体" w:eastAsia="黑体" w:cs="宋体"/>
          <w:szCs w:val="21"/>
        </w:rPr>
      </w:pPr>
      <w:r>
        <w:rPr>
          <w:rFonts w:hint="eastAsia" w:ascii="黑体" w:hAnsi="黑体" w:eastAsia="黑体" w:cs="宋体"/>
          <w:szCs w:val="21"/>
        </w:rPr>
        <w:t>1  范围</w:t>
      </w:r>
    </w:p>
    <w:p>
      <w:pPr>
        <w:pStyle w:val="19"/>
        <w:spacing w:line="240" w:lineRule="auto"/>
        <w:ind w:firstLine="420"/>
        <w:rPr>
          <w:rFonts w:hAnsi="宋体" w:cs="宋体"/>
          <w:szCs w:val="21"/>
        </w:rPr>
      </w:pPr>
      <w:r>
        <w:rPr>
          <w:rFonts w:hint="eastAsia" w:hAnsi="宋体" w:cs="宋体"/>
          <w:szCs w:val="24"/>
        </w:rPr>
        <w:t>GB/T 20975的本部分</w:t>
      </w:r>
      <w:r>
        <w:rPr>
          <w:rFonts w:hint="eastAsia" w:hAnsi="宋体" w:cs="宋体"/>
          <w:szCs w:val="21"/>
        </w:rPr>
        <w:t>规定了采用</w:t>
      </w:r>
      <w:r>
        <w:rPr>
          <w:rFonts w:hint="eastAsia" w:hAnsi="宋体" w:cs="宋体"/>
          <w:kern w:val="0"/>
          <w:szCs w:val="21"/>
        </w:rPr>
        <w:t>二安替吡啉甲烷分光光度法和过氧化氢分光光度法测定</w:t>
      </w:r>
      <w:r>
        <w:rPr>
          <w:rFonts w:hint="eastAsia" w:hAnsi="宋体" w:cs="宋体"/>
          <w:szCs w:val="21"/>
        </w:rPr>
        <w:t>铝及铝合金中钛含量的方法。</w:t>
      </w:r>
    </w:p>
    <w:p>
      <w:pPr>
        <w:pStyle w:val="19"/>
        <w:spacing w:line="240" w:lineRule="auto"/>
        <w:ind w:firstLine="420"/>
        <w:rPr>
          <w:rFonts w:hAnsi="宋体" w:cs="宋体"/>
          <w:szCs w:val="21"/>
        </w:rPr>
      </w:pPr>
      <w:r>
        <w:rPr>
          <w:rFonts w:hint="eastAsia" w:hAnsi="宋体" w:cs="宋体"/>
          <w:szCs w:val="21"/>
        </w:rPr>
        <w:t>本部分适用于铝及铝合金中钛含量的测定。</w:t>
      </w:r>
      <w:r>
        <w:rPr>
          <w:rFonts w:hint="eastAsia" w:hAnsi="宋体" w:cs="宋体"/>
          <w:kern w:val="0"/>
          <w:szCs w:val="21"/>
        </w:rPr>
        <w:t>二安替吡啉甲烷分光光度法（适用于铝及铝合金）</w:t>
      </w:r>
      <w:r>
        <w:rPr>
          <w:rFonts w:hint="eastAsia" w:hAnsi="宋体" w:cs="宋体"/>
          <w:szCs w:val="21"/>
        </w:rPr>
        <w:t>测定范围：0.0010 %～0.50 %；</w:t>
      </w:r>
      <w:r>
        <w:rPr>
          <w:rFonts w:hint="eastAsia" w:hAnsi="宋体" w:cs="宋体"/>
          <w:kern w:val="0"/>
          <w:szCs w:val="21"/>
        </w:rPr>
        <w:t>过氧化氢分光光度法（适用于铝合金及铝钛中间合金）</w:t>
      </w:r>
      <w:r>
        <w:rPr>
          <w:rFonts w:hint="eastAsia" w:hAnsi="宋体" w:cs="宋体"/>
          <w:szCs w:val="21"/>
        </w:rPr>
        <w:t>测定范围：0.50 %～16.5 %。</w:t>
      </w:r>
    </w:p>
    <w:p>
      <w:pPr>
        <w:spacing w:before="156" w:beforeLines="50" w:after="156" w:afterLines="50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2  规范性引用文件</w:t>
      </w:r>
    </w:p>
    <w:p>
      <w:pPr>
        <w:pStyle w:val="19"/>
        <w:tabs>
          <w:tab w:val="center" w:pos="4201"/>
          <w:tab w:val="right" w:leader="dot" w:pos="9298"/>
        </w:tabs>
        <w:spacing w:line="240" w:lineRule="auto"/>
        <w:ind w:firstLine="420"/>
        <w:rPr>
          <w:rFonts w:hAnsi="宋体" w:cs="宋体"/>
          <w:szCs w:val="20"/>
        </w:rPr>
      </w:pPr>
      <w:r>
        <w:rPr>
          <w:rFonts w:hint="eastAsia" w:hAnsi="宋体" w:cs="宋体"/>
        </w:rPr>
        <w:t>下列文件对于本</w:t>
      </w:r>
      <w:r>
        <w:rPr>
          <w:rFonts w:hint="eastAsia" w:hAnsi="宋体" w:cs="宋体"/>
          <w:szCs w:val="20"/>
        </w:rPr>
        <w:t>文件的应用是必不可少的。凡是注日期的引用文件，仅注日期的版本适用于本文件。凡是不注日期的引用文件，其最新版本（包括所有的修改单）适用于本文件。</w:t>
      </w:r>
    </w:p>
    <w:p>
      <w:pPr>
        <w:spacing w:line="24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GB/T 6682-2008  分析实验室用水规格和试验方法</w:t>
      </w:r>
    </w:p>
    <w:p>
      <w:pPr>
        <w:pStyle w:val="19"/>
        <w:spacing w:line="240" w:lineRule="auto"/>
        <w:ind w:firstLine="420" w:firstLineChars="0"/>
        <w:rPr>
          <w:rFonts w:hAnsi="宋体" w:cs="宋体"/>
          <w:szCs w:val="21"/>
        </w:rPr>
      </w:pPr>
      <w:r>
        <w:rPr>
          <w:rFonts w:hint="eastAsia" w:hAnsi="宋体" w:cs="宋体"/>
        </w:rPr>
        <w:t xml:space="preserve">GB/T 8170-2008  </w:t>
      </w:r>
      <w:r>
        <w:rPr>
          <w:rFonts w:hint="eastAsia" w:hAnsi="宋体" w:cs="宋体"/>
          <w:szCs w:val="21"/>
        </w:rPr>
        <w:t>数值修约规则与极限数值的表示和判定</w:t>
      </w:r>
    </w:p>
    <w:p>
      <w:pPr>
        <w:spacing w:line="240" w:lineRule="auto"/>
        <w:ind w:firstLine="420" w:firstLineChars="200"/>
        <w:rPr>
          <w:rFonts w:ascii="宋体" w:hAnsi="宋体" w:cs="宋体"/>
        </w:rPr>
      </w:pPr>
      <w:r>
        <w:rPr>
          <w:rFonts w:ascii="宋体" w:hAnsi="宋体" w:cs="宋体"/>
        </w:rPr>
        <w:t>GB/T</w:t>
      </w:r>
      <w:r>
        <w:rPr>
          <w:rFonts w:hint="eastAsia" w:ascii="宋体" w:hAnsi="宋体" w:cs="宋体"/>
        </w:rPr>
        <w:t xml:space="preserve"> </w:t>
      </w:r>
      <w:r>
        <w:rPr>
          <w:rFonts w:ascii="宋体" w:hAnsi="宋体" w:cs="宋体"/>
        </w:rPr>
        <w:t>8005.2</w:t>
      </w:r>
      <w:r>
        <w:rPr>
          <w:rFonts w:hint="eastAsia" w:ascii="宋体" w:hAnsi="宋体" w:cs="宋体"/>
          <w:lang w:val="en-US" w:eastAsia="zh-CN"/>
        </w:rPr>
        <w:t>-2011</w:t>
      </w:r>
      <w:r>
        <w:rPr>
          <w:rFonts w:ascii="宋体" w:hAnsi="宋体" w:cs="宋体"/>
        </w:rPr>
        <w:t xml:space="preserve">   </w:t>
      </w:r>
      <w:r>
        <w:rPr>
          <w:rFonts w:hint="eastAsia" w:ascii="宋体" w:hAnsi="宋体" w:cs="宋体"/>
        </w:rPr>
        <w:t>铝及铝合金术语 第2部分：化学分析</w:t>
      </w:r>
    </w:p>
    <w:p>
      <w:pPr>
        <w:pStyle w:val="19"/>
        <w:spacing w:line="312" w:lineRule="auto"/>
        <w:ind w:firstLine="0" w:firstLineChars="0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 xml:space="preserve">3  术语和定义    </w:t>
      </w:r>
    </w:p>
    <w:p>
      <w:pPr>
        <w:pStyle w:val="19"/>
        <w:spacing w:line="276" w:lineRule="auto"/>
        <w:ind w:firstLine="420"/>
        <w:rPr>
          <w:rFonts w:hAnsi="宋体" w:cs="宋体"/>
          <w:szCs w:val="21"/>
        </w:rPr>
      </w:pPr>
      <w:r>
        <w:rPr>
          <w:rFonts w:hint="eastAsia" w:hAnsi="宋体" w:cs="黑体"/>
          <w:szCs w:val="21"/>
        </w:rPr>
        <w:t>GB/T 20000.1</w:t>
      </w:r>
      <w:r>
        <w:rPr>
          <w:rFonts w:hint="eastAsia" w:hAnsi="宋体" w:cs="黑体"/>
          <w:szCs w:val="21"/>
          <w:lang w:val="en-US" w:eastAsia="zh-CN"/>
        </w:rPr>
        <w:t>-2015</w:t>
      </w:r>
      <w:r>
        <w:rPr>
          <w:rFonts w:hint="eastAsia" w:hAnsi="宋体" w:cs="黑体"/>
          <w:szCs w:val="21"/>
        </w:rPr>
        <w:t>、GB/T 8005.2</w:t>
      </w:r>
      <w:r>
        <w:rPr>
          <w:rFonts w:hint="eastAsia" w:hAnsi="宋体" w:cs="黑体"/>
          <w:szCs w:val="21"/>
          <w:lang w:val="en-US" w:eastAsia="zh-CN"/>
        </w:rPr>
        <w:t>-2011</w:t>
      </w:r>
      <w:r>
        <w:rPr>
          <w:rFonts w:hint="eastAsia" w:hAnsi="宋体" w:cs="黑体"/>
          <w:szCs w:val="21"/>
        </w:rPr>
        <w:t>界定的术语和定于适用于本文件。</w:t>
      </w:r>
    </w:p>
    <w:p>
      <w:pPr>
        <w:pStyle w:val="19"/>
        <w:spacing w:line="312" w:lineRule="auto"/>
        <w:ind w:firstLine="0" w:firstLineChars="0"/>
        <w:rPr>
          <w:rFonts w:ascii="Times New Roman" w:hAnsi="Times New Roman"/>
          <w:szCs w:val="21"/>
        </w:rPr>
      </w:pPr>
      <w:r>
        <w:rPr>
          <w:rFonts w:hint="eastAsia" w:ascii="黑体" w:hAnsi="黑体" w:eastAsia="黑体" w:cs="黑体"/>
          <w:szCs w:val="21"/>
        </w:rPr>
        <w:t xml:space="preserve">4 </w:t>
      </w:r>
      <w:r>
        <w:rPr>
          <w:rFonts w:ascii="黑体" w:hAnsi="黑体" w:eastAsia="黑体" w:cs="黑体"/>
          <w:szCs w:val="21"/>
        </w:rPr>
        <w:t xml:space="preserve"> </w:t>
      </w:r>
      <w:r>
        <w:rPr>
          <w:rFonts w:hint="eastAsia" w:ascii="Times New Roman" w:hAnsi="Times New Roman" w:eastAsia="黑体"/>
          <w:szCs w:val="21"/>
        </w:rPr>
        <w:t>二安替吡啉甲烷分光光度法</w:t>
      </w:r>
    </w:p>
    <w:p>
      <w:pPr>
        <w:spacing w:before="156" w:beforeLines="50" w:line="312" w:lineRule="auto"/>
        <w:ind w:left="-6"/>
        <w:rPr>
          <w:rFonts w:eastAsia="黑体"/>
          <w:szCs w:val="21"/>
        </w:rPr>
      </w:pPr>
      <w:r>
        <w:rPr>
          <w:rFonts w:hint="eastAsia" w:ascii="黑体" w:hAnsi="黑体" w:eastAsia="黑体" w:cs="黑体"/>
          <w:szCs w:val="21"/>
        </w:rPr>
        <w:t xml:space="preserve">4.1 </w:t>
      </w:r>
      <w:r>
        <w:rPr>
          <w:rFonts w:eastAsia="黑体"/>
          <w:szCs w:val="21"/>
        </w:rPr>
        <w:t>方法提要</w:t>
      </w:r>
    </w:p>
    <w:p>
      <w:pPr>
        <w:numPr>
          <w:ilvl w:val="0"/>
          <w:numId w:val="6"/>
        </w:numPr>
        <w:spacing w:line="240" w:lineRule="auto"/>
        <w:ind w:firstLine="420" w:firstLineChars="200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kern w:val="0"/>
          <w:szCs w:val="21"/>
        </w:rPr>
        <w:t>试样以盐酸溶解，在硫酸铜的存在下，用抗坏血酸还原Fe</w:t>
      </w:r>
      <w:r>
        <w:rPr>
          <w:rFonts w:hint="eastAsia" w:ascii="宋体" w:hAnsi="宋体" w:cs="宋体"/>
          <w:kern w:val="0"/>
          <w:szCs w:val="21"/>
          <w:vertAlign w:val="superscript"/>
        </w:rPr>
        <w:t>3+</w:t>
      </w:r>
      <w:r>
        <w:rPr>
          <w:rFonts w:hint="eastAsia" w:ascii="宋体" w:hAnsi="宋体" w:cs="宋体"/>
          <w:kern w:val="0"/>
          <w:szCs w:val="21"/>
        </w:rPr>
        <w:t>和V</w:t>
      </w:r>
      <w:r>
        <w:rPr>
          <w:rFonts w:hint="eastAsia" w:ascii="宋体" w:hAnsi="宋体" w:cs="宋体"/>
          <w:kern w:val="0"/>
          <w:szCs w:val="21"/>
          <w:vertAlign w:val="superscript"/>
        </w:rPr>
        <w:t>5+</w:t>
      </w:r>
      <w:r>
        <w:rPr>
          <w:rFonts w:hint="eastAsia" w:ascii="宋体" w:hAnsi="宋体" w:cs="宋体"/>
          <w:kern w:val="0"/>
          <w:szCs w:val="21"/>
        </w:rPr>
        <w:t>等干扰离子。在硫酸介质中，加入二安替吡啉甲烷溶液显色，于分光光度计波长400 nm处，测量溶液的吸光度。</w:t>
      </w:r>
    </w:p>
    <w:p>
      <w:pPr>
        <w:numPr>
          <w:ilvl w:val="0"/>
          <w:numId w:val="6"/>
        </w:numPr>
        <w:adjustRightInd w:val="0"/>
        <w:spacing w:line="312" w:lineRule="auto"/>
        <w:textAlignment w:val="baseline"/>
        <w:rPr>
          <w:rFonts w:eastAsia="黑体"/>
          <w:szCs w:val="21"/>
        </w:rPr>
      </w:pPr>
      <w:r>
        <w:rPr>
          <w:rFonts w:hint="eastAsia" w:ascii="黑体" w:hAnsi="黑体" w:eastAsia="黑体" w:cs="黑体"/>
          <w:szCs w:val="21"/>
        </w:rPr>
        <w:t xml:space="preserve">4.2 </w:t>
      </w:r>
      <w:r>
        <w:rPr>
          <w:rFonts w:eastAsia="黑体"/>
          <w:szCs w:val="21"/>
        </w:rPr>
        <w:t xml:space="preserve">试剂  </w:t>
      </w:r>
    </w:p>
    <w:p>
      <w:pPr>
        <w:pStyle w:val="56"/>
        <w:numPr>
          <w:ilvl w:val="0"/>
          <w:numId w:val="6"/>
        </w:numPr>
        <w:spacing w:line="240" w:lineRule="auto"/>
        <w:ind w:firstLineChars="0"/>
        <w:rPr>
          <w:rFonts w:ascii="宋体" w:hAnsi="宋体"/>
          <w:color w:val="FF0000"/>
        </w:rPr>
      </w:pPr>
      <w:r>
        <w:rPr>
          <w:rFonts w:hint="eastAsia" w:hAnsi="宋体"/>
        </w:rPr>
        <w:t xml:space="preserve">    除</w:t>
      </w:r>
      <w:r>
        <w:rPr>
          <w:rFonts w:hint="eastAsia" w:ascii="宋体" w:hAnsi="宋体"/>
        </w:rPr>
        <w:t>非另有说明，在分析中仅使用确认为分析纯的试剂</w:t>
      </w:r>
      <w:bookmarkStart w:id="1" w:name="_Hlk15737066"/>
      <w:r>
        <w:rPr>
          <w:rFonts w:hint="eastAsia" w:ascii="宋体" w:hAnsi="宋体"/>
        </w:rPr>
        <w:t>和符合GB/T 6682</w:t>
      </w:r>
      <w:r>
        <w:rPr>
          <w:rFonts w:hint="eastAsia" w:ascii="宋体" w:hAnsi="宋体"/>
          <w:lang w:val="en-US" w:eastAsia="zh-CN"/>
        </w:rPr>
        <w:t>-2008</w:t>
      </w:r>
      <w:r>
        <w:rPr>
          <w:rFonts w:hint="eastAsia" w:ascii="宋体" w:hAnsi="宋体"/>
        </w:rPr>
        <w:t>规定的二级水。</w:t>
      </w:r>
      <w:bookmarkEnd w:id="1"/>
    </w:p>
    <w:p>
      <w:pPr>
        <w:numPr>
          <w:ilvl w:val="0"/>
          <w:numId w:val="6"/>
        </w:numPr>
        <w:spacing w:line="240" w:lineRule="auto"/>
        <w:jc w:val="left"/>
        <w:rPr>
          <w:rFonts w:ascii="宋体" w:hAnsi="宋体" w:cs="宋体"/>
          <w:b/>
          <w:sz w:val="24"/>
        </w:rPr>
      </w:pPr>
      <w:r>
        <w:rPr>
          <w:rFonts w:hint="eastAsia" w:ascii="黑体" w:hAnsi="黑体" w:eastAsia="黑体" w:cs="黑体"/>
          <w:szCs w:val="21"/>
        </w:rPr>
        <w:t>4.2.1</w:t>
      </w:r>
      <w:r>
        <w:rPr>
          <w:rFonts w:ascii="黑体" w:hAnsi="黑体" w:eastAsia="黑体" w:cs="黑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硫酸（ρ=1.84 g/mL）</w:t>
      </w:r>
    </w:p>
    <w:p>
      <w:pPr>
        <w:numPr>
          <w:ilvl w:val="0"/>
          <w:numId w:val="6"/>
        </w:numPr>
        <w:spacing w:line="240" w:lineRule="auto"/>
        <w:jc w:val="left"/>
        <w:rPr>
          <w:b/>
          <w:sz w:val="24"/>
        </w:rPr>
      </w:pPr>
      <w:r>
        <w:rPr>
          <w:rFonts w:hint="eastAsia" w:ascii="黑体" w:hAnsi="黑体" w:eastAsia="黑体" w:cs="黑体"/>
          <w:szCs w:val="21"/>
        </w:rPr>
        <w:t>4.2.2</w:t>
      </w:r>
      <w:r>
        <w:rPr>
          <w:rFonts w:ascii="黑体" w:hAnsi="黑体" w:eastAsia="黑体" w:cs="黑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硝酸（ρ=1.42 g/mL）。</w:t>
      </w:r>
    </w:p>
    <w:p>
      <w:pPr>
        <w:numPr>
          <w:ilvl w:val="0"/>
          <w:numId w:val="6"/>
        </w:numPr>
        <w:spacing w:line="240" w:lineRule="auto"/>
        <w:jc w:val="left"/>
        <w:rPr>
          <w:szCs w:val="21"/>
        </w:rPr>
      </w:pPr>
      <w:r>
        <w:rPr>
          <w:rFonts w:hint="eastAsia" w:ascii="黑体" w:hAnsi="黑体" w:eastAsia="黑体" w:cs="黑体"/>
          <w:szCs w:val="21"/>
        </w:rPr>
        <w:t>4.2.3</w:t>
      </w:r>
      <w:r>
        <w:rPr>
          <w:rFonts w:ascii="黑体" w:hAnsi="黑体" w:eastAsia="黑体" w:cs="黑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氢氟酸（ρ=1.14 g/mL）。</w:t>
      </w:r>
    </w:p>
    <w:p>
      <w:pPr>
        <w:numPr>
          <w:ilvl w:val="0"/>
          <w:numId w:val="6"/>
        </w:numPr>
        <w:spacing w:line="240" w:lineRule="auto"/>
        <w:jc w:val="left"/>
        <w:rPr>
          <w:szCs w:val="21"/>
        </w:rPr>
      </w:pPr>
      <w:r>
        <w:rPr>
          <w:rFonts w:hint="eastAsia" w:ascii="黑体" w:hAnsi="黑体" w:eastAsia="黑体" w:cs="黑体"/>
          <w:szCs w:val="21"/>
        </w:rPr>
        <w:t>4.2.4</w:t>
      </w:r>
      <w:r>
        <w:rPr>
          <w:rFonts w:ascii="黑体" w:hAnsi="黑体" w:eastAsia="黑体" w:cs="黑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过氧化氢（ρ=1.10 g/mL）。</w:t>
      </w:r>
    </w:p>
    <w:p>
      <w:pPr>
        <w:numPr>
          <w:ilvl w:val="0"/>
          <w:numId w:val="6"/>
        </w:numPr>
        <w:spacing w:line="240" w:lineRule="auto"/>
        <w:jc w:val="left"/>
        <w:rPr>
          <w:szCs w:val="21"/>
        </w:rPr>
      </w:pPr>
      <w:r>
        <w:rPr>
          <w:rFonts w:hint="eastAsia" w:ascii="黑体" w:hAnsi="黑体" w:eastAsia="黑体" w:cs="黑体"/>
          <w:szCs w:val="21"/>
        </w:rPr>
        <w:t>4.2.5</w:t>
      </w:r>
      <w:r>
        <w:rPr>
          <w:rFonts w:ascii="黑体" w:hAnsi="黑体" w:eastAsia="黑体" w:cs="黑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硫酸（1+1）。</w:t>
      </w:r>
    </w:p>
    <w:p>
      <w:pPr>
        <w:numPr>
          <w:ilvl w:val="0"/>
          <w:numId w:val="6"/>
        </w:numPr>
        <w:spacing w:line="240" w:lineRule="auto"/>
        <w:jc w:val="left"/>
        <w:rPr>
          <w:szCs w:val="21"/>
        </w:rPr>
      </w:pPr>
      <w:r>
        <w:rPr>
          <w:rFonts w:hint="eastAsia" w:ascii="黑体" w:hAnsi="黑体" w:eastAsia="黑体" w:cs="黑体"/>
          <w:szCs w:val="21"/>
        </w:rPr>
        <w:t>4.2.6</w:t>
      </w:r>
      <w:r>
        <w:rPr>
          <w:rFonts w:ascii="黑体" w:hAnsi="黑体" w:eastAsia="黑体" w:cs="黑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盐酸（1+1）。</w:t>
      </w:r>
    </w:p>
    <w:p>
      <w:pPr>
        <w:numPr>
          <w:ilvl w:val="0"/>
          <w:numId w:val="6"/>
        </w:numPr>
        <w:spacing w:line="240" w:lineRule="auto"/>
        <w:jc w:val="left"/>
        <w:rPr>
          <w:szCs w:val="21"/>
        </w:rPr>
      </w:pPr>
      <w:r>
        <w:rPr>
          <w:rFonts w:hint="eastAsia" w:ascii="黑体" w:hAnsi="黑体" w:eastAsia="黑体" w:cs="黑体"/>
          <w:szCs w:val="21"/>
        </w:rPr>
        <w:t>4.2.7</w:t>
      </w:r>
      <w:r>
        <w:rPr>
          <w:rFonts w:ascii="黑体" w:hAnsi="黑体" w:eastAsia="黑体" w:cs="黑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硫酸铜溶液（50 g/L）。</w:t>
      </w:r>
    </w:p>
    <w:p>
      <w:pPr>
        <w:numPr>
          <w:ilvl w:val="0"/>
          <w:numId w:val="6"/>
        </w:numPr>
        <w:spacing w:line="240" w:lineRule="auto"/>
        <w:jc w:val="left"/>
        <w:rPr>
          <w:szCs w:val="21"/>
        </w:rPr>
      </w:pPr>
      <w:r>
        <w:rPr>
          <w:rFonts w:hint="eastAsia" w:ascii="黑体" w:hAnsi="黑体" w:eastAsia="黑体" w:cs="黑体"/>
          <w:szCs w:val="21"/>
        </w:rPr>
        <w:t>4.2.8</w:t>
      </w:r>
      <w:r>
        <w:rPr>
          <w:rFonts w:ascii="黑体" w:hAnsi="黑体" w:eastAsia="黑体" w:cs="黑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抗坏血酸溶液（20 g/L，用时现配）。</w:t>
      </w:r>
    </w:p>
    <w:p>
      <w:pPr>
        <w:numPr>
          <w:ilvl w:val="0"/>
          <w:numId w:val="6"/>
        </w:numPr>
        <w:spacing w:line="240" w:lineRule="auto"/>
        <w:jc w:val="left"/>
        <w:rPr>
          <w:rFonts w:ascii="宋体" w:hAnsi="宋体" w:cs="宋体"/>
          <w:szCs w:val="21"/>
        </w:rPr>
      </w:pPr>
      <w:r>
        <w:rPr>
          <w:rFonts w:hint="eastAsia" w:ascii="黑体" w:hAnsi="黑体" w:eastAsia="黑体" w:cs="黑体"/>
          <w:szCs w:val="21"/>
        </w:rPr>
        <w:t>4.2.9</w:t>
      </w:r>
      <w:r>
        <w:rPr>
          <w:rFonts w:hint="eastAsia" w:ascii="宋体" w:hAnsi="宋体" w:cs="宋体"/>
          <w:szCs w:val="21"/>
        </w:rPr>
        <w:t>二安替吡啉甲烷溶液（50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g/L）：在约17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</w:rPr>
        <w:t>mL盐酸（4.2.6）和70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</w:rPr>
        <w:t>mL水中，溶解5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</w:rPr>
        <w:t>g二安替吡啉甲烷，以水稀释至100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mL并混匀。</w:t>
      </w:r>
    </w:p>
    <w:p>
      <w:pPr>
        <w:numPr>
          <w:ilvl w:val="0"/>
          <w:numId w:val="6"/>
        </w:numPr>
        <w:spacing w:line="240" w:lineRule="auto"/>
        <w:jc w:val="left"/>
        <w:rPr>
          <w:szCs w:val="21"/>
        </w:rPr>
      </w:pPr>
      <w:r>
        <w:rPr>
          <w:rFonts w:hint="eastAsia" w:ascii="黑体" w:hAnsi="黑体" w:eastAsia="黑体" w:cs="黑体"/>
          <w:szCs w:val="21"/>
        </w:rPr>
        <w:t>4.2.10</w:t>
      </w:r>
      <w:r>
        <w:rPr>
          <w:rFonts w:hint="eastAsia" w:ascii="宋体" w:hAnsi="宋体" w:cs="宋体"/>
          <w:szCs w:val="21"/>
        </w:rPr>
        <w:t>铝溶液（10 mg/mL）：称取10.00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</w:rPr>
        <w:t>g纯铝（</w:t>
      </w:r>
      <w:r>
        <w:rPr>
          <w:rFonts w:hint="eastAsia" w:ascii="宋体" w:hAnsi="宋体"/>
          <w:i/>
          <w:iCs/>
          <w:szCs w:val="21"/>
        </w:rPr>
        <w:t>ω</w:t>
      </w:r>
      <w:r>
        <w:rPr>
          <w:rFonts w:hint="eastAsia" w:ascii="宋体" w:hAnsi="宋体" w:cs="宋体"/>
          <w:szCs w:val="21"/>
          <w:vertAlign w:val="subscript"/>
        </w:rPr>
        <w:t>Al</w:t>
      </w:r>
      <w:r>
        <w:rPr>
          <w:rFonts w:hint="eastAsia" w:ascii="宋体" w:hAnsi="宋体" w:cs="宋体"/>
          <w:szCs w:val="21"/>
        </w:rPr>
        <w:t>≥99.99 %，</w:t>
      </w:r>
      <w:r>
        <w:rPr>
          <w:rFonts w:hint="eastAsia" w:ascii="宋体" w:hAnsi="宋体"/>
          <w:i/>
          <w:iCs/>
          <w:szCs w:val="21"/>
        </w:rPr>
        <w:t>ω</w:t>
      </w:r>
      <w:r>
        <w:rPr>
          <w:rFonts w:hint="eastAsia" w:ascii="宋体" w:hAnsi="宋体" w:cs="宋体"/>
          <w:szCs w:val="21"/>
          <w:vertAlign w:val="subscript"/>
        </w:rPr>
        <w:t>Ti</w:t>
      </w:r>
      <w:r>
        <w:rPr>
          <w:rFonts w:hint="eastAsia" w:ascii="宋体" w:hAnsi="宋体" w:cs="宋体"/>
          <w:szCs w:val="21"/>
        </w:rPr>
        <w:t>≤0.0010 %）置于2000 mL烧杯中，盖上表皿。分次加入总量为300 mL盐酸（4.2.6），缓慢加热至铝完全溶解。取下，冷却。移入1000 mL容量瓶中，以水稀释至刻度，混匀。</w:t>
      </w:r>
    </w:p>
    <w:p>
      <w:pPr>
        <w:numPr>
          <w:ilvl w:val="0"/>
          <w:numId w:val="6"/>
        </w:numPr>
        <w:spacing w:line="240" w:lineRule="auto"/>
        <w:jc w:val="lef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4.2.11</w:t>
      </w:r>
      <w:r>
        <w:rPr>
          <w:rFonts w:ascii="黑体" w:hAnsi="黑体" w:eastAsia="黑体" w:cs="黑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钛标准贮存溶液：</w:t>
      </w:r>
      <w:r>
        <w:rPr>
          <w:rFonts w:ascii="黑体" w:hAnsi="黑体" w:eastAsia="黑体" w:cs="黑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称取0.10000 g金属钛（</w:t>
      </w:r>
      <w:r>
        <w:rPr>
          <w:rFonts w:hint="eastAsia" w:ascii="宋体" w:hAnsi="宋体"/>
          <w:i/>
          <w:iCs/>
          <w:szCs w:val="21"/>
        </w:rPr>
        <w:t>ω</w:t>
      </w:r>
      <w:r>
        <w:rPr>
          <w:rFonts w:hint="eastAsia" w:ascii="宋体" w:hAnsi="宋体" w:cs="宋体"/>
          <w:szCs w:val="21"/>
          <w:vertAlign w:val="subscript"/>
        </w:rPr>
        <w:t>Ti</w:t>
      </w:r>
      <w:r>
        <w:rPr>
          <w:rFonts w:hint="eastAsia" w:ascii="宋体" w:hAnsi="宋体" w:cs="宋体"/>
          <w:szCs w:val="21"/>
        </w:rPr>
        <w:t xml:space="preserve"> ≥ 99.9 %），于300 mL烧杯中，加入50 mL硫酸（4.2.5）和10 mL盐酸（4.2.6），加热分解后再加入1 mL硝酸（1+1），加热至钛溶解完全并加热蒸发至刚冒白烟，取下，冷却，小心加入约10 mL水，溶解可溶性盐类，冷却至室温，移入1000 mL容量瓶中，以水稀释至刻度，混匀。此溶液1 mL含0.1mg钛。</w:t>
      </w:r>
    </w:p>
    <w:p>
      <w:pPr>
        <w:numPr>
          <w:ilvl w:val="0"/>
          <w:numId w:val="6"/>
        </w:numPr>
        <w:spacing w:line="240" w:lineRule="auto"/>
        <w:jc w:val="left"/>
        <w:rPr>
          <w:rFonts w:ascii="宋体" w:hAnsi="宋体" w:cs="宋体"/>
          <w:szCs w:val="21"/>
        </w:rPr>
      </w:pPr>
      <w:r>
        <w:rPr>
          <w:rFonts w:hint="eastAsia" w:ascii="黑体" w:hAnsi="黑体" w:eastAsia="黑体" w:cs="黑体"/>
          <w:szCs w:val="21"/>
        </w:rPr>
        <w:t>4.2.12</w:t>
      </w:r>
      <w:r>
        <w:rPr>
          <w:rFonts w:ascii="黑体" w:hAnsi="黑体" w:eastAsia="黑体" w:cs="黑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钛标准溶液（0.01 mg/mL）：移取50.00 mL钛标准贮存溶液（4.2.11.1）或（4.2.11.2）于500 mL容量瓶中，以水稀释至刻度，混匀。此溶液1 mL含0.01 mg钛（用时现配）。</w:t>
      </w:r>
    </w:p>
    <w:p>
      <w:pPr>
        <w:adjustRightInd w:val="0"/>
        <w:spacing w:line="360" w:lineRule="auto"/>
        <w:textAlignment w:val="baseline"/>
        <w:rPr>
          <w:rFonts w:eastAsia="黑体"/>
          <w:szCs w:val="21"/>
        </w:rPr>
      </w:pPr>
      <w:r>
        <w:rPr>
          <w:rFonts w:hint="eastAsia" w:ascii="黑体" w:hAnsi="黑体" w:eastAsia="黑体" w:cs="黑体"/>
          <w:szCs w:val="21"/>
        </w:rPr>
        <w:t>4.3</w:t>
      </w:r>
      <w:r>
        <w:rPr>
          <w:rFonts w:ascii="黑体" w:hAnsi="黑体" w:eastAsia="黑体" w:cs="黑体"/>
          <w:szCs w:val="21"/>
        </w:rPr>
        <w:t xml:space="preserve">  </w:t>
      </w:r>
      <w:r>
        <w:rPr>
          <w:rFonts w:eastAsia="黑体"/>
          <w:szCs w:val="21"/>
        </w:rPr>
        <w:t>仪器</w:t>
      </w:r>
    </w:p>
    <w:p>
      <w:pPr>
        <w:numPr>
          <w:ilvl w:val="0"/>
          <w:numId w:val="6"/>
        </w:numPr>
        <w:spacing w:line="312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分光光度计。</w:t>
      </w:r>
    </w:p>
    <w:p>
      <w:pPr>
        <w:spacing w:line="312" w:lineRule="auto"/>
        <w:rPr>
          <w:rFonts w:eastAsia="黑体"/>
          <w:szCs w:val="21"/>
        </w:rPr>
      </w:pPr>
      <w:r>
        <w:rPr>
          <w:rFonts w:hint="eastAsia" w:ascii="黑体" w:hAnsi="黑体" w:eastAsia="黑体" w:cs="黑体"/>
          <w:szCs w:val="21"/>
        </w:rPr>
        <w:t>4.4</w:t>
      </w:r>
      <w:r>
        <w:rPr>
          <w:rFonts w:ascii="黑体" w:hAnsi="黑体" w:eastAsia="黑体" w:cs="黑体"/>
          <w:szCs w:val="21"/>
        </w:rPr>
        <w:t xml:space="preserve">  </w:t>
      </w:r>
      <w:r>
        <w:rPr>
          <w:rFonts w:hint="eastAsia" w:eastAsia="黑体"/>
          <w:color w:val="000000" w:themeColor="text1"/>
          <w:szCs w:val="21"/>
        </w:rPr>
        <w:t>试样</w:t>
      </w:r>
    </w:p>
    <w:p>
      <w:pPr>
        <w:numPr>
          <w:ilvl w:val="0"/>
          <w:numId w:val="6"/>
        </w:numPr>
        <w:spacing w:line="312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试样加工成厚度不超过1 mm的碎屑。</w:t>
      </w:r>
    </w:p>
    <w:p>
      <w:pPr>
        <w:spacing w:line="312" w:lineRule="auto"/>
        <w:rPr>
          <w:rFonts w:eastAsia="黑体"/>
          <w:szCs w:val="21"/>
        </w:rPr>
      </w:pPr>
      <w:r>
        <w:rPr>
          <w:rFonts w:hint="eastAsia" w:ascii="黑体" w:hAnsi="黑体" w:eastAsia="黑体" w:cs="黑体"/>
          <w:szCs w:val="21"/>
        </w:rPr>
        <w:t>4.5</w:t>
      </w:r>
      <w:r>
        <w:rPr>
          <w:rFonts w:ascii="黑体" w:hAnsi="黑体" w:eastAsia="黑体"/>
          <w:szCs w:val="21"/>
        </w:rPr>
        <w:t xml:space="preserve">  </w:t>
      </w:r>
      <w:r>
        <w:rPr>
          <w:rFonts w:eastAsia="黑体"/>
          <w:szCs w:val="21"/>
        </w:rPr>
        <w:t>分析步骤</w:t>
      </w:r>
    </w:p>
    <w:p>
      <w:pPr>
        <w:autoSpaceDE w:val="0"/>
        <w:autoSpaceDN w:val="0"/>
        <w:adjustRightInd w:val="0"/>
        <w:spacing w:line="312" w:lineRule="auto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Cs w:val="21"/>
        </w:rPr>
        <w:t xml:space="preserve">4.5.1 </w:t>
      </w:r>
      <w:r>
        <w:rPr>
          <w:rFonts w:hint="eastAsia" w:ascii="黑体" w:hAnsi="黑体" w:eastAsia="黑体" w:cs="黑体"/>
          <w:color w:val="000000" w:themeColor="text1"/>
          <w:szCs w:val="21"/>
        </w:rPr>
        <w:t>试料</w:t>
      </w:r>
    </w:p>
    <w:p>
      <w:pPr>
        <w:numPr>
          <w:ilvl w:val="0"/>
          <w:numId w:val="6"/>
        </w:numPr>
        <w:spacing w:line="312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称取质量（</w:t>
      </w:r>
      <w:r>
        <w:rPr>
          <w:rFonts w:hint="eastAsia" w:ascii="宋体" w:hAnsi="宋体" w:cs="宋体"/>
          <w:i/>
          <w:iCs/>
          <w:szCs w:val="21"/>
        </w:rPr>
        <w:t>m</w:t>
      </w:r>
      <w:r>
        <w:rPr>
          <w:rFonts w:hint="eastAsia" w:ascii="宋体" w:hAnsi="宋体" w:cs="宋体"/>
          <w:szCs w:val="21"/>
          <w:vertAlign w:val="subscript"/>
        </w:rPr>
        <w:t>0</w:t>
      </w:r>
      <w:r>
        <w:rPr>
          <w:rFonts w:hint="eastAsia" w:ascii="宋体" w:hAnsi="宋体" w:cs="宋体"/>
          <w:szCs w:val="21"/>
        </w:rPr>
        <w:t>）</w:t>
      </w:r>
      <w:r>
        <w:rPr>
          <w:rFonts w:hint="eastAsia" w:ascii="宋体" w:hAnsi="宋体" w:cs="宋体"/>
          <w:szCs w:val="21"/>
          <w:lang w:val="en-US" w:eastAsia="zh-CN"/>
        </w:rPr>
        <w:t>为</w:t>
      </w:r>
      <w:r>
        <w:rPr>
          <w:rFonts w:hint="eastAsia" w:ascii="宋体" w:hAnsi="宋体" w:cs="宋体"/>
          <w:szCs w:val="21"/>
        </w:rPr>
        <w:t>0.50 g试样，精确至0.0001 g。</w:t>
      </w:r>
    </w:p>
    <w:p>
      <w:pPr>
        <w:autoSpaceDE w:val="0"/>
        <w:autoSpaceDN w:val="0"/>
        <w:adjustRightInd w:val="0"/>
        <w:spacing w:line="312" w:lineRule="auto"/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4.5.2 平行试验</w:t>
      </w:r>
    </w:p>
    <w:p>
      <w:pPr>
        <w:numPr>
          <w:ilvl w:val="0"/>
          <w:numId w:val="6"/>
        </w:numPr>
        <w:spacing w:line="312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平行做两份试验，取其平均值。</w:t>
      </w:r>
    </w:p>
    <w:p>
      <w:pPr>
        <w:autoSpaceDE w:val="0"/>
        <w:autoSpaceDN w:val="0"/>
        <w:adjustRightInd w:val="0"/>
        <w:spacing w:line="312" w:lineRule="auto"/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4.5.3 测定</w:t>
      </w:r>
    </w:p>
    <w:p>
      <w:pPr>
        <w:autoSpaceDE w:val="0"/>
        <w:autoSpaceDN w:val="0"/>
        <w:adjustRightInd w:val="0"/>
        <w:spacing w:line="240" w:lineRule="auto"/>
        <w:jc w:val="left"/>
      </w:pPr>
      <w:r>
        <w:rPr>
          <w:rFonts w:hint="eastAsia" w:ascii="黑体" w:hAnsi="黑体" w:eastAsia="黑体" w:cs="黑体"/>
          <w:szCs w:val="21"/>
        </w:rPr>
        <w:t>4.5.3.1</w:t>
      </w:r>
      <w:r>
        <w:rPr>
          <w:rFonts w:hint="eastAsia" w:ascii="宋体" w:hAnsi="宋体" w:cs="宋体"/>
          <w:szCs w:val="21"/>
        </w:rPr>
        <w:t>将试料（4.5.1）置于250 mL烧杯中，盖上表皿，加入15 mL水，分次加入总量为15 mL的盐酸（4.2.6），滴加1.5 mL过氧化氢（4.2.4）或0.5 mL硝酸（4.2.2），微热使试料溶解完全，煮沸约10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</w:rPr>
        <w:t>min，用水冲洗表皿及杯壁，取下，冷却。如有不溶物（硅等）则需过滤，将沉淀连同滤纸置于铂坩埚中，灰化（勿使滤纸燃着），于550℃灼烧30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</w:rPr>
        <w:t>min，取出，冷却。加入2 mL硫酸（4.2.1），5 mL氢氟酸（4.2.3），滴加硝酸（4.2.2）至试液清亮，蒸发至干，于700℃灼烧数分钟，取出，冷却。用少量盐酸（4.2.6）溶解残渣（如浑浊应过滤），合并于滤液中，取下，冷却。移入100 mL容量瓶中，用水稀释至刻度，混匀。</w:t>
      </w:r>
    </w:p>
    <w:p>
      <w:pPr>
        <w:numPr>
          <w:ilvl w:val="0"/>
          <w:numId w:val="6"/>
        </w:numPr>
        <w:spacing w:line="240" w:lineRule="auto"/>
        <w:rPr>
          <w:sz w:val="18"/>
          <w:szCs w:val="18"/>
        </w:rPr>
      </w:pPr>
      <w:r>
        <w:rPr>
          <w:rFonts w:hint="eastAsia" w:ascii="黑体" w:hAnsi="黑体" w:eastAsia="黑体" w:cs="黑体"/>
          <w:szCs w:val="21"/>
        </w:rPr>
        <w:t>4.5.3.2</w:t>
      </w:r>
      <w:r>
        <w:rPr>
          <w:rFonts w:hint="eastAsia" w:ascii="宋体" w:hAnsi="宋体" w:cs="宋体"/>
          <w:szCs w:val="21"/>
        </w:rPr>
        <w:t>根据试料中钛含量，按表1移取试液（4.5.3.1）两份，分别置于100 mL容量瓶中，并按表1补加相应体积的铝溶液（4.2.10），以下按4.5.3.3进行操作。但其中一份不加二安替吡啉甲烷溶液（4.2.9），以此补偿溶液为参比溶液。</w:t>
      </w:r>
    </w:p>
    <w:p>
      <w:pPr>
        <w:numPr>
          <w:ilvl w:val="0"/>
          <w:numId w:val="6"/>
        </w:numPr>
        <w:spacing w:line="240" w:lineRule="auto"/>
        <w:rPr>
          <w:sz w:val="18"/>
          <w:szCs w:val="18"/>
        </w:rPr>
      </w:pPr>
    </w:p>
    <w:p>
      <w:pPr>
        <w:numPr>
          <w:ilvl w:val="0"/>
          <w:numId w:val="2"/>
        </w:numPr>
        <w:jc w:val="center"/>
        <w:rPr>
          <w:rFonts w:ascii="黑体" w:hAnsi="黑体" w:eastAsia="黑体" w:cs="宋体"/>
          <w:szCs w:val="21"/>
        </w:rPr>
      </w:pPr>
      <w:r>
        <w:rPr>
          <w:rFonts w:hint="eastAsia" w:ascii="黑体" w:hAnsi="黑体" w:eastAsia="黑体" w:cs="宋体"/>
          <w:szCs w:val="21"/>
        </w:rPr>
        <w:t>表1</w:t>
      </w:r>
      <w:r>
        <w:rPr>
          <w:rFonts w:hint="eastAsia" w:ascii="黑体" w:hAnsi="黑体" w:eastAsia="黑体" w:cs="宋体"/>
          <w:szCs w:val="21"/>
          <w:lang w:val="en-US" w:eastAsia="zh-CN"/>
        </w:rPr>
        <w:t xml:space="preserve"> </w:t>
      </w:r>
      <w:r>
        <w:rPr>
          <w:rFonts w:hint="eastAsia" w:ascii="黑体" w:hAnsi="黑体" w:eastAsia="黑体" w:cs="黑体"/>
        </w:rPr>
        <w:t>分取试液体积、分取试液定容体积、补加酸量及稀释倍数</w:t>
      </w:r>
    </w:p>
    <w:tbl>
      <w:tblPr>
        <w:tblStyle w:val="11"/>
        <w:tblW w:w="91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4"/>
        <w:gridCol w:w="1889"/>
        <w:gridCol w:w="1793"/>
        <w:gridCol w:w="1793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8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tabs>
                <w:tab w:val="left" w:pos="2"/>
              </w:tabs>
              <w:spacing w:line="312" w:lineRule="auto"/>
              <w:ind w:firstLine="2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钛的质量分数</w:t>
            </w:r>
          </w:p>
          <w:p>
            <w:pPr>
              <w:numPr>
                <w:ilvl w:val="0"/>
                <w:numId w:val="6"/>
              </w:numPr>
              <w:tabs>
                <w:tab w:val="left" w:pos="2"/>
              </w:tabs>
              <w:spacing w:line="312" w:lineRule="auto"/>
              <w:ind w:firstLine="2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/%</w:t>
            </w:r>
          </w:p>
        </w:tc>
        <w:tc>
          <w:tcPr>
            <w:tcW w:w="1889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spacing w:line="31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分取试液体积</w:t>
            </w:r>
          </w:p>
          <w:p>
            <w:pPr>
              <w:numPr>
                <w:ilvl w:val="0"/>
                <w:numId w:val="6"/>
              </w:numPr>
              <w:spacing w:line="31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sz w:val="18"/>
                <w:szCs w:val="18"/>
              </w:rPr>
              <w:t>mL</w:t>
            </w:r>
          </w:p>
        </w:tc>
        <w:tc>
          <w:tcPr>
            <w:tcW w:w="1793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spacing w:line="31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补加铝溶液（4.2.9）体积/</w:t>
            </w:r>
            <w:r>
              <w:rPr>
                <w:rFonts w:ascii="宋体" w:hAnsi="宋体" w:cs="宋体"/>
                <w:sz w:val="18"/>
                <w:szCs w:val="18"/>
              </w:rPr>
              <w:t>mL</w:t>
            </w:r>
          </w:p>
        </w:tc>
        <w:tc>
          <w:tcPr>
            <w:tcW w:w="179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numPr>
                <w:ilvl w:val="0"/>
                <w:numId w:val="6"/>
              </w:numPr>
              <w:spacing w:line="31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定容体积</w:t>
            </w:r>
          </w:p>
          <w:p>
            <w:pPr>
              <w:numPr>
                <w:ilvl w:val="0"/>
                <w:numId w:val="6"/>
              </w:numPr>
              <w:spacing w:line="31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sz w:val="18"/>
                <w:szCs w:val="18"/>
              </w:rPr>
              <w:t xml:space="preserve"> mL</w:t>
            </w:r>
          </w:p>
        </w:tc>
        <w:tc>
          <w:tcPr>
            <w:tcW w:w="1793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6"/>
              </w:numPr>
              <w:spacing w:line="31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稀释倍数</w:t>
            </w:r>
          </w:p>
          <w:p>
            <w:pPr>
              <w:numPr>
                <w:ilvl w:val="0"/>
                <w:numId w:val="6"/>
              </w:numPr>
              <w:spacing w:line="31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ascii="宋体" w:hAnsi="宋体" w:cs="宋体"/>
                <w:sz w:val="18"/>
                <w:szCs w:val="18"/>
              </w:rPr>
              <w:t>T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884" w:type="dxa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spacing w:line="31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0.0010～0.010</w:t>
            </w:r>
          </w:p>
        </w:tc>
        <w:tc>
          <w:tcPr>
            <w:tcW w:w="1889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spacing w:line="31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50.00</w:t>
            </w:r>
          </w:p>
        </w:tc>
        <w:tc>
          <w:tcPr>
            <w:tcW w:w="1793" w:type="dxa"/>
            <w:tcBorders>
              <w:top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spacing w:line="31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793" w:type="dxa"/>
            <w:tcBorders>
              <w:top w:val="single" w:color="auto" w:sz="12" w:space="0"/>
              <w:bottom w:val="single" w:color="auto" w:sz="8" w:space="0"/>
            </w:tcBorders>
          </w:tcPr>
          <w:p>
            <w:pPr>
              <w:numPr>
                <w:ilvl w:val="0"/>
                <w:numId w:val="6"/>
              </w:numPr>
              <w:spacing w:line="31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100</w:t>
            </w:r>
          </w:p>
        </w:tc>
        <w:tc>
          <w:tcPr>
            <w:tcW w:w="1793" w:type="dxa"/>
            <w:tcBorders>
              <w:top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numPr>
                <w:ilvl w:val="0"/>
                <w:numId w:val="6"/>
              </w:numPr>
              <w:spacing w:line="31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884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spacing w:line="31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&gt;0.010～0.030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spacing w:line="31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50.00</w:t>
            </w:r>
          </w:p>
        </w:tc>
        <w:tc>
          <w:tcPr>
            <w:tcW w:w="1793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spacing w:line="31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793" w:type="dxa"/>
          </w:tcPr>
          <w:p>
            <w:pPr>
              <w:numPr>
                <w:ilvl w:val="0"/>
                <w:numId w:val="6"/>
              </w:numPr>
              <w:spacing w:line="31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100</w:t>
            </w:r>
          </w:p>
        </w:tc>
        <w:tc>
          <w:tcPr>
            <w:tcW w:w="1793" w:type="dxa"/>
            <w:tcBorders>
              <w:right w:val="single" w:color="auto" w:sz="12" w:space="0"/>
            </w:tcBorders>
          </w:tcPr>
          <w:p>
            <w:pPr>
              <w:numPr>
                <w:ilvl w:val="0"/>
                <w:numId w:val="6"/>
              </w:numPr>
              <w:spacing w:line="31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884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spacing w:line="31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&gt;0.030～0.080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spacing w:line="31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20.00</w:t>
            </w:r>
          </w:p>
        </w:tc>
        <w:tc>
          <w:tcPr>
            <w:tcW w:w="1793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spacing w:line="31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15.0</w:t>
            </w:r>
          </w:p>
        </w:tc>
        <w:tc>
          <w:tcPr>
            <w:tcW w:w="1793" w:type="dxa"/>
          </w:tcPr>
          <w:p>
            <w:pPr>
              <w:numPr>
                <w:ilvl w:val="0"/>
                <w:numId w:val="6"/>
              </w:numPr>
              <w:spacing w:line="31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100</w:t>
            </w:r>
          </w:p>
        </w:tc>
        <w:tc>
          <w:tcPr>
            <w:tcW w:w="1793" w:type="dxa"/>
            <w:tcBorders>
              <w:right w:val="single" w:color="auto" w:sz="12" w:space="0"/>
            </w:tcBorders>
          </w:tcPr>
          <w:p>
            <w:pPr>
              <w:numPr>
                <w:ilvl w:val="0"/>
                <w:numId w:val="6"/>
              </w:numPr>
              <w:spacing w:line="31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884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spacing w:line="31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&gt;0.080～0.50</w:t>
            </w:r>
          </w:p>
        </w:tc>
        <w:tc>
          <w:tcPr>
            <w:tcW w:w="1889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spacing w:line="31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5.00</w:t>
            </w:r>
          </w:p>
        </w:tc>
        <w:tc>
          <w:tcPr>
            <w:tcW w:w="1793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spacing w:line="31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23.0</w:t>
            </w:r>
          </w:p>
        </w:tc>
        <w:tc>
          <w:tcPr>
            <w:tcW w:w="1793" w:type="dxa"/>
            <w:tcBorders>
              <w:bottom w:val="single" w:color="auto" w:sz="12" w:space="0"/>
            </w:tcBorders>
          </w:tcPr>
          <w:p>
            <w:pPr>
              <w:numPr>
                <w:ilvl w:val="0"/>
                <w:numId w:val="6"/>
              </w:numPr>
              <w:spacing w:line="31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100</w:t>
            </w:r>
          </w:p>
        </w:tc>
        <w:tc>
          <w:tcPr>
            <w:tcW w:w="1793" w:type="dxa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numPr>
                <w:ilvl w:val="0"/>
                <w:numId w:val="6"/>
              </w:numPr>
              <w:spacing w:line="31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</w:tr>
    </w:tbl>
    <w:p>
      <w:pPr>
        <w:numPr>
          <w:ilvl w:val="0"/>
          <w:numId w:val="6"/>
        </w:numPr>
        <w:adjustRightInd w:val="0"/>
        <w:spacing w:before="240" w:line="240" w:lineRule="auto"/>
        <w:textAlignment w:val="baseline"/>
      </w:pPr>
      <w:r>
        <w:rPr>
          <w:rFonts w:hint="eastAsia" w:ascii="黑体" w:hAnsi="黑体" w:eastAsia="黑体" w:cs="黑体"/>
          <w:szCs w:val="21"/>
        </w:rPr>
        <w:t>4.5.3.3</w:t>
      </w:r>
      <w:r>
        <w:rPr>
          <w:rFonts w:hint="eastAsia" w:ascii="宋体" w:hAnsi="宋体" w:cs="宋体"/>
          <w:szCs w:val="21"/>
        </w:rPr>
        <w:t>加入25 mL硫酸（4.2.5），加水至80 mL，加入2滴硫酸铜溶液（4.2.7）、2 mL抗坏血酸溶液（4.2.8），混匀，</w:t>
      </w:r>
      <w:r>
        <w:rPr>
          <w:rFonts w:hint="eastAsia" w:ascii="宋体" w:hAnsi="宋体" w:cs="宋体"/>
          <w:color w:val="000000" w:themeColor="text1"/>
          <w:szCs w:val="21"/>
        </w:rPr>
        <w:t>加入10 mL二安替吡啉甲烷溶液（4.2.9）</w:t>
      </w:r>
      <w:r>
        <w:rPr>
          <w:rFonts w:hint="eastAsia" w:ascii="宋体" w:hAnsi="宋体" w:cs="宋体"/>
          <w:szCs w:val="21"/>
        </w:rPr>
        <w:t>，待溶液冷却至室温后，用水稀释至刻度，混匀。放置30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</w:rPr>
        <w:t>min。</w:t>
      </w:r>
    </w:p>
    <w:p>
      <w:pPr>
        <w:numPr>
          <w:ilvl w:val="0"/>
          <w:numId w:val="6"/>
        </w:numPr>
        <w:spacing w:line="240" w:lineRule="auto"/>
      </w:pPr>
      <w:r>
        <w:rPr>
          <w:rFonts w:hint="eastAsia" w:ascii="黑体" w:hAnsi="黑体" w:eastAsia="黑体" w:cs="黑体"/>
          <w:szCs w:val="21"/>
        </w:rPr>
        <w:t>4.5.3.4</w:t>
      </w:r>
      <w:r>
        <w:rPr>
          <w:rFonts w:hint="eastAsia" w:ascii="宋体" w:hAnsi="宋体" w:cs="宋体"/>
          <w:szCs w:val="21"/>
        </w:rPr>
        <w:t>将部分溶液（4.5.3.3）移入吸收池中，选择适当规格的吸收池，以补偿溶液（4.5.3.2）为参比，于分光光度计400 nm处测定吸光度，从工作曲线上查得相应的钛量（m</w:t>
      </w:r>
      <w:r>
        <w:rPr>
          <w:rFonts w:hint="eastAsia" w:ascii="宋体" w:hAnsi="宋体" w:cs="宋体"/>
          <w:szCs w:val="21"/>
          <w:vertAlign w:val="subscript"/>
        </w:rPr>
        <w:t>1</w:t>
      </w:r>
      <w:r>
        <w:rPr>
          <w:rFonts w:hint="eastAsia" w:ascii="宋体" w:hAnsi="宋体" w:cs="宋体"/>
          <w:szCs w:val="21"/>
        </w:rPr>
        <w:t>）。</w:t>
      </w:r>
    </w:p>
    <w:p>
      <w:pPr>
        <w:autoSpaceDE w:val="0"/>
        <w:autoSpaceDN w:val="0"/>
        <w:adjustRightInd w:val="0"/>
        <w:spacing w:line="312" w:lineRule="auto"/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4.5.4 工作曲线的绘制</w:t>
      </w:r>
    </w:p>
    <w:p>
      <w:pPr>
        <w:spacing w:line="360" w:lineRule="auto"/>
        <w:rPr>
          <w:rFonts w:eastAsia="黑体"/>
          <w:b/>
          <w:bCs/>
          <w:szCs w:val="21"/>
        </w:rPr>
      </w:pPr>
      <w:r>
        <w:rPr>
          <w:rFonts w:hint="eastAsia" w:ascii="黑体" w:hAnsi="黑体" w:eastAsia="黑体" w:cs="黑体"/>
          <w:szCs w:val="21"/>
        </w:rPr>
        <w:t>4.5.4.1</w:t>
      </w:r>
      <w:r>
        <w:rPr>
          <w:rFonts w:hint="eastAsia" w:ascii="黑体" w:hAnsi="宋体" w:eastAsia="黑体"/>
          <w:color w:val="auto"/>
          <w:szCs w:val="21"/>
          <w:lang w:val="en-US" w:eastAsia="zh-CN"/>
        </w:rPr>
        <w:t>适用于质量分数0.0010 %～0.010 %钛量</w:t>
      </w:r>
    </w:p>
    <w:p>
      <w:pPr>
        <w:numPr>
          <w:ilvl w:val="0"/>
          <w:numId w:val="6"/>
        </w:numPr>
        <w:adjustRightInd w:val="0"/>
        <w:spacing w:line="240" w:lineRule="auto"/>
        <w:textAlignment w:val="baseline"/>
        <w:rPr>
          <w:rFonts w:eastAsia="黑体"/>
          <w:b/>
          <w:bCs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szCs w:val="21"/>
        </w:rPr>
        <w:t>移取0 mL、0.50 mL、1.00 mL、1.50 mL、3.00 mL、5.00 mL钛标准溶液（4.2.12）于一组100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</w:rPr>
        <w:t>mL容量瓶中，分别加入25.0 mL铝溶液（4.2.10），以下按4.5.3.3步骤进行操作。</w:t>
      </w:r>
    </w:p>
    <w:p>
      <w:pPr>
        <w:spacing w:line="360" w:lineRule="auto"/>
        <w:rPr>
          <w:rFonts w:eastAsia="黑体"/>
          <w:b/>
          <w:bCs/>
          <w:szCs w:val="21"/>
        </w:rPr>
      </w:pPr>
      <w:r>
        <w:rPr>
          <w:rFonts w:hint="eastAsia" w:ascii="黑体" w:hAnsi="黑体" w:eastAsia="黑体" w:cs="黑体"/>
          <w:szCs w:val="21"/>
        </w:rPr>
        <w:t>4.5.4.2</w:t>
      </w:r>
      <w:r>
        <w:rPr>
          <w:rFonts w:eastAsia="黑体"/>
          <w:szCs w:val="21"/>
        </w:rPr>
        <w:t xml:space="preserve"> </w:t>
      </w:r>
      <w:r>
        <w:rPr>
          <w:rFonts w:hint="eastAsia" w:ascii="黑体" w:hAnsi="宋体" w:eastAsia="黑体"/>
          <w:color w:val="auto"/>
          <w:szCs w:val="21"/>
          <w:lang w:val="en-US" w:eastAsia="zh-CN"/>
        </w:rPr>
        <w:t>适用于质量分数＞0.010 %～0.50 %钛量</w:t>
      </w:r>
    </w:p>
    <w:p>
      <w:pPr>
        <w:numPr>
          <w:ilvl w:val="0"/>
          <w:numId w:val="6"/>
        </w:numPr>
        <w:adjustRightInd w:val="0"/>
        <w:spacing w:line="240" w:lineRule="auto"/>
        <w:textAlignment w:val="baseline"/>
        <w:rPr>
          <w:rFonts w:eastAsia="黑体"/>
          <w:b/>
          <w:bCs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szCs w:val="21"/>
        </w:rPr>
        <w:t>移取0 mL、1.50 mL、3.00 mL、5.00 mL、8.00 mL、12.00 mL、16.00 mL钛标准溶液（4.2.12）于一组100 mL容量瓶中，分别加入25.0 mL铝溶液（4.2.9），以下按4.5.3.3步骤进行操作。</w:t>
      </w:r>
    </w:p>
    <w:p>
      <w:pPr>
        <w:numPr>
          <w:ilvl w:val="0"/>
          <w:numId w:val="6"/>
        </w:numPr>
        <w:spacing w:line="240" w:lineRule="auto"/>
      </w:pPr>
      <w:r>
        <w:rPr>
          <w:rFonts w:hint="eastAsia" w:ascii="黑体" w:hAnsi="黑体" w:eastAsia="黑体" w:cs="黑体"/>
          <w:szCs w:val="21"/>
        </w:rPr>
        <w:t>4.5.4.3</w:t>
      </w:r>
      <w:r>
        <w:rPr>
          <w:rFonts w:hint="eastAsia" w:ascii="宋体" w:hAnsi="宋体" w:cs="宋体"/>
          <w:szCs w:val="21"/>
        </w:rPr>
        <w:t>将部分系列标准溶液（4.5.4.1或4.5.4.2）移入吸收池中，以试剂空白溶液（未加钛标准溶液者）为参比，于分光光度计400 nm处测定吸光度，以钛量为横坐标，吸光度为纵坐标，绘制工作曲线。</w:t>
      </w:r>
    </w:p>
    <w:p>
      <w:pPr>
        <w:numPr>
          <w:ilvl w:val="0"/>
          <w:numId w:val="6"/>
        </w:numPr>
        <w:adjustRightInd w:val="0"/>
        <w:spacing w:line="480" w:lineRule="auto"/>
        <w:textAlignment w:val="baseline"/>
        <w:rPr>
          <w:rFonts w:eastAsia="黑体"/>
          <w:szCs w:val="21"/>
        </w:rPr>
      </w:pPr>
      <w:r>
        <w:rPr>
          <w:rFonts w:hint="eastAsia" w:ascii="黑体" w:hAnsi="黑体" w:eastAsia="黑体" w:cs="黑体"/>
          <w:szCs w:val="21"/>
        </w:rPr>
        <w:t>4.6</w:t>
      </w:r>
      <w:r>
        <w:rPr>
          <w:rFonts w:hint="eastAsia" w:ascii="黑体" w:hAnsi="黑体" w:eastAsia="黑体"/>
          <w:szCs w:val="21"/>
        </w:rPr>
        <w:t xml:space="preserve"> </w:t>
      </w:r>
      <w:r>
        <w:rPr>
          <w:rFonts w:ascii="黑体" w:hAnsi="黑体" w:eastAsia="黑体"/>
          <w:szCs w:val="21"/>
        </w:rPr>
        <w:t xml:space="preserve"> </w:t>
      </w:r>
      <w:r>
        <w:rPr>
          <w:rFonts w:hint="eastAsia" w:eastAsia="黑体"/>
          <w:szCs w:val="21"/>
        </w:rPr>
        <w:t>试验数据处理</w:t>
      </w:r>
    </w:p>
    <w:p>
      <w:pPr>
        <w:spacing w:line="312" w:lineRule="auto"/>
        <w:rPr>
          <w:rFonts w:ascii="宋体" w:hAnsi="宋体" w:cs="宋体"/>
          <w:szCs w:val="21"/>
        </w:rPr>
      </w:pPr>
      <w:r>
        <w:rPr>
          <w:rFonts w:hint="eastAsia" w:ascii="黑体" w:hAnsi="黑体" w:eastAsia="黑体" w:cs="宋体"/>
          <w:szCs w:val="21"/>
        </w:rPr>
        <w:t>4.6.1</w:t>
      </w:r>
      <w:r>
        <w:rPr>
          <w:rFonts w:hint="eastAsia"/>
        </w:rPr>
        <w:t>钛含量以钛的质量分数</w:t>
      </w:r>
      <w:r>
        <w:rPr>
          <w:rFonts w:hint="eastAsia" w:ascii="宋体" w:hAnsi="宋体"/>
          <w:i/>
          <w:iCs/>
          <w:szCs w:val="21"/>
        </w:rPr>
        <w:t>ω</w:t>
      </w:r>
      <w:r>
        <w:rPr>
          <w:rFonts w:hint="eastAsia" w:ascii="宋体" w:hAnsi="宋体" w:cs="宋体"/>
          <w:i/>
          <w:iCs/>
          <w:sz w:val="18"/>
          <w:szCs w:val="18"/>
          <w:vertAlign w:val="subscript"/>
        </w:rPr>
        <w:t>Ti</w:t>
      </w:r>
      <w:r>
        <w:rPr>
          <w:rFonts w:hint="eastAsia"/>
        </w:rPr>
        <w:t>计，</w:t>
      </w:r>
      <w:r>
        <w:t>按</w:t>
      </w:r>
      <w:r>
        <w:rPr>
          <w:rFonts w:hint="eastAsia"/>
        </w:rPr>
        <w:t>公</w:t>
      </w:r>
      <w:r>
        <w:t>式（1）计算：</w:t>
      </w:r>
      <w:bookmarkStart w:id="2" w:name="_Hlk19128911"/>
    </w:p>
    <w:p>
      <w:pPr>
        <w:spacing w:line="312" w:lineRule="auto"/>
        <w:jc w:val="right"/>
        <w:rPr>
          <w:rFonts w:ascii="宋体" w:hAnsi="宋体" w:cs="宋体"/>
          <w:szCs w:val="21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szCs w:val="21"/>
                </w:rPr>
              </m:ctrlPr>
            </m:sSubPr>
            <m:e>
              <m:r>
                <w:rPr>
                  <w:rFonts w:ascii="Cambria Math" w:hAnsi="Cambria Math"/>
                  <w:szCs w:val="21"/>
                </w:rPr>
                <m:t>ω</m:t>
              </m:r>
              <m:ctrlPr>
                <w:rPr>
                  <w:rFonts w:ascii="Cambria Math" w:hAnsi="Cambria Math"/>
                  <w:i/>
                  <w:iCs/>
                  <w:szCs w:val="21"/>
                </w:rPr>
              </m:ctrlPr>
            </m:e>
            <m:sub>
              <m:r>
                <w:rPr>
                  <w:rFonts w:ascii="Cambria Math" w:hAnsi="Cambria Math"/>
                  <w:szCs w:val="21"/>
                </w:rPr>
                <m:t>Ti</m:t>
              </m:r>
              <m:ctrlPr>
                <w:rPr>
                  <w:rFonts w:ascii="Cambria Math" w:hAnsi="Cambria Math"/>
                  <w:i/>
                  <w:iCs/>
                  <w:szCs w:val="21"/>
                </w:rPr>
              </m:ctrlPr>
            </m:sub>
          </m:sSub>
          <m:r>
            <w:rPr>
              <w:rFonts w:ascii="Cambria Math" w:hAnsi="Cambria Math"/>
              <w:szCs w:val="21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Cs w:val="2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1"/>
                    </w:rPr>
                    <m:t>m</m:t>
                  </m:r>
                  <m:ctrlPr>
                    <w:rPr>
                      <w:rFonts w:ascii="Cambria Math" w:hAnsi="Cambria Math"/>
                      <w:i/>
                      <w:iCs/>
                      <w:szCs w:val="21"/>
                    </w:rPr>
                  </m:ctrlPr>
                </m:e>
                <m:sub>
                  <m:r>
                    <w:rPr>
                      <w:rFonts w:ascii="Cambria Math" w:hAnsi="Cambria Math"/>
                      <w:szCs w:val="21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  <w:szCs w:val="21"/>
                    </w:rPr>
                  </m:ctrlPr>
                </m:sub>
              </m:sSub>
              <m:r>
                <w:rPr>
                  <w:rFonts w:ascii="Cambria Math" w:hAnsi="Cambria Math"/>
                  <w:szCs w:val="21"/>
                </w:rPr>
                <m:t>T×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1"/>
                    </w:rPr>
                    <m:t>10</m:t>
                  </m:r>
                  <m:ctrlPr>
                    <w:rPr>
                      <w:rFonts w:ascii="Cambria Math" w:hAnsi="Cambria Math"/>
                      <w:i/>
                      <w:iCs/>
                      <w:szCs w:val="21"/>
                    </w:rPr>
                  </m:ctrlPr>
                </m:e>
                <m:sup>
                  <m:r>
                    <w:rPr>
                      <w:rFonts w:ascii="Cambria Math" w:hAnsi="Cambria Math"/>
                      <w:szCs w:val="21"/>
                    </w:rPr>
                    <m:t>-3</m:t>
                  </m:r>
                  <m:ctrlPr>
                    <w:rPr>
                      <w:rFonts w:ascii="Cambria Math" w:hAnsi="Cambria Math"/>
                      <w:i/>
                      <w:iCs/>
                      <w:szCs w:val="21"/>
                    </w:rPr>
                  </m:ctrlPr>
                </m:sup>
              </m:sSup>
              <m:ctrlPr>
                <w:rPr>
                  <w:rFonts w:ascii="Cambria Math" w:hAnsi="Cambria Math"/>
                  <w:i/>
                  <w:iCs/>
                  <w:szCs w:val="21"/>
                </w:rPr>
              </m:ctrlP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iCs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1"/>
                    </w:rPr>
                    <m:t>m</m:t>
                  </m:r>
                  <m:ctrlPr>
                    <w:rPr>
                      <w:rFonts w:ascii="Cambria Math" w:hAnsi="Cambria Math"/>
                      <w:i/>
                      <w:iCs/>
                      <w:szCs w:val="21"/>
                    </w:rPr>
                  </m:ctrlPr>
                </m:e>
                <m:sub>
                  <m:r>
                    <w:rPr>
                      <w:rFonts w:ascii="Cambria Math" w:hAnsi="Cambria Math"/>
                      <w:szCs w:val="21"/>
                    </w:rPr>
                    <m:t>0</m:t>
                  </m:r>
                  <m:ctrlPr>
                    <w:rPr>
                      <w:rFonts w:ascii="Cambria Math" w:hAnsi="Cambria Math"/>
                      <w:i/>
                      <w:iCs/>
                      <w:szCs w:val="21"/>
                    </w:rPr>
                  </m:ctrlPr>
                </m:sub>
              </m:sSub>
              <m:ctrlPr>
                <w:rPr>
                  <w:rFonts w:ascii="Cambria Math" w:hAnsi="Cambria Math"/>
                  <w:i/>
                  <w:iCs/>
                  <w:szCs w:val="21"/>
                </w:rPr>
              </m:ctrlPr>
            </m:den>
          </m:f>
          <m:r>
            <w:rPr>
              <w:rFonts w:ascii="Cambria Math" w:hAnsi="Cambria Math"/>
              <w:szCs w:val="21"/>
            </w:rPr>
            <m:t>×100 %</m:t>
          </m:r>
          <w:bookmarkEnd w:id="2"/>
          <m:r>
            <w:rPr>
              <w:rFonts w:ascii="Cambria Math" w:hAnsi="Cambria Math"/>
              <w:szCs w:val="21"/>
            </w:rPr>
            <m:t xml:space="preserve">  </m:t>
          </m:r>
          <m:r>
            <m:rPr>
              <m:sty m:val="p"/>
            </m:rPr>
            <w:rPr>
              <w:rFonts w:ascii="宋体" w:hAnsi="宋体"/>
              <w:szCs w:val="21"/>
            </w:rPr>
            <w:br w:type="textWrapping"/>
          </m:r>
        </m:oMath>
      </m:oMathPara>
      <w:r>
        <w:rPr>
          <w:rFonts w:hint="eastAsia" w:ascii="宋体" w:hAnsi="宋体"/>
          <w:szCs w:val="21"/>
        </w:rPr>
        <w:t>(1</w:t>
      </w:r>
      <w:r>
        <w:rPr>
          <w:rFonts w:ascii="宋体" w:hAnsi="宋体"/>
          <w:szCs w:val="21"/>
        </w:rPr>
        <w:t>)</w:t>
      </w:r>
    </w:p>
    <w:p>
      <w:pPr>
        <w:spacing w:line="24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式中：</w:t>
      </w:r>
    </w:p>
    <w:p>
      <w:pPr>
        <w:numPr>
          <w:ilvl w:val="0"/>
          <w:numId w:val="6"/>
        </w:numPr>
        <w:spacing w:line="24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m</w:t>
      </w:r>
      <w:r>
        <w:rPr>
          <w:rFonts w:hint="eastAsia" w:ascii="宋体" w:hAnsi="宋体" w:cs="宋体"/>
          <w:szCs w:val="21"/>
          <w:vertAlign w:val="subscript"/>
        </w:rPr>
        <w:t>0</w:t>
      </w:r>
      <w:r>
        <w:rPr>
          <w:rFonts w:hint="eastAsia" w:ascii="宋体" w:hAnsi="宋体" w:cs="宋体"/>
          <w:szCs w:val="21"/>
        </w:rPr>
        <w:t>——称取试料的质量，单位为克（g）；</w:t>
      </w:r>
    </w:p>
    <w:p>
      <w:pPr>
        <w:numPr>
          <w:ilvl w:val="0"/>
          <w:numId w:val="6"/>
        </w:numPr>
        <w:spacing w:line="24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m</w:t>
      </w:r>
      <w:r>
        <w:rPr>
          <w:rFonts w:hint="eastAsia" w:ascii="宋体" w:hAnsi="宋体" w:cs="宋体"/>
          <w:szCs w:val="21"/>
          <w:vertAlign w:val="subscript"/>
        </w:rPr>
        <w:t>1</w:t>
      </w:r>
      <w:r>
        <w:rPr>
          <w:rFonts w:hint="eastAsia" w:ascii="宋体" w:hAnsi="宋体" w:cs="宋体"/>
          <w:szCs w:val="21"/>
        </w:rPr>
        <w:t>——从工作曲线上查得的钛量，单位为毫克（mg）；</w:t>
      </w:r>
    </w:p>
    <w:p>
      <w:pPr>
        <w:numPr>
          <w:ilvl w:val="0"/>
          <w:numId w:val="6"/>
        </w:numPr>
        <w:spacing w:line="24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T</w:t>
      </w:r>
      <w:r>
        <w:rPr>
          <w:rFonts w:hint="eastAsia" w:ascii="宋体" w:hAnsi="宋体" w:cs="宋体"/>
          <w:szCs w:val="21"/>
        </w:rPr>
        <w:t>——稀释倍数。</w:t>
      </w:r>
    </w:p>
    <w:p>
      <w:pPr>
        <w:numPr>
          <w:ilvl w:val="0"/>
          <w:numId w:val="6"/>
        </w:numPr>
        <w:spacing w:line="240" w:lineRule="auto"/>
        <w:rPr>
          <w:rFonts w:ascii="宋体" w:hAnsi="宋体"/>
        </w:rPr>
      </w:pPr>
      <w:bookmarkStart w:id="3" w:name="_Hlk18958525"/>
      <w:r>
        <w:rPr>
          <w:rFonts w:hint="eastAsia" w:ascii="黑体" w:hAnsi="黑体" w:eastAsia="黑体"/>
        </w:rPr>
        <w:t>4.6</w:t>
      </w:r>
      <w:r>
        <w:rPr>
          <w:rFonts w:ascii="黑体" w:hAnsi="黑体" w:eastAsia="黑体"/>
        </w:rPr>
        <w:t>.2</w:t>
      </w:r>
      <w:r>
        <w:t xml:space="preserve"> </w:t>
      </w:r>
      <w:r>
        <w:rPr>
          <w:rFonts w:hint="eastAsia" w:ascii="宋体" w:hAnsi="宋体"/>
        </w:rPr>
        <w:t>锌</w:t>
      </w:r>
      <w:r>
        <w:rPr>
          <w:rFonts w:ascii="宋体" w:hAnsi="宋体"/>
        </w:rPr>
        <w:t>含量＜</w:t>
      </w:r>
      <w:r>
        <w:rPr>
          <w:rFonts w:hint="eastAsia" w:ascii="宋体" w:hAnsi="宋体"/>
        </w:rPr>
        <w:t>0.10 %</w:t>
      </w:r>
      <w:r>
        <w:rPr>
          <w:rFonts w:ascii="宋体" w:hAnsi="宋体"/>
        </w:rPr>
        <w:t>时，计算结果表示</w:t>
      </w:r>
      <w:r>
        <w:rPr>
          <w:rFonts w:hint="eastAsia" w:ascii="宋体" w:hAnsi="宋体"/>
        </w:rPr>
        <w:t>至小数点后两</w:t>
      </w:r>
      <w:r>
        <w:rPr>
          <w:rFonts w:ascii="宋体" w:hAnsi="宋体"/>
        </w:rPr>
        <w:t>位</w:t>
      </w:r>
      <w:r>
        <w:rPr>
          <w:rFonts w:hint="eastAsia" w:ascii="宋体" w:hAnsi="宋体"/>
        </w:rPr>
        <w:t>有效数字</w:t>
      </w:r>
      <w:r>
        <w:rPr>
          <w:rFonts w:ascii="宋体" w:hAnsi="宋体"/>
        </w:rPr>
        <w:t>；</w:t>
      </w:r>
      <w:r>
        <w:rPr>
          <w:rFonts w:hint="eastAsia" w:ascii="宋体" w:hAnsi="宋体"/>
        </w:rPr>
        <w:t>锌</w:t>
      </w:r>
      <w:r>
        <w:rPr>
          <w:rFonts w:ascii="宋体" w:hAnsi="宋体"/>
        </w:rPr>
        <w:t>含量</w:t>
      </w:r>
      <w:r>
        <w:rPr>
          <w:rFonts w:hint="eastAsia" w:ascii="宋体" w:hAnsi="宋体"/>
        </w:rPr>
        <w:t>≥0.10 %</w:t>
      </w:r>
      <w:r>
        <w:rPr>
          <w:rFonts w:ascii="宋体" w:hAnsi="宋体"/>
        </w:rPr>
        <w:t>时，计算结果表示至小数点后</w:t>
      </w:r>
      <w:r>
        <w:rPr>
          <w:rFonts w:hint="eastAsia" w:ascii="宋体" w:hAnsi="宋体"/>
        </w:rPr>
        <w:t>两</w:t>
      </w:r>
      <w:r>
        <w:rPr>
          <w:rFonts w:ascii="宋体" w:hAnsi="宋体"/>
        </w:rPr>
        <w:t>位。数值修约执行GB/T 8170</w:t>
      </w:r>
      <w:r>
        <w:rPr>
          <w:rFonts w:hint="eastAsia" w:ascii="宋体" w:hAnsi="宋体"/>
        </w:rPr>
        <w:t>-2008中3.2、3.3条款</w:t>
      </w:r>
      <w:r>
        <w:rPr>
          <w:rFonts w:ascii="宋体" w:hAnsi="宋体"/>
        </w:rPr>
        <w:t>。</w:t>
      </w:r>
    </w:p>
    <w:bookmarkEnd w:id="3"/>
    <w:p>
      <w:pPr>
        <w:pStyle w:val="19"/>
        <w:spacing w:before="156" w:beforeLines="50" w:after="156" w:afterLines="50"/>
        <w:ind w:firstLine="0" w:firstLineChars="0"/>
        <w:rPr>
          <w:rFonts w:ascii="Times New Roman" w:hAnsi="Times New Roman" w:eastAsia="黑体"/>
          <w:szCs w:val="21"/>
        </w:rPr>
      </w:pPr>
      <w:r>
        <w:rPr>
          <w:rFonts w:hint="eastAsia" w:ascii="黑体" w:hAnsi="黑体" w:eastAsia="黑体" w:cs="黑体"/>
          <w:szCs w:val="21"/>
        </w:rPr>
        <w:t xml:space="preserve">4.7  </w:t>
      </w:r>
      <w:r>
        <w:rPr>
          <w:rFonts w:ascii="Times New Roman" w:hAnsi="Times New Roman" w:eastAsia="黑体"/>
          <w:szCs w:val="21"/>
        </w:rPr>
        <w:t>精密度</w:t>
      </w:r>
    </w:p>
    <w:p>
      <w:pPr>
        <w:autoSpaceDE w:val="0"/>
        <w:autoSpaceDN w:val="0"/>
        <w:adjustRightInd w:val="0"/>
        <w:spacing w:line="312" w:lineRule="auto"/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4.7.1 重复性</w:t>
      </w:r>
    </w:p>
    <w:p>
      <w:pPr>
        <w:numPr>
          <w:ilvl w:val="0"/>
          <w:numId w:val="6"/>
        </w:numPr>
        <w:spacing w:line="24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在重复性条件下获得的两次独立测试结果的测定值，在以下给出的平均值范围内，这两个测试结果的绝对差值不超过重复性限（</w:t>
      </w:r>
      <w:r>
        <w:rPr>
          <w:rFonts w:hint="eastAsia" w:ascii="宋体" w:hAnsi="宋体" w:cs="宋体"/>
          <w:i/>
          <w:iCs/>
          <w:szCs w:val="21"/>
        </w:rPr>
        <w:t>r</w:t>
      </w:r>
      <w:r>
        <w:rPr>
          <w:rFonts w:hint="eastAsia" w:ascii="宋体" w:hAnsi="宋体" w:cs="宋体"/>
          <w:szCs w:val="21"/>
        </w:rPr>
        <w:t>），超过重复性限（</w:t>
      </w:r>
      <w:r>
        <w:rPr>
          <w:rFonts w:hint="eastAsia" w:ascii="宋体" w:hAnsi="宋体" w:cs="宋体"/>
          <w:i/>
          <w:iCs/>
          <w:szCs w:val="21"/>
        </w:rPr>
        <w:t>r</w:t>
      </w:r>
      <w:r>
        <w:rPr>
          <w:rFonts w:hint="eastAsia" w:ascii="宋体" w:hAnsi="宋体" w:cs="宋体"/>
          <w:szCs w:val="21"/>
        </w:rPr>
        <w:t>）的情况不超过5 %，重复性限（</w:t>
      </w:r>
      <w:r>
        <w:rPr>
          <w:rFonts w:hint="eastAsia" w:ascii="宋体" w:hAnsi="宋体" w:cs="宋体"/>
          <w:i/>
          <w:iCs/>
          <w:szCs w:val="21"/>
        </w:rPr>
        <w:t>r</w:t>
      </w:r>
      <w:r>
        <w:rPr>
          <w:rFonts w:hint="eastAsia" w:ascii="宋体" w:hAnsi="宋体" w:cs="宋体"/>
          <w:szCs w:val="21"/>
        </w:rPr>
        <w:t>）按表2数据采用线性内插法或外延法求得。</w:t>
      </w:r>
    </w:p>
    <w:p>
      <w:pPr>
        <w:numPr>
          <w:ilvl w:val="0"/>
          <w:numId w:val="6"/>
        </w:numPr>
        <w:spacing w:line="312" w:lineRule="auto"/>
        <w:ind w:firstLine="420" w:firstLineChars="200"/>
        <w:jc w:val="center"/>
        <w:rPr>
          <w:rFonts w:ascii="黑体" w:hAnsi="黑体" w:eastAsia="黑体" w:cs="宋体"/>
          <w:szCs w:val="21"/>
        </w:rPr>
      </w:pPr>
      <w:r>
        <w:rPr>
          <w:rFonts w:hint="eastAsia" w:ascii="黑体" w:hAnsi="黑体" w:eastAsia="黑体" w:cs="宋体"/>
          <w:szCs w:val="21"/>
        </w:rPr>
        <w:t>表2 重复性限</w:t>
      </w:r>
    </w:p>
    <w:tbl>
      <w:tblPr>
        <w:tblStyle w:val="11"/>
        <w:tblW w:w="93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1875"/>
        <w:gridCol w:w="1875"/>
        <w:gridCol w:w="1876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7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6"/>
              </w:numPr>
              <w:spacing w:line="31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i/>
                <w:iCs/>
                <w:szCs w:val="21"/>
              </w:rPr>
              <w:t>ω</w:t>
            </w:r>
            <w:r>
              <w:rPr>
                <w:rFonts w:hint="eastAsia" w:ascii="宋体" w:hAnsi="宋体" w:cs="宋体"/>
                <w:i/>
                <w:iCs/>
                <w:sz w:val="18"/>
                <w:szCs w:val="18"/>
                <w:vertAlign w:val="subscript"/>
              </w:rPr>
              <w:t>Ti</w:t>
            </w:r>
            <w:r>
              <w:rPr>
                <w:rFonts w:ascii="宋体" w:hAnsi="宋体" w:cs="宋体"/>
                <w:i/>
                <w:iCs/>
                <w:sz w:val="18"/>
                <w:szCs w:val="18"/>
                <w:vertAlign w:val="subscript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/%</w:t>
            </w:r>
          </w:p>
        </w:tc>
        <w:tc>
          <w:tcPr>
            <w:tcW w:w="187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</w:tcPr>
          <w:p>
            <w:pPr>
              <w:numPr>
                <w:ilvl w:val="0"/>
                <w:numId w:val="6"/>
              </w:numPr>
              <w:spacing w:line="31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0.0052</w:t>
            </w:r>
          </w:p>
        </w:tc>
        <w:tc>
          <w:tcPr>
            <w:tcW w:w="1875" w:type="dxa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numPr>
                <w:ilvl w:val="0"/>
                <w:numId w:val="6"/>
              </w:numPr>
              <w:spacing w:line="31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0.019</w:t>
            </w:r>
          </w:p>
        </w:tc>
        <w:tc>
          <w:tcPr>
            <w:tcW w:w="1876" w:type="dxa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numPr>
                <w:ilvl w:val="0"/>
                <w:numId w:val="6"/>
              </w:numPr>
              <w:spacing w:line="31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0.12</w:t>
            </w:r>
          </w:p>
        </w:tc>
        <w:tc>
          <w:tcPr>
            <w:tcW w:w="1876" w:type="dxa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numPr>
                <w:ilvl w:val="0"/>
                <w:numId w:val="6"/>
              </w:numPr>
              <w:spacing w:line="31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sz w:val="18"/>
                <w:szCs w:val="18"/>
              </w:rPr>
              <w:t>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7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6"/>
              </w:numPr>
              <w:spacing w:line="31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/>
                <w:iCs/>
                <w:sz w:val="18"/>
                <w:szCs w:val="18"/>
              </w:rPr>
              <w:t>r</w:t>
            </w:r>
            <w:r>
              <w:rPr>
                <w:rFonts w:hint="eastAsia" w:ascii="宋体" w:hAnsi="宋体" w:cs="宋体"/>
                <w:sz w:val="18"/>
                <w:szCs w:val="18"/>
              </w:rPr>
              <w:t>/%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</w:tcPr>
          <w:p>
            <w:pPr>
              <w:numPr>
                <w:ilvl w:val="0"/>
                <w:numId w:val="6"/>
              </w:numPr>
              <w:spacing w:line="31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0.0005</w:t>
            </w:r>
          </w:p>
        </w:tc>
        <w:tc>
          <w:tcPr>
            <w:tcW w:w="1875" w:type="dxa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numPr>
                <w:ilvl w:val="0"/>
                <w:numId w:val="6"/>
              </w:numPr>
              <w:spacing w:line="31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0.002</w:t>
            </w:r>
          </w:p>
        </w:tc>
        <w:tc>
          <w:tcPr>
            <w:tcW w:w="1876" w:type="dxa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numPr>
                <w:ilvl w:val="0"/>
                <w:numId w:val="6"/>
              </w:numPr>
              <w:spacing w:line="31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0.02</w:t>
            </w:r>
          </w:p>
        </w:tc>
        <w:tc>
          <w:tcPr>
            <w:tcW w:w="1876" w:type="dxa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numPr>
                <w:ilvl w:val="0"/>
                <w:numId w:val="6"/>
              </w:numPr>
              <w:spacing w:line="31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autoSpaceDE w:val="0"/>
        <w:autoSpaceDN w:val="0"/>
        <w:adjustRightInd w:val="0"/>
        <w:spacing w:line="312" w:lineRule="auto"/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4.7.2 再现性</w:t>
      </w:r>
    </w:p>
    <w:p>
      <w:pPr>
        <w:numPr>
          <w:ilvl w:val="0"/>
          <w:numId w:val="6"/>
        </w:numPr>
        <w:spacing w:line="24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在再现性条件下获得的两次独立测试结果的测定值，在以下给出的平均值范围内，这两个测试结果的绝对差值不超过再现性限（</w:t>
      </w:r>
      <w:r>
        <w:rPr>
          <w:rFonts w:hint="eastAsia" w:ascii="宋体" w:hAnsi="宋体" w:cs="宋体"/>
          <w:i/>
          <w:iCs/>
          <w:szCs w:val="21"/>
        </w:rPr>
        <w:t>R</w:t>
      </w:r>
      <w:r>
        <w:rPr>
          <w:rFonts w:hint="eastAsia" w:ascii="宋体" w:hAnsi="宋体" w:cs="宋体"/>
          <w:szCs w:val="21"/>
        </w:rPr>
        <w:t>），超过再现性限（</w:t>
      </w:r>
      <w:r>
        <w:rPr>
          <w:rFonts w:hint="eastAsia" w:ascii="宋体" w:hAnsi="宋体" w:cs="宋体"/>
          <w:i/>
          <w:iCs/>
          <w:szCs w:val="21"/>
        </w:rPr>
        <w:t>R</w:t>
      </w:r>
      <w:r>
        <w:rPr>
          <w:rFonts w:hint="eastAsia" w:ascii="宋体" w:hAnsi="宋体" w:cs="宋体"/>
          <w:szCs w:val="21"/>
        </w:rPr>
        <w:t>）的情况不超过5 %，再现性限（</w:t>
      </w:r>
      <w:r>
        <w:rPr>
          <w:rFonts w:hint="eastAsia" w:ascii="宋体" w:hAnsi="宋体" w:cs="宋体"/>
          <w:i/>
          <w:iCs/>
          <w:szCs w:val="21"/>
        </w:rPr>
        <w:t>R</w:t>
      </w:r>
      <w:r>
        <w:rPr>
          <w:rFonts w:hint="eastAsia" w:ascii="宋体" w:hAnsi="宋体" w:cs="宋体"/>
          <w:szCs w:val="21"/>
        </w:rPr>
        <w:t>）按表3数据采用线性内插法或外延法求得。</w:t>
      </w:r>
    </w:p>
    <w:p>
      <w:pPr>
        <w:numPr>
          <w:ilvl w:val="0"/>
          <w:numId w:val="6"/>
        </w:numPr>
        <w:spacing w:line="312" w:lineRule="auto"/>
        <w:ind w:firstLine="420" w:firstLineChars="200"/>
        <w:jc w:val="center"/>
        <w:rPr>
          <w:rFonts w:ascii="黑体" w:hAnsi="黑体" w:eastAsia="黑体" w:cs="宋体"/>
          <w:szCs w:val="21"/>
        </w:rPr>
      </w:pPr>
      <w:r>
        <w:rPr>
          <w:rFonts w:hint="eastAsia" w:ascii="黑体" w:hAnsi="黑体" w:eastAsia="黑体" w:cs="宋体"/>
          <w:szCs w:val="21"/>
        </w:rPr>
        <w:t>表3再现性限</w:t>
      </w:r>
    </w:p>
    <w:tbl>
      <w:tblPr>
        <w:tblStyle w:val="11"/>
        <w:tblW w:w="93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1875"/>
        <w:gridCol w:w="1875"/>
        <w:gridCol w:w="1876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7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6"/>
              </w:numPr>
              <w:spacing w:line="31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i/>
                <w:iCs/>
                <w:szCs w:val="21"/>
              </w:rPr>
              <w:t>ω</w:t>
            </w:r>
            <w:r>
              <w:rPr>
                <w:rFonts w:hint="eastAsia" w:ascii="宋体" w:hAnsi="宋体" w:cs="宋体"/>
                <w:i/>
                <w:iCs/>
                <w:sz w:val="18"/>
                <w:szCs w:val="18"/>
                <w:vertAlign w:val="subscript"/>
              </w:rPr>
              <w:t>Ti</w:t>
            </w:r>
            <w:r>
              <w:rPr>
                <w:rFonts w:ascii="宋体" w:hAnsi="宋体" w:cs="宋体"/>
                <w:i/>
                <w:iCs/>
                <w:sz w:val="18"/>
                <w:szCs w:val="18"/>
                <w:vertAlign w:val="subscript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/%</w:t>
            </w:r>
          </w:p>
        </w:tc>
        <w:tc>
          <w:tcPr>
            <w:tcW w:w="187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</w:tcPr>
          <w:p>
            <w:pPr>
              <w:numPr>
                <w:ilvl w:val="0"/>
                <w:numId w:val="6"/>
              </w:numPr>
              <w:spacing w:line="31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0.0052</w:t>
            </w:r>
          </w:p>
        </w:tc>
        <w:tc>
          <w:tcPr>
            <w:tcW w:w="1875" w:type="dxa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numPr>
                <w:ilvl w:val="0"/>
                <w:numId w:val="6"/>
              </w:numPr>
              <w:spacing w:line="31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0.019</w:t>
            </w:r>
          </w:p>
        </w:tc>
        <w:tc>
          <w:tcPr>
            <w:tcW w:w="1876" w:type="dxa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numPr>
                <w:ilvl w:val="0"/>
                <w:numId w:val="6"/>
              </w:numPr>
              <w:spacing w:line="31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0.12</w:t>
            </w:r>
          </w:p>
        </w:tc>
        <w:tc>
          <w:tcPr>
            <w:tcW w:w="1876" w:type="dxa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numPr>
                <w:ilvl w:val="0"/>
                <w:numId w:val="6"/>
              </w:numPr>
              <w:spacing w:line="31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sz w:val="18"/>
                <w:szCs w:val="18"/>
              </w:rPr>
              <w:t>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7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6"/>
              </w:numPr>
              <w:spacing w:line="31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i/>
                <w:iCs/>
                <w:sz w:val="18"/>
                <w:szCs w:val="18"/>
              </w:rPr>
              <w:t>R</w:t>
            </w:r>
            <w:r>
              <w:rPr>
                <w:rFonts w:hint="eastAsia" w:ascii="宋体" w:hAnsi="宋体" w:cs="宋体"/>
                <w:sz w:val="18"/>
                <w:szCs w:val="18"/>
              </w:rPr>
              <w:t>/%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</w:tcPr>
          <w:p>
            <w:pPr>
              <w:numPr>
                <w:ilvl w:val="0"/>
                <w:numId w:val="6"/>
              </w:numPr>
              <w:spacing w:line="31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0.000</w:t>
            </w:r>
            <w:r>
              <w:rPr>
                <w:rFonts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1875" w:type="dxa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numPr>
                <w:ilvl w:val="0"/>
                <w:numId w:val="6"/>
              </w:numPr>
              <w:spacing w:line="31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0.005</w:t>
            </w:r>
          </w:p>
        </w:tc>
        <w:tc>
          <w:tcPr>
            <w:tcW w:w="1876" w:type="dxa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numPr>
                <w:ilvl w:val="0"/>
                <w:numId w:val="6"/>
              </w:numPr>
              <w:spacing w:line="31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0.03</w:t>
            </w:r>
          </w:p>
        </w:tc>
        <w:tc>
          <w:tcPr>
            <w:tcW w:w="1876" w:type="dxa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numPr>
                <w:ilvl w:val="0"/>
                <w:numId w:val="6"/>
              </w:numPr>
              <w:spacing w:line="31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numPr>
          <w:ilvl w:val="0"/>
          <w:numId w:val="6"/>
        </w:numPr>
        <w:jc w:val="center"/>
        <w:rPr>
          <w:rFonts w:ascii="宋体" w:hAnsi="宋体" w:cs="宋体"/>
          <w:sz w:val="18"/>
          <w:szCs w:val="18"/>
        </w:rPr>
      </w:pPr>
    </w:p>
    <w:p>
      <w:pPr>
        <w:pStyle w:val="44"/>
        <w:numPr>
          <w:ilvl w:val="0"/>
          <w:numId w:val="0"/>
        </w:numPr>
        <w:spacing w:before="156" w:after="156" w:line="312" w:lineRule="auto"/>
        <w:rPr>
          <w:rFonts w:hAnsi="黑体" w:cs="黑体"/>
          <w:kern w:val="2"/>
          <w:szCs w:val="21"/>
        </w:rPr>
      </w:pPr>
      <w:r>
        <w:rPr>
          <w:rFonts w:hint="eastAsia" w:hAnsi="黑体" w:cs="黑体"/>
          <w:kern w:val="2"/>
          <w:szCs w:val="21"/>
        </w:rPr>
        <w:t>5</w:t>
      </w:r>
      <w:r>
        <w:rPr>
          <w:rFonts w:hAnsi="黑体" w:cs="黑体"/>
          <w:kern w:val="2"/>
          <w:szCs w:val="21"/>
        </w:rPr>
        <w:t xml:space="preserve">  </w:t>
      </w:r>
      <w:r>
        <w:rPr>
          <w:rFonts w:hint="eastAsia" w:hAnsi="黑体" w:cs="黑体"/>
          <w:kern w:val="2"/>
          <w:szCs w:val="21"/>
        </w:rPr>
        <w:t>过氧化氢分光光度法</w:t>
      </w:r>
    </w:p>
    <w:p>
      <w:pPr>
        <w:pStyle w:val="51"/>
        <w:spacing w:before="156" w:beforeLines="50" w:line="312" w:lineRule="auto"/>
        <w:ind w:firstLine="0" w:firstLineChars="0"/>
        <w:rPr>
          <w:rFonts w:eastAsia="黑体"/>
          <w:szCs w:val="21"/>
        </w:rPr>
      </w:pPr>
      <w:r>
        <w:rPr>
          <w:rFonts w:hint="eastAsia" w:ascii="黑体" w:hAnsi="黑体" w:eastAsia="黑体" w:cs="黑体"/>
          <w:szCs w:val="21"/>
        </w:rPr>
        <w:t>5.1</w:t>
      </w:r>
      <w:r>
        <w:rPr>
          <w:rFonts w:ascii="黑体" w:hAnsi="黑体" w:eastAsia="黑体" w:cs="黑体"/>
          <w:szCs w:val="21"/>
        </w:rPr>
        <w:t xml:space="preserve">  </w:t>
      </w:r>
      <w:r>
        <w:rPr>
          <w:rFonts w:eastAsia="黑体"/>
          <w:szCs w:val="21"/>
        </w:rPr>
        <w:t>方法提要</w:t>
      </w:r>
    </w:p>
    <w:p>
      <w:pPr>
        <w:numPr>
          <w:ilvl w:val="0"/>
          <w:numId w:val="6"/>
        </w:numPr>
        <w:spacing w:line="24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试样用氢氧化钠溶液溶解，用硫酸和硝酸的混合酸中和至酸性，加入过氧化氢使其显色，于分光光度计波长410 nm处，测量溶液的吸光度。 </w:t>
      </w:r>
    </w:p>
    <w:p>
      <w:pPr>
        <w:pStyle w:val="51"/>
        <w:adjustRightInd w:val="0"/>
        <w:spacing w:line="312" w:lineRule="auto"/>
        <w:ind w:firstLine="0" w:firstLineChars="0"/>
        <w:textAlignment w:val="baseline"/>
        <w:rPr>
          <w:rFonts w:eastAsia="黑体"/>
          <w:szCs w:val="21"/>
        </w:rPr>
      </w:pPr>
      <w:r>
        <w:rPr>
          <w:rFonts w:hint="eastAsia" w:ascii="黑体" w:hAnsi="黑体" w:eastAsia="黑体" w:cs="黑体"/>
          <w:szCs w:val="21"/>
        </w:rPr>
        <w:t>5.2</w:t>
      </w:r>
      <w:r>
        <w:rPr>
          <w:rFonts w:ascii="黑体" w:hAnsi="黑体" w:eastAsia="黑体" w:cs="黑体"/>
          <w:szCs w:val="21"/>
        </w:rPr>
        <w:t xml:space="preserve">  </w:t>
      </w:r>
      <w:r>
        <w:rPr>
          <w:rFonts w:eastAsia="黑体"/>
          <w:szCs w:val="21"/>
        </w:rPr>
        <w:t>试剂</w:t>
      </w:r>
    </w:p>
    <w:p>
      <w:pPr>
        <w:pStyle w:val="51"/>
        <w:spacing w:line="240" w:lineRule="auto"/>
        <w:jc w:val="left"/>
        <w:rPr>
          <w:rFonts w:ascii="宋体" w:hAnsi="宋体"/>
        </w:rPr>
      </w:pPr>
      <w:r>
        <w:rPr>
          <w:rFonts w:hint="eastAsia" w:hAnsi="宋体"/>
        </w:rPr>
        <w:t>除</w:t>
      </w:r>
      <w:r>
        <w:rPr>
          <w:rFonts w:hint="eastAsia" w:ascii="宋体" w:hAnsi="宋体"/>
        </w:rPr>
        <w:t>非另有说明，在分析中仅使用确认为分析纯的试剂和符合GB/T 6682规定的二级水。</w:t>
      </w:r>
    </w:p>
    <w:p>
      <w:pPr>
        <w:pStyle w:val="51"/>
        <w:spacing w:line="240" w:lineRule="auto"/>
        <w:ind w:firstLine="0" w:firstLineChars="0"/>
        <w:jc w:val="left"/>
        <w:rPr>
          <w:rFonts w:ascii="宋体" w:hAnsi="宋体" w:cs="宋体"/>
          <w:szCs w:val="21"/>
        </w:rPr>
      </w:pPr>
      <w:r>
        <w:rPr>
          <w:rFonts w:hint="eastAsia" w:ascii="黑体" w:hAnsi="黑体" w:eastAsia="黑体" w:cs="黑体"/>
          <w:szCs w:val="21"/>
        </w:rPr>
        <w:t>5.2.1</w:t>
      </w:r>
      <w:r>
        <w:rPr>
          <w:rFonts w:ascii="黑体" w:hAnsi="黑体" w:eastAsia="黑体" w:cs="黑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氢氧化钠溶液（400 g/L，保存于聚乙烯瓶中）</w:t>
      </w:r>
    </w:p>
    <w:p>
      <w:pPr>
        <w:pStyle w:val="51"/>
        <w:spacing w:line="240" w:lineRule="auto"/>
        <w:ind w:firstLine="0" w:firstLineChars="0"/>
        <w:jc w:val="left"/>
        <w:rPr>
          <w:b/>
          <w:sz w:val="24"/>
        </w:rPr>
      </w:pPr>
      <w:r>
        <w:rPr>
          <w:rFonts w:hint="eastAsia" w:ascii="黑体" w:hAnsi="黑体" w:eastAsia="黑体" w:cs="黑体"/>
          <w:szCs w:val="21"/>
        </w:rPr>
        <w:t>5.2.2</w:t>
      </w:r>
      <w:r>
        <w:rPr>
          <w:rFonts w:ascii="黑体" w:hAnsi="黑体" w:eastAsia="黑体" w:cs="黑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硝酸（1+1）。</w:t>
      </w:r>
    </w:p>
    <w:p>
      <w:pPr>
        <w:pStyle w:val="51"/>
        <w:spacing w:line="240" w:lineRule="auto"/>
        <w:ind w:firstLine="0" w:firstLineChars="0"/>
        <w:jc w:val="left"/>
        <w:rPr>
          <w:szCs w:val="21"/>
        </w:rPr>
      </w:pPr>
      <w:r>
        <w:rPr>
          <w:rFonts w:hint="eastAsia" w:ascii="黑体" w:hAnsi="黑体" w:eastAsia="黑体" w:cs="黑体"/>
          <w:szCs w:val="21"/>
        </w:rPr>
        <w:t>5.2.3</w:t>
      </w:r>
      <w:r>
        <w:rPr>
          <w:rFonts w:ascii="黑体" w:hAnsi="黑体" w:eastAsia="黑体" w:cs="黑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硫酸（1+1）。</w:t>
      </w:r>
    </w:p>
    <w:p>
      <w:pPr>
        <w:pStyle w:val="51"/>
        <w:spacing w:line="240" w:lineRule="auto"/>
        <w:ind w:firstLine="0" w:firstLineChars="0"/>
        <w:jc w:val="left"/>
        <w:rPr>
          <w:rFonts w:ascii="宋体" w:hAnsi="宋体" w:cs="宋体"/>
          <w:szCs w:val="21"/>
        </w:rPr>
      </w:pPr>
      <w:r>
        <w:rPr>
          <w:rFonts w:hint="eastAsia" w:ascii="黑体" w:hAnsi="黑体" w:eastAsia="黑体" w:cs="黑体"/>
          <w:szCs w:val="21"/>
        </w:rPr>
        <w:t>5.2.4</w:t>
      </w:r>
      <w:r>
        <w:rPr>
          <w:rFonts w:hint="eastAsia" w:ascii="宋体" w:hAnsi="宋体" w:cs="宋体"/>
          <w:szCs w:val="21"/>
        </w:rPr>
        <w:t>过氧化氢(1+9)。</w:t>
      </w:r>
    </w:p>
    <w:p>
      <w:pPr>
        <w:pStyle w:val="51"/>
        <w:adjustRightInd w:val="0"/>
        <w:snapToGrid w:val="0"/>
        <w:spacing w:before="50" w:after="50" w:line="240" w:lineRule="auto"/>
        <w:ind w:firstLine="0" w:firstLineChars="0"/>
        <w:rPr>
          <w:szCs w:val="21"/>
        </w:rPr>
      </w:pPr>
      <w:r>
        <w:rPr>
          <w:rFonts w:hint="eastAsia" w:ascii="黑体" w:hAnsi="黑体" w:eastAsia="黑体" w:cs="黑体"/>
          <w:szCs w:val="21"/>
        </w:rPr>
        <w:t>5.2.5</w:t>
      </w:r>
      <w:r>
        <w:rPr>
          <w:rFonts w:hint="eastAsia" w:ascii="宋体" w:hAnsi="宋体" w:cs="宋体"/>
          <w:szCs w:val="21"/>
        </w:rPr>
        <w:t>混合酸：500 mL水中加入160 mL硫酸（1+1）和34 0mL硝酸（ρ=1.42g/mL）。</w:t>
      </w:r>
    </w:p>
    <w:p>
      <w:pPr>
        <w:pStyle w:val="51"/>
        <w:adjustRightInd w:val="0"/>
        <w:snapToGrid w:val="0"/>
        <w:spacing w:before="50" w:after="50" w:line="240" w:lineRule="auto"/>
        <w:ind w:firstLine="0" w:firstLineChars="0"/>
        <w:rPr>
          <w:szCs w:val="21"/>
        </w:rPr>
      </w:pPr>
      <w:r>
        <w:rPr>
          <w:rFonts w:hint="eastAsia" w:ascii="黑体" w:hAnsi="黑体" w:eastAsia="黑体" w:cs="黑体"/>
          <w:szCs w:val="21"/>
        </w:rPr>
        <w:t>5.2.6</w:t>
      </w:r>
      <w:r>
        <w:rPr>
          <w:rFonts w:ascii="黑体" w:hAnsi="黑体" w:eastAsia="黑体" w:cs="黑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钛标准溶液：称取0.1000g金属钛（</w:t>
      </w:r>
      <w:r>
        <w:rPr>
          <w:rFonts w:hint="eastAsia" w:ascii="宋体" w:hAnsi="宋体"/>
          <w:i/>
          <w:iCs/>
          <w:szCs w:val="21"/>
        </w:rPr>
        <w:t>ω</w:t>
      </w:r>
      <w:r>
        <w:rPr>
          <w:rFonts w:hint="eastAsia" w:ascii="宋体" w:hAnsi="宋体" w:cs="宋体"/>
          <w:szCs w:val="21"/>
          <w:vertAlign w:val="subscript"/>
        </w:rPr>
        <w:t xml:space="preserve">Ti </w:t>
      </w:r>
      <w:r>
        <w:rPr>
          <w:rFonts w:hint="eastAsia" w:ascii="宋体" w:hAnsi="宋体" w:cs="宋体"/>
          <w:szCs w:val="21"/>
        </w:rPr>
        <w:t>≥99.9 %）于300mL烧杯中，加入50mL硫酸（5.2.3）和10mL盐酸（1+1）加热分解后再加入1mL硝酸（5.2.2），加热蒸发使之冒白烟。冷却后，小心加入约100 mL水，冷却至室温后，移入1000 mL容量瓶中，以水稀释至刻度，混匀。此溶液1mL含0.1 mg钛。</w:t>
      </w:r>
    </w:p>
    <w:p>
      <w:pPr>
        <w:pStyle w:val="51"/>
        <w:adjustRightInd w:val="0"/>
        <w:spacing w:line="312" w:lineRule="auto"/>
        <w:ind w:firstLine="0" w:firstLineChars="0"/>
        <w:textAlignment w:val="baseline"/>
        <w:rPr>
          <w:rFonts w:eastAsia="黑体"/>
          <w:szCs w:val="21"/>
        </w:rPr>
      </w:pPr>
      <w:r>
        <w:rPr>
          <w:rFonts w:hint="eastAsia" w:eastAsia="黑体"/>
          <w:szCs w:val="21"/>
        </w:rPr>
        <w:t>5.3</w:t>
      </w:r>
      <w:r>
        <w:rPr>
          <w:rFonts w:eastAsia="黑体"/>
          <w:szCs w:val="21"/>
        </w:rPr>
        <w:t xml:space="preserve">  仪器</w:t>
      </w:r>
    </w:p>
    <w:p>
      <w:pPr>
        <w:numPr>
          <w:ilvl w:val="0"/>
          <w:numId w:val="6"/>
        </w:numPr>
        <w:spacing w:line="312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分光光度计。</w:t>
      </w:r>
    </w:p>
    <w:p>
      <w:pPr>
        <w:pStyle w:val="51"/>
        <w:spacing w:line="312" w:lineRule="auto"/>
        <w:ind w:firstLine="0" w:firstLineChars="0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5.4</w:t>
      </w:r>
      <w:r>
        <w:rPr>
          <w:rFonts w:ascii="黑体" w:hAnsi="黑体" w:eastAsia="黑体" w:cs="黑体"/>
          <w:szCs w:val="21"/>
        </w:rPr>
        <w:t xml:space="preserve">  </w:t>
      </w:r>
      <w:r>
        <w:rPr>
          <w:rFonts w:hint="eastAsia" w:ascii="黑体" w:hAnsi="黑体" w:eastAsia="黑体" w:cs="黑体"/>
          <w:szCs w:val="21"/>
        </w:rPr>
        <w:t>试样</w:t>
      </w:r>
    </w:p>
    <w:p>
      <w:pPr>
        <w:pStyle w:val="51"/>
        <w:spacing w:line="312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试样加工成厚度不超过1 mm的碎屑。</w:t>
      </w:r>
    </w:p>
    <w:p>
      <w:pPr>
        <w:pStyle w:val="51"/>
        <w:spacing w:line="312" w:lineRule="auto"/>
        <w:ind w:firstLine="0" w:firstLineChars="0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5.5</w:t>
      </w:r>
      <w:r>
        <w:rPr>
          <w:rFonts w:ascii="黑体" w:hAnsi="黑体" w:eastAsia="黑体" w:cs="黑体"/>
          <w:szCs w:val="21"/>
        </w:rPr>
        <w:t xml:space="preserve">  </w:t>
      </w:r>
      <w:r>
        <w:rPr>
          <w:rFonts w:hint="eastAsia" w:ascii="黑体" w:hAnsi="黑体" w:eastAsia="黑体" w:cs="黑体"/>
          <w:szCs w:val="21"/>
        </w:rPr>
        <w:t>分析步骤</w:t>
      </w:r>
    </w:p>
    <w:p>
      <w:pPr>
        <w:autoSpaceDE w:val="0"/>
        <w:autoSpaceDN w:val="0"/>
        <w:adjustRightInd w:val="0"/>
        <w:spacing w:line="312" w:lineRule="auto"/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5.5.1 试料</w:t>
      </w:r>
    </w:p>
    <w:p>
      <w:pPr>
        <w:numPr>
          <w:ilvl w:val="0"/>
          <w:numId w:val="6"/>
        </w:numPr>
        <w:spacing w:line="312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按表4</w:t>
      </w:r>
      <w:r>
        <w:rPr>
          <w:rFonts w:hint="eastAsia" w:ascii="宋体" w:hAnsi="宋体" w:cs="宋体"/>
          <w:szCs w:val="21"/>
        </w:rPr>
        <w:t>称取试样质量（m</w:t>
      </w:r>
      <w:r>
        <w:rPr>
          <w:rFonts w:hint="eastAsia" w:ascii="宋体" w:hAnsi="宋体" w:cs="宋体"/>
          <w:szCs w:val="21"/>
          <w:vertAlign w:val="subscript"/>
        </w:rPr>
        <w:t>0</w:t>
      </w:r>
      <w:r>
        <w:rPr>
          <w:rFonts w:hint="eastAsia" w:ascii="宋体" w:hAnsi="宋体" w:cs="宋体"/>
          <w:szCs w:val="21"/>
        </w:rPr>
        <w:t>），精确至0.0001 g。</w:t>
      </w:r>
    </w:p>
    <w:p>
      <w:pPr>
        <w:autoSpaceDE w:val="0"/>
        <w:autoSpaceDN w:val="0"/>
        <w:adjustRightInd w:val="0"/>
        <w:spacing w:line="312" w:lineRule="auto"/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5.5.2 平行试验</w:t>
      </w:r>
    </w:p>
    <w:p>
      <w:pPr>
        <w:spacing w:line="312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平行做两份试验，取其平均值。</w:t>
      </w:r>
    </w:p>
    <w:p>
      <w:pPr>
        <w:autoSpaceDE w:val="0"/>
        <w:autoSpaceDN w:val="0"/>
        <w:adjustRightInd w:val="0"/>
        <w:spacing w:line="312" w:lineRule="auto"/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5.5.3 测定</w:t>
      </w:r>
    </w:p>
    <w:p>
      <w:pPr>
        <w:pStyle w:val="51"/>
        <w:adjustRightInd w:val="0"/>
        <w:spacing w:line="240" w:lineRule="auto"/>
        <w:ind w:firstLine="0" w:firstLineChars="0"/>
        <w:textAlignment w:val="baseline"/>
      </w:pPr>
      <w:r>
        <w:rPr>
          <w:rFonts w:hint="eastAsia" w:ascii="黑体" w:hAnsi="黑体" w:eastAsia="黑体" w:cs="黑体"/>
          <w:szCs w:val="21"/>
        </w:rPr>
        <w:t>5.5.3.1</w:t>
      </w:r>
      <w:r>
        <w:rPr>
          <w:rFonts w:hint="eastAsia" w:ascii="宋体" w:hAnsi="宋体" w:cs="宋体"/>
          <w:szCs w:val="21"/>
        </w:rPr>
        <w:t>将试料（5.5.1）置于300 mL烧杯中，盖上表皿，加入10mL氢氧化钠（5.2.1），待剧烈反应停止后，加热至完全溶解。冷却后，用少量水冲洗表皿及杯壁，边搅拌边加入50 mL混合酸（5.2.5），加热溶解盐类，再煮沸驱除氮的氧化物，冷却至室温。移入200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</w:rPr>
        <w:t>mL容量瓶中，用水稀释至刻度，混匀。</w:t>
      </w:r>
    </w:p>
    <w:p>
      <w:pPr>
        <w:pStyle w:val="51"/>
        <w:adjustRightInd w:val="0"/>
        <w:snapToGrid w:val="0"/>
        <w:spacing w:before="50" w:after="50" w:line="240" w:lineRule="auto"/>
        <w:ind w:firstLine="0" w:firstLineChars="0"/>
        <w:rPr>
          <w:rFonts w:ascii="宋体" w:hAnsi="宋体" w:cs="宋体"/>
          <w:szCs w:val="21"/>
        </w:rPr>
      </w:pPr>
      <w:r>
        <w:rPr>
          <w:rFonts w:hint="eastAsia" w:ascii="黑体" w:hAnsi="黑体" w:eastAsia="黑体" w:cs="黑体"/>
          <w:szCs w:val="21"/>
        </w:rPr>
        <w:t>5.5.3.2</w:t>
      </w:r>
      <w:r>
        <w:rPr>
          <w:rFonts w:hint="eastAsia" w:ascii="宋体" w:hAnsi="宋体" w:cs="宋体"/>
          <w:szCs w:val="21"/>
        </w:rPr>
        <w:t>按表5移取试液（5.5.3.1）两份，分别置于对应规格容量瓶中</w:t>
      </w:r>
      <w:r>
        <w:rPr>
          <w:rFonts w:hint="eastAsia" w:ascii="宋体" w:hAnsi="宋体" w:cs="宋体"/>
          <w:color w:val="000000" w:themeColor="text1"/>
          <w:szCs w:val="21"/>
        </w:rPr>
        <w:t>，加入混合酸（5.2.4），其中一份加入过氧化氢（5.2.4），另一份不加入过氧化氢（5.2.4），此溶液为补偿溶液；以水稀释至刻度，混匀。以水为参比，用适当规格的吸收池，于分光光度计410 nm处测定吸光度，减去补偿溶液的吸光</w:t>
      </w:r>
      <w:r>
        <w:rPr>
          <w:rFonts w:hint="eastAsia" w:ascii="宋体" w:hAnsi="宋体" w:cs="宋体"/>
          <w:szCs w:val="21"/>
        </w:rPr>
        <w:t>度后，从工作曲线上查得相应的钛量（m</w:t>
      </w:r>
      <w:r>
        <w:rPr>
          <w:rFonts w:hint="eastAsia" w:ascii="宋体" w:hAnsi="宋体" w:cs="宋体"/>
          <w:szCs w:val="21"/>
          <w:vertAlign w:val="subscript"/>
        </w:rPr>
        <w:t>1</w:t>
      </w:r>
      <w:r>
        <w:rPr>
          <w:rFonts w:hint="eastAsia" w:ascii="宋体" w:hAnsi="宋体" w:cs="宋体"/>
          <w:szCs w:val="21"/>
        </w:rPr>
        <w:t>）。</w:t>
      </w:r>
    </w:p>
    <w:p>
      <w:pPr>
        <w:numPr>
          <w:ilvl w:val="0"/>
          <w:numId w:val="2"/>
        </w:numPr>
        <w:jc w:val="center"/>
        <w:rPr>
          <w:rFonts w:hint="eastAsia" w:ascii="黑体" w:hAnsi="黑体" w:eastAsia="黑体" w:cs="宋体"/>
          <w:szCs w:val="21"/>
          <w:lang w:val="en-US" w:eastAsia="zh-CN"/>
        </w:rPr>
      </w:pPr>
      <w:r>
        <w:rPr>
          <w:rFonts w:hint="eastAsia" w:ascii="黑体" w:hAnsi="黑体" w:eastAsia="黑体" w:cs="宋体"/>
          <w:szCs w:val="21"/>
        </w:rPr>
        <w:t>表4</w:t>
      </w:r>
      <w:r>
        <w:rPr>
          <w:rFonts w:hint="eastAsia" w:ascii="黑体" w:hAnsi="黑体" w:eastAsia="黑体" w:cs="宋体"/>
          <w:szCs w:val="21"/>
          <w:lang w:val="en-US" w:eastAsia="zh-CN"/>
        </w:rPr>
        <w:t xml:space="preserve"> 称取质量、</w:t>
      </w:r>
      <w:r>
        <w:rPr>
          <w:rFonts w:hint="eastAsia" w:ascii="黑体" w:hAnsi="黑体" w:eastAsia="黑体" w:cs="黑体"/>
        </w:rPr>
        <w:t>分取试液体积、分取试液定容体积、补加酸量及稀释倍数</w:t>
      </w:r>
    </w:p>
    <w:tbl>
      <w:tblPr>
        <w:tblStyle w:val="11"/>
        <w:tblW w:w="93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333"/>
        <w:gridCol w:w="1333"/>
        <w:gridCol w:w="1333"/>
        <w:gridCol w:w="1333"/>
        <w:gridCol w:w="1333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33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钛的质量分数</w:t>
            </w:r>
          </w:p>
          <w:p>
            <w:pPr>
              <w:spacing w:line="31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/%</w:t>
            </w:r>
          </w:p>
        </w:tc>
        <w:tc>
          <w:tcPr>
            <w:tcW w:w="1333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31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称取质量</w:t>
            </w:r>
          </w:p>
          <w:p>
            <w:pPr>
              <w:spacing w:line="31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/g</w:t>
            </w:r>
          </w:p>
        </w:tc>
        <w:tc>
          <w:tcPr>
            <w:tcW w:w="133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移取试液的体积/mL</w:t>
            </w:r>
          </w:p>
        </w:tc>
        <w:tc>
          <w:tcPr>
            <w:tcW w:w="133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混合酸体积</w:t>
            </w:r>
          </w:p>
          <w:p>
            <w:pPr>
              <w:spacing w:line="31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/mL</w:t>
            </w:r>
          </w:p>
        </w:tc>
        <w:tc>
          <w:tcPr>
            <w:tcW w:w="133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过氧化氢体积</w:t>
            </w:r>
          </w:p>
          <w:p>
            <w:pPr>
              <w:spacing w:line="31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/mL</w:t>
            </w:r>
          </w:p>
        </w:tc>
        <w:tc>
          <w:tcPr>
            <w:tcW w:w="1333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定容体积</w:t>
            </w:r>
          </w:p>
          <w:p>
            <w:pPr>
              <w:spacing w:line="31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/mL</w:t>
            </w:r>
          </w:p>
        </w:tc>
        <w:tc>
          <w:tcPr>
            <w:tcW w:w="133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稀释倍数</w:t>
            </w:r>
            <w:r>
              <w:rPr>
                <w:rFonts w:ascii="宋体" w:hAnsi="宋体" w:cs="宋体"/>
                <w:sz w:val="18"/>
                <w:szCs w:val="18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33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0.5～4.0</w:t>
            </w:r>
          </w:p>
        </w:tc>
        <w:tc>
          <w:tcPr>
            <w:tcW w:w="1333" w:type="dxa"/>
            <w:tcBorders>
              <w:top w:val="single" w:color="auto" w:sz="12" w:space="0"/>
            </w:tcBorders>
          </w:tcPr>
          <w:p>
            <w:pPr>
              <w:spacing w:line="31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0.5</w:t>
            </w:r>
          </w:p>
        </w:tc>
        <w:tc>
          <w:tcPr>
            <w:tcW w:w="1333" w:type="dxa"/>
            <w:tcBorders>
              <w:top w:val="single" w:color="auto" w:sz="12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10.00</w:t>
            </w:r>
          </w:p>
        </w:tc>
        <w:tc>
          <w:tcPr>
            <w:tcW w:w="1333" w:type="dxa"/>
            <w:tcBorders>
              <w:top w:val="single" w:color="auto" w:sz="12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</w:t>
            </w:r>
          </w:p>
        </w:tc>
        <w:tc>
          <w:tcPr>
            <w:tcW w:w="1333" w:type="dxa"/>
            <w:tcBorders>
              <w:top w:val="single" w:color="auto" w:sz="12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1333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50</w:t>
            </w:r>
          </w:p>
        </w:tc>
        <w:tc>
          <w:tcPr>
            <w:tcW w:w="1333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333" w:type="dxa"/>
            <w:tcBorders>
              <w:left w:val="single" w:color="auto" w:sz="12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&gt;4.0</w:t>
            </w:r>
            <w:r>
              <w:rPr>
                <w:rFonts w:hint="eastAsia" w:ascii="宋体" w:hAnsi="宋体"/>
                <w:sz w:val="18"/>
                <w:szCs w:val="18"/>
              </w:rPr>
              <w:t>～</w:t>
            </w:r>
            <w:r>
              <w:rPr>
                <w:rFonts w:hint="eastAsia" w:ascii="宋体" w:hAnsi="宋体" w:cs="宋体"/>
                <w:sz w:val="18"/>
                <w:szCs w:val="18"/>
              </w:rPr>
              <w:t>8.0</w:t>
            </w:r>
          </w:p>
        </w:tc>
        <w:tc>
          <w:tcPr>
            <w:tcW w:w="1333" w:type="dxa"/>
          </w:tcPr>
          <w:p>
            <w:pPr>
              <w:spacing w:line="31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0.5</w:t>
            </w:r>
          </w:p>
        </w:tc>
        <w:tc>
          <w:tcPr>
            <w:tcW w:w="1333" w:type="dxa"/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10.00</w:t>
            </w:r>
          </w:p>
        </w:tc>
        <w:tc>
          <w:tcPr>
            <w:tcW w:w="1333" w:type="dxa"/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</w:t>
            </w:r>
          </w:p>
        </w:tc>
        <w:tc>
          <w:tcPr>
            <w:tcW w:w="1333" w:type="dxa"/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1333" w:type="dxa"/>
            <w:tcBorders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100</w:t>
            </w:r>
          </w:p>
        </w:tc>
        <w:tc>
          <w:tcPr>
            <w:tcW w:w="1333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333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&gt;8.0～16.0</w:t>
            </w:r>
          </w:p>
        </w:tc>
        <w:tc>
          <w:tcPr>
            <w:tcW w:w="1333" w:type="dxa"/>
            <w:tcBorders>
              <w:bottom w:val="single" w:color="auto" w:sz="12" w:space="0"/>
            </w:tcBorders>
          </w:tcPr>
          <w:p>
            <w:pPr>
              <w:numPr>
                <w:ilvl w:val="0"/>
                <w:numId w:val="6"/>
              </w:numPr>
              <w:spacing w:line="31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0.2</w:t>
            </w:r>
          </w:p>
        </w:tc>
        <w:tc>
          <w:tcPr>
            <w:tcW w:w="1333" w:type="dxa"/>
            <w:tcBorders>
              <w:bottom w:val="single" w:color="auto" w:sz="12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10.00</w:t>
            </w:r>
          </w:p>
        </w:tc>
        <w:tc>
          <w:tcPr>
            <w:tcW w:w="1333" w:type="dxa"/>
            <w:tcBorders>
              <w:bottom w:val="single" w:color="auto" w:sz="12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</w:t>
            </w:r>
          </w:p>
        </w:tc>
        <w:tc>
          <w:tcPr>
            <w:tcW w:w="1333" w:type="dxa"/>
            <w:tcBorders>
              <w:bottom w:val="single" w:color="auto" w:sz="12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1333" w:type="dxa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100</w:t>
            </w:r>
          </w:p>
        </w:tc>
        <w:tc>
          <w:tcPr>
            <w:tcW w:w="1333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</w:tr>
    </w:tbl>
    <w:p>
      <w:pPr>
        <w:autoSpaceDE w:val="0"/>
        <w:autoSpaceDN w:val="0"/>
        <w:adjustRightInd w:val="0"/>
        <w:spacing w:line="312" w:lineRule="auto"/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5.5.4 工作曲线的绘制</w:t>
      </w:r>
    </w:p>
    <w:p>
      <w:pPr>
        <w:spacing w:line="24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移取0 mL、1.00 mL、2.00 mL、4.00 mL、6.00 mL、8.00 mL、10.00 mL、12.00 mL钛标准溶液（5.2.6），分别置于8个50 mL容量瓶中，分别加入15 mL混合酸（5.2.5），5 mL过氧化氢（5.2.4），以水稀释至刻度，混匀。移取系列标准溶液于吸收池中，于分光光度计波长410nm处，以水为参比，测其吸光度。以钛量为横坐标，以减去试剂空白溶液的吸光度为纵坐标，绘制工作曲线。</w:t>
      </w:r>
    </w:p>
    <w:p>
      <w:pPr>
        <w:autoSpaceDE w:val="0"/>
        <w:autoSpaceDN w:val="0"/>
        <w:adjustRightInd w:val="0"/>
        <w:spacing w:line="312" w:lineRule="auto"/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 xml:space="preserve">5.6  </w:t>
      </w:r>
      <w:r>
        <w:rPr>
          <w:rFonts w:hint="eastAsia" w:ascii="黑体" w:hAnsi="黑体" w:eastAsia="黑体" w:cs="黑体"/>
          <w:szCs w:val="21"/>
        </w:rPr>
        <w:t>分析结果的计算</w:t>
      </w:r>
    </w:p>
    <w:p>
      <w:pPr>
        <w:spacing w:line="312" w:lineRule="auto"/>
        <w:rPr>
          <w:rFonts w:ascii="宋体" w:hAnsi="宋体" w:cs="宋体"/>
          <w:szCs w:val="21"/>
        </w:rPr>
      </w:pPr>
      <w:r>
        <w:rPr>
          <w:rFonts w:hint="eastAsia" w:ascii="黑体" w:hAnsi="黑体" w:eastAsia="黑体" w:cs="宋体"/>
          <w:szCs w:val="21"/>
        </w:rPr>
        <w:t>5.6.1</w:t>
      </w:r>
      <w:r>
        <w:rPr>
          <w:rFonts w:hint="eastAsia"/>
        </w:rPr>
        <w:t>钛含量以钛的质量分数</w:t>
      </w:r>
      <w:r>
        <w:rPr>
          <w:rFonts w:hint="eastAsia" w:ascii="宋体" w:hAnsi="宋体"/>
          <w:i/>
          <w:iCs/>
          <w:szCs w:val="21"/>
        </w:rPr>
        <w:t>ω</w:t>
      </w:r>
      <w:r>
        <w:rPr>
          <w:rFonts w:hint="eastAsia" w:ascii="宋体" w:hAnsi="宋体" w:cs="宋体"/>
          <w:i/>
          <w:iCs/>
          <w:sz w:val="18"/>
          <w:szCs w:val="18"/>
          <w:vertAlign w:val="subscript"/>
        </w:rPr>
        <w:t>Ti</w:t>
      </w:r>
      <w:r>
        <w:rPr>
          <w:rFonts w:hint="eastAsia"/>
        </w:rPr>
        <w:t>计，</w:t>
      </w:r>
      <w:r>
        <w:t>按</w:t>
      </w:r>
      <w:r>
        <w:rPr>
          <w:rFonts w:hint="eastAsia"/>
        </w:rPr>
        <w:t>公</w:t>
      </w:r>
      <w:r>
        <w:t>式（</w:t>
      </w:r>
      <w:r>
        <w:rPr>
          <w:rFonts w:hint="eastAsia"/>
        </w:rPr>
        <w:t>2</w:t>
      </w:r>
      <w:r>
        <w:t>）计算：</w:t>
      </w:r>
    </w:p>
    <w:p>
      <w:pPr>
        <w:spacing w:line="312" w:lineRule="auto"/>
        <w:ind w:firstLine="3990" w:firstLineChars="1900"/>
        <w:jc w:val="center"/>
        <w:rPr>
          <w:rFonts w:ascii="Cambria Math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szCs w:val="21"/>
                </w:rPr>
              </m:ctrlPr>
            </m:sSubPr>
            <m:e>
              <m:r>
                <w:rPr>
                  <w:rFonts w:ascii="Cambria Math" w:hAnsi="Cambria Math"/>
                  <w:szCs w:val="21"/>
                </w:rPr>
                <m:t>ω</m:t>
              </m:r>
              <m:ctrlPr>
                <w:rPr>
                  <w:rFonts w:ascii="Cambria Math" w:hAnsi="Cambria Math"/>
                  <w:i/>
                  <w:iCs/>
                  <w:szCs w:val="21"/>
                </w:rPr>
              </m:ctrlPr>
            </m:e>
            <m:sub>
              <m:r>
                <w:rPr>
                  <w:rFonts w:ascii="Cambria Math" w:hAnsi="Cambria Math"/>
                  <w:szCs w:val="21"/>
                </w:rPr>
                <m:t>Ti</m:t>
              </m:r>
              <m:ctrlPr>
                <w:rPr>
                  <w:rFonts w:ascii="Cambria Math" w:hAnsi="Cambria Math"/>
                  <w:i/>
                  <w:iCs/>
                  <w:szCs w:val="21"/>
                </w:rPr>
              </m:ctrlPr>
            </m:sub>
          </m:sSub>
          <m:r>
            <w:rPr>
              <w:rFonts w:ascii="Cambria Math" w:hAnsi="Cambria Math"/>
              <w:szCs w:val="21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Cs w:val="2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1"/>
                    </w:rPr>
                    <m:t>m</m:t>
                  </m:r>
                  <m:ctrlPr>
                    <w:rPr>
                      <w:rFonts w:ascii="Cambria Math" w:hAnsi="Cambria Math"/>
                      <w:i/>
                      <w:iCs/>
                      <w:szCs w:val="21"/>
                    </w:rPr>
                  </m:ctrlPr>
                </m:e>
                <m:sub>
                  <m:r>
                    <w:rPr>
                      <w:rFonts w:ascii="Cambria Math" w:hAnsi="Cambria Math"/>
                      <w:szCs w:val="21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  <w:szCs w:val="21"/>
                    </w:rPr>
                  </m:ctrlPr>
                </m:sub>
              </m:sSub>
              <m:r>
                <w:rPr>
                  <w:rFonts w:ascii="Cambria Math" w:hAnsi="Cambria Math"/>
                  <w:szCs w:val="21"/>
                </w:rPr>
                <m:t>T×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1"/>
                    </w:rPr>
                    <m:t>10</m:t>
                  </m:r>
                  <m:ctrlPr>
                    <w:rPr>
                      <w:rFonts w:ascii="Cambria Math" w:hAnsi="Cambria Math"/>
                      <w:i/>
                      <w:iCs/>
                      <w:szCs w:val="21"/>
                    </w:rPr>
                  </m:ctrlPr>
                </m:e>
                <m:sup>
                  <m:r>
                    <w:rPr>
                      <w:rFonts w:ascii="Cambria Math" w:hAnsi="Cambria Math"/>
                      <w:szCs w:val="21"/>
                    </w:rPr>
                    <m:t>-3</m:t>
                  </m:r>
                  <m:ctrlPr>
                    <w:rPr>
                      <w:rFonts w:ascii="Cambria Math" w:hAnsi="Cambria Math"/>
                      <w:i/>
                      <w:iCs/>
                      <w:szCs w:val="21"/>
                    </w:rPr>
                  </m:ctrlPr>
                </m:sup>
              </m:sSup>
              <m:ctrlPr>
                <w:rPr>
                  <w:rFonts w:ascii="Cambria Math" w:hAnsi="Cambria Math"/>
                  <w:i/>
                  <w:iCs/>
                  <w:szCs w:val="21"/>
                </w:rPr>
              </m:ctrlP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iCs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1"/>
                    </w:rPr>
                    <m:t>m</m:t>
                  </m:r>
                  <m:ctrlPr>
                    <w:rPr>
                      <w:rFonts w:ascii="Cambria Math" w:hAnsi="Cambria Math"/>
                      <w:i/>
                      <w:iCs/>
                      <w:szCs w:val="21"/>
                    </w:rPr>
                  </m:ctrlPr>
                </m:e>
                <m:sub>
                  <m:r>
                    <w:rPr>
                      <w:rFonts w:ascii="Cambria Math" w:hAnsi="Cambria Math"/>
                      <w:szCs w:val="21"/>
                    </w:rPr>
                    <m:t>0</m:t>
                  </m:r>
                  <m:ctrlPr>
                    <w:rPr>
                      <w:rFonts w:ascii="Cambria Math" w:hAnsi="Cambria Math"/>
                      <w:i/>
                      <w:iCs/>
                      <w:szCs w:val="21"/>
                    </w:rPr>
                  </m:ctrlPr>
                </m:sub>
              </m:sSub>
              <m:ctrlPr>
                <w:rPr>
                  <w:rFonts w:ascii="Cambria Math" w:hAnsi="Cambria Math"/>
                  <w:i/>
                  <w:iCs/>
                  <w:szCs w:val="21"/>
                </w:rPr>
              </m:ctrlPr>
            </m:den>
          </m:f>
          <m:r>
            <w:rPr>
              <w:rFonts w:ascii="Cambria Math" w:hAnsi="Cambria Math"/>
              <w:szCs w:val="21"/>
            </w:rPr>
            <m:t xml:space="preserve">×100 %  </m:t>
          </m:r>
        </m:oMath>
      </m:oMathPara>
    </w:p>
    <w:p>
      <w:pPr>
        <w:spacing w:line="312" w:lineRule="auto"/>
        <w:ind w:firstLine="3990" w:firstLineChars="1900"/>
        <w:jc w:val="right"/>
      </w:pPr>
      <w:r>
        <w:rPr>
          <w:rFonts w:ascii="Cambria Math"/>
        </w:rPr>
        <w:fldChar w:fldCharType="begin"/>
      </w:r>
      <w:r>
        <w:rPr>
          <w:rFonts w:ascii="Cambria Math"/>
        </w:rPr>
        <w:instrText xml:space="preserve"> QUOTE </w:instrText>
      </w:r>
      <m:oMath>
        <m:r>
          <m:rPr>
            <m:sty m:val="p"/>
          </m:rPr>
          <w:rPr>
            <w:rFonts w:ascii="Cambria Math" w:hAnsi="宋体" w:cs="宋体"/>
            <w:kern w:val="0"/>
            <w:szCs w:val="21"/>
          </w:rPr>
          <m:t xml:space="preserve">ω</m:t>
        </m:r>
      </m:oMath>
      <w:r>
        <w:rPr>
          <w:rFonts w:ascii="Cambria Math"/>
        </w:rPr>
        <w:instrText xml:space="preserve"> </w:instrText>
      </w:r>
      <w:r>
        <w:rPr>
          <w:rFonts w:ascii="Cambria Math"/>
        </w:rPr>
        <w:fldChar w:fldCharType="end"/>
      </w:r>
      <w:r>
        <w:t xml:space="preserve">                         </w:t>
      </w:r>
      <w:r>
        <w:rPr>
          <w:rFonts w:hint="eastAsia" w:ascii="宋体" w:hAnsi="宋体" w:cs="宋体"/>
          <w:szCs w:val="21"/>
        </w:rPr>
        <w:t>(2)</w:t>
      </w:r>
    </w:p>
    <w:p>
      <w:pPr>
        <w:spacing w:line="240" w:lineRule="auto"/>
        <w:ind w:firstLine="437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式中：</w:t>
      </w:r>
    </w:p>
    <w:p>
      <w:pPr>
        <w:spacing w:line="240" w:lineRule="auto"/>
        <w:ind w:firstLine="437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m</w:t>
      </w:r>
      <w:r>
        <w:rPr>
          <w:rFonts w:hint="eastAsia" w:ascii="宋体" w:hAnsi="宋体" w:cs="宋体"/>
          <w:szCs w:val="21"/>
          <w:vertAlign w:val="subscript"/>
        </w:rPr>
        <w:t>0</w:t>
      </w:r>
      <w:r>
        <w:rPr>
          <w:rFonts w:hint="eastAsia" w:ascii="宋体" w:hAnsi="宋体" w:cs="宋体"/>
          <w:szCs w:val="21"/>
        </w:rPr>
        <w:t>——称取试料的质量，单位为克（g）；</w:t>
      </w:r>
      <w:bookmarkStart w:id="4" w:name="_GoBack"/>
      <w:bookmarkEnd w:id="4"/>
    </w:p>
    <w:p>
      <w:pPr>
        <w:spacing w:line="240" w:lineRule="auto"/>
        <w:ind w:firstLine="437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m</w:t>
      </w:r>
      <w:r>
        <w:rPr>
          <w:rFonts w:hint="eastAsia" w:ascii="宋体" w:hAnsi="宋体" w:cs="宋体"/>
          <w:szCs w:val="21"/>
          <w:vertAlign w:val="subscript"/>
        </w:rPr>
        <w:t>1</w:t>
      </w:r>
      <w:r>
        <w:rPr>
          <w:rFonts w:hint="eastAsia" w:ascii="宋体" w:hAnsi="宋体" w:cs="宋体"/>
          <w:szCs w:val="21"/>
        </w:rPr>
        <w:t>——从工作曲线上查得的钛量，单位为毫克（mg）；</w:t>
      </w:r>
    </w:p>
    <w:p>
      <w:pPr>
        <w:spacing w:line="24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T——稀释倍数。</w:t>
      </w:r>
    </w:p>
    <w:p>
      <w:pPr>
        <w:spacing w:line="276" w:lineRule="auto"/>
        <w:rPr>
          <w:rFonts w:ascii="宋体" w:hAnsi="宋体"/>
        </w:rPr>
      </w:pPr>
      <w:r>
        <w:rPr>
          <w:rFonts w:hint="eastAsia" w:ascii="黑体" w:hAnsi="黑体" w:eastAsia="黑体"/>
        </w:rPr>
        <w:t>5.6</w:t>
      </w:r>
      <w:r>
        <w:rPr>
          <w:rFonts w:ascii="黑体" w:hAnsi="黑体" w:eastAsia="黑体"/>
        </w:rPr>
        <w:t xml:space="preserve">.2 </w:t>
      </w:r>
      <w:r>
        <w:rPr>
          <w:rFonts w:ascii="宋体" w:hAnsi="宋体"/>
        </w:rPr>
        <w:t>计算结果表示</w:t>
      </w:r>
      <w:r>
        <w:rPr>
          <w:rFonts w:hint="eastAsia" w:ascii="宋体" w:hAnsi="宋体"/>
        </w:rPr>
        <w:t>至小数点后两位</w:t>
      </w:r>
      <w:r>
        <w:rPr>
          <w:rFonts w:ascii="宋体" w:hAnsi="宋体"/>
        </w:rPr>
        <w:t>。数值修约执行GB/T 8170</w:t>
      </w:r>
      <w:r>
        <w:rPr>
          <w:rFonts w:hint="eastAsia" w:ascii="宋体" w:hAnsi="宋体"/>
        </w:rPr>
        <w:t>-2008中3.2、3.3条款</w:t>
      </w:r>
      <w:r>
        <w:rPr>
          <w:rFonts w:ascii="宋体" w:hAnsi="宋体"/>
        </w:rPr>
        <w:t>。</w:t>
      </w:r>
    </w:p>
    <w:p>
      <w:pPr>
        <w:pStyle w:val="51"/>
        <w:tabs>
          <w:tab w:val="left" w:pos="360"/>
        </w:tabs>
        <w:spacing w:line="312" w:lineRule="auto"/>
        <w:ind w:firstLine="0" w:firstLineChars="0"/>
        <w:rPr>
          <w:rFonts w:ascii="黑体" w:hAnsi="黑体" w:eastAsia="黑体" w:cs="黑体"/>
          <w:bCs/>
          <w:szCs w:val="21"/>
        </w:rPr>
      </w:pPr>
      <w:r>
        <w:rPr>
          <w:rFonts w:hint="eastAsia" w:ascii="黑体" w:hAnsi="黑体" w:eastAsia="黑体" w:cs="黑体"/>
          <w:bCs/>
          <w:szCs w:val="21"/>
        </w:rPr>
        <w:t>5.7</w:t>
      </w:r>
      <w:r>
        <w:rPr>
          <w:rFonts w:ascii="黑体" w:hAnsi="黑体" w:eastAsia="黑体" w:cs="黑体"/>
          <w:bCs/>
          <w:szCs w:val="21"/>
        </w:rPr>
        <w:t xml:space="preserve">  </w:t>
      </w:r>
      <w:r>
        <w:rPr>
          <w:rFonts w:hint="eastAsia" w:ascii="黑体" w:hAnsi="黑体" w:eastAsia="黑体" w:cs="黑体"/>
          <w:bCs/>
          <w:szCs w:val="21"/>
        </w:rPr>
        <w:t>精密度</w:t>
      </w:r>
    </w:p>
    <w:p>
      <w:pPr>
        <w:autoSpaceDE w:val="0"/>
        <w:autoSpaceDN w:val="0"/>
        <w:adjustRightInd w:val="0"/>
        <w:spacing w:line="312" w:lineRule="auto"/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5.7.1 重复性</w:t>
      </w:r>
    </w:p>
    <w:p>
      <w:pPr>
        <w:spacing w:line="24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在重复性条件下获得的两次独立测试结果的测定值，在以下给出的平均值范围内，这两个测试结果的绝对差值不超过重复性限(r)，超过重复性限(r)的情况不超过5 %，重复性限(r)按照表5数据采用线性内插法或外延法求得。</w:t>
      </w:r>
    </w:p>
    <w:p>
      <w:pPr>
        <w:ind w:firstLine="420"/>
        <w:jc w:val="center"/>
        <w:rPr>
          <w:rFonts w:ascii="黑体" w:hAnsi="黑体" w:eastAsia="黑体" w:cs="宋体"/>
          <w:szCs w:val="21"/>
        </w:rPr>
      </w:pPr>
      <w:r>
        <w:rPr>
          <w:rFonts w:hint="eastAsia" w:ascii="黑体" w:hAnsi="黑体" w:eastAsia="黑体" w:cs="宋体"/>
          <w:szCs w:val="21"/>
        </w:rPr>
        <w:t>表5重复性限</w:t>
      </w:r>
    </w:p>
    <w:tbl>
      <w:tblPr>
        <w:tblStyle w:val="11"/>
        <w:tblW w:w="94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1571"/>
        <w:gridCol w:w="1571"/>
        <w:gridCol w:w="1571"/>
        <w:gridCol w:w="1571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71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i/>
                <w:iCs/>
                <w:szCs w:val="21"/>
              </w:rPr>
              <w:t>ω</w:t>
            </w:r>
            <w:r>
              <w:rPr>
                <w:rFonts w:hint="eastAsia" w:ascii="宋体" w:hAnsi="宋体" w:cs="宋体"/>
                <w:i/>
                <w:iCs/>
                <w:sz w:val="18"/>
                <w:szCs w:val="18"/>
                <w:vertAlign w:val="subscript"/>
              </w:rPr>
              <w:t>Ti</w:t>
            </w:r>
            <w:r>
              <w:rPr>
                <w:rFonts w:ascii="宋体" w:hAnsi="宋体" w:cs="宋体"/>
                <w:i/>
                <w:iCs/>
                <w:sz w:val="18"/>
                <w:szCs w:val="18"/>
                <w:vertAlign w:val="subscript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/%</w:t>
            </w:r>
          </w:p>
        </w:tc>
        <w:tc>
          <w:tcPr>
            <w:tcW w:w="157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0.5</w:t>
            </w:r>
          </w:p>
        </w:tc>
        <w:tc>
          <w:tcPr>
            <w:tcW w:w="157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571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5.02</w:t>
            </w:r>
          </w:p>
        </w:tc>
        <w:tc>
          <w:tcPr>
            <w:tcW w:w="1571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10.32</w:t>
            </w:r>
          </w:p>
        </w:tc>
        <w:tc>
          <w:tcPr>
            <w:tcW w:w="1571" w:type="dxa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571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/>
                <w:iCs/>
                <w:sz w:val="18"/>
                <w:szCs w:val="18"/>
              </w:rPr>
              <w:t>r</w:t>
            </w:r>
            <w:r>
              <w:rPr>
                <w:rFonts w:hint="eastAsia" w:ascii="宋体" w:hAnsi="宋体" w:cs="宋体"/>
                <w:sz w:val="18"/>
                <w:szCs w:val="18"/>
              </w:rPr>
              <w:t>/%</w:t>
            </w:r>
          </w:p>
        </w:tc>
        <w:tc>
          <w:tcPr>
            <w:tcW w:w="157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7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71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0.31</w:t>
            </w:r>
          </w:p>
        </w:tc>
        <w:tc>
          <w:tcPr>
            <w:tcW w:w="1571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0.36</w:t>
            </w:r>
          </w:p>
        </w:tc>
        <w:tc>
          <w:tcPr>
            <w:tcW w:w="1571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0.44</w:t>
            </w:r>
          </w:p>
        </w:tc>
      </w:tr>
    </w:tbl>
    <w:p>
      <w:pPr>
        <w:autoSpaceDE w:val="0"/>
        <w:autoSpaceDN w:val="0"/>
        <w:adjustRightInd w:val="0"/>
        <w:spacing w:line="312" w:lineRule="auto"/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5.7.2 再现性</w:t>
      </w:r>
    </w:p>
    <w:p>
      <w:pPr>
        <w:spacing w:line="24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在再现性条件下获得的两次独立测试结果的测定值，在以下给出的平均值范围内，这两个测试结果的绝对差值不超过再现性限（R），超过再现性限（R）的情况不超过5 %，再现性限（R）按表6数据采用线性内插法或外延法求得。</w:t>
      </w:r>
    </w:p>
    <w:p>
      <w:pPr>
        <w:spacing w:line="312" w:lineRule="auto"/>
        <w:ind w:firstLine="420" w:firstLineChars="200"/>
        <w:jc w:val="center"/>
        <w:rPr>
          <w:rFonts w:ascii="黑体" w:hAnsi="黑体" w:eastAsia="黑体" w:cs="宋体"/>
          <w:szCs w:val="21"/>
        </w:rPr>
      </w:pPr>
      <w:r>
        <w:rPr>
          <w:rFonts w:hint="eastAsia" w:ascii="黑体" w:hAnsi="黑体" w:eastAsia="黑体" w:cs="宋体"/>
          <w:szCs w:val="21"/>
        </w:rPr>
        <w:t>表6再现性限</w:t>
      </w:r>
    </w:p>
    <w:tbl>
      <w:tblPr>
        <w:tblStyle w:val="11"/>
        <w:tblW w:w="94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1571"/>
        <w:gridCol w:w="1571"/>
        <w:gridCol w:w="1571"/>
        <w:gridCol w:w="1571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71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i/>
                <w:iCs/>
                <w:szCs w:val="21"/>
              </w:rPr>
              <w:t>ω</w:t>
            </w:r>
            <w:r>
              <w:rPr>
                <w:rFonts w:hint="eastAsia" w:ascii="宋体" w:hAnsi="宋体" w:cs="宋体"/>
                <w:i/>
                <w:iCs/>
                <w:sz w:val="18"/>
                <w:szCs w:val="18"/>
                <w:vertAlign w:val="subscript"/>
              </w:rPr>
              <w:t>Ti</w:t>
            </w:r>
            <w:r>
              <w:rPr>
                <w:rFonts w:ascii="宋体" w:hAnsi="宋体" w:cs="宋体"/>
                <w:i/>
                <w:iCs/>
                <w:sz w:val="18"/>
                <w:szCs w:val="18"/>
                <w:vertAlign w:val="subscript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/%</w:t>
            </w:r>
          </w:p>
        </w:tc>
        <w:tc>
          <w:tcPr>
            <w:tcW w:w="157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0.5</w:t>
            </w:r>
          </w:p>
        </w:tc>
        <w:tc>
          <w:tcPr>
            <w:tcW w:w="157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571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5.02</w:t>
            </w:r>
          </w:p>
        </w:tc>
        <w:tc>
          <w:tcPr>
            <w:tcW w:w="1571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10.32</w:t>
            </w:r>
          </w:p>
        </w:tc>
        <w:tc>
          <w:tcPr>
            <w:tcW w:w="1571" w:type="dxa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571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i/>
                <w:iCs/>
                <w:sz w:val="18"/>
                <w:szCs w:val="18"/>
              </w:rPr>
              <w:t>R</w:t>
            </w:r>
            <w:r>
              <w:rPr>
                <w:rFonts w:hint="eastAsia" w:ascii="宋体" w:hAnsi="宋体" w:cs="宋体"/>
                <w:sz w:val="18"/>
                <w:szCs w:val="18"/>
              </w:rPr>
              <w:t>/%</w:t>
            </w:r>
          </w:p>
        </w:tc>
        <w:tc>
          <w:tcPr>
            <w:tcW w:w="157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7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71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0.38</w:t>
            </w:r>
          </w:p>
        </w:tc>
        <w:tc>
          <w:tcPr>
            <w:tcW w:w="1571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0.54</w:t>
            </w:r>
          </w:p>
        </w:tc>
        <w:tc>
          <w:tcPr>
            <w:tcW w:w="1571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0.67</w:t>
            </w:r>
          </w:p>
        </w:tc>
      </w:tr>
    </w:tbl>
    <w:p>
      <w:pPr>
        <w:spacing w:before="156" w:beforeLines="50" w:after="156" w:afterLines="50"/>
        <w:rPr>
          <w:rFonts w:ascii="黑体" w:eastAsia="黑体"/>
        </w:rPr>
      </w:pPr>
      <w:r>
        <w:rPr>
          <w:rFonts w:hint="eastAsia" w:ascii="黑体" w:eastAsia="黑体"/>
        </w:rPr>
        <w:t>6  质量保证与控制</w:t>
      </w:r>
    </w:p>
    <w:p>
      <w:r>
        <w:rPr>
          <w:rFonts w:hint="eastAsia"/>
        </w:rPr>
        <w:t xml:space="preserve">    分析时，用标准样品或控制样品进行校核，或每年至少用标准样品或控制样品对分析方法校核一次。当过程失控时，应找出原因。纠正错误后，重新进行校核。</w:t>
      </w:r>
    </w:p>
    <w:p>
      <w:pPr>
        <w:spacing w:before="156" w:beforeLines="50" w:after="156" w:afterLines="5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7  试验报告</w:t>
      </w:r>
    </w:p>
    <w:p>
      <w:pPr>
        <w:ind w:firstLine="420"/>
        <w:rPr>
          <w:rFonts w:cs="宋体"/>
        </w:rPr>
      </w:pPr>
      <w:r>
        <w:rPr>
          <w:rFonts w:hint="eastAsia" w:cs="宋体"/>
        </w:rPr>
        <w:t>试验报告应包括下列内容：</w:t>
      </w:r>
    </w:p>
    <w:p>
      <w:pPr>
        <w:spacing w:line="276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a）本部分编号及名称；</w:t>
      </w:r>
    </w:p>
    <w:p>
      <w:pPr>
        <w:spacing w:line="276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b）关于识别样品、实验室、分析日期、报告日期等所有的必要的信息；</w:t>
      </w:r>
    </w:p>
    <w:p>
      <w:pPr>
        <w:spacing w:line="276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c）以适当的形式表达试验结果；</w:t>
      </w:r>
    </w:p>
    <w:p>
      <w:pPr>
        <w:spacing w:line="276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d）试验过程中出现的异常现象；</w:t>
      </w:r>
    </w:p>
    <w:p>
      <w:pPr>
        <w:spacing w:line="276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e）在本部分中没有明确说明或可选择的、可能影响结果的任何操作；</w:t>
      </w:r>
    </w:p>
    <w:p>
      <w:pPr>
        <w:ind w:firstLine="403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</w:rPr>
        <w:t>f）试验、审核等相关责任人的签名。</w:t>
      </w:r>
    </w:p>
    <w:p>
      <w:pPr>
        <w:ind w:firstLine="403"/>
        <w:rPr>
          <w:rFonts w:ascii="宋体" w:hAnsi="宋体"/>
          <w:color w:val="000000"/>
          <w:szCs w:val="21"/>
        </w:rPr>
      </w:pPr>
      <w:r>
        <w:rPr>
          <w:sz w:val="20"/>
        </w:rPr>
        <w:pict>
          <v:line id="直线 2" o:spid="_x0000_s1027" o:spt="20" style="position:absolute;left:0pt;margin-left:173.25pt;margin-top:13.45pt;height:0pt;width:141.75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">
            <v:path arrowok="t"/>
            <v:fill focussize="0,0"/>
            <v:stroke weight="1.5pt"/>
            <v:imagedata o:title=""/>
            <o:lock v:ext="edit"/>
          </v:line>
        </w:pict>
      </w:r>
      <w:bookmarkEnd w:id="0"/>
    </w:p>
    <w:sectPr>
      <w:footerReference r:id="rId9" w:type="default"/>
      <w:footerReference r:id="rId10" w:type="even"/>
      <w:pgSz w:w="11907" w:h="16839"/>
      <w:pgMar w:top="1418" w:right="1134" w:bottom="1134" w:left="1418" w:header="1418" w:footer="851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GungsuhChe">
    <w:altName w:val="Malgun Gothic"/>
    <w:panose1 w:val="02030609000101010101"/>
    <w:charset w:val="81"/>
    <w:family w:val="modern"/>
    <w:pitch w:val="default"/>
    <w:sig w:usb0="00000000" w:usb1="00000000" w:usb2="00000030" w:usb3="00000000" w:csb0="0008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right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2</w:t>
    </w:r>
    <w:r>
      <w:fldChar w:fldCharType="end"/>
    </w:r>
  </w:p>
  <w:p>
    <w:pPr>
      <w:pStyle w:val="9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Style w:val="1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Style w:val="1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5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4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0"/>
      <w:ind w:right="420"/>
      <w:jc w:val="both"/>
      <w:rPr>
        <w:rFonts w:ascii="黑体" w:eastAsia="黑体"/>
      </w:rPr>
    </w:pPr>
    <w:r>
      <w:rPr>
        <w:rFonts w:hint="eastAsia" w:ascii="黑体" w:eastAsia="黑体"/>
      </w:rPr>
      <w:t>GB/T 20975.12—201X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  <w:rPr>
        <w:rFonts w:ascii="黑体" w:eastAsia="黑体"/>
      </w:rPr>
    </w:pPr>
    <w:r>
      <w:rPr>
        <w:rFonts w:hint="eastAsia" w:ascii="黑体" w:eastAsia="黑体"/>
      </w:rPr>
      <w:t>GB/T 20975.12—201X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52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53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54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0AE367E9"/>
    <w:multiLevelType w:val="multilevel"/>
    <w:tmpl w:val="0AE367E9"/>
    <w:lvl w:ilvl="0" w:tentative="0">
      <w:start w:val="1"/>
      <w:numFmt w:val="none"/>
      <w:lvlText w:val="%1示例"/>
      <w:lvlJc w:val="left"/>
      <w:pPr>
        <w:tabs>
          <w:tab w:val="left" w:pos="1120"/>
        </w:tabs>
        <w:ind w:left="0" w:firstLine="400"/>
      </w:pPr>
      <w:rPr>
        <w:rFonts w:hint="eastAsia" w:ascii="宋体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pStyle w:val="43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16125690"/>
    <w:multiLevelType w:val="multilevel"/>
    <w:tmpl w:val="16125690"/>
    <w:lvl w:ilvl="0" w:tentative="0">
      <w:start w:val="1"/>
      <w:numFmt w:val="lowerLetter"/>
      <w:lvlText w:val="%1)"/>
      <w:lvlJc w:val="left"/>
      <w:pPr>
        <w:tabs>
          <w:tab w:val="left" w:pos="360"/>
        </w:tabs>
        <w:ind w:left="360" w:hanging="360"/>
      </w:pPr>
      <w:rPr>
        <w:rFonts w:hint="eastAsia" w:ascii="黑体" w:eastAsia="黑体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pStyle w:val="47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465C734F"/>
    <w:multiLevelType w:val="multilevel"/>
    <w:tmpl w:val="465C734F"/>
    <w:lvl w:ilvl="0" w:tentative="0">
      <w:start w:val="3"/>
      <w:numFmt w:val="decimal"/>
      <w:pStyle w:val="30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pStyle w:val="44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46260FA"/>
    <w:multiLevelType w:val="multilevel"/>
    <w:tmpl w:val="646260FA"/>
    <w:lvl w:ilvl="0" w:tentative="0">
      <w:start w:val="1"/>
      <w:numFmt w:val="decimal"/>
      <w:pStyle w:val="48"/>
      <w:suff w:val="nothing"/>
      <w:lvlText w:val="表%1　"/>
      <w:lvlJc w:val="left"/>
      <w:pPr>
        <w:ind w:left="4536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5528"/>
        </w:tabs>
        <w:ind w:left="5528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5954"/>
        </w:tabs>
        <w:ind w:left="5954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6520"/>
        </w:tabs>
        <w:ind w:left="6520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7087"/>
        </w:tabs>
        <w:ind w:left="7087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7796"/>
        </w:tabs>
        <w:ind w:left="7796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8363"/>
        </w:tabs>
        <w:ind w:left="8363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8930"/>
        </w:tabs>
        <w:ind w:left="8930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9638"/>
        </w:tabs>
        <w:ind w:left="9638" w:hanging="1700"/>
      </w:pPr>
      <w:rPr>
        <w:rFonts w:hint="eastAsia"/>
      </w:rPr>
    </w:lvl>
  </w:abstractNum>
  <w:abstractNum w:abstractNumId="5">
    <w:nsid w:val="6CEA2025"/>
    <w:multiLevelType w:val="multilevel"/>
    <w:tmpl w:val="6CEA2025"/>
    <w:lvl w:ilvl="0" w:tentative="0">
      <w:start w:val="1"/>
      <w:numFmt w:val="none"/>
      <w:pStyle w:val="35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32A1"/>
    <w:rsid w:val="000075A0"/>
    <w:rsid w:val="00027D7E"/>
    <w:rsid w:val="000300B8"/>
    <w:rsid w:val="00062879"/>
    <w:rsid w:val="00067273"/>
    <w:rsid w:val="0007130E"/>
    <w:rsid w:val="00075A61"/>
    <w:rsid w:val="000814FE"/>
    <w:rsid w:val="00093529"/>
    <w:rsid w:val="000A64B6"/>
    <w:rsid w:val="000B040A"/>
    <w:rsid w:val="000B2424"/>
    <w:rsid w:val="000D7685"/>
    <w:rsid w:val="000E2E69"/>
    <w:rsid w:val="000F13EE"/>
    <w:rsid w:val="0011210A"/>
    <w:rsid w:val="00120C1E"/>
    <w:rsid w:val="00130A5F"/>
    <w:rsid w:val="0013647A"/>
    <w:rsid w:val="0014461C"/>
    <w:rsid w:val="001671EB"/>
    <w:rsid w:val="00171B3B"/>
    <w:rsid w:val="001762B5"/>
    <w:rsid w:val="00180F3C"/>
    <w:rsid w:val="00183305"/>
    <w:rsid w:val="001847B2"/>
    <w:rsid w:val="00187620"/>
    <w:rsid w:val="001A5061"/>
    <w:rsid w:val="001B2996"/>
    <w:rsid w:val="001B5819"/>
    <w:rsid w:val="001C3731"/>
    <w:rsid w:val="001C4DC1"/>
    <w:rsid w:val="001D6040"/>
    <w:rsid w:val="001D608F"/>
    <w:rsid w:val="001D69F7"/>
    <w:rsid w:val="001F15DC"/>
    <w:rsid w:val="00203C7B"/>
    <w:rsid w:val="00211958"/>
    <w:rsid w:val="002156D8"/>
    <w:rsid w:val="00215CE3"/>
    <w:rsid w:val="00215E42"/>
    <w:rsid w:val="00215EE3"/>
    <w:rsid w:val="002164BC"/>
    <w:rsid w:val="00223C01"/>
    <w:rsid w:val="0023110B"/>
    <w:rsid w:val="00235AB7"/>
    <w:rsid w:val="00240332"/>
    <w:rsid w:val="00241370"/>
    <w:rsid w:val="00245B9B"/>
    <w:rsid w:val="00255C7A"/>
    <w:rsid w:val="00265EA6"/>
    <w:rsid w:val="0026679C"/>
    <w:rsid w:val="00275BD7"/>
    <w:rsid w:val="00280F43"/>
    <w:rsid w:val="00283AFB"/>
    <w:rsid w:val="00283EA5"/>
    <w:rsid w:val="0028649B"/>
    <w:rsid w:val="00294314"/>
    <w:rsid w:val="002C5986"/>
    <w:rsid w:val="002D02D4"/>
    <w:rsid w:val="002D3AC3"/>
    <w:rsid w:val="002E67E4"/>
    <w:rsid w:val="002E7B80"/>
    <w:rsid w:val="003014F7"/>
    <w:rsid w:val="00307C28"/>
    <w:rsid w:val="00311449"/>
    <w:rsid w:val="00313AE5"/>
    <w:rsid w:val="00313DAC"/>
    <w:rsid w:val="00354450"/>
    <w:rsid w:val="00363028"/>
    <w:rsid w:val="003667BD"/>
    <w:rsid w:val="00375B3E"/>
    <w:rsid w:val="0038309A"/>
    <w:rsid w:val="003837F9"/>
    <w:rsid w:val="00387E90"/>
    <w:rsid w:val="003948E5"/>
    <w:rsid w:val="003A64F3"/>
    <w:rsid w:val="003C2E94"/>
    <w:rsid w:val="003D641C"/>
    <w:rsid w:val="003E0EDC"/>
    <w:rsid w:val="003F6A13"/>
    <w:rsid w:val="004049FC"/>
    <w:rsid w:val="00412252"/>
    <w:rsid w:val="00415265"/>
    <w:rsid w:val="00417604"/>
    <w:rsid w:val="00432E91"/>
    <w:rsid w:val="00437BA4"/>
    <w:rsid w:val="00440219"/>
    <w:rsid w:val="00440D8F"/>
    <w:rsid w:val="00441407"/>
    <w:rsid w:val="00445928"/>
    <w:rsid w:val="00446567"/>
    <w:rsid w:val="00450DFE"/>
    <w:rsid w:val="0045576F"/>
    <w:rsid w:val="004702B7"/>
    <w:rsid w:val="0047130E"/>
    <w:rsid w:val="0048077C"/>
    <w:rsid w:val="004831A1"/>
    <w:rsid w:val="00492D14"/>
    <w:rsid w:val="00495A8E"/>
    <w:rsid w:val="004A359E"/>
    <w:rsid w:val="004A6352"/>
    <w:rsid w:val="004C1DE1"/>
    <w:rsid w:val="004C382B"/>
    <w:rsid w:val="004D205C"/>
    <w:rsid w:val="004D64E8"/>
    <w:rsid w:val="004E335C"/>
    <w:rsid w:val="004E550B"/>
    <w:rsid w:val="004F558A"/>
    <w:rsid w:val="00505C33"/>
    <w:rsid w:val="00510ACD"/>
    <w:rsid w:val="0051747E"/>
    <w:rsid w:val="00523966"/>
    <w:rsid w:val="0053115A"/>
    <w:rsid w:val="00540E86"/>
    <w:rsid w:val="005426EB"/>
    <w:rsid w:val="00545173"/>
    <w:rsid w:val="0056084C"/>
    <w:rsid w:val="00574E2B"/>
    <w:rsid w:val="005837D4"/>
    <w:rsid w:val="0059351E"/>
    <w:rsid w:val="005B21C0"/>
    <w:rsid w:val="005B46E9"/>
    <w:rsid w:val="005C1774"/>
    <w:rsid w:val="005F4A2A"/>
    <w:rsid w:val="005F5C18"/>
    <w:rsid w:val="006174D2"/>
    <w:rsid w:val="00617C75"/>
    <w:rsid w:val="00622827"/>
    <w:rsid w:val="00623781"/>
    <w:rsid w:val="00625829"/>
    <w:rsid w:val="00625990"/>
    <w:rsid w:val="00626A4E"/>
    <w:rsid w:val="00634305"/>
    <w:rsid w:val="006346E8"/>
    <w:rsid w:val="006545AE"/>
    <w:rsid w:val="00655E87"/>
    <w:rsid w:val="00655F4F"/>
    <w:rsid w:val="006632A1"/>
    <w:rsid w:val="00676A1D"/>
    <w:rsid w:val="00680A2A"/>
    <w:rsid w:val="00680ADD"/>
    <w:rsid w:val="006A3035"/>
    <w:rsid w:val="006A5DD2"/>
    <w:rsid w:val="006B022A"/>
    <w:rsid w:val="006B0AAC"/>
    <w:rsid w:val="006C53BC"/>
    <w:rsid w:val="006C62FB"/>
    <w:rsid w:val="006D2AB4"/>
    <w:rsid w:val="006D3C7A"/>
    <w:rsid w:val="006D6C26"/>
    <w:rsid w:val="006E0D28"/>
    <w:rsid w:val="006E21E6"/>
    <w:rsid w:val="006F0002"/>
    <w:rsid w:val="006F0CA5"/>
    <w:rsid w:val="006F4E07"/>
    <w:rsid w:val="006F5B64"/>
    <w:rsid w:val="00724449"/>
    <w:rsid w:val="0072539D"/>
    <w:rsid w:val="0072619C"/>
    <w:rsid w:val="00742C68"/>
    <w:rsid w:val="007475BF"/>
    <w:rsid w:val="00753F4D"/>
    <w:rsid w:val="00762E68"/>
    <w:rsid w:val="007634F2"/>
    <w:rsid w:val="0076547E"/>
    <w:rsid w:val="00766D3F"/>
    <w:rsid w:val="00766E8A"/>
    <w:rsid w:val="0077122F"/>
    <w:rsid w:val="007803C6"/>
    <w:rsid w:val="00782047"/>
    <w:rsid w:val="0078437B"/>
    <w:rsid w:val="007910D1"/>
    <w:rsid w:val="00792351"/>
    <w:rsid w:val="00793F7D"/>
    <w:rsid w:val="007A1858"/>
    <w:rsid w:val="007A4943"/>
    <w:rsid w:val="007D6C45"/>
    <w:rsid w:val="007E33F3"/>
    <w:rsid w:val="007E633B"/>
    <w:rsid w:val="007F6565"/>
    <w:rsid w:val="007F7D04"/>
    <w:rsid w:val="00803C45"/>
    <w:rsid w:val="00821DD3"/>
    <w:rsid w:val="00826870"/>
    <w:rsid w:val="00844A51"/>
    <w:rsid w:val="0084505C"/>
    <w:rsid w:val="00845379"/>
    <w:rsid w:val="00856278"/>
    <w:rsid w:val="00862B99"/>
    <w:rsid w:val="00870357"/>
    <w:rsid w:val="00877489"/>
    <w:rsid w:val="0088043A"/>
    <w:rsid w:val="008853AA"/>
    <w:rsid w:val="00887D8C"/>
    <w:rsid w:val="00890202"/>
    <w:rsid w:val="00891C42"/>
    <w:rsid w:val="00892710"/>
    <w:rsid w:val="00895885"/>
    <w:rsid w:val="008A2E8C"/>
    <w:rsid w:val="008B5984"/>
    <w:rsid w:val="008B70D0"/>
    <w:rsid w:val="008C7DE3"/>
    <w:rsid w:val="008D7D02"/>
    <w:rsid w:val="008E28C9"/>
    <w:rsid w:val="008F5F52"/>
    <w:rsid w:val="00923950"/>
    <w:rsid w:val="00926F58"/>
    <w:rsid w:val="00933440"/>
    <w:rsid w:val="00934A17"/>
    <w:rsid w:val="009503B0"/>
    <w:rsid w:val="00956E64"/>
    <w:rsid w:val="009608BF"/>
    <w:rsid w:val="00966CA2"/>
    <w:rsid w:val="009713D7"/>
    <w:rsid w:val="00973330"/>
    <w:rsid w:val="00994CAF"/>
    <w:rsid w:val="00996A69"/>
    <w:rsid w:val="009A43FF"/>
    <w:rsid w:val="009A556A"/>
    <w:rsid w:val="009B24B6"/>
    <w:rsid w:val="009B3B02"/>
    <w:rsid w:val="009B6959"/>
    <w:rsid w:val="009B764F"/>
    <w:rsid w:val="009C5C8D"/>
    <w:rsid w:val="009D63AE"/>
    <w:rsid w:val="009D7DC5"/>
    <w:rsid w:val="009E6C9C"/>
    <w:rsid w:val="009F33B5"/>
    <w:rsid w:val="009F3BD4"/>
    <w:rsid w:val="00A0371B"/>
    <w:rsid w:val="00A04A3A"/>
    <w:rsid w:val="00A175D0"/>
    <w:rsid w:val="00A2411D"/>
    <w:rsid w:val="00A2723C"/>
    <w:rsid w:val="00A33D2A"/>
    <w:rsid w:val="00A3467D"/>
    <w:rsid w:val="00A555FA"/>
    <w:rsid w:val="00A61CB4"/>
    <w:rsid w:val="00A659E1"/>
    <w:rsid w:val="00A7608C"/>
    <w:rsid w:val="00A91E42"/>
    <w:rsid w:val="00A9532D"/>
    <w:rsid w:val="00A97369"/>
    <w:rsid w:val="00AB2A9E"/>
    <w:rsid w:val="00AC6825"/>
    <w:rsid w:val="00AD7637"/>
    <w:rsid w:val="00AE376A"/>
    <w:rsid w:val="00AE4F05"/>
    <w:rsid w:val="00B00E33"/>
    <w:rsid w:val="00B01A62"/>
    <w:rsid w:val="00B02F26"/>
    <w:rsid w:val="00B15801"/>
    <w:rsid w:val="00B30CF7"/>
    <w:rsid w:val="00B37AB2"/>
    <w:rsid w:val="00B41067"/>
    <w:rsid w:val="00B43414"/>
    <w:rsid w:val="00B50171"/>
    <w:rsid w:val="00B519D2"/>
    <w:rsid w:val="00B54675"/>
    <w:rsid w:val="00B55214"/>
    <w:rsid w:val="00B57018"/>
    <w:rsid w:val="00B7019B"/>
    <w:rsid w:val="00B71DC1"/>
    <w:rsid w:val="00B73E47"/>
    <w:rsid w:val="00B84842"/>
    <w:rsid w:val="00B871C6"/>
    <w:rsid w:val="00B96D4D"/>
    <w:rsid w:val="00B9733A"/>
    <w:rsid w:val="00BB17A4"/>
    <w:rsid w:val="00BD12AC"/>
    <w:rsid w:val="00BE18AD"/>
    <w:rsid w:val="00BF006E"/>
    <w:rsid w:val="00C00FF2"/>
    <w:rsid w:val="00C05BE4"/>
    <w:rsid w:val="00C121F1"/>
    <w:rsid w:val="00C3457F"/>
    <w:rsid w:val="00C443A1"/>
    <w:rsid w:val="00C47C0A"/>
    <w:rsid w:val="00C47E03"/>
    <w:rsid w:val="00C5527E"/>
    <w:rsid w:val="00C61525"/>
    <w:rsid w:val="00C66528"/>
    <w:rsid w:val="00C905EA"/>
    <w:rsid w:val="00C9065C"/>
    <w:rsid w:val="00C91E82"/>
    <w:rsid w:val="00C948D6"/>
    <w:rsid w:val="00C97B68"/>
    <w:rsid w:val="00CA34B8"/>
    <w:rsid w:val="00CB06CF"/>
    <w:rsid w:val="00CB1807"/>
    <w:rsid w:val="00CB2DFD"/>
    <w:rsid w:val="00CC147B"/>
    <w:rsid w:val="00CF1F95"/>
    <w:rsid w:val="00D105B4"/>
    <w:rsid w:val="00D115C8"/>
    <w:rsid w:val="00D14520"/>
    <w:rsid w:val="00D21EB7"/>
    <w:rsid w:val="00D24A71"/>
    <w:rsid w:val="00D25BF9"/>
    <w:rsid w:val="00D25CA8"/>
    <w:rsid w:val="00D51919"/>
    <w:rsid w:val="00D53F40"/>
    <w:rsid w:val="00D53F95"/>
    <w:rsid w:val="00D542C7"/>
    <w:rsid w:val="00D63EE5"/>
    <w:rsid w:val="00D67148"/>
    <w:rsid w:val="00D70B1D"/>
    <w:rsid w:val="00D7601F"/>
    <w:rsid w:val="00D95C70"/>
    <w:rsid w:val="00DC6339"/>
    <w:rsid w:val="00DC75C3"/>
    <w:rsid w:val="00DD0F8D"/>
    <w:rsid w:val="00DD2365"/>
    <w:rsid w:val="00DE016D"/>
    <w:rsid w:val="00DE60C2"/>
    <w:rsid w:val="00E02A3B"/>
    <w:rsid w:val="00E31950"/>
    <w:rsid w:val="00E4238B"/>
    <w:rsid w:val="00E527C1"/>
    <w:rsid w:val="00E560A5"/>
    <w:rsid w:val="00E56195"/>
    <w:rsid w:val="00E6065B"/>
    <w:rsid w:val="00E61462"/>
    <w:rsid w:val="00E6618D"/>
    <w:rsid w:val="00E75488"/>
    <w:rsid w:val="00E85964"/>
    <w:rsid w:val="00E9063B"/>
    <w:rsid w:val="00E9700C"/>
    <w:rsid w:val="00E970B9"/>
    <w:rsid w:val="00EA1B92"/>
    <w:rsid w:val="00EB4B09"/>
    <w:rsid w:val="00EC032C"/>
    <w:rsid w:val="00EC35E4"/>
    <w:rsid w:val="00ED06F0"/>
    <w:rsid w:val="00EE64C4"/>
    <w:rsid w:val="00EF1E40"/>
    <w:rsid w:val="00F01E77"/>
    <w:rsid w:val="00F146E3"/>
    <w:rsid w:val="00F4138D"/>
    <w:rsid w:val="00F43296"/>
    <w:rsid w:val="00F675A0"/>
    <w:rsid w:val="00F80169"/>
    <w:rsid w:val="00F80895"/>
    <w:rsid w:val="00F93287"/>
    <w:rsid w:val="00FA0CBA"/>
    <w:rsid w:val="00FA17BC"/>
    <w:rsid w:val="00FC4C7B"/>
    <w:rsid w:val="00FC7737"/>
    <w:rsid w:val="00FE10A3"/>
    <w:rsid w:val="00FE427A"/>
    <w:rsid w:val="00FF0913"/>
    <w:rsid w:val="00FF3005"/>
    <w:rsid w:val="00FF5AC3"/>
    <w:rsid w:val="08EE48F2"/>
    <w:rsid w:val="0B6B4031"/>
    <w:rsid w:val="106573E1"/>
    <w:rsid w:val="15DB0B48"/>
    <w:rsid w:val="1A831527"/>
    <w:rsid w:val="1AAB55B9"/>
    <w:rsid w:val="1D994257"/>
    <w:rsid w:val="1DA56EBE"/>
    <w:rsid w:val="1E606032"/>
    <w:rsid w:val="1F1E4EA0"/>
    <w:rsid w:val="22F7717B"/>
    <w:rsid w:val="24671121"/>
    <w:rsid w:val="27AF4A0D"/>
    <w:rsid w:val="28BD347A"/>
    <w:rsid w:val="290E3BD2"/>
    <w:rsid w:val="2B12060A"/>
    <w:rsid w:val="2C112F8C"/>
    <w:rsid w:val="2D402A7B"/>
    <w:rsid w:val="2FBA7DB4"/>
    <w:rsid w:val="305D74CD"/>
    <w:rsid w:val="32234665"/>
    <w:rsid w:val="396843F4"/>
    <w:rsid w:val="3A566BAF"/>
    <w:rsid w:val="3AA278EC"/>
    <w:rsid w:val="424E0AAE"/>
    <w:rsid w:val="45D819A0"/>
    <w:rsid w:val="4DC0492D"/>
    <w:rsid w:val="4E75238D"/>
    <w:rsid w:val="50687CEC"/>
    <w:rsid w:val="557D208E"/>
    <w:rsid w:val="573D1137"/>
    <w:rsid w:val="58B70337"/>
    <w:rsid w:val="627A066C"/>
    <w:rsid w:val="6B217F16"/>
    <w:rsid w:val="6C3509A9"/>
    <w:rsid w:val="6E9C122C"/>
    <w:rsid w:val="749A714B"/>
    <w:rsid w:val="769C09B1"/>
    <w:rsid w:val="78111A9A"/>
    <w:rsid w:val="78F02B77"/>
    <w:rsid w:val="7C03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name="toc 2"/>
    <w:lsdException w:uiPriority="39" w:name="toc 3"/>
    <w:lsdException w:uiPriority="39" w:semiHidden="0" w:name="toc 4"/>
    <w:lsdException w:unhideWhenUsed="0" w:uiPriority="0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spacing w:beforeLines="50" w:line="240" w:lineRule="exact"/>
      <w:jc w:val="center"/>
      <w:outlineLvl w:val="0"/>
    </w:pPr>
    <w:rPr>
      <w:rFonts w:ascii="黑体"/>
      <w:sz w:val="28"/>
      <w:lang w:val="en-GB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20"/>
      <w:jc w:val="left"/>
      <w:textAlignment w:val="baseline"/>
    </w:pPr>
    <w:rPr>
      <w:kern w:val="0"/>
      <w:sz w:val="24"/>
      <w:szCs w:val="20"/>
    </w:rPr>
  </w:style>
  <w:style w:type="paragraph" w:styleId="4">
    <w:name w:val="Body Text"/>
    <w:basedOn w:val="1"/>
    <w:link w:val="20"/>
    <w:qFormat/>
    <w:uiPriority w:val="0"/>
    <w:pPr>
      <w:spacing w:line="0" w:lineRule="atLeast"/>
    </w:pPr>
    <w:rPr>
      <w:rFonts w:eastAsia="黑体"/>
      <w:spacing w:val="100"/>
      <w:w w:val="200"/>
      <w:sz w:val="52"/>
      <w:szCs w:val="20"/>
    </w:rPr>
  </w:style>
  <w:style w:type="paragraph" w:styleId="5">
    <w:name w:val="Body Text Indent"/>
    <w:basedOn w:val="1"/>
    <w:link w:val="25"/>
    <w:qFormat/>
    <w:uiPriority w:val="0"/>
    <w:pPr>
      <w:spacing w:after="120"/>
      <w:ind w:left="420" w:leftChars="200"/>
    </w:pPr>
  </w:style>
  <w:style w:type="paragraph" w:styleId="6">
    <w:name w:val="Plain Text"/>
    <w:basedOn w:val="1"/>
    <w:link w:val="16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6"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57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10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4">
    <w:name w:val="page number"/>
    <w:basedOn w:val="13"/>
    <w:qFormat/>
    <w:uiPriority w:val="0"/>
  </w:style>
  <w:style w:type="character" w:customStyle="1" w:styleId="15">
    <w:name w:val="正文文本缩进 Char"/>
    <w:qFormat/>
    <w:uiPriority w:val="0"/>
    <w:rPr>
      <w:szCs w:val="24"/>
    </w:rPr>
  </w:style>
  <w:style w:type="character" w:customStyle="1" w:styleId="16">
    <w:name w:val="纯文本 字符1"/>
    <w:link w:val="6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7">
    <w:name w:val="页脚 字符1"/>
    <w:link w:val="9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8">
    <w:name w:val="段 Char"/>
    <w:link w:val="19"/>
    <w:qFormat/>
    <w:uiPriority w:val="0"/>
    <w:rPr>
      <w:rFonts w:ascii="宋体"/>
      <w:kern w:val="2"/>
      <w:sz w:val="21"/>
      <w:szCs w:val="22"/>
      <w:lang w:val="en-US" w:eastAsia="zh-CN" w:bidi="ar-SA"/>
    </w:rPr>
  </w:style>
  <w:style w:type="paragraph" w:customStyle="1" w:styleId="19">
    <w:name w:val="段"/>
    <w:link w:val="18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0">
    <w:name w:val="正文文本 字符"/>
    <w:link w:val="4"/>
    <w:qFormat/>
    <w:uiPriority w:val="0"/>
    <w:rPr>
      <w:rFonts w:ascii="Times New Roman" w:hAnsi="Times New Roman" w:eastAsia="黑体" w:cs="Times New Roman"/>
      <w:spacing w:val="100"/>
      <w:w w:val="200"/>
      <w:sz w:val="52"/>
      <w:szCs w:val="20"/>
    </w:rPr>
  </w:style>
  <w:style w:type="character" w:customStyle="1" w:styleId="21">
    <w:name w:val="列项——（一级） Char"/>
    <w:qFormat/>
    <w:uiPriority w:val="0"/>
    <w:rPr>
      <w:rFonts w:ascii="宋体" w:cs="宋体"/>
      <w:sz w:val="21"/>
      <w:szCs w:val="21"/>
    </w:rPr>
  </w:style>
  <w:style w:type="character" w:customStyle="1" w:styleId="22">
    <w:name w:val="标题 1 字符"/>
    <w:link w:val="2"/>
    <w:uiPriority w:val="0"/>
    <w:rPr>
      <w:rFonts w:ascii="黑体" w:hAnsi="Times New Roman" w:eastAsia="宋体" w:cs="Times New Roman"/>
      <w:sz w:val="28"/>
      <w:szCs w:val="24"/>
      <w:lang w:val="en-GB"/>
    </w:rPr>
  </w:style>
  <w:style w:type="character" w:customStyle="1" w:styleId="23">
    <w:name w:val="正文首行缩进 Char"/>
    <w:qFormat/>
    <w:uiPriority w:val="0"/>
    <w:rPr>
      <w:rFonts w:ascii="Times New Roman" w:hAnsi="Times New Roman" w:eastAsia="黑体" w:cs="Times New Roman"/>
      <w:spacing w:val="100"/>
      <w:w w:val="200"/>
      <w:sz w:val="52"/>
      <w:szCs w:val="24"/>
    </w:rPr>
  </w:style>
  <w:style w:type="character" w:customStyle="1" w:styleId="24">
    <w:name w:val="页眉 字符"/>
    <w:link w:val="10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5">
    <w:name w:val="正文文本缩进 字符"/>
    <w:link w:val="5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6">
    <w:name w:val="日期 字符"/>
    <w:link w:val="7"/>
    <w:semiHidden/>
    <w:uiPriority w:val="99"/>
    <w:rPr>
      <w:rFonts w:ascii="Times New Roman" w:hAnsi="Times New Roman"/>
      <w:kern w:val="2"/>
      <w:sz w:val="21"/>
      <w:szCs w:val="24"/>
    </w:rPr>
  </w:style>
  <w:style w:type="character" w:customStyle="1" w:styleId="27">
    <w:name w:val="正文首行缩进 Char1"/>
    <w:link w:val="28"/>
    <w:semiHidden/>
    <w:uiPriority w:val="99"/>
    <w:rPr>
      <w:rFonts w:ascii="Times New Roman" w:hAnsi="Times New Roman" w:eastAsia="宋体" w:cs="Times New Roman"/>
      <w:spacing w:val="100"/>
      <w:w w:val="200"/>
      <w:sz w:val="52"/>
      <w:szCs w:val="24"/>
    </w:rPr>
  </w:style>
  <w:style w:type="paragraph" w:customStyle="1" w:styleId="28">
    <w:name w:val="正文首行缩进1"/>
    <w:basedOn w:val="4"/>
    <w:link w:val="27"/>
    <w:qFormat/>
    <w:uiPriority w:val="0"/>
    <w:pPr>
      <w:spacing w:after="120" w:line="240" w:lineRule="auto"/>
      <w:ind w:firstLine="420" w:firstLineChars="100"/>
    </w:pPr>
    <w:rPr>
      <w:rFonts w:eastAsia="宋体"/>
      <w:spacing w:val="0"/>
      <w:w w:val="100"/>
      <w:sz w:val="21"/>
      <w:szCs w:val="24"/>
    </w:rPr>
  </w:style>
  <w:style w:type="paragraph" w:customStyle="1" w:styleId="29">
    <w:name w:val="目次、标准名称标题"/>
    <w:basedOn w:val="30"/>
    <w:next w:val="19"/>
    <w:qFormat/>
    <w:uiPriority w:val="0"/>
    <w:pPr>
      <w:numPr>
        <w:numId w:val="0"/>
      </w:numPr>
      <w:spacing w:line="460" w:lineRule="exact"/>
    </w:pPr>
  </w:style>
  <w:style w:type="paragraph" w:customStyle="1" w:styleId="30">
    <w:name w:val="前言、引言标题"/>
    <w:next w:val="1"/>
    <w:qFormat/>
    <w:uiPriority w:val="0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Calibri" w:eastAsia="黑体" w:cs="Times New Roman"/>
      <w:sz w:val="32"/>
      <w:lang w:val="en-US" w:eastAsia="zh-CN" w:bidi="ar-SA"/>
    </w:rPr>
  </w:style>
  <w:style w:type="paragraph" w:customStyle="1" w:styleId="31">
    <w:name w:val="封面标准文稿编辑信息"/>
    <w:uiPriority w:val="0"/>
    <w:pPr>
      <w:spacing w:before="180" w:line="180" w:lineRule="exact"/>
      <w:jc w:val="center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32">
    <w:name w:val="目录 51"/>
    <w:basedOn w:val="33"/>
    <w:semiHidden/>
    <w:qFormat/>
    <w:uiPriority w:val="0"/>
    <w:pPr>
      <w:widowControl/>
      <w:ind w:left="0" w:leftChars="0"/>
    </w:pPr>
    <w:rPr>
      <w:rFonts w:ascii="宋体"/>
      <w:kern w:val="0"/>
      <w:szCs w:val="20"/>
    </w:rPr>
  </w:style>
  <w:style w:type="paragraph" w:customStyle="1" w:styleId="33">
    <w:name w:val="目录 41"/>
    <w:basedOn w:val="1"/>
    <w:next w:val="1"/>
    <w:unhideWhenUsed/>
    <w:qFormat/>
    <w:uiPriority w:val="39"/>
    <w:pPr>
      <w:ind w:left="1260" w:leftChars="600"/>
    </w:pPr>
  </w:style>
  <w:style w:type="paragraph" w:customStyle="1" w:styleId="34">
    <w:name w:val="封面标准文稿类别"/>
    <w:qFormat/>
    <w:uiPriority w:val="0"/>
    <w:pPr>
      <w:spacing w:before="440" w:line="400" w:lineRule="exact"/>
      <w:jc w:val="center"/>
    </w:pPr>
    <w:rPr>
      <w:rFonts w:ascii="宋体" w:hAnsi="Calibri" w:eastAsia="宋体" w:cs="Times New Roman"/>
      <w:sz w:val="24"/>
      <w:lang w:val="en-US" w:eastAsia="zh-CN" w:bidi="ar-SA"/>
    </w:rPr>
  </w:style>
  <w:style w:type="paragraph" w:customStyle="1" w:styleId="35">
    <w:name w:val="示例"/>
    <w:next w:val="19"/>
    <w:qFormat/>
    <w:uiPriority w:val="0"/>
    <w:pPr>
      <w:numPr>
        <w:ilvl w:val="0"/>
        <w:numId w:val="2"/>
      </w:numPr>
      <w:tabs>
        <w:tab w:val="left" w:pos="816"/>
      </w:tabs>
      <w:ind w:firstLine="419" w:firstLineChars="233"/>
      <w:jc w:val="both"/>
    </w:pPr>
    <w:rPr>
      <w:rFonts w:ascii="宋体" w:hAnsi="Calibri" w:eastAsia="宋体" w:cs="Times New Roman"/>
      <w:sz w:val="18"/>
      <w:lang w:val="en-US" w:eastAsia="zh-CN" w:bidi="ar-SA"/>
    </w:rPr>
  </w:style>
  <w:style w:type="paragraph" w:customStyle="1" w:styleId="36">
    <w:name w:val="标准书脚_偶数页"/>
    <w:qFormat/>
    <w:uiPriority w:val="0"/>
    <w:pPr>
      <w:spacing w:before="120"/>
    </w:pPr>
    <w:rPr>
      <w:rFonts w:ascii="Calibri" w:hAnsi="Calibri" w:eastAsia="宋体" w:cs="Times New Roman"/>
      <w:sz w:val="18"/>
      <w:lang w:val="en-US" w:eastAsia="zh-CN" w:bidi="ar-SA"/>
    </w:rPr>
  </w:style>
  <w:style w:type="paragraph" w:customStyle="1" w:styleId="37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Calibri" w:eastAsia="黑体" w:cs="Times New Roman"/>
      <w:sz w:val="52"/>
      <w:lang w:val="en-US" w:eastAsia="zh-CN" w:bidi="ar-SA"/>
    </w:rPr>
  </w:style>
  <w:style w:type="paragraph" w:customStyle="1" w:styleId="38">
    <w:name w:val="目录 11"/>
    <w:basedOn w:val="1"/>
    <w:next w:val="1"/>
    <w:unhideWhenUsed/>
    <w:qFormat/>
    <w:uiPriority w:val="39"/>
  </w:style>
  <w:style w:type="paragraph" w:customStyle="1" w:styleId="39">
    <w:name w:val="标准书眉_偶数页"/>
    <w:basedOn w:val="40"/>
    <w:next w:val="1"/>
    <w:qFormat/>
    <w:uiPriority w:val="0"/>
    <w:pPr>
      <w:tabs>
        <w:tab w:val="center" w:pos="4154"/>
        <w:tab w:val="right" w:pos="8306"/>
      </w:tabs>
      <w:jc w:val="left"/>
    </w:pPr>
  </w:style>
  <w:style w:type="paragraph" w:customStyle="1" w:styleId="40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41">
    <w:name w:val="标准书脚_奇数页"/>
    <w:qFormat/>
    <w:uiPriority w:val="0"/>
    <w:pPr>
      <w:spacing w:before="120"/>
      <w:jc w:val="right"/>
    </w:pPr>
    <w:rPr>
      <w:rFonts w:ascii="Calibri" w:hAnsi="Calibri" w:eastAsia="宋体" w:cs="Times New Roman"/>
      <w:sz w:val="18"/>
      <w:lang w:val="en-US" w:eastAsia="zh-CN" w:bidi="ar-SA"/>
    </w:rPr>
  </w:style>
  <w:style w:type="paragraph" w:customStyle="1" w:styleId="42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Calibri" w:hAnsi="Calibri" w:eastAsia="宋体" w:cs="Times New Roman"/>
      <w:sz w:val="28"/>
      <w:lang w:val="en-US" w:eastAsia="zh-CN" w:bidi="ar-SA"/>
    </w:rPr>
  </w:style>
  <w:style w:type="paragraph" w:customStyle="1" w:styleId="43">
    <w:name w:val="一级条标题"/>
    <w:basedOn w:val="44"/>
    <w:next w:val="19"/>
    <w:qFormat/>
    <w:uiPriority w:val="0"/>
    <w:pPr>
      <w:numPr>
        <w:ilvl w:val="2"/>
        <w:numId w:val="3"/>
      </w:numPr>
      <w:spacing w:beforeLines="0" w:afterLines="0"/>
      <w:outlineLvl w:val="2"/>
    </w:pPr>
  </w:style>
  <w:style w:type="paragraph" w:customStyle="1" w:styleId="44">
    <w:name w:val="章标题"/>
    <w:next w:val="19"/>
    <w:qFormat/>
    <w:uiPriority w:val="0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hAnsi="Calibri" w:eastAsia="黑体" w:cs="Times New Roman"/>
      <w:sz w:val="21"/>
      <w:lang w:val="en-US" w:eastAsia="zh-CN" w:bidi="ar-SA"/>
    </w:rPr>
  </w:style>
  <w:style w:type="paragraph" w:customStyle="1" w:styleId="45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46">
    <w:name w:val="数字编号列项（二级）"/>
    <w:qFormat/>
    <w:uiPriority w:val="0"/>
    <w:pPr>
      <w:ind w:left="1260" w:leftChars="400" w:hanging="420" w:hanging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47">
    <w:name w:val="二级条标题"/>
    <w:basedOn w:val="43"/>
    <w:next w:val="19"/>
    <w:qFormat/>
    <w:uiPriority w:val="0"/>
    <w:pPr>
      <w:numPr>
        <w:ilvl w:val="3"/>
        <w:numId w:val="4"/>
      </w:numPr>
      <w:outlineLvl w:val="3"/>
    </w:pPr>
  </w:style>
  <w:style w:type="paragraph" w:customStyle="1" w:styleId="48">
    <w:name w:val="正文表标题"/>
    <w:next w:val="19"/>
    <w:qFormat/>
    <w:uiPriority w:val="0"/>
    <w:pPr>
      <w:numPr>
        <w:ilvl w:val="0"/>
        <w:numId w:val="5"/>
      </w:numPr>
      <w:ind w:left="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49">
    <w:name w:val="页脚 字符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50">
    <w:name w:val="纯文本 字符"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51">
    <w:name w:val="列出段落1"/>
    <w:basedOn w:val="1"/>
    <w:qFormat/>
    <w:uiPriority w:val="99"/>
    <w:pPr>
      <w:ind w:firstLine="420" w:firstLineChars="200"/>
    </w:pPr>
    <w:rPr>
      <w:rFonts w:ascii="Times New Roman" w:hAnsi="Times New Roman"/>
    </w:rPr>
  </w:style>
  <w:style w:type="paragraph" w:customStyle="1" w:styleId="52">
    <w:name w:val="三级条标题"/>
    <w:basedOn w:val="1"/>
    <w:next w:val="19"/>
    <w:qFormat/>
    <w:uiPriority w:val="0"/>
    <w:pPr>
      <w:widowControl/>
      <w:numPr>
        <w:ilvl w:val="4"/>
        <w:numId w:val="6"/>
      </w:numPr>
      <w:outlineLvl w:val="4"/>
    </w:pPr>
    <w:rPr>
      <w:rFonts w:ascii="黑体" w:hAnsi="Times New Roman" w:eastAsia="黑体"/>
      <w:kern w:val="0"/>
      <w:szCs w:val="20"/>
    </w:rPr>
  </w:style>
  <w:style w:type="paragraph" w:customStyle="1" w:styleId="53">
    <w:name w:val="四级条标题"/>
    <w:basedOn w:val="52"/>
    <w:next w:val="19"/>
    <w:qFormat/>
    <w:uiPriority w:val="0"/>
    <w:pPr>
      <w:numPr>
        <w:ilvl w:val="5"/>
      </w:numPr>
      <w:outlineLvl w:val="5"/>
    </w:pPr>
  </w:style>
  <w:style w:type="paragraph" w:customStyle="1" w:styleId="54">
    <w:name w:val="五级条标题"/>
    <w:basedOn w:val="53"/>
    <w:next w:val="19"/>
    <w:qFormat/>
    <w:uiPriority w:val="0"/>
    <w:pPr>
      <w:numPr>
        <w:ilvl w:val="6"/>
      </w:numPr>
      <w:outlineLvl w:val="6"/>
    </w:pPr>
  </w:style>
  <w:style w:type="character" w:customStyle="1" w:styleId="55">
    <w:name w:val="占位符文本1"/>
    <w:unhideWhenUsed/>
    <w:qFormat/>
    <w:uiPriority w:val="99"/>
    <w:rPr>
      <w:color w:val="808080"/>
    </w:rPr>
  </w:style>
  <w:style w:type="paragraph" w:customStyle="1" w:styleId="56">
    <w:name w:val="列表段落1"/>
    <w:basedOn w:val="1"/>
    <w:qFormat/>
    <w:uiPriority w:val="99"/>
    <w:pPr>
      <w:ind w:firstLine="420" w:firstLineChars="200"/>
    </w:pPr>
  </w:style>
  <w:style w:type="character" w:customStyle="1" w:styleId="57">
    <w:name w:val="批注框文本 字符"/>
    <w:basedOn w:val="13"/>
    <w:link w:val="8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.png"/><Relationship Id="rId12" Type="http://schemas.openxmlformats.org/officeDocument/2006/relationships/oleObject" Target="embeddings/oleObject1.bin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rilm.com.cn</Company>
  <Pages>9</Pages>
  <Words>1113</Words>
  <Characters>6347</Characters>
  <Lines>52</Lines>
  <Paragraphs>14</Paragraphs>
  <TotalTime>0</TotalTime>
  <ScaleCrop>false</ScaleCrop>
  <LinksUpToDate>false</LinksUpToDate>
  <CharactersWithSpaces>7446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2019-09-11T13:25:00Z</dcterms:created>
  <dc:creator>内网信息</dc:creator>
  <cp:lastModifiedBy>zhangxiao</cp:lastModifiedBy>
  <cp:lastPrinted>2019-09-11T13:28:00Z</cp:lastPrinted>
  <dcterms:modified xsi:type="dcterms:W3CDTF">2019-09-17T02:50:53Z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