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0" w:lineRule="atLeast"/>
        <w:ind w:left="-359" w:leftChars="-171" w:firstLine="378" w:firstLineChars="180"/>
        <w:rPr>
          <w:rFonts w:eastAsia="黑体"/>
        </w:rPr>
      </w:pPr>
      <w:bookmarkStart w:id="0" w:name="S1"/>
      <w:r>
        <w:rPr>
          <w:rFonts w:eastAsia="黑体"/>
        </w:rPr>
        <w:pict>
          <v:rect id="文本框 101" o:spid="_x0000_s1027" o:spt="1" style="position:absolute;left:0pt;margin-left:297pt;margin-top:-11.2pt;height:78pt;width:145.4pt;mso-wrap-style:none;z-index:1024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 inset="7.21pt,0mm,7.21pt,0mm" style="mso-fit-shape-to-text:t;">
              <w:txbxContent>
                <w:p>
                  <w:pPr>
                    <w:ind w:right="-464" w:rightChars="-221"/>
                  </w:pPr>
                  <w:r>
                    <w:object>
                      <v:shape id="_x0000_i1025" o:spt="75" type="#_x0000_t75" style="height:72pt;width:131.2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  <o:OLEObject Type="Embed" ProgID="Word.Document.8" ShapeID="_x0000_i1025" DrawAspect="Content" ObjectID="_1468075725" r:id="rId5">
                        <o:LockedField>false</o:LockedField>
                      </o:OLEObject>
                    </w:object>
                  </w:r>
                </w:p>
              </w:txbxContent>
            </v:textbox>
          </v:rect>
        </w:pict>
      </w:r>
      <w:r>
        <w:rPr>
          <w:rFonts w:eastAsia="黑体"/>
        </w:rPr>
        <w:t>ICS</w:t>
      </w:r>
      <w:bookmarkEnd w:id="0"/>
      <w:r>
        <w:rPr>
          <w:rFonts w:eastAsia="黑体"/>
        </w:rPr>
        <w:t>77.150.30</w:t>
      </w:r>
    </w:p>
    <w:p>
      <w:pPr>
        <w:snapToGrid w:val="0"/>
        <w:spacing w:line="340" w:lineRule="atLeast"/>
        <w:ind w:left="-359" w:leftChars="-171" w:firstLine="378" w:firstLineChars="180"/>
      </w:pPr>
      <w:r>
        <w:t>H62</w:t>
      </w:r>
    </w:p>
    <w:p>
      <w:pPr>
        <w:rPr>
          <w:rFonts w:eastAsia="隶书"/>
          <w:sz w:val="18"/>
          <w:szCs w:val="72"/>
        </w:rPr>
      </w:pPr>
    </w:p>
    <w:p>
      <w:pPr>
        <w:spacing w:line="240" w:lineRule="atLeast"/>
        <w:ind w:left="5040" w:right="-561" w:rightChars="-267" w:hanging="5040" w:hangingChars="900"/>
        <w:rPr>
          <w:sz w:val="56"/>
        </w:rPr>
      </w:pPr>
      <w:r>
        <w:rPr>
          <w:sz w:val="56"/>
        </w:rPr>
        <w:object>
          <v:shape id="_x0000_i1026" o:spt="75" type="#_x0000_t75" style="height:48.2pt;width:432pt;" o:ole="t" fillcolor="#6D6D6D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Word.Picture.8" ShapeID="_x0000_i1026" DrawAspect="Content" ObjectID="_1468075726" r:id="rId7">
            <o:LockedField>false</o:LockedField>
          </o:OLEObject>
        </w:object>
      </w:r>
    </w:p>
    <w:p>
      <w:pPr>
        <w:spacing w:line="240" w:lineRule="atLeast"/>
        <w:ind w:right="-561" w:rightChars="-267" w:firstLine="4891" w:firstLineChars="1740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 xml:space="preserve">            </w:t>
      </w:r>
      <w:r>
        <w:rPr>
          <w:rFonts w:eastAsia="黑体"/>
          <w:b/>
          <w:bCs/>
          <w:sz w:val="28"/>
          <w:szCs w:val="28"/>
        </w:rPr>
        <w:t xml:space="preserve">GB/T XXXX—XXXX </w:t>
      </w:r>
    </w:p>
    <w:p>
      <w:pPr>
        <w:jc w:val="center"/>
        <w:rPr>
          <w:b/>
          <w:bCs/>
          <w:sz w:val="44"/>
        </w:rPr>
      </w:pPr>
      <w:r>
        <w:pict>
          <v:line id="直线 100" o:spid="_x0000_s1030" o:spt="20" style="position:absolute;left:0pt;flip:y;margin-left:0pt;margin-top:2.5pt;height:0.05pt;width:450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再生黄铜原料</w:t>
      </w:r>
    </w:p>
    <w:p>
      <w:pPr>
        <w:jc w:val="center"/>
        <w:rPr>
          <w:b/>
          <w:bCs/>
          <w:sz w:val="44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/>
          <w:bCs w:val="0"/>
          <w:spacing w:val="-2"/>
          <w:sz w:val="28"/>
          <w:szCs w:val="28"/>
        </w:rPr>
      </w:pPr>
      <w:bookmarkStart w:id="1" w:name="OLE_LINK1"/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R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enewable</w:t>
      </w:r>
      <w:bookmarkEnd w:id="1"/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brass</w:t>
      </w: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 w:val="0"/>
          <w:sz w:val="28"/>
          <w:szCs w:val="28"/>
        </w:rPr>
        <w:t>material</w:t>
      </w:r>
    </w:p>
    <w:p>
      <w:pPr>
        <w:spacing w:line="460" w:lineRule="exact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jc w:val="center"/>
        <w:rPr>
          <w:sz w:val="28"/>
        </w:rPr>
      </w:pPr>
      <w:r>
        <w:rPr>
          <w:sz w:val="28"/>
        </w:rPr>
        <w:t>（</w:t>
      </w:r>
      <w:r>
        <w:rPr>
          <w:rFonts w:hint="eastAsia"/>
          <w:color w:val="auto"/>
          <w:sz w:val="28"/>
          <w:lang w:eastAsia="zh-CN"/>
        </w:rPr>
        <w:t>送审</w:t>
      </w:r>
      <w:r>
        <w:rPr>
          <w:rFonts w:hint="eastAsia"/>
          <w:sz w:val="28"/>
        </w:rPr>
        <w:t>稿</w:t>
      </w:r>
      <w:r>
        <w:rPr>
          <w:sz w:val="28"/>
        </w:rPr>
        <w:t>）</w:t>
      </w:r>
    </w:p>
    <w:p>
      <w:pPr>
        <w:jc w:val="center"/>
        <w:rPr>
          <w:sz w:val="28"/>
        </w:rPr>
      </w:pPr>
      <w:bookmarkStart w:id="6" w:name="_GoBack"/>
      <w:bookmarkEnd w:id="6"/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firstLine="140" w:firstLineChars="50"/>
        <w:rPr>
          <w:rFonts w:eastAsia="黑体"/>
          <w:sz w:val="28"/>
        </w:rPr>
      </w:pPr>
      <w:r>
        <w:rPr>
          <w:sz w:val="28"/>
        </w:rPr>
        <w:t>　</w:t>
      </w:r>
      <w:r>
        <w:rPr>
          <w:rFonts w:hint="eastAsia"/>
          <w:sz w:val="28"/>
        </w:rPr>
        <w:t xml:space="preserve">                      </w:t>
      </w:r>
    </w:p>
    <w:p>
      <w:pPr>
        <w:adjustRightInd w:val="0"/>
        <w:snapToGrid w:val="0"/>
        <w:ind w:firstLine="2340" w:firstLineChars="650"/>
        <w:rPr>
          <w:bCs/>
          <w:sz w:val="36"/>
          <w:szCs w:val="72"/>
        </w:rPr>
      </w:pPr>
      <w:r>
        <w:rPr>
          <w:bCs/>
          <w:sz w:val="36"/>
          <w:szCs w:val="72"/>
        </w:rPr>
        <w:pict>
          <v:line id="直线 143" o:spid="_x0000_s1031" o:spt="20" style="position:absolute;left:0pt;flip:y;margin-left:-12pt;margin-top:58.8pt;height:0.05pt;width:468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p>
      <w:pPr>
        <w:pStyle w:val="56"/>
        <w:framePr w:w="9230" w:h="1208" w:hRule="exact" w:hSpace="180" w:vSpace="180" w:wrap="around" w:vAnchor="page" w:hAnchor="page" w:xAlign="center" w:y="13863" w:anchorLock="1"/>
        <w:spacing w:before="156" w:after="156" w:line="340" w:lineRule="exact"/>
        <w:ind w:left="178" w:leftChars="85"/>
        <w:jc w:val="both"/>
        <w:rPr>
          <w:spacing w:val="28"/>
          <w:sz w:val="30"/>
          <w:szCs w:val="30"/>
        </w:rPr>
      </w:pPr>
      <w:r>
        <w:rPr>
          <w:rFonts w:hint="eastAsia"/>
          <w:spacing w:val="28"/>
          <w:sz w:val="30"/>
          <w:szCs w:val="30"/>
        </w:rPr>
        <w:t>中华人民共和国国家市场监督管理总局</w:t>
      </w:r>
    </w:p>
    <w:p>
      <w:pPr>
        <w:pStyle w:val="56"/>
        <w:framePr w:w="9230" w:h="1208" w:hRule="exact" w:hSpace="180" w:vSpace="180" w:wrap="around" w:vAnchor="page" w:hAnchor="page" w:xAlign="center" w:y="13863" w:anchorLock="1"/>
      </w:pPr>
      <w:r>
        <w:rPr>
          <w:rFonts w:hint="eastAsia"/>
          <w:spacing w:val="136"/>
          <w:sz w:val="30"/>
          <w:szCs w:val="30"/>
        </w:rPr>
        <w:t>中国国家标准化管理委员会</w:t>
      </w:r>
      <w:r>
        <w:rPr>
          <w:rStyle w:val="82"/>
          <w:rFonts w:hint="eastAsia"/>
        </w:rPr>
        <w:t>发布</w:t>
      </w:r>
    </w:p>
    <w:p>
      <w:pPr>
        <w:adjustRightInd w:val="0"/>
        <w:snapToGrid w:val="0"/>
        <w:rPr>
          <w:rFonts w:eastAsia="黑体"/>
          <w:b/>
          <w:bCs/>
          <w:spacing w:val="22"/>
          <w:position w:val="3"/>
          <w:sz w:val="28"/>
          <w:szCs w:val="28"/>
        </w:rPr>
      </w:pPr>
      <w:r>
        <w:rPr>
          <w:rFonts w:eastAsia="黑体"/>
          <w:sz w:val="28"/>
        </w:rPr>
        <w:t>XXXX－XX－XX 发布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 xml:space="preserve">                         </w:t>
      </w:r>
      <w:r>
        <w:rPr>
          <w:rFonts w:eastAsia="黑体"/>
          <w:sz w:val="28"/>
        </w:rPr>
        <w:t>XXXX－XX－XX实施</w:t>
      </w:r>
    </w:p>
    <w:p>
      <w:pPr>
        <w:pStyle w:val="5"/>
        <w:snapToGrid w:val="0"/>
        <w:spacing w:line="340" w:lineRule="atLeast"/>
        <w:ind w:firstLine="640"/>
        <w:jc w:val="center"/>
        <w:rPr>
          <w:szCs w:val="21"/>
        </w:rPr>
      </w:pPr>
      <w:r>
        <w:rPr>
          <w:rFonts w:hint="eastAsia" w:ascii="黑体" w:hAnsi="宋体" w:eastAsia="黑体"/>
          <w:bCs/>
          <w:sz w:val="32"/>
          <w:szCs w:val="32"/>
        </w:rPr>
        <w:t>前  言</w:t>
      </w:r>
    </w:p>
    <w:p>
      <w:pPr>
        <w:pStyle w:val="5"/>
        <w:snapToGrid w:val="0"/>
        <w:spacing w:line="340" w:lineRule="atLeast"/>
        <w:rPr>
          <w:szCs w:val="21"/>
        </w:rPr>
      </w:pPr>
    </w:p>
    <w:p>
      <w:pPr>
        <w:pStyle w:val="5"/>
        <w:snapToGrid w:val="0"/>
        <w:spacing w:line="400" w:lineRule="exact"/>
      </w:pPr>
      <w:r>
        <w:rPr>
          <w:rFonts w:hint="eastAsia"/>
        </w:rPr>
        <w:t>为贯彻《中华人民共和国环境保护法》、《中华人民共和国固体废物污染环境防治法》，加强对可直接利用的高品质再生黄铜原料产品的管理，保护环境，推动产业向高质量、绿色、可持续循环发展，制定本标准。</w:t>
      </w:r>
    </w:p>
    <w:p>
      <w:pPr>
        <w:pStyle w:val="5"/>
        <w:snapToGrid w:val="0"/>
        <w:spacing w:line="400" w:lineRule="exact"/>
      </w:pPr>
      <w:r>
        <w:t>本</w:t>
      </w:r>
      <w:r>
        <w:rPr>
          <w:rFonts w:hint="eastAsia"/>
        </w:rPr>
        <w:t>标准</w:t>
      </w:r>
      <w:r>
        <w:t>按照GB/T1.1-2009给出的规则起草。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本标准由中国有色金属工业协会提出。</w:t>
      </w:r>
    </w:p>
    <w:p>
      <w:pPr>
        <w:spacing w:line="400" w:lineRule="exact"/>
        <w:ind w:left="420" w:leftChars="200" w:right="420"/>
        <w:rPr>
          <w:szCs w:val="21"/>
        </w:rPr>
      </w:pPr>
      <w:r>
        <w:rPr>
          <w:szCs w:val="21"/>
        </w:rPr>
        <w:t>本标准由全国有色金属标准化技术委员会（SAC/TC243）归口。</w:t>
      </w:r>
    </w:p>
    <w:p>
      <w:pPr>
        <w:snapToGrid w:val="0"/>
        <w:spacing w:line="400" w:lineRule="exact"/>
        <w:ind w:firstLine="420"/>
        <w:rPr>
          <w:szCs w:val="21"/>
        </w:rPr>
      </w:pPr>
      <w:r>
        <w:rPr>
          <w:szCs w:val="21"/>
        </w:rPr>
        <w:t>本标准起草单位：</w:t>
      </w:r>
      <w:r>
        <w:rPr>
          <w:rFonts w:hint="eastAsia"/>
          <w:szCs w:val="21"/>
        </w:rPr>
        <w:t>安徽楚江科技新材料股份有限公司、宁波金田铜业（集团）股份有限公司、宁波长振铜业有限公司、</w:t>
      </w:r>
      <w:r>
        <w:rPr>
          <w:rFonts w:hint="eastAsia"/>
          <w:szCs w:val="21"/>
          <w:lang w:eastAsia="zh-CN"/>
        </w:rPr>
        <w:t>有色金属技术经济研究院、</w:t>
      </w:r>
      <w:r>
        <w:rPr>
          <w:rFonts w:hint="eastAsia"/>
          <w:szCs w:val="21"/>
        </w:rPr>
        <w:t>中国环境科学研究院、佛山市南海宇成金属投资有限公司、宁波博威合金材料股份有限公司、宁波兴业盛泰集团有限公司、台州齐合天地金属有限公司、天津新能再生资源有限公司。</w:t>
      </w:r>
    </w:p>
    <w:p>
      <w:pPr>
        <w:snapToGrid w:val="0"/>
        <w:spacing w:line="400" w:lineRule="exact"/>
        <w:ind w:firstLine="420"/>
        <w:rPr>
          <w:szCs w:val="21"/>
        </w:rPr>
      </w:pPr>
      <w:r>
        <w:rPr>
          <w:szCs w:val="21"/>
        </w:rPr>
        <w:t>本标准主要起草人：</w:t>
      </w:r>
    </w:p>
    <w:p>
      <w:pPr>
        <w:rPr>
          <w:szCs w:val="21"/>
        </w:rPr>
      </w:pPr>
      <w:bookmarkStart w:id="2" w:name="S3"/>
    </w:p>
    <w:bookmarkEnd w:id="2"/>
    <w:p>
      <w:pPr>
        <w:snapToGrid w:val="0"/>
        <w:spacing w:line="340" w:lineRule="atLeast"/>
        <w:ind w:firstLine="420"/>
        <w:jc w:val="center"/>
        <w:rPr>
          <w:rFonts w:eastAsia="黑体"/>
          <w:strike/>
          <w:sz w:val="24"/>
        </w:rPr>
      </w:pPr>
      <w:r>
        <w:rPr>
          <w:rFonts w:hint="eastAsia"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再生黄铜原料</w:t>
      </w:r>
    </w:p>
    <w:p>
      <w:pPr>
        <w:snapToGrid w:val="0"/>
        <w:spacing w:before="468" w:beforeLines="150" w:line="360" w:lineRule="auto"/>
        <w:rPr>
          <w:rFonts w:eastAsia="黑体"/>
          <w:szCs w:val="21"/>
        </w:rPr>
      </w:pPr>
      <w:r>
        <w:rPr>
          <w:rFonts w:hint="eastAsia" w:eastAsia="黑体"/>
          <w:szCs w:val="21"/>
        </w:rPr>
        <w:t xml:space="preserve">1 </w:t>
      </w:r>
      <w:r>
        <w:rPr>
          <w:rFonts w:eastAsia="黑体"/>
          <w:szCs w:val="21"/>
        </w:rPr>
        <w:t>范围</w:t>
      </w:r>
    </w:p>
    <w:p>
      <w:pPr>
        <w:snapToGrid w:val="0"/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本标准规定了再生黄铜原料（下简称原料）的术语和定义、分类、技术要求、试验方法、检验规则、标志、包装、运输、贮存及订货单（或合同）内容。</w:t>
      </w:r>
    </w:p>
    <w:p>
      <w:pPr>
        <w:snapToGrid w:val="0"/>
        <w:spacing w:line="360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本标准适用于黄铜原料及其在流通领域中的回收与国内外贸易。</w:t>
      </w:r>
    </w:p>
    <w:p>
      <w:pPr>
        <w:snapToGrid w:val="0"/>
        <w:spacing w:before="156" w:beforeLines="50"/>
        <w:rPr>
          <w:rFonts w:eastAsia="黑体"/>
          <w:szCs w:val="21"/>
        </w:rPr>
      </w:pPr>
      <w:r>
        <w:rPr>
          <w:rFonts w:hint="eastAsia" w:eastAsia="黑体"/>
          <w:szCs w:val="21"/>
        </w:rPr>
        <w:t>2 规范性引用文件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 w:ascii="宋体" w:hAnsi="宋体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spacing w:line="380" w:lineRule="exact"/>
        <w:ind w:firstLine="420"/>
      </w:pPr>
      <w:r>
        <w:rPr>
          <w:rFonts w:hint="eastAsia"/>
        </w:rPr>
        <w:t>GB/T 5121   （所有部分）铜及铜合金化学分析方法</w:t>
      </w:r>
    </w:p>
    <w:p>
      <w:pPr>
        <w:spacing w:line="380" w:lineRule="exact"/>
        <w:ind w:firstLine="420"/>
      </w:pPr>
      <w:r>
        <w:rPr>
          <w:rFonts w:hint="eastAsia"/>
        </w:rPr>
        <w:t>GB/T 8170    数值修约规则与极限数值的表示和判定</w:t>
      </w:r>
    </w:p>
    <w:p>
      <w:pPr>
        <w:spacing w:line="380" w:lineRule="exact"/>
        <w:ind w:firstLine="420"/>
      </w:pPr>
      <w:r>
        <w:rPr>
          <w:rFonts w:hint="eastAsia"/>
        </w:rPr>
        <w:t>SN/T 0570    进口可用作原料的废物放射性污染检验规程</w:t>
      </w:r>
    </w:p>
    <w:p>
      <w:pPr>
        <w:spacing w:line="380" w:lineRule="exact"/>
        <w:ind w:firstLine="420"/>
      </w:pPr>
      <w:r>
        <w:rPr>
          <w:rFonts w:hint="eastAsia"/>
        </w:rPr>
        <w:t>YS/T 482      铜及铜合金分析方法  光电发射光谱法</w:t>
      </w:r>
    </w:p>
    <w:p>
      <w:pPr>
        <w:spacing w:line="380" w:lineRule="exact"/>
        <w:ind w:firstLine="420"/>
      </w:pPr>
      <w:r>
        <w:rPr>
          <w:rFonts w:hint="eastAsia"/>
        </w:rPr>
        <w:t>YS/T 483      铜及铜合金分析方法  X射线荧光光谱法（波长色散型）</w:t>
      </w:r>
    </w:p>
    <w:p>
      <w:pPr>
        <w:snapToGrid w:val="0"/>
        <w:spacing w:before="156" w:beforeLines="50"/>
        <w:rPr>
          <w:rFonts w:eastAsia="黑体"/>
          <w:szCs w:val="21"/>
        </w:rPr>
      </w:pPr>
      <w:r>
        <w:rPr>
          <w:rFonts w:hint="eastAsia" w:eastAsia="黑体"/>
          <w:szCs w:val="21"/>
        </w:rPr>
        <w:t xml:space="preserve">3  </w:t>
      </w:r>
      <w:bookmarkStart w:id="3" w:name="S4"/>
      <w:r>
        <w:rPr>
          <w:rFonts w:hint="eastAsia" w:eastAsia="黑体"/>
          <w:szCs w:val="21"/>
        </w:rPr>
        <w:t>术语和定义</w:t>
      </w:r>
      <w:bookmarkEnd w:id="3"/>
    </w:p>
    <w:p>
      <w:pPr>
        <w:spacing w:line="380" w:lineRule="exact"/>
      </w:pPr>
      <w:r>
        <w:rPr>
          <w:rFonts w:hint="eastAsia" w:ascii="宋体" w:hAnsi="宋体"/>
          <w:szCs w:val="21"/>
        </w:rPr>
        <w:t xml:space="preserve">    下列术语和定义适用于本文件</w:t>
      </w:r>
      <w:r>
        <w:t>。</w:t>
      </w:r>
    </w:p>
    <w:p>
      <w:pPr>
        <w:snapToGrid w:val="0"/>
        <w:spacing w:line="380" w:lineRule="exact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3.</w:t>
      </w:r>
      <w:r>
        <w:rPr>
          <w:rFonts w:hint="eastAsia" w:eastAsia="黑体"/>
          <w:bCs/>
          <w:szCs w:val="21"/>
        </w:rPr>
        <w:t xml:space="preserve">1 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再生黄铜原料 renewable material for brass</w:t>
      </w:r>
    </w:p>
    <w:p>
      <w:pPr>
        <w:snapToGrid w:val="0"/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将回收的黄铜或其混合金属进行分选或加工处理后，获得可直接生产利用的</w:t>
      </w:r>
      <w:r>
        <w:rPr>
          <w:rFonts w:hint="eastAsia" w:ascii="宋体" w:hAnsi="宋体"/>
          <w:szCs w:val="21"/>
          <w:lang w:eastAsia="zh-CN"/>
        </w:rPr>
        <w:t>铜锌合金</w:t>
      </w:r>
      <w:r>
        <w:rPr>
          <w:rFonts w:hint="eastAsia" w:ascii="宋体" w:hAnsi="宋体"/>
          <w:szCs w:val="21"/>
        </w:rPr>
        <w:t>原料。</w:t>
      </w:r>
    </w:p>
    <w:p>
      <w:pPr>
        <w:spacing w:line="380" w:lineRule="exact"/>
        <w:rPr>
          <w:rFonts w:hint="eastAsia" w:eastAsia="黑体"/>
          <w:bCs/>
          <w:szCs w:val="21"/>
          <w:lang w:val="en-US" w:eastAsia="zh-CN"/>
        </w:rPr>
      </w:pPr>
      <w:r>
        <w:rPr>
          <w:rFonts w:hint="eastAsia" w:eastAsia="黑体"/>
          <w:bCs/>
          <w:szCs w:val="21"/>
        </w:rPr>
        <w:t>3.</w:t>
      </w:r>
      <w:r>
        <w:rPr>
          <w:rFonts w:hint="eastAsia" w:eastAsia="黑体"/>
          <w:bCs/>
          <w:szCs w:val="21"/>
          <w:lang w:val="en-US" w:eastAsia="zh-CN"/>
        </w:rPr>
        <w:t>2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样品 </w:t>
      </w:r>
      <w:r>
        <w:rPr>
          <w:rFonts w:eastAsia="黑体"/>
          <w:szCs w:val="21"/>
        </w:rPr>
        <w:t>representative sample</w:t>
      </w:r>
    </w:p>
    <w:p>
      <w:pPr>
        <w:snapToGrid w:val="0"/>
        <w:spacing w:line="380" w:lineRule="exact"/>
        <w:ind w:firstLine="315" w:firstLineChars="150"/>
        <w:rPr>
          <w:rFonts w:hint="eastAsia" w:eastAsia="黑体"/>
          <w:bCs/>
          <w:szCs w:val="21"/>
        </w:rPr>
      </w:pPr>
      <w:r>
        <w:rPr>
          <w:rFonts w:hint="eastAsia" w:ascii="宋体" w:hAnsi="宋体"/>
          <w:szCs w:val="21"/>
        </w:rPr>
        <w:t>从原料中抽取，并能完整、</w:t>
      </w:r>
      <w:r>
        <w:rPr>
          <w:rFonts w:hint="eastAsia" w:ascii="宋体" w:hAnsi="宋体"/>
          <w:szCs w:val="21"/>
          <w:lang w:eastAsia="zh-CN"/>
        </w:rPr>
        <w:t>充分</w:t>
      </w:r>
      <w:r>
        <w:rPr>
          <w:rFonts w:hint="eastAsia" w:ascii="宋体" w:hAnsi="宋体"/>
          <w:szCs w:val="21"/>
        </w:rPr>
        <w:t>地展示和反映原料属性特征的少量实物。</w:t>
      </w:r>
    </w:p>
    <w:p>
      <w:pPr>
        <w:snapToGrid w:val="0"/>
        <w:spacing w:line="380" w:lineRule="exact"/>
        <w:rPr>
          <w:rFonts w:hint="eastAsia" w:eastAsia="黑体"/>
          <w:bCs/>
          <w:szCs w:val="21"/>
          <w:lang w:val="en-US" w:eastAsia="zh-CN"/>
        </w:rPr>
      </w:pPr>
      <w:r>
        <w:rPr>
          <w:rFonts w:hint="eastAsia" w:eastAsia="黑体"/>
          <w:bCs/>
          <w:szCs w:val="21"/>
        </w:rPr>
        <w:t>3.</w:t>
      </w:r>
      <w:r>
        <w:rPr>
          <w:rFonts w:hint="eastAsia" w:eastAsia="黑体"/>
          <w:bCs/>
          <w:szCs w:val="21"/>
          <w:lang w:val="en-US" w:eastAsia="zh-CN"/>
        </w:rPr>
        <w:t>3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夹杂</w:t>
      </w:r>
      <w:r>
        <w:rPr>
          <w:rFonts w:hint="eastAsia" w:eastAsia="黑体"/>
          <w:bCs/>
          <w:szCs w:val="21"/>
        </w:rPr>
        <w:t xml:space="preserve">物  </w:t>
      </w:r>
      <w:r>
        <w:rPr>
          <w:rFonts w:eastAsia="黑体"/>
          <w:szCs w:val="21"/>
        </w:rPr>
        <w:t>carried-waste</w:t>
      </w:r>
    </w:p>
    <w:p>
      <w:pPr>
        <w:snapToGrid w:val="0"/>
        <w:spacing w:line="360" w:lineRule="auto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在产生、收集、包装和运输过程中混入原料中的非金属物质，包括木废料、废纸、废塑料、废橡胶、废玻璃、石块及粒径不大于2mm的粉状物等物质，但不包括包装物及在运输过程中使用的其他物质。</w:t>
      </w:r>
    </w:p>
    <w:p>
      <w:pPr>
        <w:snapToGrid w:val="0"/>
        <w:spacing w:line="360" w:lineRule="auto"/>
        <w:rPr>
          <w:rFonts w:hint="eastAsia" w:asciiTheme="minorHAnsi" w:hAnsiTheme="minorHAnsi" w:eastAsiaTheme="minorEastAsia"/>
          <w:szCs w:val="21"/>
          <w:lang w:val="en-US" w:eastAsia="zh-CN"/>
        </w:rPr>
      </w:pPr>
      <w:r>
        <w:rPr>
          <w:rFonts w:hint="eastAsia" w:asciiTheme="minorHAnsi" w:hAnsiTheme="minorHAnsi" w:eastAsiaTheme="minorEastAsia"/>
          <w:szCs w:val="21"/>
        </w:rPr>
        <w:t>3.</w:t>
      </w:r>
      <w:r>
        <w:rPr>
          <w:rFonts w:hint="eastAsia" w:asciiTheme="minorHAnsi" w:hAnsiTheme="minorHAnsi" w:eastAsiaTheme="minorEastAsia"/>
          <w:szCs w:val="21"/>
          <w:lang w:val="en-US" w:eastAsia="zh-CN"/>
        </w:rPr>
        <w:t>4</w:t>
      </w:r>
    </w:p>
    <w:p>
      <w:pPr>
        <w:snapToGrid w:val="0"/>
        <w:spacing w:line="360" w:lineRule="auto"/>
        <w:rPr>
          <w:rFonts w:asciiTheme="minorHAnsi" w:hAnsiTheme="minorHAnsi" w:eastAsiaTheme="minorEastAsia"/>
          <w:szCs w:val="21"/>
        </w:rPr>
      </w:pPr>
      <w:r>
        <w:rPr>
          <w:rFonts w:hint="eastAsia" w:asciiTheme="minorHAnsi" w:hAnsiTheme="minorHAnsi" w:eastAsiaTheme="minorEastAsia"/>
          <w:szCs w:val="21"/>
        </w:rPr>
        <w:t xml:space="preserve">   </w:t>
      </w:r>
      <w:r>
        <w:rPr>
          <w:rFonts w:hint="eastAsia" w:ascii="黑体" w:hAnsi="黑体" w:eastAsia="黑体"/>
          <w:szCs w:val="21"/>
        </w:rPr>
        <w:t>水分</w:t>
      </w:r>
      <w:r>
        <w:rPr>
          <w:rFonts w:hint="eastAsia" w:asciiTheme="minorHAnsi" w:hAnsiTheme="minorHAnsi" w:eastAsiaTheme="minorEastAsia"/>
          <w:szCs w:val="21"/>
        </w:rPr>
        <w:t xml:space="preserve"> moisture</w:t>
      </w:r>
    </w:p>
    <w:p>
      <w:pPr>
        <w:snapToGrid w:val="0"/>
        <w:spacing w:line="360" w:lineRule="auto"/>
        <w:rPr>
          <w:rFonts w:asciiTheme="minorHAnsi" w:hAnsiTheme="minorHAnsi" w:eastAsiaTheme="minorEastAsia"/>
          <w:szCs w:val="21"/>
        </w:rPr>
      </w:pPr>
      <w:r>
        <w:rPr>
          <w:rFonts w:hint="eastAsia" w:asciiTheme="minorHAnsi" w:hAnsiTheme="minorHAnsi" w:eastAsiaTheme="minorEastAsia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在包装、存储、运输过程中，造成的附着在原料上的液体。</w:t>
      </w:r>
    </w:p>
    <w:p>
      <w:pPr>
        <w:snapToGrid w:val="0"/>
        <w:spacing w:line="380" w:lineRule="exact"/>
        <w:rPr>
          <w:rFonts w:hint="eastAsia" w:eastAsia="黑体"/>
          <w:bCs/>
          <w:szCs w:val="21"/>
          <w:lang w:val="en-US" w:eastAsia="zh-CN"/>
        </w:rPr>
      </w:pPr>
      <w:r>
        <w:rPr>
          <w:rFonts w:hint="eastAsia" w:eastAsia="黑体"/>
          <w:bCs/>
          <w:szCs w:val="21"/>
        </w:rPr>
        <w:t>3.</w:t>
      </w:r>
      <w:r>
        <w:rPr>
          <w:rFonts w:hint="eastAsia" w:eastAsia="黑体"/>
          <w:bCs/>
          <w:szCs w:val="21"/>
          <w:lang w:val="en-US" w:eastAsia="zh-CN"/>
        </w:rPr>
        <w:t>5</w:t>
      </w:r>
    </w:p>
    <w:p>
      <w:pPr>
        <w:snapToGrid w:val="0"/>
        <w:spacing w:line="380" w:lineRule="exact"/>
        <w:ind w:firstLine="315" w:firstLineChars="150"/>
        <w:jc w:val="left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非铜金属 non-copper metal</w:t>
      </w:r>
    </w:p>
    <w:p>
      <w:pPr>
        <w:snapToGrid w:val="0"/>
        <w:spacing w:line="38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在产生、收集、包装和运输过程中混入原料中的铜及铜基合金以外的其他金属物质。一般包括游离铁、铝及铝合金、锌及锌合金等。</w:t>
      </w:r>
    </w:p>
    <w:p>
      <w:pPr>
        <w:snapToGrid w:val="0"/>
        <w:spacing w:line="380" w:lineRule="exact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3.</w:t>
      </w:r>
      <w:r>
        <w:rPr>
          <w:rFonts w:hint="eastAsia" w:eastAsia="黑体"/>
          <w:bCs/>
          <w:szCs w:val="21"/>
          <w:lang w:val="en-US" w:eastAsia="zh-CN"/>
        </w:rPr>
        <w:t>6</w:t>
      </w:r>
      <w:r>
        <w:rPr>
          <w:rFonts w:hint="eastAsia" w:eastAsia="黑体"/>
          <w:bCs/>
          <w:szCs w:val="21"/>
        </w:rPr>
        <w:t xml:space="preserve"> </w:t>
      </w:r>
    </w:p>
    <w:p>
      <w:pPr>
        <w:snapToGrid w:val="0"/>
        <w:spacing w:line="380" w:lineRule="exact"/>
        <w:ind w:firstLine="315" w:firstLineChars="150"/>
        <w:jc w:val="left"/>
        <w:rPr>
          <w:rFonts w:hint="eastAsia" w:eastAsia="黑体"/>
          <w:bCs/>
          <w:szCs w:val="21"/>
        </w:rPr>
      </w:pPr>
      <w:r>
        <w:rPr>
          <w:rFonts w:hint="eastAsia" w:eastAsia="黑体"/>
          <w:bCs/>
          <w:szCs w:val="21"/>
        </w:rPr>
        <w:t>金属黄铜量meta</w:t>
      </w:r>
      <w:r>
        <w:rPr>
          <w:rFonts w:hint="eastAsia" w:eastAsia="黑体"/>
          <w:bCs/>
          <w:szCs w:val="21"/>
          <w:lang w:val="en-US" w:eastAsia="zh-CN"/>
        </w:rPr>
        <w:t>l</w:t>
      </w:r>
      <w:r>
        <w:rPr>
          <w:rFonts w:hint="eastAsia" w:eastAsia="黑体"/>
          <w:bCs/>
          <w:szCs w:val="21"/>
        </w:rPr>
        <w:t xml:space="preserve"> brass content</w:t>
      </w:r>
    </w:p>
    <w:p>
      <w:pPr>
        <w:snapToGrid w:val="0"/>
        <w:spacing w:line="380" w:lineRule="exact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单位重量的样品，去除夹杂物、水分和非铜金属后的金属量，以百分</w:t>
      </w:r>
      <w:r>
        <w:rPr>
          <w:rFonts w:hint="eastAsia" w:ascii="宋体" w:hAnsi="宋体"/>
          <w:szCs w:val="21"/>
          <w:lang w:eastAsia="zh-CN"/>
        </w:rPr>
        <w:t>数</w:t>
      </w:r>
      <w:r>
        <w:rPr>
          <w:rFonts w:hint="eastAsia" w:ascii="宋体" w:hAnsi="宋体"/>
          <w:szCs w:val="21"/>
        </w:rPr>
        <w:t>表示。</w:t>
      </w:r>
    </w:p>
    <w:p>
      <w:pPr>
        <w:snapToGrid w:val="0"/>
        <w:spacing w:line="380" w:lineRule="exact"/>
        <w:rPr>
          <w:rFonts w:hint="eastAsia" w:eastAsia="黑体"/>
          <w:bCs/>
          <w:szCs w:val="21"/>
          <w:lang w:val="en-US" w:eastAsia="zh-CN"/>
        </w:rPr>
      </w:pPr>
      <w:r>
        <w:rPr>
          <w:rFonts w:hint="eastAsia" w:eastAsia="黑体"/>
          <w:bCs/>
          <w:szCs w:val="21"/>
        </w:rPr>
        <w:t>3.</w:t>
      </w:r>
      <w:r>
        <w:rPr>
          <w:rFonts w:hint="eastAsia" w:eastAsia="黑体"/>
          <w:bCs/>
          <w:szCs w:val="21"/>
          <w:lang w:val="en-US" w:eastAsia="zh-CN"/>
        </w:rPr>
        <w:t>7</w:t>
      </w:r>
    </w:p>
    <w:p>
      <w:pPr>
        <w:snapToGrid w:val="0"/>
        <w:spacing w:line="380" w:lineRule="exact"/>
        <w:ind w:firstLine="315" w:firstLineChars="150"/>
        <w:jc w:val="left"/>
        <w:rPr>
          <w:rFonts w:hint="eastAsia" w:eastAsia="黑体"/>
          <w:bCs/>
          <w:szCs w:val="21"/>
        </w:rPr>
      </w:pPr>
      <w:r>
        <w:rPr>
          <w:rFonts w:hint="eastAsia" w:eastAsia="黑体"/>
          <w:bCs/>
          <w:szCs w:val="21"/>
        </w:rPr>
        <w:t>金属总量  total metal content</w:t>
      </w:r>
    </w:p>
    <w:p>
      <w:pPr>
        <w:snapToGrid w:val="0"/>
        <w:spacing w:line="380" w:lineRule="exact"/>
        <w:ind w:firstLine="315" w:firstLine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单位重量的样品，去除夹杂物和水分后的金属量（包括非铜金属和金属黄铜），以百分</w:t>
      </w:r>
      <w:r>
        <w:rPr>
          <w:rFonts w:hint="eastAsia" w:ascii="宋体" w:hAnsi="宋体"/>
          <w:szCs w:val="21"/>
          <w:lang w:eastAsia="zh-CN"/>
        </w:rPr>
        <w:t>数</w:t>
      </w:r>
      <w:r>
        <w:rPr>
          <w:rFonts w:hint="eastAsia" w:ascii="宋体" w:hAnsi="宋体"/>
          <w:szCs w:val="21"/>
        </w:rPr>
        <w:t>表示。</w:t>
      </w:r>
    </w:p>
    <w:p>
      <w:pPr>
        <w:snapToGrid w:val="0"/>
        <w:spacing w:line="380" w:lineRule="exact"/>
        <w:rPr>
          <w:rFonts w:hint="eastAsia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</w:rPr>
        <w:t>3</w:t>
      </w:r>
      <w:r>
        <w:rPr>
          <w:rFonts w:eastAsia="黑体"/>
          <w:bCs/>
          <w:szCs w:val="21"/>
        </w:rPr>
        <w:t>.</w:t>
      </w:r>
      <w:r>
        <w:rPr>
          <w:rFonts w:hint="eastAsia" w:eastAsia="黑体"/>
          <w:bCs/>
          <w:szCs w:val="21"/>
          <w:lang w:val="en-US" w:eastAsia="zh-CN"/>
        </w:rPr>
        <w:t>8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涂层、镀层  </w:t>
      </w:r>
      <w:r>
        <w:rPr>
          <w:rFonts w:ascii="黑体" w:hAnsi="黑体" w:eastAsia="黑体"/>
          <w:szCs w:val="21"/>
        </w:rPr>
        <w:t>coated，plated material</w:t>
      </w:r>
    </w:p>
    <w:p>
      <w:pPr>
        <w:spacing w:line="380" w:lineRule="exact"/>
        <w:ind w:firstLine="315" w:firstLineChars="150"/>
      </w:pPr>
      <w:r>
        <w:t>涂或镀在</w:t>
      </w:r>
      <w:r>
        <w:rPr>
          <w:rFonts w:hint="eastAsia"/>
        </w:rPr>
        <w:t>黄</w:t>
      </w:r>
      <w:r>
        <w:t>铜</w:t>
      </w:r>
      <w:r>
        <w:rPr>
          <w:rFonts w:hint="eastAsia"/>
        </w:rPr>
        <w:t>原料</w:t>
      </w:r>
      <w:r>
        <w:t>表层的</w:t>
      </w:r>
      <w:r>
        <w:rPr>
          <w:rFonts w:hint="eastAsia"/>
        </w:rPr>
        <w:t>涂料或镀层</w:t>
      </w:r>
      <w:r>
        <w:t>材料</w:t>
      </w:r>
      <w:r>
        <w:rPr>
          <w:rFonts w:hint="eastAsia"/>
        </w:rPr>
        <w:t>。镀层材料一般包括镍、锡、锌、铝、铬等。</w:t>
      </w:r>
    </w:p>
    <w:p>
      <w:pPr>
        <w:snapToGrid w:val="0"/>
        <w:spacing w:line="380" w:lineRule="exact"/>
        <w:rPr>
          <w:rFonts w:hint="eastAsia" w:eastAsia="黑体"/>
          <w:bCs/>
          <w:szCs w:val="21"/>
          <w:lang w:eastAsia="zh-CN"/>
        </w:rPr>
      </w:pPr>
      <w:r>
        <w:rPr>
          <w:rFonts w:hint="eastAsia" w:eastAsia="黑体"/>
          <w:bCs/>
          <w:szCs w:val="21"/>
        </w:rPr>
        <w:t>3.</w:t>
      </w:r>
      <w:r>
        <w:rPr>
          <w:rFonts w:hint="eastAsia" w:eastAsia="黑体"/>
          <w:bCs/>
          <w:szCs w:val="21"/>
          <w:lang w:val="en-US" w:eastAsia="zh-CN"/>
        </w:rPr>
        <w:t>9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化学成分试样 chemical composition sample</w:t>
      </w:r>
    </w:p>
    <w:p>
      <w:pPr>
        <w:snapToGrid w:val="0"/>
        <w:spacing w:line="380" w:lineRule="exact"/>
        <w:ind w:firstLine="315" w:firstLineChars="150"/>
        <w:rPr>
          <w:rFonts w:hint="eastAsia" w:ascii="黑体" w:hAnsi="黑体" w:eastAsia="黑体"/>
          <w:szCs w:val="21"/>
        </w:rPr>
      </w:pPr>
      <w:r>
        <w:rPr>
          <w:rFonts w:hint="eastAsia" w:ascii="宋体" w:hAnsi="宋体"/>
          <w:szCs w:val="21"/>
        </w:rPr>
        <w:t>用于检测铜及其他元素含量的试样。</w:t>
      </w:r>
    </w:p>
    <w:p>
      <w:pPr>
        <w:snapToGrid w:val="0"/>
        <w:spacing w:line="380" w:lineRule="exact"/>
        <w:rPr>
          <w:rFonts w:hint="default" w:eastAsia="黑体"/>
          <w:bCs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</w:rPr>
        <w:t>3.</w:t>
      </w:r>
      <w:r>
        <w:rPr>
          <w:rFonts w:hint="eastAsia" w:ascii="黑体" w:hAnsi="黑体" w:eastAsia="黑体"/>
          <w:szCs w:val="21"/>
          <w:lang w:val="en-US" w:eastAsia="zh-CN"/>
        </w:rPr>
        <w:t>10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 xml:space="preserve">金属回收率 </w:t>
      </w:r>
      <w:r>
        <w:rPr>
          <w:rFonts w:eastAsia="黑体"/>
          <w:bCs/>
          <w:szCs w:val="21"/>
        </w:rPr>
        <w:t>metal</w:t>
      </w:r>
      <w:r>
        <w:rPr>
          <w:rFonts w:hint="eastAsia" w:eastAsia="黑体"/>
          <w:bCs/>
          <w:szCs w:val="21"/>
          <w:lang w:val="en-US" w:eastAsia="zh-CN"/>
        </w:rPr>
        <w:t xml:space="preserve"> </w:t>
      </w:r>
      <w:r>
        <w:rPr>
          <w:rFonts w:hint="eastAsia" w:eastAsia="黑体"/>
          <w:bCs/>
          <w:szCs w:val="21"/>
        </w:rPr>
        <w:t>recycling rate</w:t>
      </w:r>
    </w:p>
    <w:p>
      <w:pPr>
        <w:snapToGrid w:val="0"/>
        <w:spacing w:line="380" w:lineRule="exact"/>
        <w:ind w:firstLine="315" w:firstLineChars="150"/>
        <w:rPr>
          <w:rFonts w:eastAsia="黑体"/>
          <w:bCs/>
          <w:szCs w:val="21"/>
        </w:rPr>
      </w:pPr>
      <w:r>
        <w:rPr>
          <w:rFonts w:hint="eastAsia" w:ascii="宋体" w:hAnsi="宋体"/>
          <w:szCs w:val="21"/>
          <w:lang w:eastAsia="zh-CN"/>
        </w:rPr>
        <w:t>样品去除夹杂物和非铜金属，</w:t>
      </w:r>
      <w:r>
        <w:rPr>
          <w:rFonts w:hint="eastAsia" w:ascii="宋体" w:hAnsi="宋体"/>
          <w:szCs w:val="21"/>
        </w:rPr>
        <w:t>经熔化、凝固</w:t>
      </w:r>
      <w:r>
        <w:rPr>
          <w:rFonts w:hint="eastAsia" w:ascii="宋体" w:hAnsi="宋体"/>
          <w:szCs w:val="21"/>
          <w:lang w:eastAsia="zh-CN"/>
        </w:rPr>
        <w:t>后</w:t>
      </w:r>
      <w:r>
        <w:rPr>
          <w:rFonts w:hint="eastAsia" w:ascii="宋体" w:hAnsi="宋体"/>
          <w:szCs w:val="21"/>
        </w:rPr>
        <w:t>所得铸块重量与样品重量的比值。</w:t>
      </w:r>
    </w:p>
    <w:p>
      <w:pPr>
        <w:snapToGrid w:val="0"/>
        <w:spacing w:line="380" w:lineRule="exact"/>
        <w:rPr>
          <w:rFonts w:hint="default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  <w:lang w:val="en-US" w:eastAsia="zh-CN"/>
        </w:rPr>
        <w:t>3.11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开箱检验</w:t>
      </w:r>
      <w:r>
        <w:rPr>
          <w:rFonts w:hint="eastAsia" w:ascii="黑体" w:hAnsi="黑体" w:eastAsia="黑体"/>
          <w:szCs w:val="21"/>
        </w:rPr>
        <w:t xml:space="preserve"> inspection with opening box</w:t>
      </w:r>
    </w:p>
    <w:p>
      <w:pPr>
        <w:snapToGrid w:val="0"/>
        <w:spacing w:line="380" w:lineRule="exact"/>
      </w:pPr>
      <w:r>
        <w:rPr>
          <w:rFonts w:hint="eastAsia"/>
          <w:szCs w:val="21"/>
        </w:rPr>
        <w:t xml:space="preserve">   打开集装箱</w:t>
      </w:r>
      <w:r>
        <w:rPr>
          <w:rFonts w:hint="eastAsia"/>
        </w:rPr>
        <w:t>对黄铜原料进行的检验。</w:t>
      </w:r>
    </w:p>
    <w:p>
      <w:pPr>
        <w:spacing w:line="380" w:lineRule="exact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3.1</w:t>
      </w:r>
      <w:r>
        <w:rPr>
          <w:rFonts w:hint="eastAsia"/>
          <w:szCs w:val="21"/>
          <w:lang w:val="en-US" w:eastAsia="zh-CN"/>
        </w:rPr>
        <w:t>2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掏箱</w:t>
      </w:r>
      <w:r>
        <w:rPr>
          <w:rFonts w:hint="eastAsia" w:ascii="黑体" w:hAnsi="黑体" w:eastAsia="黑体"/>
          <w:szCs w:val="21"/>
        </w:rPr>
        <w:t>检验 inspection with outing box</w:t>
      </w:r>
    </w:p>
    <w:p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eastAsia="zh-CN"/>
        </w:rPr>
        <w:t>完全</w:t>
      </w:r>
      <w:r>
        <w:rPr>
          <w:rFonts w:hint="eastAsia"/>
          <w:szCs w:val="21"/>
        </w:rPr>
        <w:t>清空集装箱，</w:t>
      </w:r>
      <w:r>
        <w:rPr>
          <w:rFonts w:hint="eastAsia"/>
        </w:rPr>
        <w:t>对黄铜原料抽取样品进</w:t>
      </w:r>
      <w:r>
        <w:rPr>
          <w:rFonts w:hint="eastAsia"/>
          <w:szCs w:val="21"/>
        </w:rPr>
        <w:t>行的检验。</w:t>
      </w:r>
    </w:p>
    <w:p>
      <w:pPr>
        <w:snapToGrid w:val="0"/>
        <w:spacing w:line="380" w:lineRule="exact"/>
        <w:rPr>
          <w:rFonts w:hint="eastAsia" w:ascii="黑体" w:hAnsi="黑体" w:eastAsia="黑体"/>
          <w:szCs w:val="21"/>
          <w:lang w:val="en-US" w:eastAsia="zh-CN"/>
        </w:rPr>
      </w:pPr>
      <w:r>
        <w:rPr>
          <w:rFonts w:hint="eastAsia" w:ascii="黑体" w:hAnsi="黑体" w:eastAsia="黑体"/>
          <w:szCs w:val="21"/>
        </w:rPr>
        <w:t>3.1</w:t>
      </w:r>
      <w:r>
        <w:rPr>
          <w:rFonts w:hint="eastAsia" w:ascii="黑体" w:hAnsi="黑体" w:eastAsia="黑体"/>
          <w:szCs w:val="21"/>
          <w:lang w:val="en-US" w:eastAsia="zh-CN"/>
        </w:rPr>
        <w:t>3</w:t>
      </w:r>
    </w:p>
    <w:p>
      <w:pPr>
        <w:snapToGrid w:val="0"/>
        <w:spacing w:line="380" w:lineRule="exact"/>
        <w:ind w:firstLine="315" w:firstLineChars="1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散装检验 inspection with in-bulk</w:t>
      </w:r>
    </w:p>
    <w:p>
      <w:pPr>
        <w:spacing w:line="380" w:lineRule="exact"/>
      </w:pPr>
      <w:r>
        <w:rPr>
          <w:rFonts w:hint="eastAsia"/>
          <w:szCs w:val="21"/>
        </w:rPr>
        <w:t xml:space="preserve">   对散装</w:t>
      </w:r>
      <w:r>
        <w:rPr>
          <w:rFonts w:hint="eastAsia"/>
        </w:rPr>
        <w:t>运输的黄铜原料抽取样品进行的检验。</w:t>
      </w:r>
    </w:p>
    <w:p>
      <w:pPr>
        <w:snapToGrid w:val="0"/>
        <w:spacing w:before="156" w:beforeLines="50"/>
        <w:rPr>
          <w:rFonts w:eastAsia="黑体"/>
          <w:szCs w:val="21"/>
        </w:rPr>
      </w:pPr>
      <w:r>
        <w:rPr>
          <w:rFonts w:hint="eastAsia" w:eastAsia="黑体"/>
          <w:szCs w:val="21"/>
        </w:rPr>
        <w:t>4  分类</w:t>
      </w:r>
    </w:p>
    <w:p>
      <w:pPr>
        <w:snapToGrid w:val="0"/>
        <w:spacing w:line="380" w:lineRule="exact"/>
        <w:rPr>
          <w:rFonts w:eastAsia="黑体"/>
          <w:szCs w:val="21"/>
        </w:rPr>
      </w:pPr>
      <w:r>
        <w:rPr>
          <w:rFonts w:eastAsia="黑体"/>
          <w:szCs w:val="21"/>
        </w:rPr>
        <w:t>4.1</w:t>
      </w:r>
      <w:r>
        <w:rPr>
          <w:rFonts w:hint="eastAsia" w:eastAsia="黑体"/>
          <w:szCs w:val="21"/>
        </w:rPr>
        <w:t xml:space="preserve"> </w:t>
      </w:r>
      <w:r>
        <w:rPr>
          <w:rFonts w:hint="eastAsia" w:ascii="黑体" w:hAnsi="黑体" w:eastAsia="黑体" w:cs="黑体"/>
          <w:szCs w:val="21"/>
        </w:rPr>
        <w:t>类别、名称、代号</w:t>
      </w:r>
    </w:p>
    <w:p>
      <w:pPr>
        <w:snapToGrid w:val="0"/>
        <w:spacing w:line="38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原料的类别、</w:t>
      </w:r>
      <w:r>
        <w:rPr>
          <w:szCs w:val="21"/>
        </w:rPr>
        <w:t>名称、</w:t>
      </w:r>
      <w:r>
        <w:rPr>
          <w:rFonts w:hint="eastAsia"/>
          <w:szCs w:val="21"/>
        </w:rPr>
        <w:t>代</w:t>
      </w:r>
      <w:r>
        <w:rPr>
          <w:szCs w:val="21"/>
        </w:rPr>
        <w:t>号见</w:t>
      </w:r>
      <w:r>
        <w:rPr>
          <w:rFonts w:hint="eastAsia"/>
          <w:szCs w:val="21"/>
        </w:rPr>
        <w:t>表1</w:t>
      </w:r>
      <w:r>
        <w:rPr>
          <w:szCs w:val="21"/>
        </w:rPr>
        <w:t>。</w:t>
      </w:r>
    </w:p>
    <w:p>
      <w:pPr>
        <w:snapToGrid w:val="0"/>
        <w:spacing w:line="380" w:lineRule="exact"/>
        <w:ind w:firstLine="2730" w:firstLineChars="1300"/>
        <w:rPr>
          <w:b/>
          <w:bCs/>
          <w:szCs w:val="21"/>
        </w:rPr>
      </w:pPr>
      <w:r>
        <w:rPr>
          <w:rFonts w:hint="eastAsia" w:eastAsia="黑体"/>
          <w:szCs w:val="21"/>
        </w:rPr>
        <w:t xml:space="preserve">表1  </w:t>
      </w:r>
      <w:r>
        <w:rPr>
          <w:rFonts w:hint="eastAsia" w:ascii="宋体" w:hAnsi="宋体" w:cs="宋体"/>
          <w:b/>
          <w:bCs/>
          <w:szCs w:val="21"/>
        </w:rPr>
        <w:t>原料</w:t>
      </w:r>
      <w:r>
        <w:rPr>
          <w:rFonts w:hint="eastAsia"/>
          <w:b/>
          <w:bCs/>
          <w:szCs w:val="21"/>
        </w:rPr>
        <w:t>的类别、</w:t>
      </w:r>
      <w:r>
        <w:rPr>
          <w:b/>
          <w:bCs/>
          <w:szCs w:val="21"/>
        </w:rPr>
        <w:t>名称、</w:t>
      </w:r>
      <w:r>
        <w:rPr>
          <w:rFonts w:hint="eastAsia"/>
          <w:b/>
          <w:bCs/>
          <w:szCs w:val="21"/>
        </w:rPr>
        <w:t>代</w:t>
      </w:r>
      <w:r>
        <w:rPr>
          <w:b/>
          <w:bCs/>
          <w:szCs w:val="21"/>
        </w:rPr>
        <w:t>号</w:t>
      </w:r>
    </w:p>
    <w:tbl>
      <w:tblPr>
        <w:tblStyle w:val="20"/>
        <w:tblW w:w="8899" w:type="dxa"/>
        <w:jc w:val="center"/>
        <w:tblInd w:w="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2820"/>
        <w:gridCol w:w="31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86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ascii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类别</w:t>
            </w:r>
          </w:p>
        </w:tc>
        <w:tc>
          <w:tcPr>
            <w:tcW w:w="2820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</w:rPr>
              <w:t>名称</w:t>
            </w:r>
          </w:p>
        </w:tc>
        <w:tc>
          <w:tcPr>
            <w:tcW w:w="3193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代号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6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普通黄铜料</w:t>
            </w:r>
          </w:p>
        </w:tc>
        <w:tc>
          <w:tcPr>
            <w:tcW w:w="282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纯黄铜</w:t>
            </w:r>
          </w:p>
        </w:tc>
        <w:tc>
          <w:tcPr>
            <w:tcW w:w="319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黄铜丝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88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镀白黄铜料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黄铜管料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普通黄铜管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黄铜冷凝管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8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黄杂铜料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黄铜水表壳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红铜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1号黄铜屑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8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RCuZn-4D</w:t>
            </w:r>
          </w:p>
        </w:tc>
      </w:tr>
    </w:tbl>
    <w:p>
      <w:pPr>
        <w:snapToGrid w:val="0"/>
        <w:rPr>
          <w:rFonts w:eastAsia="黑体"/>
          <w:szCs w:val="21"/>
        </w:rPr>
      </w:pPr>
    </w:p>
    <w:p>
      <w:pPr>
        <w:snapToGrid w:val="0"/>
        <w:spacing w:line="400" w:lineRule="exact"/>
        <w:rPr>
          <w:rFonts w:eastAsia="黑体"/>
          <w:b/>
          <w:bCs/>
          <w:szCs w:val="21"/>
        </w:rPr>
      </w:pPr>
      <w:r>
        <w:rPr>
          <w:rFonts w:eastAsia="黑体"/>
          <w:szCs w:val="21"/>
        </w:rPr>
        <w:t>4.1.</w:t>
      </w:r>
      <w:r>
        <w:rPr>
          <w:rFonts w:hint="eastAsia" w:eastAsia="黑体"/>
          <w:szCs w:val="21"/>
        </w:rPr>
        <w:t>1</w:t>
      </w:r>
      <w:r>
        <w:rPr>
          <w:rFonts w:eastAsia="黑体"/>
          <w:szCs w:val="21"/>
        </w:rPr>
        <w:t xml:space="preserve">  </w:t>
      </w:r>
      <w:r>
        <w:rPr>
          <w:rFonts w:hint="eastAsia" w:eastAsia="黑体"/>
          <w:szCs w:val="21"/>
        </w:rPr>
        <w:t>原料标记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原料标记按原料名称、标准编号、代号的顺序表示。</w:t>
      </w:r>
    </w:p>
    <w:p>
      <w:pPr>
        <w:spacing w:line="400" w:lineRule="exac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标记示例：符合本标准的再生黄铜原料名称纯黄铜，代号</w:t>
      </w:r>
      <w:r>
        <w:rPr>
          <w:rFonts w:hint="eastAsia" w:ascii="Times New Roman"/>
          <w:sz w:val="18"/>
          <w:szCs w:val="18"/>
        </w:rPr>
        <w:t>RCuZn-1A</w:t>
      </w:r>
      <w:r>
        <w:rPr>
          <w:rFonts w:hint="eastAsia" w:ascii="宋体" w:hAnsi="宋体"/>
          <w:sz w:val="18"/>
          <w:szCs w:val="18"/>
        </w:rPr>
        <w:t>，被标记如下：</w:t>
      </w:r>
    </w:p>
    <w:p>
      <w:pPr>
        <w:spacing w:line="400" w:lineRule="exact"/>
        <w:ind w:firstLine="2160" w:firstLineChars="1200"/>
        <w:rPr>
          <w:rFonts w:eastAsia="黑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纯黄铜  GB/T XXXX-</w:t>
      </w:r>
      <w:r>
        <w:rPr>
          <w:rFonts w:hint="eastAsia" w:ascii="Times New Roman"/>
          <w:sz w:val="18"/>
          <w:szCs w:val="18"/>
        </w:rPr>
        <w:t>RCuZn-1A</w:t>
      </w:r>
    </w:p>
    <w:p>
      <w:pPr>
        <w:snapToGrid w:val="0"/>
        <w:spacing w:before="156" w:beforeLines="50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5  技术要求</w:t>
      </w:r>
    </w:p>
    <w:p>
      <w:pPr>
        <w:snapToGrid w:val="0"/>
        <w:spacing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5.1</w:t>
      </w:r>
      <w:r>
        <w:rPr>
          <w:rFonts w:eastAsia="黑体"/>
          <w:szCs w:val="21"/>
        </w:rPr>
        <w:t xml:space="preserve"> </w:t>
      </w:r>
      <w:r>
        <w:rPr>
          <w:rFonts w:hint="eastAsia" w:eastAsia="黑体"/>
          <w:szCs w:val="21"/>
        </w:rPr>
        <w:t>原料表观</w:t>
      </w:r>
      <w:r>
        <w:rPr>
          <w:rFonts w:eastAsia="黑体"/>
          <w:szCs w:val="21"/>
        </w:rPr>
        <w:t>特征</w:t>
      </w:r>
    </w:p>
    <w:p>
      <w:pPr>
        <w:snapToGrid w:val="0"/>
        <w:spacing w:line="360" w:lineRule="exact"/>
        <w:ind w:firstLine="420" w:firstLineChars="200"/>
        <w:rPr>
          <w:rFonts w:cs="Calibri"/>
          <w:szCs w:val="21"/>
        </w:rPr>
      </w:pPr>
      <w:r>
        <w:rPr>
          <w:rFonts w:hint="eastAsia"/>
          <w:szCs w:val="21"/>
        </w:rPr>
        <w:t>原料的表观</w:t>
      </w:r>
      <w:r>
        <w:rPr>
          <w:rFonts w:cs="Calibri"/>
          <w:szCs w:val="21"/>
        </w:rPr>
        <w:t>特征</w:t>
      </w:r>
      <w:r>
        <w:rPr>
          <w:rFonts w:hint="eastAsia" w:cs="Calibri"/>
          <w:szCs w:val="21"/>
        </w:rPr>
        <w:t>见</w:t>
      </w:r>
      <w:r>
        <w:rPr>
          <w:rFonts w:cs="Calibri"/>
          <w:szCs w:val="21"/>
        </w:rPr>
        <w:t>表</w:t>
      </w:r>
      <w:r>
        <w:rPr>
          <w:rFonts w:hint="eastAsia" w:cs="Calibri"/>
          <w:szCs w:val="21"/>
        </w:rPr>
        <w:t>2</w:t>
      </w:r>
      <w:r>
        <w:rPr>
          <w:rFonts w:cs="Calibri"/>
          <w:szCs w:val="21"/>
        </w:rPr>
        <w:t>规定。</w:t>
      </w:r>
    </w:p>
    <w:p>
      <w:pPr>
        <w:snapToGrid w:val="0"/>
        <w:spacing w:line="360" w:lineRule="exact"/>
        <w:jc w:val="center"/>
        <w:rPr>
          <w:rFonts w:cs="Calibri"/>
          <w:b/>
          <w:bCs/>
          <w:szCs w:val="21"/>
        </w:rPr>
      </w:pPr>
      <w:r>
        <w:rPr>
          <w:rFonts w:hint="eastAsia"/>
          <w:b/>
          <w:bCs/>
          <w:szCs w:val="21"/>
        </w:rPr>
        <w:t>表2 原料的表观特</w:t>
      </w:r>
      <w:r>
        <w:rPr>
          <w:rFonts w:cs="Calibri"/>
          <w:b/>
          <w:bCs/>
          <w:szCs w:val="21"/>
        </w:rPr>
        <w:t>征</w:t>
      </w:r>
    </w:p>
    <w:tbl>
      <w:tblPr>
        <w:tblStyle w:val="20"/>
        <w:tblW w:w="8735" w:type="dxa"/>
        <w:tblInd w:w="-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1"/>
        <w:gridCol w:w="1123"/>
        <w:gridCol w:w="4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ascii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类别</w:t>
            </w:r>
          </w:p>
        </w:tc>
        <w:tc>
          <w:tcPr>
            <w:tcW w:w="1311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Times New Roman"/>
                <w:b w:val="0"/>
                <w:bCs w:val="0"/>
                <w:sz w:val="18"/>
                <w:szCs w:val="18"/>
              </w:rPr>
              <w:t>名称</w:t>
            </w:r>
          </w:p>
        </w:tc>
        <w:tc>
          <w:tcPr>
            <w:tcW w:w="1123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代号</w:t>
            </w:r>
          </w:p>
        </w:tc>
        <w:tc>
          <w:tcPr>
            <w:tcW w:w="4990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表观特征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普通黄铜料</w:t>
            </w:r>
          </w:p>
        </w:tc>
        <w:tc>
          <w:tcPr>
            <w:tcW w:w="1311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纯黄铜</w:t>
            </w:r>
          </w:p>
        </w:tc>
        <w:tc>
          <w:tcPr>
            <w:tcW w:w="112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RCuZn-1A</w:t>
            </w:r>
          </w:p>
        </w:tc>
        <w:tc>
          <w:tcPr>
            <w:tcW w:w="4990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由普通黄铜零部件及加工余料组成。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黄铜丝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RCuZn-1B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由单一</w:t>
            </w: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类别</w:t>
            </w:r>
            <w:r>
              <w:rPr>
                <w:rFonts w:hint="eastAsia" w:hAnsi="宋体" w:cs="宋体"/>
                <w:bCs/>
                <w:sz w:val="18"/>
                <w:szCs w:val="18"/>
              </w:rPr>
              <w:t>的普通黄铜丝组成。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镀白黄铜料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RCuZn-2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由表面镀锡、镀镍或镀锌黄铜零部件、加工余料、铜线（丝）等组成。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黄铜管料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普通黄铜管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RCuZn-3A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由普通黄铜管组成，不含表面有镀层的镀件或接头，不含用黄铜铸件连接的黄铜管。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黄铜冷凝管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RCuZn-3B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由单一</w:t>
            </w: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类别</w:t>
            </w:r>
            <w:r>
              <w:rPr>
                <w:rFonts w:hint="eastAsia" w:hAnsi="宋体" w:cs="宋体"/>
                <w:bCs/>
                <w:sz w:val="18"/>
                <w:szCs w:val="18"/>
              </w:rPr>
              <w:t>黄铜冷凝管组成。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黄杂铜料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黄铜水表壳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RCuZn-4A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由黄铜水表壳组成，允许表面有涂层。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红铜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RCuZn-4B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由加工余料、服役失效的红色黄铜零部件、阀门、机械轴承、蜗轮、螺旋桨和其他机械零件组成。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1号黄铜屑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RCuZn-4C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由机加工产生的单一</w:t>
            </w: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类别</w:t>
            </w:r>
            <w:r>
              <w:rPr>
                <w:rFonts w:hint="eastAsia" w:hAnsi="宋体" w:cs="宋体"/>
                <w:bCs/>
                <w:sz w:val="18"/>
                <w:szCs w:val="18"/>
              </w:rPr>
              <w:t>黄铜屑料组成，不含锉屑和磨屑。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1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</w:t>
            </w:r>
          </w:p>
        </w:tc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RCuZn-4D</w:t>
            </w:r>
          </w:p>
        </w:tc>
        <w:tc>
          <w:tcPr>
            <w:tcW w:w="499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288" w:lineRule="auto"/>
              <w:ind w:firstLine="0" w:firstLineChars="0"/>
              <w:jc w:val="left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由服役失效的铸件、轧件、铜制品（包括阀门、水暖洁具、接头、装饰品、元器件、连接件等）等混合组成，或经重熔后的铸块。不应含有铋、硅等元素。供需双方认可的情况下可以有少量涂层或镀层。</w:t>
            </w:r>
          </w:p>
        </w:tc>
      </w:tr>
    </w:tbl>
    <w:p>
      <w:pPr>
        <w:snapToGrid w:val="0"/>
        <w:spacing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5.2 放射性污染物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原料中放射性污染物控制应符合</w:t>
      </w:r>
      <w:r>
        <w:rPr>
          <w:rFonts w:hint="eastAsia" w:ascii="宋体" w:hAnsi="宋体"/>
          <w:szCs w:val="21"/>
          <w:lang w:eastAsia="zh-CN"/>
        </w:rPr>
        <w:t>以</w:t>
      </w:r>
      <w:r>
        <w:rPr>
          <w:rFonts w:hint="eastAsia" w:ascii="宋体" w:hAnsi="宋体"/>
          <w:szCs w:val="21"/>
        </w:rPr>
        <w:t xml:space="preserve">下要求： 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a）</w:t>
      </w:r>
      <w:r>
        <w:rPr>
          <w:rFonts w:hint="eastAsia"/>
          <w:szCs w:val="21"/>
        </w:rPr>
        <w:t>不应</w:t>
      </w:r>
      <w:r>
        <w:rPr>
          <w:rFonts w:hint="eastAsia" w:ascii="宋体" w:hAnsi="宋体"/>
          <w:szCs w:val="21"/>
        </w:rPr>
        <w:t>混有放射性物质；</w:t>
      </w:r>
    </w:p>
    <w:p>
      <w:pPr>
        <w:spacing w:line="400" w:lineRule="exact"/>
        <w:ind w:left="840" w:leftChars="20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b）原料（含包装物）的外照射贯穿辐射剂量率不超过所在地正常天然辐射本底值+0.25µGy/h；</w:t>
      </w:r>
    </w:p>
    <w:p>
      <w:pPr>
        <w:spacing w:line="400" w:lineRule="exact"/>
        <w:ind w:left="630" w:leftChars="200" w:hanging="210" w:hangingChars="100"/>
        <w:rPr>
          <w:rFonts w:eastAsia="黑体"/>
          <w:szCs w:val="21"/>
        </w:rPr>
      </w:pPr>
      <w:r>
        <w:rPr>
          <w:rFonts w:hint="eastAsia" w:ascii="宋体" w:hAnsi="宋体"/>
          <w:szCs w:val="21"/>
        </w:rPr>
        <w:t>c）原料表面α、β放射性污染水平为：表面任何部分的300 cm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的最大检测水平的平均值α不超过 0.04 Bq/cm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，β不超过 0.4 Bq/cm</w:t>
      </w:r>
      <w:r>
        <w:rPr>
          <w:rFonts w:hint="eastAsia" w:ascii="宋体" w:hAnsi="宋体"/>
          <w:szCs w:val="21"/>
          <w:vertAlign w:val="superscript"/>
        </w:rPr>
        <w:t>2</w:t>
      </w:r>
      <w:r>
        <w:rPr>
          <w:rFonts w:hint="eastAsia" w:ascii="宋体" w:hAnsi="宋体"/>
          <w:szCs w:val="21"/>
        </w:rPr>
        <w:t>。</w:t>
      </w:r>
    </w:p>
    <w:p>
      <w:pPr>
        <w:snapToGrid w:val="0"/>
        <w:spacing w:before="93" w:beforeLines="30" w:line="360" w:lineRule="exact"/>
        <w:rPr>
          <w:rFonts w:hint="eastAsia" w:eastAsia="黑体"/>
          <w:szCs w:val="21"/>
          <w:lang w:eastAsia="zh-CN"/>
        </w:rPr>
      </w:pPr>
      <w:r>
        <w:rPr>
          <w:rFonts w:hint="eastAsia" w:eastAsia="黑体"/>
          <w:szCs w:val="21"/>
        </w:rPr>
        <w:t>5.3 夹杂物</w:t>
      </w:r>
      <w:r>
        <w:rPr>
          <w:rFonts w:hint="eastAsia" w:eastAsia="黑体"/>
          <w:szCs w:val="21"/>
          <w:lang w:eastAsia="zh-CN"/>
        </w:rPr>
        <w:t>、水分、金属总量、金属</w:t>
      </w:r>
      <w:r>
        <w:rPr>
          <w:rFonts w:hint="eastAsia" w:ascii="宋体" w:hAnsi="宋体"/>
          <w:szCs w:val="21"/>
          <w:lang w:eastAsia="zh-CN"/>
        </w:rPr>
        <w:t>黄铜</w:t>
      </w:r>
      <w:r>
        <w:rPr>
          <w:rFonts w:hint="eastAsia" w:eastAsia="黑体"/>
          <w:szCs w:val="21"/>
          <w:lang w:eastAsia="zh-CN"/>
        </w:rPr>
        <w:t>量</w:t>
      </w:r>
    </w:p>
    <w:p>
      <w:pPr>
        <w:spacing w:line="400" w:lineRule="exact"/>
        <w:ind w:firstLine="420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原料中的夹杂物</w:t>
      </w:r>
      <w:r>
        <w:rPr>
          <w:rFonts w:hint="eastAsia" w:ascii="宋体" w:hAnsi="宋体"/>
          <w:szCs w:val="21"/>
          <w:lang w:eastAsia="zh-CN"/>
        </w:rPr>
        <w:t>、水分、金属总量、金属黄铜量</w:t>
      </w:r>
      <w:r>
        <w:rPr>
          <w:rFonts w:hint="eastAsia" w:ascii="宋体" w:hAnsi="宋体"/>
          <w:szCs w:val="21"/>
        </w:rPr>
        <w:t>应符合表3</w:t>
      </w:r>
      <w:r>
        <w:rPr>
          <w:rFonts w:hint="eastAsia" w:ascii="宋体" w:hAnsi="宋体"/>
          <w:szCs w:val="21"/>
          <w:lang w:eastAsia="zh-CN"/>
        </w:rPr>
        <w:t>的</w:t>
      </w:r>
      <w:r>
        <w:rPr>
          <w:rFonts w:hint="eastAsia" w:ascii="宋体" w:hAnsi="宋体"/>
          <w:szCs w:val="21"/>
        </w:rPr>
        <w:t>规定。</w:t>
      </w:r>
    </w:p>
    <w:p>
      <w:pPr>
        <w:spacing w:line="400" w:lineRule="exact"/>
        <w:ind w:firstLine="422" w:firstLineChars="200"/>
        <w:jc w:val="center"/>
        <w:rPr>
          <w:rFonts w:hint="eastAsia" w:ascii="宋体" w:hAnsi="宋体" w:eastAsia="宋体"/>
          <w:b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</w:rPr>
        <w:t>表3  夹杂物</w:t>
      </w:r>
      <w:r>
        <w:rPr>
          <w:rFonts w:hint="eastAsia" w:ascii="宋体" w:hAnsi="宋体"/>
          <w:b/>
          <w:bCs/>
          <w:szCs w:val="21"/>
          <w:lang w:eastAsia="zh-CN"/>
        </w:rPr>
        <w:t>、水分、金属总量、金属黄铜量</w:t>
      </w:r>
    </w:p>
    <w:tbl>
      <w:tblPr>
        <w:tblStyle w:val="20"/>
        <w:tblW w:w="8738" w:type="dxa"/>
        <w:jc w:val="center"/>
        <w:tblInd w:w="-25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22"/>
        <w:gridCol w:w="1262"/>
        <w:gridCol w:w="1158"/>
        <w:gridCol w:w="1158"/>
        <w:gridCol w:w="1158"/>
        <w:gridCol w:w="1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类别</w:t>
            </w: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1262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代号</w:t>
            </w:r>
          </w:p>
        </w:tc>
        <w:tc>
          <w:tcPr>
            <w:tcW w:w="1158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夹杂物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/%</w:t>
            </w:r>
          </w:p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不大于</w:t>
            </w:r>
          </w:p>
        </w:tc>
        <w:tc>
          <w:tcPr>
            <w:tcW w:w="1158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水分</w:t>
            </w:r>
            <w:r>
              <w:rPr>
                <w:rFonts w:hint="eastAsia" w:hAnsi="宋体" w:cs="宋体"/>
                <w:bCs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/%</w:t>
            </w:r>
          </w:p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不大于</w:t>
            </w:r>
          </w:p>
        </w:tc>
        <w:tc>
          <w:tcPr>
            <w:tcW w:w="1158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金属总量/%</w:t>
            </w:r>
          </w:p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不小于</w:t>
            </w:r>
          </w:p>
        </w:tc>
        <w:tc>
          <w:tcPr>
            <w:tcW w:w="1158" w:type="dxa"/>
            <w:tcBorders>
              <w:bottom w:val="single" w:color="auto" w:sz="12" w:space="0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金属黄铜量/%</w:t>
            </w:r>
          </w:p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不小于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2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普通黄铜料</w:t>
            </w:r>
          </w:p>
        </w:tc>
        <w:tc>
          <w:tcPr>
            <w:tcW w:w="1422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纯黄铜</w:t>
            </w:r>
          </w:p>
        </w:tc>
        <w:tc>
          <w:tcPr>
            <w:tcW w:w="1262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RCuZn-1A</w:t>
            </w:r>
          </w:p>
        </w:tc>
        <w:tc>
          <w:tcPr>
            <w:tcW w:w="115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115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15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99.3</w:t>
            </w:r>
          </w:p>
        </w:tc>
        <w:tc>
          <w:tcPr>
            <w:tcW w:w="1158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黄铜丝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RCuZn-1B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-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99.5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镀白黄铜料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0.5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99.2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黄铜管料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普通黄铜管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0.8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黄铜冷凝管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RCuZn-3B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0.8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黄杂铜料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黄铜水表壳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RCuZn-4A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宋体" w:cs="宋体"/>
                <w:bCs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98.8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红铜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RCuZn-4B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0.8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-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1号黄铜屑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RCuZn-4C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0.8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RCuZn-4D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-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98.5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3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156" w:after="156" w:line="240" w:lineRule="auto"/>
              <w:ind w:left="178" w:leftChars="85" w:firstLine="0" w:firstLineChars="0"/>
              <w:jc w:val="left"/>
              <w:rPr>
                <w:rFonts w:asciiTheme="minorHAnsi" w:hAnsiTheme="minorHAnsi" w:eastAsiaTheme="minorEastAsia"/>
                <w:sz w:val="18"/>
                <w:szCs w:val="18"/>
              </w:rPr>
            </w:pPr>
            <w:r>
              <w:rPr>
                <w:rFonts w:asciiTheme="minorHAnsi" w:hAnsiTheme="minorHAnsi" w:eastAsiaTheme="minorEastAsia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其中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夹杂和沾染的粒径不大于2mm的粉状物（灰尘、污泥、结晶盐、金属氧化物、纤维末等）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应不大于</w:t>
            </w:r>
            <w:r>
              <w:rPr>
                <w:rFonts w:asciiTheme="minorHAnsi" w:hAnsiTheme="minorHAnsi" w:eastAsiaTheme="minorEastAsia"/>
                <w:sz w:val="18"/>
                <w:szCs w:val="18"/>
              </w:rPr>
              <w:t>0.1%。</w:t>
            </w:r>
          </w:p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HAnsi" w:hAnsiTheme="minorHAnsi" w:eastAsiaTheme="minorEastAsia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  <w:vertAlign w:val="baseline"/>
                <w:lang w:val="en-US" w:eastAsia="zh-CN"/>
              </w:rPr>
              <w:t>“-”表示水分含量不大于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</w:rPr>
              <w:t>0.</w:t>
            </w:r>
            <w:r>
              <w:rPr>
                <w:rFonts w:hint="eastAsia" w:asciiTheme="minorHAnsi" w:hAnsiTheme="minorHAnsi" w:eastAsiaTheme="minorEastAsia"/>
                <w:sz w:val="18"/>
                <w:szCs w:val="18"/>
                <w:lang w:val="en-US" w:eastAsia="zh-CN"/>
              </w:rPr>
              <w:t>2%。</w:t>
            </w:r>
          </w:p>
        </w:tc>
      </w:tr>
    </w:tbl>
    <w:p>
      <w:pPr>
        <w:snapToGrid w:val="0"/>
        <w:spacing w:before="93" w:beforeLines="30" w:line="360" w:lineRule="exact"/>
        <w:rPr>
          <w:rFonts w:hint="eastAsia" w:eastAsia="黑体"/>
          <w:szCs w:val="21"/>
          <w:lang w:eastAsia="zh-CN"/>
        </w:rPr>
      </w:pPr>
      <w:r>
        <w:rPr>
          <w:rFonts w:hint="eastAsia" w:eastAsia="黑体"/>
          <w:szCs w:val="21"/>
        </w:rPr>
        <w:t>5.</w:t>
      </w:r>
      <w:r>
        <w:rPr>
          <w:rFonts w:hint="eastAsia" w:eastAsia="黑体"/>
          <w:szCs w:val="21"/>
          <w:lang w:val="en-US" w:eastAsia="zh-CN"/>
        </w:rPr>
        <w:t>4</w:t>
      </w:r>
      <w:r>
        <w:rPr>
          <w:rFonts w:hint="eastAsia" w:eastAsia="黑体"/>
          <w:szCs w:val="21"/>
        </w:rPr>
        <w:t xml:space="preserve"> 化学成分</w:t>
      </w:r>
      <w:r>
        <w:rPr>
          <w:rFonts w:hint="eastAsia" w:eastAsia="黑体"/>
          <w:szCs w:val="21"/>
          <w:lang w:eastAsia="zh-CN"/>
        </w:rPr>
        <w:t>、金属回收率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原料化学成分</w:t>
      </w:r>
      <w:r>
        <w:rPr>
          <w:rFonts w:hint="eastAsia" w:ascii="宋体" w:hAnsi="宋体" w:eastAsia="宋体" w:cs="宋体"/>
          <w:szCs w:val="21"/>
          <w:lang w:eastAsia="zh-CN"/>
        </w:rPr>
        <w:t>、金属回收率</w:t>
      </w:r>
      <w:r>
        <w:rPr>
          <w:rFonts w:hint="eastAsia" w:ascii="宋体" w:hAnsi="宋体"/>
          <w:szCs w:val="21"/>
        </w:rPr>
        <w:t>应符合表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规定。</w:t>
      </w:r>
    </w:p>
    <w:p>
      <w:pPr>
        <w:snapToGrid w:val="0"/>
        <w:spacing w:line="360" w:lineRule="exact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表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 xml:space="preserve">  化学成分</w:t>
      </w:r>
      <w:r>
        <w:rPr>
          <w:rFonts w:hint="eastAsia"/>
          <w:b/>
          <w:bCs/>
          <w:szCs w:val="21"/>
          <w:lang w:eastAsia="zh-CN"/>
        </w:rPr>
        <w:t>和金属回收率</w:t>
      </w:r>
    </w:p>
    <w:tbl>
      <w:tblPr>
        <w:tblStyle w:val="20"/>
        <w:tblW w:w="8738" w:type="dxa"/>
        <w:jc w:val="center"/>
        <w:tblInd w:w="-31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656"/>
        <w:gridCol w:w="1113"/>
        <w:gridCol w:w="1044"/>
        <w:gridCol w:w="1069"/>
        <w:gridCol w:w="1080"/>
        <w:gridCol w:w="1"/>
        <w:gridCol w:w="1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类别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11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代号</w:t>
            </w:r>
          </w:p>
        </w:tc>
        <w:tc>
          <w:tcPr>
            <w:tcW w:w="31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化学成分</w:t>
            </w: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="宋体" w:cs="宋体"/>
                <w:bCs/>
                <w:sz w:val="18"/>
                <w:szCs w:val="18"/>
              </w:rPr>
              <w:t>质量分数</w:t>
            </w:r>
            <w:r>
              <w:rPr>
                <w:rFonts w:hint="eastAsia" w:hAnsi="宋体" w:cs="宋体"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hAnsi="宋体" w:cs="宋体"/>
                <w:bCs/>
                <w:sz w:val="18"/>
                <w:szCs w:val="18"/>
              </w:rPr>
              <w:t>/%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金属回收率</w:t>
            </w:r>
          </w:p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Cu</w:t>
            </w:r>
          </w:p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不小于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Pb</w:t>
            </w:r>
          </w:p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不大于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Zn</w:t>
            </w:r>
            <w:r>
              <w:rPr>
                <w:rFonts w:hint="eastAsia" w:hAnsi="宋体" w:cs="宋体"/>
                <w:bCs/>
                <w:sz w:val="18"/>
                <w:szCs w:val="18"/>
                <w:vertAlign w:val="superscript"/>
              </w:rPr>
              <w:t>a</w:t>
            </w:r>
          </w:p>
          <w:p>
            <w:pPr>
              <w:pStyle w:val="27"/>
              <w:widowControl w:val="0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不小于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不小于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普通黄铜料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纯黄铜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RCuZn-1A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60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0.08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黄铜丝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RCuZn-1B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60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0.08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镀白黄铜料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镀白黄铜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RCuZn-2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57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0.5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黄铜管料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普通黄铜管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RCuZn-3A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60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0.08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黄铜冷凝管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RCuZn-3B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69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0.05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黄杂铜料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黄铜水表壳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RCuZn-4A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57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3.5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kern w:val="2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红铜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RCuZn-4B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75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4.0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95.8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1号黄铜屑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RCuZn-4C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4.0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int="eastAsia" w:hAnsi="宋体" w:cs="宋体"/>
                <w:bCs/>
                <w:sz w:val="18"/>
                <w:szCs w:val="18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黄杂铜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sz w:val="18"/>
                <w:szCs w:val="18"/>
              </w:rPr>
              <w:t>RCuZn-4D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56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3.5</w:t>
            </w:r>
          </w:p>
        </w:tc>
        <w:tc>
          <w:tcPr>
            <w:tcW w:w="10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widowControl w:val="0"/>
              <w:spacing w:line="400" w:lineRule="exact"/>
              <w:ind w:firstLine="0" w:firstLineChars="0"/>
              <w:jc w:val="center"/>
              <w:rPr>
                <w:rFonts w:hAnsi="宋体" w:cs="宋体"/>
                <w:bCs/>
                <w:sz w:val="18"/>
                <w:szCs w:val="18"/>
              </w:rPr>
            </w:pP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余量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hAnsi="宋体" w:eastAsia="宋体" w:cs="宋体"/>
                <w:bCs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3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hAnsi="宋体" w:cs="宋体"/>
                <w:bCs/>
                <w:color w:val="auto"/>
                <w:kern w:val="2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含其它未列元素，但Zn元素含量应超过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eastAsia="zh-CN"/>
              </w:rPr>
              <w:t>除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val="en-US" w:eastAsia="zh-CN"/>
              </w:rPr>
              <w:t>Cu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  <w:lang w:eastAsia="zh-CN"/>
              </w:rPr>
              <w:t>元素外的</w:t>
            </w:r>
            <w:r>
              <w:rPr>
                <w:rFonts w:hint="eastAsia" w:hAnsi="宋体" w:cs="宋体"/>
                <w:bCs/>
                <w:kern w:val="2"/>
                <w:sz w:val="18"/>
                <w:szCs w:val="18"/>
              </w:rPr>
              <w:t>其他任一合金元素。</w:t>
            </w:r>
          </w:p>
        </w:tc>
      </w:tr>
    </w:tbl>
    <w:p>
      <w:pPr>
        <w:snapToGrid w:val="0"/>
        <w:spacing w:before="93" w:beforeLines="30"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5.</w:t>
      </w:r>
      <w:r>
        <w:rPr>
          <w:rFonts w:hint="eastAsia" w:eastAsia="黑体"/>
          <w:szCs w:val="21"/>
          <w:lang w:val="en-US" w:eastAsia="zh-CN"/>
        </w:rPr>
        <w:t>5</w:t>
      </w:r>
      <w:r>
        <w:rPr>
          <w:rFonts w:hint="eastAsia" w:eastAsia="黑体"/>
          <w:szCs w:val="21"/>
        </w:rPr>
        <w:t xml:space="preserve"> 其他要求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.1 原料中不得混有废弃炸弹、炮弹等爆炸性弹药；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.2 原料中不得混有密闭</w:t>
      </w:r>
      <w:r>
        <w:rPr>
          <w:rFonts w:hint="eastAsia"/>
          <w:szCs w:val="21"/>
          <w:lang w:eastAsia="zh-CN"/>
        </w:rPr>
        <w:t>容器</w:t>
      </w:r>
      <w:r>
        <w:rPr>
          <w:rFonts w:hint="eastAsia"/>
          <w:szCs w:val="21"/>
        </w:rPr>
        <w:t>或压力容器；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.3 原料中不得含有国家法规规定的危险物质；</w:t>
      </w:r>
    </w:p>
    <w:p>
      <w:pPr>
        <w:spacing w:line="400" w:lineRule="exact"/>
        <w:rPr>
          <w:rFonts w:eastAsia="黑体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.4 除以合金形式存在之外，原料中不得含有镉、铬、铅、砷、铋、硒、锑、钴。</w:t>
      </w:r>
    </w:p>
    <w:p>
      <w:pPr>
        <w:snapToGrid w:val="0"/>
        <w:spacing w:before="93" w:beforeLines="30"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6 检验方法</w:t>
      </w:r>
    </w:p>
    <w:p>
      <w:pPr>
        <w:snapToGrid w:val="0"/>
        <w:spacing w:before="93" w:beforeLines="30"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6.1 表观特征</w:t>
      </w:r>
    </w:p>
    <w:p>
      <w:pPr>
        <w:pStyle w:val="27"/>
        <w:spacing w:line="400" w:lineRule="exact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原料的表观特征</w:t>
      </w:r>
      <w:r>
        <w:rPr>
          <w:rFonts w:hAnsi="宋体"/>
          <w:szCs w:val="21"/>
        </w:rPr>
        <w:t>用</w:t>
      </w:r>
      <w:r>
        <w:rPr>
          <w:rFonts w:hint="eastAsia" w:hAnsi="宋体"/>
          <w:szCs w:val="21"/>
        </w:rPr>
        <w:t>感官</w:t>
      </w:r>
      <w:r>
        <w:rPr>
          <w:rFonts w:hint="eastAsia" w:hAnsi="宋体"/>
          <w:szCs w:val="21"/>
          <w:lang w:eastAsia="zh-CN"/>
        </w:rPr>
        <w:t>进行</w:t>
      </w:r>
      <w:r>
        <w:rPr>
          <w:rFonts w:hAnsi="宋体"/>
          <w:szCs w:val="21"/>
        </w:rPr>
        <w:t>检验。</w:t>
      </w:r>
    </w:p>
    <w:p>
      <w:pPr>
        <w:snapToGrid w:val="0"/>
        <w:spacing w:before="93" w:beforeLines="30"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6.2 放射性污染物</w:t>
      </w:r>
    </w:p>
    <w:p>
      <w:pPr>
        <w:autoSpaceDE w:val="0"/>
        <w:autoSpaceDN w:val="0"/>
        <w:spacing w:line="400" w:lineRule="exact"/>
        <w:ind w:firstLine="42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原料</w:t>
      </w:r>
      <w:r>
        <w:rPr>
          <w:rFonts w:ascii="Times New Roman" w:hAnsi="Times New Roman"/>
          <w:szCs w:val="21"/>
        </w:rPr>
        <w:t>的放射性</w:t>
      </w:r>
      <w:r>
        <w:rPr>
          <w:rFonts w:hint="eastAsia" w:ascii="Times New Roman" w:hAnsi="Times New Roman"/>
          <w:szCs w:val="21"/>
        </w:rPr>
        <w:t>污染物</w:t>
      </w:r>
      <w:r>
        <w:rPr>
          <w:rFonts w:ascii="Times New Roman" w:hAnsi="Times New Roman"/>
          <w:szCs w:val="21"/>
        </w:rPr>
        <w:t>检验按</w:t>
      </w:r>
      <w:r>
        <w:rPr>
          <w:rFonts w:hint="eastAsia" w:ascii="Times New Roman" w:hAnsi="Times New Roman"/>
          <w:szCs w:val="21"/>
        </w:rPr>
        <w:t>SN/T 0570的</w:t>
      </w:r>
      <w:r>
        <w:rPr>
          <w:rFonts w:ascii="Times New Roman" w:hAnsi="Times New Roman"/>
          <w:szCs w:val="21"/>
        </w:rPr>
        <w:t>规定进行。</w:t>
      </w:r>
    </w:p>
    <w:p>
      <w:pPr>
        <w:snapToGrid w:val="0"/>
        <w:spacing w:before="93" w:beforeLines="30"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6.3 夹杂物</w:t>
      </w:r>
    </w:p>
    <w:p>
      <w:pPr>
        <w:autoSpaceDE w:val="0"/>
        <w:autoSpaceDN w:val="0"/>
        <w:spacing w:line="4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6.3.1 原料的夹杂物目视估算质量占比。当不能确定是否符合要求时</w:t>
      </w:r>
      <w:r>
        <w:rPr>
          <w:rFonts w:hint="eastAsia" w:ascii="Times New Roman" w:hAnsi="Times New Roman"/>
          <w:color w:val="auto"/>
          <w:szCs w:val="21"/>
        </w:rPr>
        <w:t>，按6.3.2~6.3.3检验</w:t>
      </w:r>
      <w:r>
        <w:rPr>
          <w:rFonts w:hint="eastAsia" w:ascii="Times New Roman" w:hAnsi="Times New Roman"/>
          <w:szCs w:val="21"/>
        </w:rPr>
        <w:t>。</w:t>
      </w:r>
    </w:p>
    <w:p>
      <w:pPr>
        <w:autoSpaceDE w:val="0"/>
        <w:autoSpaceDN w:val="0"/>
        <w:spacing w:line="4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6.3.2 称取不少于100kg样品，记录重量M。仔细目测，对样品实施分拣，筛出粒径不大于2mm的粉状物（粉尘、污泥、结晶盐、纤维末等），称量、记录分离出来的粉状物质量M</w:t>
      </w:r>
      <w:r>
        <w:rPr>
          <w:rFonts w:hint="eastAsia" w:ascii="Times New Roman" w:hAnsi="Times New Roman"/>
          <w:szCs w:val="21"/>
          <w:vertAlign w:val="subscript"/>
        </w:rPr>
        <w:t>1</w:t>
      </w:r>
      <w:r>
        <w:rPr>
          <w:rFonts w:hint="eastAsia" w:ascii="Times New Roman" w:hAnsi="Times New Roman"/>
          <w:szCs w:val="21"/>
        </w:rPr>
        <w:t>（Kg），按式（1）计算粉状物占比量（W</w:t>
      </w:r>
      <w:r>
        <w:rPr>
          <w:rFonts w:hint="eastAsia" w:ascii="Times New Roman" w:hAnsi="Times New Roman"/>
          <w:szCs w:val="21"/>
          <w:vertAlign w:val="subscript"/>
        </w:rPr>
        <w:t>F</w:t>
      </w:r>
      <w:r>
        <w:rPr>
          <w:rFonts w:hint="eastAsia" w:ascii="Times New Roman" w:hAnsi="Times New Roman"/>
          <w:szCs w:val="21"/>
        </w:rPr>
        <w:t>），数值以%表示。</w:t>
      </w:r>
    </w:p>
    <w:p>
      <w:r>
        <w:rPr>
          <w:rFonts w:hint="eastAsia"/>
          <w:position w:val="-24"/>
        </w:rPr>
        <w:t xml:space="preserve">        </w:t>
      </w:r>
      <w:r>
        <w:rPr>
          <w:rFonts w:hint="eastAsia"/>
          <w:position w:val="-24"/>
        </w:rPr>
        <w:object>
          <v:shape id="_x0000_i1027" o:spt="75" type="#_x0000_t75" style="height:34.9pt;width:80.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/>
        </w:rPr>
        <w:t>------------------------------------------------------（1）</w:t>
      </w:r>
    </w:p>
    <w:p>
      <w:pPr>
        <w:widowControl/>
        <w:spacing w:line="276" w:lineRule="auto"/>
        <w:outlineLvl w:val="3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式中：</w:t>
      </w:r>
      <w:r>
        <w:rPr>
          <w:rFonts w:hint="eastAsia" w:ascii="宋体" w:hAnsi="宋体" w:cs="宋体"/>
          <w:i/>
          <w:szCs w:val="21"/>
        </w:rPr>
        <w:t>M</w:t>
      </w:r>
      <w:r>
        <w:rPr>
          <w:rFonts w:hint="eastAsia" w:ascii="宋体" w:hAnsi="宋体" w:cs="宋体"/>
          <w:szCs w:val="21"/>
        </w:rPr>
        <w:t>——样品重量，单位为千克（kg）；</w:t>
      </w:r>
    </w:p>
    <w:p>
      <w:pPr>
        <w:widowControl/>
        <w:spacing w:line="276" w:lineRule="auto"/>
        <w:ind w:firstLine="630" w:firstLineChars="300"/>
        <w:outlineLvl w:val="3"/>
        <w:rPr>
          <w:szCs w:val="21"/>
        </w:rPr>
      </w:pPr>
      <w:r>
        <w:rPr>
          <w:rFonts w:hint="eastAsia" w:ascii="宋体" w:hAnsi="宋体" w:cs="宋体"/>
          <w:i/>
          <w:szCs w:val="21"/>
        </w:rPr>
        <w:t>M</w:t>
      </w:r>
      <w:r>
        <w:rPr>
          <w:rFonts w:hint="eastAsia" w:ascii="宋体" w:hAnsi="宋体" w:cs="宋体"/>
          <w:i/>
          <w:szCs w:val="21"/>
          <w:vertAlign w:val="subscript"/>
        </w:rPr>
        <w:t>1</w:t>
      </w:r>
      <w:r>
        <w:rPr>
          <w:rFonts w:hint="eastAsia" w:ascii="宋体" w:hAnsi="宋体" w:cs="宋体"/>
          <w:szCs w:val="21"/>
        </w:rPr>
        <w:t>——粉状物重量，单位为千克（kg）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widowControl/>
        <w:spacing w:line="276" w:lineRule="auto"/>
        <w:outlineLvl w:val="3"/>
        <w:rPr>
          <w:rFonts w:hint="eastAsia" w:eastAsia="宋体" w:cs="Calibri"/>
          <w:position w:val="-24"/>
          <w:lang w:eastAsia="zh-CN"/>
        </w:rPr>
      </w:pPr>
      <w:r>
        <w:rPr>
          <w:rFonts w:hint="eastAsia" w:ascii="Times New Roman" w:hAnsi="Times New Roman"/>
          <w:szCs w:val="21"/>
        </w:rPr>
        <w:t>6.3.3 继续挑出夹杂物。必要时，将样品破碎，将镶嵌在样品中的夹杂物机械分离。称量、记录分离出来的包括粉状物在内的夹杂物总重量M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，按式（2）计算出夹杂物占比量（W</w:t>
      </w:r>
      <w:r>
        <w:rPr>
          <w:rFonts w:hint="eastAsia" w:ascii="Times New Roman" w:hAnsi="Times New Roman"/>
          <w:szCs w:val="21"/>
          <w:vertAlign w:val="subscript"/>
        </w:rPr>
        <w:t>J</w:t>
      </w:r>
      <w:r>
        <w:rPr>
          <w:rFonts w:hint="eastAsia" w:ascii="Times New Roman" w:hAnsi="Times New Roman"/>
          <w:szCs w:val="21"/>
        </w:rPr>
        <w:t xml:space="preserve"> ），数值以%表示</w:t>
      </w:r>
      <w:r>
        <w:rPr>
          <w:rFonts w:hint="eastAsia" w:ascii="Times New Roman" w:hAnsi="Times New Roman"/>
          <w:szCs w:val="21"/>
          <w:lang w:eastAsia="zh-CN"/>
        </w:rPr>
        <w:t>。</w:t>
      </w:r>
    </w:p>
    <w:p>
      <w:pPr>
        <w:spacing w:line="360" w:lineRule="auto"/>
        <w:ind w:firstLine="840" w:firstLineChars="400"/>
        <w:rPr>
          <w:rFonts w:cs="Calibri"/>
          <w:szCs w:val="21"/>
        </w:rPr>
      </w:pPr>
      <w:r>
        <w:rPr>
          <w:rFonts w:cs="Calibri"/>
          <w:position w:val="-24"/>
        </w:rPr>
        <w:object>
          <v:shape id="_x0000_i1028" o:spt="75" type="#_x0000_t75" style="height:34.9pt;width:97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cs="Calibri"/>
        </w:rPr>
        <w:t>----------------------------------------------（2）</w:t>
      </w:r>
    </w:p>
    <w:p>
      <w:pPr>
        <w:widowControl/>
        <w:spacing w:line="276" w:lineRule="auto"/>
        <w:outlineLvl w:val="3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式中：</w:t>
      </w:r>
      <w:r>
        <w:rPr>
          <w:rFonts w:hint="eastAsia" w:ascii="宋体" w:hAnsi="宋体" w:cs="宋体"/>
          <w:i/>
          <w:szCs w:val="21"/>
        </w:rPr>
        <w:t>M</w:t>
      </w:r>
      <w:r>
        <w:rPr>
          <w:rFonts w:hint="eastAsia" w:ascii="宋体" w:hAnsi="宋体" w:cs="宋体"/>
          <w:szCs w:val="21"/>
        </w:rPr>
        <w:t>——样品重量，单位为千克（kg）；</w:t>
      </w:r>
    </w:p>
    <w:p>
      <w:pPr>
        <w:widowControl/>
        <w:spacing w:line="276" w:lineRule="auto"/>
        <w:ind w:firstLine="630" w:firstLineChars="300"/>
        <w:outlineLvl w:val="3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i/>
          <w:szCs w:val="21"/>
        </w:rPr>
        <w:t>M</w:t>
      </w:r>
      <w:r>
        <w:rPr>
          <w:rFonts w:hint="eastAsia" w:ascii="宋体" w:hAnsi="宋体" w:cs="宋体"/>
          <w:i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——夹杂物总重量，单位为千克（kg）。</w:t>
      </w:r>
    </w:p>
    <w:p>
      <w:pPr>
        <w:snapToGrid w:val="0"/>
        <w:spacing w:before="93" w:beforeLines="30"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6.4 水分</w:t>
      </w:r>
    </w:p>
    <w:p>
      <w:pPr>
        <w:widowControl/>
        <w:spacing w:line="276" w:lineRule="auto"/>
        <w:ind w:firstLine="420" w:firstLineChars="200"/>
        <w:outlineLvl w:val="3"/>
        <w:rPr>
          <w:szCs w:val="21"/>
        </w:rPr>
      </w:pPr>
      <w:r>
        <w:rPr>
          <w:rFonts w:hint="eastAsia"/>
          <w:szCs w:val="21"/>
        </w:rPr>
        <w:t>原料的水分按附录A的规定检验。</w:t>
      </w:r>
    </w:p>
    <w:p>
      <w:pPr>
        <w:snapToGrid w:val="0"/>
        <w:spacing w:before="93" w:beforeLines="30"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6.5 金属总量、金属黄铜量</w:t>
      </w:r>
    </w:p>
    <w:p>
      <w:pPr>
        <w:autoSpaceDE w:val="0"/>
        <w:autoSpaceDN w:val="0"/>
        <w:spacing w:line="4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6.5.1 原料的金属总量、黄铜量目视估算质量占比。当不能确定是否符合要求时</w:t>
      </w:r>
      <w:r>
        <w:rPr>
          <w:rFonts w:hint="eastAsia" w:ascii="Times New Roman" w:hAnsi="Times New Roman"/>
          <w:color w:val="auto"/>
          <w:szCs w:val="21"/>
        </w:rPr>
        <w:t>，按6.5.2检测。</w:t>
      </w:r>
    </w:p>
    <w:p>
      <w:pPr>
        <w:autoSpaceDE w:val="0"/>
        <w:autoSpaceDN w:val="0"/>
        <w:spacing w:line="400" w:lineRule="exact"/>
        <w:rPr>
          <w:rFonts w:ascii="Times New Roman" w:hAnsi="Times New Roman"/>
          <w:color w:val="auto"/>
          <w:szCs w:val="21"/>
        </w:rPr>
      </w:pPr>
      <w:r>
        <w:rPr>
          <w:rFonts w:hint="eastAsia" w:ascii="Times New Roman" w:hAnsi="Times New Roman"/>
          <w:szCs w:val="21"/>
        </w:rPr>
        <w:t>6.5.2</w:t>
      </w:r>
      <w:r>
        <w:rPr>
          <w:rFonts w:hint="eastAsia" w:ascii="Times New Roman" w:hAnsi="Times New Roman"/>
          <w:color w:val="auto"/>
          <w:szCs w:val="21"/>
        </w:rPr>
        <w:t xml:space="preserve"> </w:t>
      </w:r>
      <w:r>
        <w:rPr>
          <w:rFonts w:hint="eastAsia" w:cs="Calibri"/>
          <w:color w:val="auto"/>
          <w:szCs w:val="21"/>
        </w:rPr>
        <w:t>称取不少于100kg样品，</w:t>
      </w:r>
      <w:r>
        <w:rPr>
          <w:rFonts w:hint="eastAsia" w:ascii="Times New Roman" w:hAnsi="Times New Roman"/>
          <w:color w:val="auto"/>
          <w:szCs w:val="21"/>
        </w:rPr>
        <w:t>记录重量M。</w:t>
      </w:r>
      <w:r>
        <w:rPr>
          <w:rFonts w:hint="eastAsia" w:ascii="Times New Roman" w:hAnsi="Times New Roman"/>
          <w:color w:val="auto"/>
          <w:szCs w:val="21"/>
          <w:lang w:eastAsia="zh-CN"/>
        </w:rPr>
        <w:t>当样品中含有水分时，按附录</w:t>
      </w:r>
      <w:r>
        <w:rPr>
          <w:rFonts w:hint="eastAsia" w:ascii="Times New Roman" w:hAnsi="Times New Roman"/>
          <w:color w:val="auto"/>
          <w:szCs w:val="21"/>
          <w:lang w:val="en-US" w:eastAsia="zh-CN"/>
        </w:rPr>
        <w:t>A检测水分含量W</w:t>
      </w:r>
      <w:r>
        <w:rPr>
          <w:rFonts w:hint="eastAsia" w:ascii="Times New Roman" w:hAnsi="Times New Roman"/>
          <w:color w:val="auto"/>
          <w:szCs w:val="21"/>
          <w:vertAlign w:val="subscript"/>
          <w:lang w:val="en-US" w:eastAsia="zh-CN"/>
        </w:rPr>
        <w:t>H</w:t>
      </w:r>
      <w:r>
        <w:rPr>
          <w:rFonts w:hint="eastAsia" w:ascii="Times New Roman" w:hAnsi="Times New Roman"/>
          <w:color w:val="auto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/>
          <w:color w:val="auto"/>
          <w:szCs w:val="21"/>
          <w:vertAlign w:val="subscript"/>
          <w:lang w:val="en-US" w:eastAsia="zh-CN"/>
        </w:rPr>
        <w:t>O</w:t>
      </w:r>
      <w:r>
        <w:rPr>
          <w:rFonts w:hint="eastAsia" w:ascii="Times New Roman" w:hAnsi="Times New Roman"/>
          <w:color w:val="auto"/>
          <w:szCs w:val="21"/>
          <w:vertAlign w:val="baseline"/>
          <w:lang w:val="en-US" w:eastAsia="zh-CN"/>
        </w:rPr>
        <w:t>。然后</w:t>
      </w:r>
      <w:r>
        <w:rPr>
          <w:rFonts w:hint="eastAsia" w:ascii="Times New Roman" w:hAnsi="Times New Roman"/>
          <w:color w:val="auto"/>
          <w:szCs w:val="21"/>
        </w:rPr>
        <w:t>仔细目测，手工挑选出金属黄铜和非铜金属。必要时，将样品破碎，将镶嵌在样品中的</w:t>
      </w:r>
      <w:r>
        <w:rPr>
          <w:rFonts w:hint="eastAsia" w:ascii="Times New Roman" w:hAnsi="Times New Roman"/>
          <w:color w:val="auto"/>
          <w:szCs w:val="21"/>
          <w:lang w:eastAsia="zh-CN"/>
        </w:rPr>
        <w:t>黄</w:t>
      </w:r>
      <w:r>
        <w:rPr>
          <w:rFonts w:hint="eastAsia" w:ascii="Times New Roman" w:hAnsi="Times New Roman"/>
          <w:color w:val="auto"/>
          <w:szCs w:val="21"/>
        </w:rPr>
        <w:t>铜与非铜金属机械分离。称量、记录分离出的金属黄铜重量W3和非铜金属重量W</w:t>
      </w:r>
      <w:r>
        <w:rPr>
          <w:rFonts w:hint="eastAsia" w:ascii="Times New Roman" w:hAnsi="Times New Roman"/>
          <w:color w:val="auto"/>
          <w:szCs w:val="21"/>
          <w:vertAlign w:val="subscript"/>
        </w:rPr>
        <w:t>4</w:t>
      </w:r>
      <w:r>
        <w:rPr>
          <w:rFonts w:hint="eastAsia" w:ascii="Times New Roman" w:hAnsi="Times New Roman"/>
          <w:color w:val="auto"/>
          <w:szCs w:val="21"/>
        </w:rPr>
        <w:t>，分别按式（3）、式（4）计算金属</w:t>
      </w:r>
      <w:r>
        <w:rPr>
          <w:rFonts w:hint="eastAsia" w:eastAsia="黑体"/>
          <w:color w:val="auto"/>
          <w:szCs w:val="21"/>
        </w:rPr>
        <w:t>黄</w:t>
      </w:r>
      <w:r>
        <w:rPr>
          <w:rFonts w:hint="eastAsia" w:ascii="Times New Roman" w:hAnsi="Times New Roman"/>
          <w:color w:val="auto"/>
          <w:szCs w:val="21"/>
        </w:rPr>
        <w:t>铜量占比量（W</w:t>
      </w:r>
      <w:r>
        <w:rPr>
          <w:rFonts w:hint="eastAsia" w:ascii="Times New Roman" w:hAnsi="Times New Roman"/>
          <w:color w:val="auto"/>
          <w:szCs w:val="21"/>
          <w:vertAlign w:val="subscript"/>
        </w:rPr>
        <w:t>T</w:t>
      </w:r>
      <w:r>
        <w:rPr>
          <w:rFonts w:hint="eastAsia" w:ascii="Times New Roman" w:hAnsi="Times New Roman"/>
          <w:color w:val="auto"/>
          <w:szCs w:val="21"/>
        </w:rPr>
        <w:t xml:space="preserve"> ）、金属总量占比量（W</w:t>
      </w:r>
      <w:r>
        <w:rPr>
          <w:rFonts w:hint="eastAsia" w:ascii="Times New Roman" w:hAnsi="Times New Roman"/>
          <w:color w:val="auto"/>
          <w:szCs w:val="21"/>
          <w:vertAlign w:val="subscript"/>
        </w:rPr>
        <w:t>Z</w:t>
      </w:r>
      <w:r>
        <w:rPr>
          <w:rFonts w:hint="eastAsia" w:ascii="Times New Roman" w:hAnsi="Times New Roman"/>
          <w:color w:val="auto"/>
          <w:szCs w:val="21"/>
        </w:rPr>
        <w:t xml:space="preserve"> ）,数值以%表示。</w:t>
      </w:r>
    </w:p>
    <w:p>
      <w:pPr>
        <w:ind w:left="420" w:hanging="420" w:hangingChars="200"/>
        <w:jc w:val="left"/>
        <w:rPr>
          <w:color w:val="auto"/>
        </w:rPr>
      </w:pPr>
      <w:r>
        <w:rPr>
          <w:rFonts w:hint="eastAsia"/>
          <w:color w:val="auto"/>
          <w:position w:val="-24"/>
        </w:rPr>
        <w:t xml:space="preserve">         </w:t>
      </w:r>
      <w:r>
        <w:rPr>
          <w:rFonts w:hint="eastAsia"/>
          <w:color w:val="auto"/>
          <w:position w:val="-24"/>
        </w:rPr>
        <w:object>
          <v:shape id="_x0000_i1029" o:spt="75" type="#_x0000_t75" style="height:34.9pt;width:109.9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/>
          <w:color w:val="auto"/>
        </w:rPr>
        <w:t>-------------------------------------------------</w:t>
      </w:r>
      <w:r>
        <w:rPr>
          <w:rFonts w:hint="eastAsia"/>
          <w:color w:val="auto"/>
          <w:lang w:val="en-US" w:eastAsia="zh-CN"/>
        </w:rPr>
        <w:t>-</w:t>
      </w:r>
      <w:r>
        <w:rPr>
          <w:rFonts w:hint="eastAsia"/>
          <w:color w:val="auto"/>
        </w:rPr>
        <w:t>--------（3）</w:t>
      </w:r>
    </w:p>
    <w:p>
      <w:pPr>
        <w:ind w:left="420" w:hanging="420" w:hangingChars="200"/>
        <w:jc w:val="left"/>
        <w:rPr>
          <w:color w:val="auto"/>
        </w:rPr>
      </w:pPr>
      <w:r>
        <w:rPr>
          <w:rFonts w:hint="eastAsia"/>
          <w:color w:val="auto"/>
          <w:position w:val="-24"/>
        </w:rPr>
        <w:t xml:space="preserve">         </w:t>
      </w:r>
      <w:r>
        <w:rPr>
          <w:rFonts w:hint="eastAsia"/>
          <w:color w:val="auto"/>
          <w:position w:val="-24"/>
        </w:rPr>
        <w:object>
          <v:shape id="_x0000_i1030" o:spt="75" type="#_x0000_t75" style="height:31pt;width:154.05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/>
          <w:color w:val="auto"/>
        </w:rPr>
        <w:t>--------------------------------------------（4）</w:t>
      </w:r>
    </w:p>
    <w:p>
      <w:pPr>
        <w:widowControl/>
        <w:spacing w:line="276" w:lineRule="auto"/>
        <w:outlineLvl w:val="3"/>
        <w:rPr>
          <w:rFonts w:cs="Calibri"/>
          <w:color w:val="auto"/>
          <w:szCs w:val="21"/>
        </w:rPr>
      </w:pPr>
      <w:r>
        <w:rPr>
          <w:rFonts w:hint="eastAsia" w:cs="Calibri"/>
          <w:color w:val="auto"/>
          <w:szCs w:val="21"/>
        </w:rPr>
        <w:t>式中：</w:t>
      </w:r>
      <w:r>
        <w:rPr>
          <w:rFonts w:hint="eastAsia" w:cs="Calibri"/>
          <w:i/>
          <w:iCs/>
          <w:color w:val="auto"/>
          <w:szCs w:val="21"/>
        </w:rPr>
        <w:t>M</w:t>
      </w:r>
      <w:r>
        <w:rPr>
          <w:rFonts w:hint="eastAsia" w:cs="Calibri"/>
          <w:color w:val="auto"/>
          <w:szCs w:val="21"/>
        </w:rPr>
        <w:t>——</w:t>
      </w:r>
      <w:r>
        <w:rPr>
          <w:rFonts w:cs="Calibri"/>
          <w:color w:val="auto"/>
          <w:szCs w:val="21"/>
        </w:rPr>
        <w:t>样品</w:t>
      </w:r>
      <w:r>
        <w:rPr>
          <w:rFonts w:hint="eastAsia" w:cs="Calibri"/>
          <w:color w:val="auto"/>
          <w:szCs w:val="21"/>
        </w:rPr>
        <w:t>重量，单位为千克（kg）；</w:t>
      </w:r>
    </w:p>
    <w:p>
      <w:pPr>
        <w:widowControl/>
        <w:spacing w:line="276" w:lineRule="auto"/>
        <w:ind w:firstLine="630" w:firstLineChars="300"/>
        <w:outlineLvl w:val="3"/>
        <w:rPr>
          <w:rFonts w:cs="Calibri"/>
          <w:color w:val="auto"/>
          <w:szCs w:val="21"/>
        </w:rPr>
      </w:pPr>
      <w:r>
        <w:rPr>
          <w:rFonts w:hint="eastAsia" w:ascii="Times New Roman" w:hAnsi="Times New Roman"/>
          <w:i/>
          <w:iCs/>
          <w:color w:val="auto"/>
          <w:szCs w:val="21"/>
        </w:rPr>
        <w:t>M</w:t>
      </w:r>
      <w:r>
        <w:rPr>
          <w:rFonts w:hint="eastAsia" w:ascii="Times New Roman" w:hAnsi="Times New Roman"/>
          <w:i/>
          <w:iCs/>
          <w:color w:val="auto"/>
          <w:szCs w:val="21"/>
          <w:vertAlign w:val="subscript"/>
        </w:rPr>
        <w:t>3</w:t>
      </w:r>
      <w:r>
        <w:rPr>
          <w:rFonts w:hint="eastAsia" w:cs="Calibri"/>
          <w:color w:val="auto"/>
          <w:szCs w:val="21"/>
        </w:rPr>
        <w:t>——</w:t>
      </w:r>
      <w:r>
        <w:rPr>
          <w:rFonts w:cs="Calibri"/>
          <w:color w:val="auto"/>
          <w:szCs w:val="21"/>
        </w:rPr>
        <w:t>金属</w:t>
      </w:r>
      <w:r>
        <w:rPr>
          <w:rFonts w:hint="eastAsia" w:cs="Calibri"/>
          <w:color w:val="auto"/>
          <w:szCs w:val="21"/>
        </w:rPr>
        <w:t>黄</w:t>
      </w:r>
      <w:r>
        <w:rPr>
          <w:rFonts w:cs="Calibri"/>
          <w:color w:val="auto"/>
          <w:szCs w:val="21"/>
        </w:rPr>
        <w:t>铜重量</w:t>
      </w:r>
      <w:r>
        <w:rPr>
          <w:rFonts w:hint="eastAsia" w:ascii="Times New Roman" w:hAnsi="Times New Roman"/>
          <w:color w:val="auto"/>
          <w:szCs w:val="21"/>
        </w:rPr>
        <w:t>，</w:t>
      </w:r>
      <w:r>
        <w:rPr>
          <w:rFonts w:hint="eastAsia" w:cs="Calibri"/>
          <w:color w:val="auto"/>
          <w:szCs w:val="21"/>
        </w:rPr>
        <w:t>单位为千克（kg）;</w:t>
      </w:r>
    </w:p>
    <w:p>
      <w:pPr>
        <w:widowControl/>
        <w:spacing w:line="276" w:lineRule="auto"/>
        <w:ind w:firstLine="630" w:firstLineChars="300"/>
        <w:outlineLvl w:val="3"/>
        <w:rPr>
          <w:rFonts w:hint="eastAsia" w:cs="Calibri"/>
          <w:color w:val="auto"/>
          <w:szCs w:val="21"/>
          <w:lang w:eastAsia="zh-CN"/>
        </w:rPr>
      </w:pPr>
      <w:r>
        <w:rPr>
          <w:rFonts w:hint="eastAsia" w:ascii="Times New Roman" w:hAnsi="Times New Roman"/>
          <w:i/>
          <w:iCs/>
          <w:color w:val="auto"/>
          <w:szCs w:val="21"/>
        </w:rPr>
        <w:t>M</w:t>
      </w:r>
      <w:r>
        <w:rPr>
          <w:rFonts w:hint="eastAsia" w:ascii="Times New Roman" w:hAnsi="Times New Roman"/>
          <w:i/>
          <w:iCs/>
          <w:color w:val="auto"/>
          <w:szCs w:val="21"/>
          <w:vertAlign w:val="subscript"/>
        </w:rPr>
        <w:t>4</w:t>
      </w:r>
      <w:r>
        <w:rPr>
          <w:rFonts w:hint="eastAsia" w:cs="Calibri"/>
          <w:color w:val="auto"/>
          <w:szCs w:val="21"/>
        </w:rPr>
        <w:t>——</w:t>
      </w:r>
      <w:r>
        <w:rPr>
          <w:rFonts w:cs="Calibri"/>
          <w:color w:val="auto"/>
          <w:szCs w:val="21"/>
        </w:rPr>
        <w:t>非铜金属重量</w:t>
      </w:r>
      <w:r>
        <w:rPr>
          <w:rFonts w:hint="eastAsia" w:ascii="Times New Roman" w:hAnsi="Times New Roman"/>
          <w:color w:val="auto"/>
          <w:szCs w:val="21"/>
        </w:rPr>
        <w:t>，</w:t>
      </w:r>
      <w:r>
        <w:rPr>
          <w:rFonts w:hint="eastAsia" w:cs="Calibri"/>
          <w:color w:val="auto"/>
          <w:szCs w:val="21"/>
        </w:rPr>
        <w:t>单位为千克（kg）</w:t>
      </w:r>
      <w:r>
        <w:rPr>
          <w:rFonts w:hint="eastAsia" w:cs="Calibri"/>
          <w:color w:val="auto"/>
          <w:szCs w:val="21"/>
          <w:lang w:eastAsia="zh-CN"/>
        </w:rPr>
        <w:t>；</w:t>
      </w:r>
    </w:p>
    <w:p>
      <w:pPr>
        <w:widowControl/>
        <w:spacing w:line="276" w:lineRule="auto"/>
        <w:ind w:firstLine="630" w:firstLineChars="300"/>
        <w:outlineLvl w:val="3"/>
        <w:rPr>
          <w:color w:val="auto"/>
        </w:rPr>
      </w:pPr>
      <w:r>
        <w:rPr>
          <w:rFonts w:hint="eastAsia" w:ascii="Times New Roman" w:hAnsi="Times New Roman"/>
          <w:color w:val="auto"/>
          <w:szCs w:val="21"/>
          <w:lang w:val="en-US" w:eastAsia="zh-CN"/>
        </w:rPr>
        <w:t>W</w:t>
      </w:r>
      <w:r>
        <w:rPr>
          <w:rFonts w:hint="eastAsia" w:ascii="Times New Roman" w:hAnsi="Times New Roman"/>
          <w:color w:val="auto"/>
          <w:szCs w:val="21"/>
          <w:vertAlign w:val="subscript"/>
          <w:lang w:val="en-US" w:eastAsia="zh-CN"/>
        </w:rPr>
        <w:t>H</w:t>
      </w:r>
      <w:r>
        <w:rPr>
          <w:rFonts w:hint="eastAsia" w:ascii="Times New Roman" w:hAnsi="Times New Roman"/>
          <w:color w:val="auto"/>
          <w:szCs w:val="21"/>
          <w:vertAlign w:val="superscript"/>
          <w:lang w:val="en-US" w:eastAsia="zh-CN"/>
        </w:rPr>
        <w:t>2</w:t>
      </w:r>
      <w:r>
        <w:rPr>
          <w:rFonts w:hint="eastAsia" w:ascii="Times New Roman" w:hAnsi="Times New Roman"/>
          <w:color w:val="auto"/>
          <w:szCs w:val="21"/>
          <w:vertAlign w:val="subscript"/>
          <w:lang w:val="en-US" w:eastAsia="zh-CN"/>
        </w:rPr>
        <w:t>O</w:t>
      </w:r>
      <w:r>
        <w:rPr>
          <w:rFonts w:hint="eastAsia" w:ascii="Times New Roman" w:hAnsi="Times New Roman"/>
          <w:color w:val="auto"/>
          <w:szCs w:val="21"/>
          <w:vertAlign w:val="baseline"/>
          <w:lang w:val="en-US" w:eastAsia="zh-CN"/>
        </w:rPr>
        <w:t>——水分含量，单位为百分比（%）</w:t>
      </w:r>
      <w:r>
        <w:rPr>
          <w:rFonts w:hint="eastAsia" w:cs="Calibri"/>
          <w:color w:val="auto"/>
          <w:szCs w:val="21"/>
        </w:rPr>
        <w:t>。</w:t>
      </w:r>
    </w:p>
    <w:p>
      <w:pPr>
        <w:snapToGrid w:val="0"/>
        <w:spacing w:before="93" w:beforeLines="30" w:line="360" w:lineRule="exact"/>
        <w:rPr>
          <w:rFonts w:eastAsia="黑体"/>
          <w:color w:val="auto"/>
          <w:szCs w:val="21"/>
        </w:rPr>
      </w:pPr>
      <w:r>
        <w:rPr>
          <w:rFonts w:hint="eastAsia" w:eastAsia="黑体"/>
          <w:color w:val="auto"/>
          <w:szCs w:val="21"/>
        </w:rPr>
        <w:t>6.6 金属回收率</w:t>
      </w:r>
    </w:p>
    <w:p>
      <w:pPr>
        <w:widowControl/>
        <w:spacing w:line="276" w:lineRule="auto"/>
        <w:ind w:firstLine="420" w:firstLineChars="200"/>
        <w:outlineLvl w:val="3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原料的金属回收率按附录B的规定检验。</w:t>
      </w:r>
    </w:p>
    <w:p>
      <w:pPr>
        <w:snapToGrid w:val="0"/>
        <w:spacing w:before="93" w:beforeLines="30" w:line="360" w:lineRule="exact"/>
        <w:rPr>
          <w:rFonts w:eastAsia="黑体"/>
          <w:color w:val="auto"/>
          <w:szCs w:val="21"/>
        </w:rPr>
      </w:pPr>
      <w:r>
        <w:rPr>
          <w:rFonts w:hint="eastAsia" w:eastAsia="黑体"/>
          <w:color w:val="auto"/>
          <w:szCs w:val="21"/>
        </w:rPr>
        <w:t>6.7 化学成分</w:t>
      </w:r>
    </w:p>
    <w:p>
      <w:pPr>
        <w:widowControl/>
        <w:spacing w:line="276" w:lineRule="auto"/>
        <w:ind w:firstLine="420" w:firstLineChars="200"/>
        <w:outlineLvl w:val="3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原料的化学成分检测方法按照GB/T 5121（所有部分）、YS/T 482或YS/T 483规定的进行。仲裁检验，按照GB/T 5121（所有部分）规定的方法进行。</w:t>
      </w:r>
    </w:p>
    <w:p>
      <w:pPr>
        <w:snapToGrid w:val="0"/>
        <w:spacing w:before="93" w:beforeLines="30" w:line="360" w:lineRule="exact"/>
        <w:rPr>
          <w:rFonts w:hint="eastAsia" w:eastAsia="黑体"/>
          <w:szCs w:val="21"/>
        </w:rPr>
      </w:pPr>
      <w:r>
        <w:rPr>
          <w:rFonts w:hint="eastAsia" w:eastAsia="黑体"/>
          <w:szCs w:val="21"/>
        </w:rPr>
        <w:t>6.8 其他要求</w:t>
      </w:r>
    </w:p>
    <w:p>
      <w:pPr>
        <w:widowControl/>
        <w:spacing w:line="276" w:lineRule="auto"/>
        <w:ind w:firstLine="420" w:firstLineChars="200"/>
        <w:outlineLvl w:val="3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原料的其他要求用感官进行检验。</w:t>
      </w:r>
    </w:p>
    <w:p>
      <w:pPr>
        <w:snapToGrid w:val="0"/>
        <w:spacing w:before="156" w:beforeLines="50"/>
        <w:rPr>
          <w:rFonts w:ascii="黑体" w:hAnsi="黑体" w:eastAsia="黑体" w:cs="黑体"/>
          <w:szCs w:val="21"/>
        </w:rPr>
      </w:pPr>
      <w:r>
        <w:rPr>
          <w:rFonts w:hint="eastAsia" w:eastAsia="黑体"/>
          <w:szCs w:val="21"/>
        </w:rPr>
        <w:t>7 检验规则</w:t>
      </w:r>
    </w:p>
    <w:p>
      <w:pPr>
        <w:autoSpaceDE w:val="0"/>
        <w:autoSpaceDN w:val="0"/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7.1 检验流程</w:t>
      </w:r>
    </w:p>
    <w:p>
      <w:pPr>
        <w:widowControl/>
        <w:spacing w:line="276" w:lineRule="auto"/>
        <w:ind w:firstLine="420" w:firstLineChars="200"/>
        <w:outlineLvl w:val="3"/>
        <w:rPr>
          <w:szCs w:val="21"/>
        </w:rPr>
      </w:pPr>
      <w:r>
        <w:rPr>
          <w:rFonts w:hint="eastAsia"/>
          <w:szCs w:val="21"/>
        </w:rPr>
        <w:t>原料检验应按图1的检验流程进行。</w:t>
      </w:r>
    </w:p>
    <w:p>
      <w:pPr>
        <w:autoSpaceDE w:val="0"/>
        <w:autoSpaceDN w:val="0"/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7.2 检查和验收</w:t>
      </w:r>
    </w:p>
    <w:p>
      <w:pPr>
        <w:autoSpaceDE w:val="0"/>
        <w:autoSpaceDN w:val="0"/>
        <w:spacing w:line="400" w:lineRule="exact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7.2.1 开箱检验应打开集装箱进行5.1、5.2、5.</w:t>
      </w:r>
      <w:r>
        <w:rPr>
          <w:rFonts w:hint="eastAsia" w:ascii="Times New Roman" w:hAnsi="Times New Roman"/>
          <w:szCs w:val="21"/>
          <w:lang w:val="en-US" w:eastAsia="zh-CN"/>
        </w:rPr>
        <w:t>5</w:t>
      </w:r>
      <w:r>
        <w:rPr>
          <w:rFonts w:hint="eastAsia" w:ascii="Times New Roman" w:hAnsi="Times New Roman"/>
          <w:szCs w:val="21"/>
        </w:rPr>
        <w:t>的检验。</w:t>
      </w:r>
    </w:p>
    <w:p>
      <w:pPr>
        <w:autoSpaceDE w:val="0"/>
        <w:autoSpaceDN w:val="0"/>
        <w:spacing w:line="400" w:lineRule="exact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7.2.2 掏箱检验应将集装箱内的货物掏出，进行5.1~5.</w:t>
      </w:r>
      <w:r>
        <w:rPr>
          <w:rFonts w:hint="eastAsia" w:ascii="Times New Roman" w:hAnsi="Times New Roman"/>
          <w:szCs w:val="21"/>
          <w:lang w:val="en-US" w:eastAsia="zh-CN"/>
        </w:rPr>
        <w:t>5</w:t>
      </w:r>
      <w:r>
        <w:rPr>
          <w:rFonts w:hint="eastAsia" w:ascii="Times New Roman" w:hAnsi="Times New Roman"/>
          <w:szCs w:val="21"/>
        </w:rPr>
        <w:t>的检验。</w:t>
      </w:r>
    </w:p>
    <w:p>
      <w:pPr>
        <w:autoSpaceDE w:val="0"/>
        <w:autoSpaceDN w:val="0"/>
        <w:spacing w:line="400" w:lineRule="exact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7.2.3 散装检验应直接进行5.1~5.</w:t>
      </w:r>
      <w:r>
        <w:rPr>
          <w:rFonts w:hint="eastAsia" w:ascii="Times New Roman" w:hAnsi="Times New Roman"/>
          <w:szCs w:val="21"/>
          <w:lang w:val="en-US" w:eastAsia="zh-CN"/>
        </w:rPr>
        <w:t>5</w:t>
      </w:r>
      <w:r>
        <w:rPr>
          <w:rFonts w:hint="eastAsia" w:ascii="Times New Roman" w:hAnsi="Times New Roman"/>
          <w:szCs w:val="21"/>
        </w:rPr>
        <w:t>的检验。</w:t>
      </w:r>
    </w:p>
    <w:p>
      <w:pPr>
        <w:autoSpaceDE w:val="0"/>
        <w:autoSpaceDN w:val="0"/>
        <w:spacing w:line="400" w:lineRule="exact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7.2.4 应对收到的黄铜原料按本标准进行检验，如检验结果不符合要求时，则双方协商</w:t>
      </w:r>
      <w:r>
        <w:rPr>
          <w:rFonts w:hint="eastAsia" w:ascii="Times New Roman" w:hAnsi="Times New Roman"/>
          <w:szCs w:val="21"/>
          <w:lang w:eastAsia="zh-CN"/>
        </w:rPr>
        <w:t>或退货</w:t>
      </w:r>
      <w:r>
        <w:rPr>
          <w:rFonts w:hint="eastAsia" w:ascii="Times New Roman" w:hAnsi="Times New Roman"/>
          <w:szCs w:val="21"/>
        </w:rPr>
        <w:t>。</w:t>
      </w:r>
    </w:p>
    <w:p>
      <w:pPr>
        <w:autoSpaceDE w:val="0"/>
        <w:autoSpaceDN w:val="0"/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7.3 组批</w:t>
      </w:r>
    </w:p>
    <w:p>
      <w:pPr>
        <w:widowControl/>
        <w:spacing w:line="276" w:lineRule="auto"/>
        <w:ind w:firstLine="420" w:firstLineChars="200"/>
        <w:outlineLvl w:val="3"/>
        <w:rPr>
          <w:szCs w:val="21"/>
        </w:rPr>
      </w:pPr>
      <w:r>
        <w:rPr>
          <w:rFonts w:hint="eastAsia"/>
          <w:szCs w:val="21"/>
        </w:rPr>
        <w:t>原料应成批验收，每批应由同一类别、同一名称或代号的原料组成。</w:t>
      </w:r>
    </w:p>
    <w:p>
      <w:pPr>
        <w:autoSpaceDE w:val="0"/>
        <w:autoSpaceDN w:val="0"/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7.4 检验项目</w:t>
      </w:r>
    </w:p>
    <w:p>
      <w:pPr>
        <w:autoSpaceDE w:val="0"/>
        <w:autoSpaceDN w:val="0"/>
        <w:spacing w:line="400" w:lineRule="exact"/>
        <w:ind w:firstLine="42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应对每批原料的表观特征、放射性污染物、夹杂物、水分、金属总量、金属黄铜量进行检验。当</w:t>
      </w:r>
      <w:r>
        <w:rPr>
          <w:rFonts w:hint="eastAsia" w:ascii="Times New Roman" w:hAnsi="Times New Roman"/>
          <w:szCs w:val="21"/>
          <w:lang w:eastAsia="zh-CN"/>
        </w:rPr>
        <w:t>需要</w:t>
      </w:r>
      <w:r>
        <w:rPr>
          <w:rFonts w:hint="eastAsia" w:ascii="Times New Roman" w:hAnsi="Times New Roman"/>
          <w:szCs w:val="21"/>
        </w:rPr>
        <w:t>时，还应对化学成分、金属回收率进行检验。</w:t>
      </w:r>
    </w:p>
    <w:p>
      <w:pPr>
        <w:autoSpaceDE w:val="0"/>
        <w:autoSpaceDN w:val="0"/>
        <w:spacing w:line="400" w:lineRule="exac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7.5 取样方法</w:t>
      </w:r>
    </w:p>
    <w:p>
      <w:pPr>
        <w:autoSpaceDE w:val="0"/>
        <w:autoSpaceDN w:val="0"/>
        <w:spacing w:line="400" w:lineRule="exact"/>
        <w:ind w:firstLine="420"/>
        <w:rPr>
          <w:rFonts w:hint="eastAsia"/>
          <w:b/>
          <w:bCs/>
          <w:szCs w:val="21"/>
        </w:rPr>
      </w:pPr>
      <w:r>
        <w:rPr>
          <w:rFonts w:hint="eastAsia" w:ascii="Times New Roman" w:hAnsi="Times New Roman"/>
          <w:szCs w:val="21"/>
        </w:rPr>
        <w:t>原料的取样应符合表</w:t>
      </w:r>
      <w:r>
        <w:rPr>
          <w:rFonts w:hint="eastAsia" w:ascii="Times New Roman" w:hAnsi="Times New Roman"/>
          <w:szCs w:val="21"/>
          <w:lang w:val="en-US" w:eastAsia="zh-CN"/>
        </w:rPr>
        <w:t>5</w:t>
      </w:r>
      <w:r>
        <w:rPr>
          <w:rFonts w:hint="eastAsia" w:ascii="Times New Roman" w:hAnsi="Times New Roman"/>
          <w:szCs w:val="21"/>
        </w:rPr>
        <w:t>的规定。</w:t>
      </w:r>
    </w:p>
    <w:p>
      <w:pPr>
        <w:snapToGrid w:val="0"/>
        <w:spacing w:line="360" w:lineRule="exact"/>
        <w:jc w:val="center"/>
        <w:rPr>
          <w:rFonts w:ascii="Times New Roman" w:hAnsi="Times New Roman"/>
          <w:szCs w:val="21"/>
        </w:rPr>
      </w:pPr>
      <w:r>
        <w:rPr>
          <w:rFonts w:hint="eastAsia"/>
          <w:b/>
          <w:bCs/>
          <w:szCs w:val="21"/>
        </w:rPr>
        <w:t>表</w:t>
      </w:r>
      <w:r>
        <w:rPr>
          <w:rFonts w:hint="eastAsia"/>
          <w:b/>
          <w:bCs/>
          <w:szCs w:val="21"/>
          <w:lang w:val="en-US" w:eastAsia="zh-CN"/>
        </w:rPr>
        <w:t>5</w:t>
      </w:r>
      <w:r>
        <w:rPr>
          <w:rFonts w:hint="eastAsia"/>
          <w:b/>
          <w:bCs/>
          <w:szCs w:val="21"/>
        </w:rPr>
        <w:t xml:space="preserve">  原料取样规定</w:t>
      </w:r>
    </w:p>
    <w:tbl>
      <w:tblPr>
        <w:tblStyle w:val="20"/>
        <w:tblW w:w="9005" w:type="dxa"/>
        <w:jc w:val="center"/>
        <w:tblInd w:w="-342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4800"/>
        <w:gridCol w:w="1309"/>
        <w:gridCol w:w="1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36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480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取样规定</w:t>
            </w:r>
          </w:p>
        </w:tc>
        <w:tc>
          <w:tcPr>
            <w:tcW w:w="13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要求章条号</w:t>
            </w:r>
          </w:p>
        </w:tc>
        <w:tc>
          <w:tcPr>
            <w:tcW w:w="153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试验方法章条号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36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表观特征</w:t>
            </w:r>
          </w:p>
        </w:tc>
        <w:tc>
          <w:tcPr>
            <w:tcW w:w="48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1.对装箱装运的原料，开箱数量不少于每批次集装箱数量的50%；掏箱数量不少于每批次集装箱数量的10%。开箱、掏箱不足一箱的按一箱计算。</w:t>
            </w:r>
          </w:p>
          <w:p>
            <w:pPr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2.同批次散装原料，按25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为一个取样单位，取样份数不少于该批次取样单位数量的10%。不足一个取样单位的最少取1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份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3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5.1</w:t>
            </w:r>
          </w:p>
        </w:tc>
        <w:tc>
          <w:tcPr>
            <w:tcW w:w="15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366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4800" w:type="dxa"/>
            <w:vMerge w:val="continue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放射性污染物</w:t>
            </w:r>
          </w:p>
        </w:tc>
        <w:tc>
          <w:tcPr>
            <w:tcW w:w="4800" w:type="dxa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逐批逐箱检验。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5.2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夹杂物</w:t>
            </w:r>
          </w:p>
        </w:tc>
        <w:tc>
          <w:tcPr>
            <w:tcW w:w="4800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1.集装箱装运的原料，按实施掏箱检验的集装箱内货物质量的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0.4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%以上随机抽取。</w:t>
            </w:r>
          </w:p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2.散装原料按25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为一个取样单位，不足一个取样单位的按一个计算，最少取1份。</w:t>
            </w:r>
          </w:p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3.每份样品重量不少于100Kg。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水分</w:t>
            </w:r>
          </w:p>
        </w:tc>
        <w:tc>
          <w:tcPr>
            <w:tcW w:w="4800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随机抽取。</w:t>
            </w:r>
            <w:r>
              <w:rPr>
                <w:rFonts w:asciiTheme="minorHAnsi" w:hAnsiTheme="minorHAnsi" w:eastAsiaTheme="minorEastAsia" w:cstheme="minorHAnsi"/>
                <w:kern w:val="0"/>
                <w:sz w:val="18"/>
                <w:szCs w:val="18"/>
              </w:rPr>
              <w:t>同批次原料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选择三个不同的位置分别抽取1个试样，试样的选取应具有代表性，每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份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试样重量不少于1kg。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金属总量</w:t>
            </w:r>
          </w:p>
        </w:tc>
        <w:tc>
          <w:tcPr>
            <w:tcW w:w="4800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1.集装箱装运的原料，按实施掏箱检验的集装箱内货物质量的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0.4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%以上随机抽取。</w:t>
            </w:r>
          </w:p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2.散装原料按25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为一个取样单位，不足一个取样单位的按一个计算，最少取1份。</w:t>
            </w:r>
          </w:p>
          <w:p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3.每份样品重量不低于100Kg。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金属黄铜量</w:t>
            </w:r>
          </w:p>
        </w:tc>
        <w:tc>
          <w:tcPr>
            <w:tcW w:w="4800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66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4800" w:type="dxa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可随机抽取具有代表性样品直接检测，或按附录B的规定进行化学成分试样的制样。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36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金属回收率</w:t>
            </w:r>
          </w:p>
        </w:tc>
        <w:tc>
          <w:tcPr>
            <w:tcW w:w="480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随机抽取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每份样品不低于30Kg。</w:t>
            </w:r>
          </w:p>
        </w:tc>
        <w:tc>
          <w:tcPr>
            <w:tcW w:w="130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6.6</w:t>
            </w:r>
          </w:p>
        </w:tc>
      </w:tr>
    </w:tbl>
    <w:p>
      <w:pPr>
        <w:spacing w:before="93" w:beforeLines="30" w:line="400" w:lineRule="exact"/>
        <w:rPr>
          <w:rFonts w:ascii="黑体" w:eastAsia="黑体"/>
          <w:kern w:val="0"/>
          <w:szCs w:val="22"/>
        </w:rPr>
      </w:pPr>
      <w:r>
        <w:rPr>
          <w:rFonts w:hint="eastAsia" w:ascii="黑体" w:eastAsia="黑体"/>
          <w:kern w:val="0"/>
          <w:szCs w:val="22"/>
        </w:rPr>
        <w:t>7.6 检验结果的判定</w:t>
      </w:r>
    </w:p>
    <w:p>
      <w:pPr>
        <w:snapToGrid w:val="0"/>
        <w:spacing w:line="400" w:lineRule="exact"/>
        <w:rPr>
          <w:szCs w:val="21"/>
        </w:rPr>
      </w:pPr>
      <w:r>
        <w:rPr>
          <w:rFonts w:hint="eastAsia" w:ascii="黑体" w:hAnsi="黑体" w:eastAsia="黑体"/>
          <w:szCs w:val="21"/>
        </w:rPr>
        <w:t>7</w:t>
      </w:r>
      <w:r>
        <w:rPr>
          <w:rFonts w:hAnsi="黑体"/>
          <w:szCs w:val="21"/>
        </w:rPr>
        <w:t>.</w:t>
      </w:r>
      <w:r>
        <w:rPr>
          <w:rFonts w:hint="eastAsia" w:ascii="黑体" w:hAnsi="黑体" w:eastAsia="黑体"/>
          <w:szCs w:val="21"/>
        </w:rPr>
        <w:t>6</w:t>
      </w:r>
      <w:r>
        <w:rPr>
          <w:rFonts w:hAnsi="黑体"/>
          <w:szCs w:val="21"/>
        </w:rPr>
        <w:t>.</w:t>
      </w:r>
      <w:r>
        <w:rPr>
          <w:rFonts w:hint="eastAsia" w:ascii="黑体" w:hAnsi="黑体" w:eastAsia="黑体"/>
          <w:szCs w:val="21"/>
        </w:rPr>
        <w:t>1</w:t>
      </w:r>
      <w:r>
        <w:rPr>
          <w:rFonts w:hint="eastAsia"/>
          <w:szCs w:val="21"/>
        </w:rPr>
        <w:t xml:space="preserve"> 检验结果的数值按GB/T 8170的规定进行修约，采用修约值比较法判定。</w:t>
      </w:r>
    </w:p>
    <w:p>
      <w:pPr>
        <w:widowControl/>
        <w:spacing w:line="400" w:lineRule="exact"/>
        <w:jc w:val="left"/>
        <w:rPr>
          <w:rFonts w:cs="Calibri"/>
          <w:szCs w:val="21"/>
        </w:rPr>
      </w:pPr>
      <w:r>
        <w:rPr>
          <w:rFonts w:hint="eastAsia" w:ascii="黑体" w:hAnsi="黑体" w:eastAsia="黑体"/>
          <w:szCs w:val="21"/>
        </w:rPr>
        <w:t>7</w:t>
      </w:r>
      <w:r>
        <w:rPr>
          <w:rFonts w:hAnsi="黑体"/>
          <w:szCs w:val="21"/>
        </w:rPr>
        <w:t>.</w:t>
      </w:r>
      <w:r>
        <w:rPr>
          <w:rFonts w:hint="eastAsia" w:ascii="黑体" w:hAnsi="黑体" w:eastAsia="黑体"/>
          <w:szCs w:val="21"/>
        </w:rPr>
        <w:t>6</w:t>
      </w:r>
      <w:r>
        <w:rPr>
          <w:rFonts w:hAnsi="黑体"/>
          <w:szCs w:val="21"/>
        </w:rPr>
        <w:t>.</w:t>
      </w:r>
      <w:r>
        <w:rPr>
          <w:rFonts w:hint="eastAsia" w:ascii="黑体" w:hAnsi="黑体" w:eastAsia="黑体"/>
          <w:szCs w:val="21"/>
        </w:rPr>
        <w:t>2</w:t>
      </w:r>
      <w:r>
        <w:rPr>
          <w:rFonts w:ascii="黑体" w:hAnsi="黑体" w:eastAsia="黑体"/>
          <w:szCs w:val="21"/>
        </w:rPr>
        <w:t xml:space="preserve"> </w:t>
      </w:r>
      <w:r>
        <w:rPr>
          <w:rFonts w:cs="Calibri"/>
          <w:szCs w:val="21"/>
        </w:rPr>
        <w:t>检</w:t>
      </w:r>
      <w:r>
        <w:rPr>
          <w:rFonts w:hint="eastAsia" w:cs="Calibri"/>
          <w:szCs w:val="21"/>
          <w:lang w:eastAsia="zh-CN"/>
        </w:rPr>
        <w:t>验</w:t>
      </w:r>
      <w:r>
        <w:rPr>
          <w:rFonts w:cs="Calibri"/>
          <w:szCs w:val="21"/>
        </w:rPr>
        <w:t>结果均符合本标准要求</w:t>
      </w:r>
      <w:r>
        <w:rPr>
          <w:rFonts w:hint="eastAsia" w:cs="Calibri"/>
          <w:szCs w:val="21"/>
        </w:rPr>
        <w:t>，则</w:t>
      </w:r>
      <w:r>
        <w:rPr>
          <w:rFonts w:cs="Calibri"/>
          <w:szCs w:val="21"/>
        </w:rPr>
        <w:t>判定</w:t>
      </w:r>
      <w:r>
        <w:rPr>
          <w:rFonts w:hint="eastAsia" w:cs="Calibri"/>
          <w:szCs w:val="21"/>
        </w:rPr>
        <w:t>该批</w:t>
      </w:r>
      <w:r>
        <w:rPr>
          <w:rFonts w:cs="Calibri"/>
          <w:szCs w:val="21"/>
        </w:rPr>
        <w:t>原料合格。</w:t>
      </w:r>
    </w:p>
    <w:p>
      <w:pPr>
        <w:snapToGrid w:val="0"/>
        <w:spacing w:line="400" w:lineRule="exact"/>
        <w:rPr>
          <w:rFonts w:cs="Calibri"/>
          <w:szCs w:val="21"/>
        </w:rPr>
      </w:pPr>
      <w:r>
        <w:rPr>
          <w:rFonts w:hint="eastAsia" w:hAnsi="黑体"/>
          <w:szCs w:val="21"/>
        </w:rPr>
        <w:t>7</w:t>
      </w:r>
      <w:r>
        <w:rPr>
          <w:rFonts w:hAnsi="黑体"/>
          <w:szCs w:val="21"/>
        </w:rPr>
        <w:t>.</w:t>
      </w:r>
      <w:r>
        <w:rPr>
          <w:rFonts w:hint="eastAsia" w:hAnsi="黑体"/>
          <w:szCs w:val="21"/>
        </w:rPr>
        <w:t>6</w:t>
      </w:r>
      <w:r>
        <w:rPr>
          <w:rFonts w:hAnsi="黑体"/>
          <w:szCs w:val="21"/>
        </w:rPr>
        <w:t>.</w:t>
      </w:r>
      <w:r>
        <w:rPr>
          <w:rFonts w:hint="eastAsia" w:hAnsi="黑体"/>
          <w:szCs w:val="21"/>
        </w:rPr>
        <w:t xml:space="preserve">3 </w:t>
      </w:r>
      <w:r>
        <w:rPr>
          <w:rFonts w:hint="eastAsia" w:cs="Calibri"/>
          <w:szCs w:val="21"/>
        </w:rPr>
        <w:t>夹杂物、</w:t>
      </w:r>
      <w:r>
        <w:rPr>
          <w:rFonts w:cs="Calibri"/>
          <w:szCs w:val="21"/>
        </w:rPr>
        <w:t>放射性</w:t>
      </w:r>
      <w:r>
        <w:rPr>
          <w:rFonts w:hint="eastAsia" w:cs="Calibri"/>
          <w:szCs w:val="21"/>
        </w:rPr>
        <w:t>污染物、其他任一项</w:t>
      </w:r>
      <w:r>
        <w:rPr>
          <w:rFonts w:cs="Calibri"/>
          <w:szCs w:val="21"/>
        </w:rPr>
        <w:t>不符合要求</w:t>
      </w:r>
      <w:r>
        <w:rPr>
          <w:rFonts w:hint="eastAsia" w:cs="Calibri"/>
          <w:szCs w:val="21"/>
        </w:rPr>
        <w:t>，</w:t>
      </w:r>
      <w:r>
        <w:rPr>
          <w:rFonts w:cs="Calibri"/>
          <w:szCs w:val="21"/>
        </w:rPr>
        <w:t>则判定</w:t>
      </w:r>
      <w:r>
        <w:rPr>
          <w:rFonts w:hint="eastAsia" w:cs="Calibri"/>
          <w:szCs w:val="21"/>
        </w:rPr>
        <w:t>该批</w:t>
      </w:r>
      <w:r>
        <w:rPr>
          <w:rFonts w:cs="Calibri"/>
          <w:szCs w:val="21"/>
        </w:rPr>
        <w:t>原料不合格</w:t>
      </w:r>
      <w:r>
        <w:rPr>
          <w:rFonts w:hint="eastAsia" w:cs="Calibri"/>
          <w:szCs w:val="21"/>
        </w:rPr>
        <w:t>。</w:t>
      </w:r>
    </w:p>
    <w:p>
      <w:pPr>
        <w:snapToGrid w:val="0"/>
        <w:spacing w:line="400" w:lineRule="exact"/>
      </w:pPr>
      <w:r>
        <w:rPr>
          <w:rFonts w:hint="eastAsia" w:ascii="黑体" w:hAnsi="黑体" w:eastAsia="黑体"/>
          <w:szCs w:val="21"/>
        </w:rPr>
        <w:t>7.6.4</w:t>
      </w:r>
      <w:r>
        <w:rPr>
          <w:rFonts w:hint="eastAsia"/>
          <w:szCs w:val="21"/>
        </w:rPr>
        <w:t>表观特征、水分、金属总量</w:t>
      </w:r>
      <w:r>
        <w:rPr>
          <w:rFonts w:hint="eastAsia" w:cs="Calibri"/>
          <w:szCs w:val="21"/>
        </w:rPr>
        <w:t>、金属黄铜量、</w:t>
      </w:r>
      <w:r>
        <w:rPr>
          <w:rFonts w:hint="eastAsia"/>
          <w:szCs w:val="21"/>
        </w:rPr>
        <w:t>金属回收率、化学成分任一项不符合要求，由供需双方协商。</w:t>
      </w:r>
    </w:p>
    <w:p>
      <w:pPr>
        <w:spacing w:before="156" w:beforeLines="50" w:line="400" w:lineRule="exact"/>
        <w:rPr>
          <w:rFonts w:eastAsia="黑体"/>
          <w:b/>
          <w:bCs/>
          <w:szCs w:val="21"/>
        </w:rPr>
      </w:pPr>
      <w:bookmarkStart w:id="4" w:name="S10"/>
      <w:r>
        <w:rPr>
          <w:rFonts w:hint="eastAsia" w:eastAsia="黑体"/>
          <w:szCs w:val="21"/>
        </w:rPr>
        <w:t xml:space="preserve">8  </w:t>
      </w:r>
      <w:r>
        <w:rPr>
          <w:rFonts w:eastAsia="黑体"/>
          <w:szCs w:val="21"/>
        </w:rPr>
        <w:t>标志、包装、运输、贮存</w:t>
      </w:r>
      <w:bookmarkEnd w:id="4"/>
    </w:p>
    <w:p>
      <w:pPr>
        <w:spacing w:line="40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8</w:t>
      </w:r>
      <w:r>
        <w:rPr>
          <w:rFonts w:eastAsia="黑体"/>
          <w:szCs w:val="21"/>
        </w:rPr>
        <w:t>.1  标志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每批</w:t>
      </w:r>
      <w:r>
        <w:rPr>
          <w:rFonts w:hint="eastAsia"/>
          <w:szCs w:val="21"/>
        </w:rPr>
        <w:t>原料应</w:t>
      </w:r>
      <w:r>
        <w:rPr>
          <w:szCs w:val="21"/>
        </w:rPr>
        <w:t>附有标签，其上注明：</w:t>
      </w:r>
    </w:p>
    <w:p>
      <w:pPr>
        <w:pStyle w:val="30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a）</w:t>
      </w:r>
      <w:r>
        <w:rPr>
          <w:rFonts w:ascii="Calibri" w:hAnsi="Calibri" w:cs="Times New Roman"/>
          <w:kern w:val="2"/>
          <w:sz w:val="21"/>
          <w:szCs w:val="21"/>
        </w:rPr>
        <w:t>供方名称；</w:t>
      </w:r>
    </w:p>
    <w:p>
      <w:pPr>
        <w:pStyle w:val="30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b）原料名称；</w:t>
      </w:r>
    </w:p>
    <w:p>
      <w:pPr>
        <w:pStyle w:val="30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c）</w:t>
      </w:r>
      <w:r>
        <w:rPr>
          <w:rFonts w:hint="eastAsia" w:ascii="Calibri" w:hAnsi="Calibri"/>
          <w:sz w:val="21"/>
          <w:szCs w:val="21"/>
        </w:rPr>
        <w:t>原料</w:t>
      </w:r>
      <w:r>
        <w:rPr>
          <w:rFonts w:ascii="Calibri" w:hAnsi="Calibri"/>
          <w:szCs w:val="21"/>
        </w:rPr>
        <w:t>代号；</w:t>
      </w:r>
    </w:p>
    <w:p>
      <w:pPr>
        <w:pStyle w:val="30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d）</w:t>
      </w:r>
      <w:r>
        <w:rPr>
          <w:rFonts w:ascii="Calibri" w:hAnsi="Calibri"/>
          <w:szCs w:val="21"/>
        </w:rPr>
        <w:t>批号；</w:t>
      </w:r>
    </w:p>
    <w:p>
      <w:pPr>
        <w:pStyle w:val="30"/>
        <w:spacing w:line="400" w:lineRule="exact"/>
        <w:ind w:left="315" w:firstLine="0" w:firstLineChars="0"/>
        <w:rPr>
          <w:szCs w:val="21"/>
        </w:rPr>
      </w:pPr>
      <w:r>
        <w:rPr>
          <w:rFonts w:hint="eastAsia"/>
          <w:szCs w:val="21"/>
        </w:rPr>
        <w:t xml:space="preserve"> e）</w:t>
      </w:r>
      <w:r>
        <w:rPr>
          <w:rFonts w:hint="eastAsia" w:ascii="Calibri" w:hAnsi="Calibri" w:cs="Times New Roman"/>
          <w:kern w:val="2"/>
          <w:sz w:val="21"/>
          <w:szCs w:val="21"/>
        </w:rPr>
        <w:t>总重量；</w:t>
      </w:r>
    </w:p>
    <w:p>
      <w:pPr>
        <w:spacing w:line="400" w:lineRule="exact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 f）净重量；</w:t>
      </w:r>
    </w:p>
    <w:p>
      <w:pPr>
        <w:pStyle w:val="30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g）</w:t>
      </w:r>
      <w:r>
        <w:rPr>
          <w:rFonts w:ascii="Calibri" w:hAnsi="Calibri"/>
          <w:sz w:val="21"/>
          <w:szCs w:val="21"/>
        </w:rPr>
        <w:t>本标准编号；</w:t>
      </w:r>
    </w:p>
    <w:p>
      <w:pPr>
        <w:pStyle w:val="30"/>
        <w:spacing w:line="400" w:lineRule="exact"/>
        <w:ind w:left="315" w:firstLine="0" w:firstLineChars="0"/>
        <w:rPr>
          <w:rFonts w:ascii="Calibri" w:hAnsi="Calibri" w:cs="Times New Roman"/>
          <w:kern w:val="2"/>
          <w:sz w:val="21"/>
          <w:szCs w:val="21"/>
        </w:rPr>
      </w:pPr>
      <w:r>
        <w:rPr>
          <w:rFonts w:hint="eastAsia" w:ascii="Calibri" w:hAnsi="Calibri" w:cs="Times New Roman"/>
          <w:kern w:val="2"/>
          <w:sz w:val="21"/>
          <w:szCs w:val="21"/>
        </w:rPr>
        <w:t xml:space="preserve"> h）</w:t>
      </w:r>
      <w:r>
        <w:rPr>
          <w:rFonts w:ascii="Calibri" w:hAnsi="Calibri"/>
          <w:szCs w:val="21"/>
        </w:rPr>
        <w:t>其他</w:t>
      </w:r>
      <w:r>
        <w:rPr>
          <w:rFonts w:hint="eastAsia" w:ascii="Calibri" w:hAnsi="Calibri"/>
          <w:szCs w:val="21"/>
        </w:rPr>
        <w:t>。</w:t>
      </w:r>
    </w:p>
    <w:p>
      <w:pPr>
        <w:snapToGrid w:val="0"/>
        <w:spacing w:line="400" w:lineRule="exact"/>
        <w:rPr>
          <w:szCs w:val="21"/>
        </w:rPr>
      </w:pPr>
      <w:r>
        <w:rPr>
          <w:rFonts w:hint="eastAsia" w:ascii="黑体" w:hAnsi="黑体" w:eastAsia="黑体"/>
          <w:szCs w:val="21"/>
        </w:rPr>
        <w:t>8</w:t>
      </w:r>
      <w:r>
        <w:rPr>
          <w:rFonts w:ascii="黑体" w:hAnsi="黑体" w:eastAsia="黑体"/>
          <w:szCs w:val="21"/>
        </w:rPr>
        <w:t>.2</w:t>
      </w:r>
      <w:r>
        <w:rPr>
          <w:rFonts w:hint="eastAsia" w:ascii="黑体" w:hAnsi="黑体" w:eastAsia="黑体"/>
          <w:szCs w:val="21"/>
        </w:rPr>
        <w:t xml:space="preserve"> </w:t>
      </w:r>
      <w:r>
        <w:rPr>
          <w:szCs w:val="21"/>
        </w:rPr>
        <w:t>包装</w:t>
      </w:r>
    </w:p>
    <w:p>
      <w:pPr>
        <w:spacing w:line="400" w:lineRule="exac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eastAsia="zh-CN"/>
        </w:rPr>
        <w:t>原料宜按类别包装，方式</w:t>
      </w:r>
      <w:r>
        <w:rPr>
          <w:szCs w:val="21"/>
        </w:rPr>
        <w:t>可以</w:t>
      </w:r>
      <w:r>
        <w:rPr>
          <w:rFonts w:hint="eastAsia"/>
          <w:szCs w:val="21"/>
          <w:lang w:eastAsia="zh-CN"/>
        </w:rPr>
        <w:t>为</w:t>
      </w:r>
      <w:r>
        <w:rPr>
          <w:rFonts w:hint="eastAsia"/>
          <w:szCs w:val="21"/>
        </w:rPr>
        <w:t>散装、</w:t>
      </w:r>
      <w:r>
        <w:rPr>
          <w:szCs w:val="21"/>
        </w:rPr>
        <w:t>打包或压块等。碎料</w:t>
      </w:r>
      <w:r>
        <w:rPr>
          <w:rFonts w:hint="eastAsia"/>
          <w:szCs w:val="21"/>
          <w:lang w:eastAsia="zh-CN"/>
        </w:rPr>
        <w:t>的</w:t>
      </w:r>
      <w:r>
        <w:rPr>
          <w:szCs w:val="21"/>
        </w:rPr>
        <w:t>包装方式、尺寸和重量由供需双方协商确定。</w:t>
      </w:r>
    </w:p>
    <w:p>
      <w:pPr>
        <w:spacing w:line="400" w:lineRule="exact"/>
        <w:rPr>
          <w:szCs w:val="21"/>
        </w:rPr>
      </w:pPr>
      <w:r>
        <w:rPr>
          <w:rFonts w:hint="eastAsia" w:ascii="黑体" w:hAnsi="黑体" w:eastAsia="黑体"/>
          <w:szCs w:val="21"/>
        </w:rPr>
        <w:t>8</w:t>
      </w:r>
      <w:r>
        <w:rPr>
          <w:rFonts w:ascii="黑体" w:hAnsi="黑体" w:eastAsia="黑体"/>
          <w:szCs w:val="21"/>
        </w:rPr>
        <w:t xml:space="preserve">.3 </w:t>
      </w:r>
      <w:r>
        <w:rPr>
          <w:szCs w:val="21"/>
        </w:rPr>
        <w:t>运输和贮存</w:t>
      </w:r>
    </w:p>
    <w:p>
      <w:pPr>
        <w:tabs>
          <w:tab w:val="left" w:pos="660"/>
        </w:tabs>
        <w:autoSpaceDE w:val="0"/>
        <w:autoSpaceDN w:val="0"/>
        <w:adjustRightInd w:val="0"/>
        <w:spacing w:line="400" w:lineRule="exact"/>
        <w:jc w:val="left"/>
        <w:rPr>
          <w:rFonts w:eastAsia="微软雅黑" w:cs="微软雅黑"/>
          <w:kern w:val="0"/>
          <w:szCs w:val="21"/>
        </w:rPr>
      </w:pPr>
      <w:r>
        <w:rPr>
          <w:rFonts w:hint="eastAsia" w:eastAsia="黑体"/>
          <w:szCs w:val="21"/>
        </w:rPr>
        <w:t>8</w:t>
      </w:r>
      <w:r>
        <w:rPr>
          <w:rFonts w:eastAsia="黑体"/>
          <w:szCs w:val="21"/>
        </w:rPr>
        <w:t xml:space="preserve">.3.1 </w:t>
      </w:r>
      <w:r>
        <w:rPr>
          <w:szCs w:val="21"/>
        </w:rPr>
        <w:t>在运输过程中</w:t>
      </w:r>
      <w:r>
        <w:rPr>
          <w:rFonts w:hint="eastAsia"/>
          <w:szCs w:val="21"/>
        </w:rPr>
        <w:t>，</w:t>
      </w:r>
      <w:r>
        <w:rPr>
          <w:szCs w:val="21"/>
        </w:rPr>
        <w:t>不同类别的散装</w:t>
      </w:r>
      <w:r>
        <w:rPr>
          <w:rFonts w:hint="eastAsia"/>
          <w:szCs w:val="21"/>
        </w:rPr>
        <w:t>原料</w:t>
      </w:r>
      <w:r>
        <w:rPr>
          <w:szCs w:val="21"/>
        </w:rPr>
        <w:t>不应混装</w:t>
      </w:r>
      <w:r>
        <w:rPr>
          <w:rFonts w:eastAsia="微软雅黑" w:cs="微软雅黑"/>
          <w:kern w:val="0"/>
          <w:szCs w:val="21"/>
        </w:rPr>
        <w:t>。</w:t>
      </w:r>
    </w:p>
    <w:p>
      <w:pPr>
        <w:spacing w:line="400" w:lineRule="exact"/>
        <w:rPr>
          <w:rFonts w:cs="微软雅黑"/>
          <w:kern w:val="0"/>
          <w:szCs w:val="21"/>
        </w:rPr>
      </w:pPr>
      <w:r>
        <w:rPr>
          <w:rFonts w:hint="eastAsia"/>
          <w:szCs w:val="21"/>
        </w:rPr>
        <w:t>8.3.2 原料的运输和贮存</w:t>
      </w:r>
      <w:r>
        <w:rPr>
          <w:szCs w:val="21"/>
        </w:rPr>
        <w:t>应有防雨</w:t>
      </w:r>
      <w:r>
        <w:rPr>
          <w:rFonts w:hint="eastAsia"/>
          <w:szCs w:val="21"/>
        </w:rPr>
        <w:t>雪</w:t>
      </w:r>
      <w:r>
        <w:rPr>
          <w:szCs w:val="21"/>
        </w:rPr>
        <w:t>设施。</w:t>
      </w:r>
      <w:bookmarkStart w:id="5" w:name="S11"/>
    </w:p>
    <w:p>
      <w:pPr>
        <w:pStyle w:val="30"/>
        <w:snapToGrid w:val="0"/>
        <w:spacing w:line="400" w:lineRule="exact"/>
        <w:ind w:firstLine="0" w:firstLineChars="0"/>
        <w:rPr>
          <w:rFonts w:ascii="Calibri" w:hAnsi="Calibri"/>
          <w:szCs w:val="21"/>
        </w:rPr>
      </w:pPr>
      <w:r>
        <w:rPr>
          <w:rFonts w:hint="eastAsia" w:ascii="Calibri" w:hAnsi="Calibri" w:eastAsia="黑体"/>
          <w:sz w:val="21"/>
          <w:szCs w:val="21"/>
        </w:rPr>
        <w:t>9 订货单（或合同）内容</w:t>
      </w:r>
    </w:p>
    <w:bookmarkEnd w:id="5"/>
    <w:p>
      <w:pPr>
        <w:snapToGrid w:val="0"/>
        <w:spacing w:line="400" w:lineRule="exact"/>
        <w:ind w:firstLine="315" w:firstLineChars="150"/>
        <w:rPr>
          <w:szCs w:val="21"/>
        </w:rPr>
      </w:pPr>
      <w:r>
        <w:rPr>
          <w:szCs w:val="21"/>
        </w:rPr>
        <w:t>本标准所列</w:t>
      </w:r>
      <w:r>
        <w:rPr>
          <w:rFonts w:hint="eastAsia"/>
          <w:szCs w:val="21"/>
        </w:rPr>
        <w:t>原料</w:t>
      </w:r>
      <w:r>
        <w:rPr>
          <w:szCs w:val="21"/>
        </w:rPr>
        <w:t>的订货单（或合同）内应包括下列内容：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szCs w:val="21"/>
        </w:rPr>
        <w:t>供方名称；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szCs w:val="21"/>
        </w:rPr>
        <w:t>原料名称、代号</w:t>
      </w:r>
      <w:r>
        <w:rPr>
          <w:szCs w:val="21"/>
        </w:rPr>
        <w:t xml:space="preserve">；  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szCs w:val="21"/>
        </w:rPr>
        <w:t>重量</w:t>
      </w:r>
    </w:p>
    <w:p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szCs w:val="21"/>
        </w:rPr>
        <w:t>本标准编号；</w:t>
      </w:r>
    </w:p>
    <w:p>
      <w:pPr>
        <w:numPr>
          <w:ilvl w:val="0"/>
          <w:numId w:val="1"/>
        </w:numPr>
        <w:spacing w:line="400" w:lineRule="exact"/>
      </w:pPr>
      <w:r>
        <w:rPr>
          <w:szCs w:val="21"/>
        </w:rPr>
        <w:t>其他。</w:t>
      </w: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</w:p>
    <w:p>
      <w:pPr>
        <w:spacing w:before="93" w:beforeLines="30" w:line="400" w:lineRule="exact"/>
      </w:pPr>
      <w:r>
        <w:rPr>
          <w:sz w:val="21"/>
        </w:rPr>
        <w:pict>
          <v:shape id="Flowchart: Process 20" o:spid="_x0000_s1146" o:spt="109" type="#_x0000_t109" style="position:absolute;left:0pt;margin-left:159.6pt;margin-top:16.4pt;height:23.35pt;width:72.3pt;z-index:1024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来料</w:t>
                  </w:r>
                </w:p>
              </w:txbxContent>
            </v:textbox>
          </v:shape>
        </w:pict>
      </w:r>
    </w:p>
    <w:p>
      <w:pPr>
        <w:spacing w:before="93" w:beforeLines="30" w:line="400" w:lineRule="exact"/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02" o:spid="_x0000_s1147" o:spt="20" style="position:absolute;left:0pt;margin-left:193.85pt;margin-top:0.5pt;height:13.4pt;width:0.05pt;z-index:2048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shape id="Flowchart: Process 101" o:spid="_x0000_s1148" o:spt="109" type="#_x0000_t109" style="position:absolute;left:0pt;margin-left:156.85pt;margin-top:0.3pt;height:23.8pt;width:76.15pt;z-index:3072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放射性污染物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04" o:spid="_x0000_s1149" o:spt="20" style="position:absolute;left:0pt;margin-left:193.85pt;margin-top:9.4pt;height:13.4pt;width:0.05pt;z-index:4096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rect id="Rectangle 22" o:spid="_x0000_s1150" o:spt="1" style="position:absolute;left:0pt;margin-left:268.7pt;margin-top:11.4pt;height:21.25pt;width:57.75pt;z-index:512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shape id="Flowchart: Process 24" o:spid="_x0000_s1151" o:spt="109" type="#_x0000_t109" style="position:absolute;left:0pt;margin-left:173.2pt;margin-top:1.75pt;height:43.95pt;width:43.75pt;rotation:2818048f;z-index:6144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检测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判定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74" o:spid="_x0000_s1152" o:spt="20" style="position:absolute;left:0pt;margin-left:410pt;margin-top:5.65pt;height:135.25pt;width:0.05pt;z-index:7168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  <w:r>
        <w:rPr>
          <w:sz w:val="21"/>
        </w:rPr>
        <w:pict>
          <v:line id="Line 173" o:spid="_x0000_s1153" o:spt="20" style="position:absolute;left:0pt;margin-left:226.95pt;margin-top:6.4pt;height:0.25pt;width:183.7pt;z-index:8192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05" o:spid="_x0000_s1154" o:spt="20" style="position:absolute;left:0pt;margin-left:196.1pt;margin-top:9.45pt;height:13.4pt;width:0.05pt;z-index:9216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34" o:spid="_x0000_s1157" o:spt="20" style="position:absolute;left:0pt;margin-left:102pt;margin-top:9.45pt;height:15.65pt;width:0.05pt;z-index:12288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Line 110" o:spid="_x0000_s1156" o:spt="20" style="position:absolute;left:0pt;margin-left:264.45pt;margin-top:8.75pt;height:17.85pt;width:0.05pt;z-index:11264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Line 148" o:spid="_x0000_s1155" o:spt="20" style="position:absolute;left:0pt;margin-left:101.35pt;margin-top:9.6pt;height:0.05pt;width:163.75pt;z-index:10240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rect id="Rectangle 57" o:spid="_x0000_s1159" o:spt="1" style="position:absolute;left:0pt;margin-left:235.55pt;margin-top:9.55pt;height:24.1pt;width:66.35pt;z-index:14336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</w:rPr>
                    <w:t>其他</w:t>
                  </w:r>
                  <w:r>
                    <w:rPr>
                      <w:rFonts w:hint="eastAsia"/>
                      <w:lang w:eastAsia="zh-CN"/>
                    </w:rPr>
                    <w:t>要求</w:t>
                  </w:r>
                </w:p>
              </w:txbxContent>
            </v:textbox>
          </v:rect>
        </w:pict>
      </w:r>
      <w:r>
        <w:rPr>
          <w:sz w:val="21"/>
        </w:rPr>
        <w:pict>
          <v:rect id="Rectangle 35" o:spid="_x0000_s1158" o:spt="1" style="position:absolute;left:0pt;margin-left:73.7pt;margin-top:9.35pt;height:24.1pt;width:58.05pt;z-index:13312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夹杂物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37" o:spid="_x0000_s1161" o:spt="20" style="position:absolute;left:0pt;margin-left:101.25pt;margin-top:2pt;height:15.65pt;width:0.05pt;z-index:16384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Line 139" o:spid="_x0000_s1160" o:spt="20" style="position:absolute;left:0pt;margin-left:264.45pt;margin-top:2pt;height:15.65pt;width:0.05pt;z-index:15360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43" o:spid="_x0000_s1163" o:spt="20" style="position:absolute;left:0pt;margin-left:199pt;margin-top:3.5pt;height:13.4pt;width:0.05pt;z-index:18432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  <w:r>
        <w:rPr>
          <w:sz w:val="21"/>
        </w:rPr>
        <w:pict>
          <v:line id="Line 142" o:spid="_x0000_s1162" o:spt="20" style="position:absolute;left:0pt;margin-left:101.35pt;margin-top:1.95pt;height:0.05pt;width:162.4pt;z-index:17408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shape id="AutoShape 34" o:spid="_x0000_s1166" o:spt="109" type="#_x0000_t109" style="position:absolute;left:0pt;margin-left:178.1pt;margin-top:11.6pt;height:43.95pt;width:43.75pt;rotation:2818048f;z-index:21504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检测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判定</w:t>
                  </w:r>
                </w:p>
              </w:txbxContent>
            </v:textbox>
          </v:shape>
        </w:pict>
      </w:r>
      <w:r>
        <w:rPr>
          <w:sz w:val="21"/>
        </w:rPr>
        <w:pict>
          <v:rect id="Rectangle 145" o:spid="_x0000_s1164" o:spt="1" style="position:absolute;left:0pt;margin-left:320.15pt;margin-top:3.25pt;height:21.25pt;width:49.05pt;z-index:1945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shape id="AutoShape 68" o:spid="_x0000_s1165" o:spt="109" type="#_x0000_t109" style="position:absolute;left:0pt;margin-left:390.75pt;margin-top:1.1pt;height:25.25pt;width:79.95pt;z-index:20480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退货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75" o:spid="_x0000_s1167" o:spt="20" style="position:absolute;left:0pt;margin-left:232.95pt;margin-top:0.8pt;height:0.05pt;width:155.1pt;z-index:22528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21" o:spid="_x0000_s1168" o:spt="20" style="position:absolute;left:0pt;flip:x;margin-left:199.95pt;margin-top:5pt;height:14.25pt;width:0.4pt;z-index:23552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25" o:spid="_x0000_s1171" o:spt="20" style="position:absolute;left:0pt;margin-left:74.05pt;margin-top:5.65pt;height:18.6pt;width:0.05pt;z-index:26624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rect id="_x0000_s1174" o:spid="_x0000_s1174" o:spt="1" style="position:absolute;left:0pt;margin-left:303.7pt;margin-top:15.6pt;height:24.1pt;width:68.5pt;z-index:29696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金属黄铜量</w:t>
                  </w:r>
                </w:p>
              </w:txbxContent>
            </v:textbox>
          </v:rect>
        </w:pict>
      </w:r>
      <w:r>
        <w:rPr>
          <w:sz w:val="21"/>
        </w:rPr>
        <w:pict>
          <v:rect id="_x0000_s1176" o:spid="_x0000_s1176" o:spt="1" style="position:absolute;left:0pt;margin-left:138.4pt;margin-top:14.75pt;height:24.1pt;width:58.05pt;z-index:31744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水分</w:t>
                  </w:r>
                </w:p>
              </w:txbxContent>
            </v:textbox>
          </v:rect>
        </w:pict>
      </w:r>
      <w:r>
        <w:rPr>
          <w:sz w:val="21"/>
        </w:rPr>
        <w:pict>
          <v:rect id="_x0000_s1175" o:spid="_x0000_s1175" o:spt="1" style="position:absolute;left:0pt;margin-left:223.65pt;margin-top:15.5pt;height:24.1pt;width:58.05pt;z-index:30720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金属总量</w:t>
                  </w:r>
                </w:p>
              </w:txbxContent>
            </v:textbox>
          </v:rect>
        </w:pict>
      </w:r>
      <w:r>
        <w:rPr>
          <w:sz w:val="21"/>
        </w:rPr>
        <w:pict>
          <v:line id="_x0000_s1173" o:spid="_x0000_s1173" o:spt="20" style="position:absolute;left:0pt;margin-left:337.95pt;margin-top:5.65pt;height:17.85pt;width:0.05pt;z-index:28672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_x0000_s1172" o:spid="_x0000_s1172" o:spt="20" style="position:absolute;left:0pt;margin-left:252.65pt;margin-top:6.4pt;height:17.85pt;width:0.05pt;z-index:27648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Line 151" o:spid="_x0000_s1170" o:spt="20" style="position:absolute;left:0pt;margin-left:167.4pt;margin-top:6.4pt;height:17.85pt;width:0.05pt;z-index:25600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Line 150" o:spid="_x0000_s1169" o:spt="20" style="position:absolute;left:0pt;margin-left:74.1pt;margin-top:5.55pt;height:0.05pt;width:263.1pt;z-index:24576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rect id="_x0000_s1178" o:spid="_x0000_s1178" o:spt="1" style="position:absolute;left:0pt;margin-left:381.1pt;margin-top:1.3pt;height:24.1pt;width:66.85pt;z-index:33792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双方协商</w:t>
                  </w:r>
                </w:p>
              </w:txbxContent>
            </v:textbox>
          </v:rect>
        </w:pict>
      </w:r>
      <w:r>
        <w:rPr>
          <w:sz w:val="21"/>
        </w:rPr>
        <w:pict>
          <v:rect id="_x0000_s1177" o:spid="_x0000_s1177" o:spt="1" style="position:absolute;left:0pt;margin-left:45.05pt;margin-top:1.35pt;height:24.1pt;width:58.05pt;z-index:32768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表观特征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_x0000_s1179" o:spid="_x0000_s1179" o:spt="20" style="position:absolute;left:0pt;margin-left:339.75pt;margin-top:8.8pt;height:12.6pt;width:0.05pt;z-index:34816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_x0000_s1182" o:spid="_x0000_s1182" o:spt="20" style="position:absolute;left:0pt;margin-left:167.35pt;margin-top:7.25pt;height:12.6pt;width:0.05pt;z-index:37888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_x0000_s1180" o:spid="_x0000_s1180" o:spt="20" style="position:absolute;left:0pt;margin-left:252.3pt;margin-top:7.25pt;height:12.6pt;width:0.05pt;z-index:-1024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Line 172" o:spid="_x0000_s1186" o:spt="20" style="position:absolute;left:0pt;flip:x y;margin-left:410.5pt;margin-top:11.55pt;height:61.05pt;width:0.45pt;z-index:41984;mso-width-relative:page;mso-height-relative:page;" filled="f" stroked="t" coordsize="21600,21600">
            <v:path arrowok="t"/>
            <v:fill on="f" focussize="0,0"/>
            <v:stroke weight="1.25pt" color="#4F81BD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183" o:spid="_x0000_s1183" o:spt="20" style="position:absolute;left:0pt;flip:x y;margin-left:429.15pt;margin-top:14.1pt;height:218.15pt;width:1.4pt;z-index:38912;mso-width-relative:page;mso-height-relative:page;" filled="f" stroked="t" coordsize="21600,21600">
            <v:path arrowok="t"/>
            <v:fill on="f" focussize="0,0"/>
            <v:stroke weight="1.25pt" color="#4F81BD" endarrow="open"/>
            <v:imagedata o:title=""/>
            <o:lock v:ext="edit" aspectratio="f"/>
          </v:line>
        </w:pict>
      </w:r>
      <w:r>
        <w:rPr>
          <w:sz w:val="21"/>
        </w:rPr>
        <w:pict>
          <v:line id="_x0000_s1181" o:spid="_x0000_s1181" o:spt="20" style="position:absolute;left:0pt;margin-left:73.4pt;margin-top:7.3pt;height:12.6pt;width:0.05pt;z-index:0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_x0000_s1185" o:spid="_x0000_s1185" o:spt="20" style="position:absolute;left:0pt;margin-left:72.65pt;margin-top:4.55pt;height:0.05pt;width:266.75pt;z-index:40960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_x0000_s1184" o:spid="_x0000_s1184" o:spt="20" style="position:absolute;left:0pt;flip:x;margin-left:205.9pt;margin-top:4.2pt;height:20.05pt;width:0.55pt;z-index:39936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shape id="Flowchart: Process 62" o:spid="_x0000_s1188" o:spt="109" type="#_x0000_t109" style="position:absolute;left:0pt;margin-left:185.05pt;margin-top:3.7pt;height:43.95pt;width:43.75pt;rotation:2818048f;z-index:44032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检测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判定</w:t>
                  </w:r>
                </w:p>
              </w:txbxContent>
            </v:textbox>
          </v:shape>
        </w:pict>
      </w:r>
      <w:r>
        <w:rPr>
          <w:sz w:val="21"/>
        </w:rPr>
        <w:pict>
          <v:rect id="Rectangle 64" o:spid="_x0000_s1187" o:spt="1" style="position:absolute;left:0pt;margin-left:289.6pt;margin-top:0.35pt;height:21.25pt;width:53.55pt;z-index:4300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Line 171" o:spid="_x0000_s1189" o:spt="20" style="position:absolute;left:0pt;flip:y;margin-left:238.35pt;margin-top:9.65pt;height:0.3pt;width:172.3pt;z-index:45056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_x0000_s1191" o:spid="_x0000_s1191" o:spt="20" style="position:absolute;left:0pt;flip:x;margin-left:206.4pt;margin-top:11.4pt;height:18.4pt;width:0.5pt;z-index:47104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  <w:r>
        <w:rPr>
          <w:sz w:val="21"/>
        </w:rPr>
        <w:pict>
          <v:rect id="_x0000_s1190" o:spid="_x0000_s1190" o:spt="1" style="position:absolute;left:0pt;margin-left:214.8pt;margin-top:8.35pt;height:21.25pt;width:93.05pt;z-index:4608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合格，且需要时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_x0000_s1194" o:spid="_x0000_s1194" o:spt="20" style="position:absolute;left:0pt;margin-left:132.85pt;margin-top:1.75pt;height:0.05pt;width:163.75pt;z-index:50176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_x0000_s1193" o:spid="_x0000_s1193" o:spt="20" style="position:absolute;left:0pt;margin-left:133.5pt;margin-top:1.6pt;height:15.65pt;width:0.05pt;z-index:49152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_x0000_s1192" o:spid="_x0000_s1192" o:spt="20" style="position:absolute;left:0pt;margin-left:295pt;margin-top:0.8pt;height:17.85pt;width:0.05pt;z-index:48128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rect id="Rectangle 113" o:spid="_x0000_s1196" o:spt="1" style="position:absolute;left:0pt;margin-left:100.9pt;margin-top:0.4pt;height:24.1pt;width:63.15pt;z-index:52224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化学成分</w:t>
                  </w:r>
                </w:p>
              </w:txbxContent>
            </v:textbox>
          </v:rect>
        </w:pict>
      </w:r>
      <w:r>
        <w:rPr>
          <w:sz w:val="21"/>
        </w:rPr>
        <w:pict>
          <v:rect id="Rectangle 112" o:spid="_x0000_s1195" o:spt="1" style="position:absolute;left:0pt;margin-left:258.4pt;margin-top:0.05pt;height:24.1pt;width:66.85pt;z-index:51200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金属回收率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_x0000_s1197" o:spid="_x0000_s1197" o:spt="20" style="position:absolute;left:0pt;margin-left:293.4pt;margin-top:7.45pt;height:15.65pt;width:0.05pt;z-index:53248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_x0000_s1198" o:spid="_x0000_s1198" o:spt="20" style="position:absolute;left:0pt;margin-left:133.4pt;margin-top:8.25pt;height:15.65pt;width:0.05pt;z-index:54272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_x0000_s1199" o:spid="_x0000_s1199" o:spt="20" style="position:absolute;left:0pt;margin-left:133pt;margin-top:7.8pt;height:0.05pt;width:160.55pt;z-index:55296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  <w:r>
        <w:rPr>
          <w:sz w:val="21"/>
        </w:rPr>
        <w:pict>
          <v:line id="_x0000_s1200" o:spid="_x0000_s1200" o:spt="20" style="position:absolute;left:0pt;flip:x;margin-left:205.65pt;margin-top:10.2pt;height:18.4pt;width:0.5pt;z-index:56320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shape id="_x0000_s1202" o:spid="_x0000_s1202" o:spt="109" type="#_x0000_t109" style="position:absolute;left:0pt;margin-left:185.95pt;margin-top:7.85pt;height:43.95pt;width:43.75pt;rotation:2818048f;z-index:58368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检测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判定</w:t>
                  </w:r>
                </w:p>
              </w:txbxContent>
            </v:textbox>
          </v:shape>
        </w:pict>
      </w:r>
      <w:r>
        <w:rPr>
          <w:sz w:val="21"/>
        </w:rPr>
        <w:pict>
          <v:rect id="_x0000_s1201" o:spid="_x0000_s1201" o:spt="1" style="position:absolute;left:0pt;margin-left:326.35pt;margin-top:5.6pt;height:21.25pt;width:55.3pt;z-index:5734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不合格格</w:t>
                  </w:r>
                </w:p>
              </w:txbxContent>
            </v:textbox>
          </v:rect>
        </w:pict>
      </w:r>
    </w:p>
    <w:p>
      <w:pPr>
        <w:rPr>
          <w:rFonts w:ascii="宋体" w:hAnsi="宋体"/>
          <w:szCs w:val="21"/>
        </w:rPr>
      </w:pPr>
      <w:r>
        <w:rPr>
          <w:sz w:val="21"/>
        </w:rPr>
        <w:pict>
          <v:line id="_x0000_s1203" o:spid="_x0000_s1203" o:spt="20" style="position:absolute;left:0pt;flip:y;margin-left:237.75pt;margin-top:12.2pt;height:0.3pt;width:192.3pt;z-index:59392;mso-width-relative:page;mso-height-relative:page;" filled="f" stroked="t" coordsize="21600,21600">
            <v:path arrowok="t"/>
            <v:fill on="f" focussize="0,0"/>
            <v:stroke weight="1.25pt" color="#739CC3"/>
            <v:imagedata o:title=""/>
            <o:lock v:ext="edit" aspectratio="f"/>
          </v:line>
        </w:pic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sz w:val="21"/>
        </w:rPr>
        <w:pict>
          <v:rect id="_x0000_s1204" o:spid="_x0000_s1204" o:spt="1" style="position:absolute;left:0pt;margin-left:221.25pt;margin-top:1.4pt;height:21.25pt;width:35.95pt;z-index:6041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</w:rPr>
                    <w:t>合格</w:t>
                  </w:r>
                </w:p>
              </w:txbxContent>
            </v:textbox>
          </v:rect>
        </w:pict>
      </w:r>
    </w:p>
    <w:p>
      <w:pPr>
        <w:jc w:val="center"/>
        <w:rPr>
          <w:rFonts w:ascii="宋体" w:hAnsi="宋体"/>
          <w:sz w:val="24"/>
        </w:rPr>
      </w:pPr>
      <w:r>
        <w:rPr>
          <w:sz w:val="24"/>
        </w:rPr>
        <w:pict>
          <v:rect id="Rectangle 7" o:spid="_x0000_s1206" o:spt="1" style="position:absolute;left:0pt;margin-left:171pt;margin-top:12.1pt;height:21.7pt;width:79.4pt;z-index:3072;mso-width-relative:page;mso-height-relative:page;" fillcolor="#FFFFFF" filled="t" stroked="t" coordsize="21600,21600">
            <v:path/>
            <v:fill on="t" color2="#FFFFFF" focussize="0,0"/>
            <v:stroke weight="0.2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接受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205" o:spid="_x0000_s1205" o:spt="20" style="position:absolute;left:0pt;flip:x;margin-left:208.9pt;margin-top:1.05pt;height:10.95pt;width:0.3pt;z-index:2048;mso-width-relative:page;mso-height-relative:page;" filled="f" stroked="t" coordsize="21600,21600">
            <v:path arrowok="t"/>
            <v:fill on="f" focussize="0,0"/>
            <v:stroke weight="1.25pt" color="#739CC3" endarrow="open"/>
            <v:imagedata o:title=""/>
            <o:lock v:ext="edit" aspectratio="f"/>
          </v:line>
        </w:pict>
      </w:r>
    </w:p>
    <w:p>
      <w:pPr>
        <w:jc w:val="center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center"/>
      </w:pPr>
      <w:r>
        <w:rPr>
          <w:rFonts w:hint="eastAsia" w:ascii="宋体" w:hAnsi="宋体"/>
          <w:b/>
          <w:sz w:val="24"/>
        </w:rPr>
        <w:t>图1  检验流程</w:t>
      </w:r>
    </w:p>
    <w:p>
      <w:pPr>
        <w:snapToGrid w:val="0"/>
        <w:jc w:val="right"/>
        <w:rPr>
          <w:rFonts w:hint="eastAsia" w:ascii="黑体" w:eastAsia="黑体"/>
        </w:rPr>
      </w:pPr>
      <w:r>
        <w:t>GB/T XXXX—XXXX</w:t>
      </w:r>
    </w:p>
    <w:p>
      <w:pPr>
        <w:snapToGrid w:val="0"/>
        <w:jc w:val="center"/>
        <w:rPr>
          <w:rFonts w:hint="eastAsia" w:ascii="黑体" w:eastAsia="黑体"/>
        </w:rPr>
      </w:pPr>
    </w:p>
    <w:p>
      <w:pPr>
        <w:snapToGrid w:val="0"/>
        <w:jc w:val="center"/>
        <w:rPr>
          <w:rFonts w:ascii="黑体" w:eastAsia="黑体"/>
        </w:rPr>
      </w:pPr>
      <w:r>
        <w:rPr>
          <w:rFonts w:hint="eastAsia" w:ascii="黑体" w:eastAsia="黑体"/>
        </w:rPr>
        <w:t>附录A</w:t>
      </w:r>
    </w:p>
    <w:p>
      <w:pPr>
        <w:pStyle w:val="45"/>
        <w:widowControl w:val="0"/>
        <w:snapToGrid w:val="0"/>
        <w:rPr>
          <w:kern w:val="2"/>
        </w:rPr>
      </w:pPr>
      <w:r>
        <w:rPr>
          <w:rFonts w:hint="eastAsia"/>
          <w:kern w:val="2"/>
        </w:rPr>
        <w:t>（规范性附录）</w:t>
      </w:r>
    </w:p>
    <w:p>
      <w:pPr>
        <w:pStyle w:val="45"/>
        <w:widowControl w:val="0"/>
        <w:snapToGrid w:val="0"/>
        <w:rPr>
          <w:rFonts w:ascii="Times New Roman"/>
          <w:kern w:val="2"/>
        </w:rPr>
      </w:pPr>
      <w:r>
        <w:rPr>
          <w:rFonts w:hint="eastAsia" w:ascii="Times New Roman"/>
          <w:kern w:val="2"/>
        </w:rPr>
        <w:t>水分检测方法</w:t>
      </w:r>
    </w:p>
    <w:p>
      <w:pPr>
        <w:spacing w:line="440" w:lineRule="exact"/>
        <w:rPr>
          <w:rFonts w:eastAsia="黑体"/>
        </w:rPr>
      </w:pPr>
      <w:r>
        <w:rPr>
          <w:rFonts w:eastAsia="黑体"/>
        </w:rPr>
        <w:t>A.1  范围</w:t>
      </w:r>
    </w:p>
    <w:p>
      <w:pPr>
        <w:spacing w:line="440" w:lineRule="exact"/>
        <w:ind w:firstLine="420" w:firstLineChars="200"/>
      </w:pPr>
      <w:r>
        <w:t>本附录规定了原料</w:t>
      </w:r>
      <w:r>
        <w:rPr>
          <w:rFonts w:hint="eastAsia"/>
        </w:rPr>
        <w:t>水分</w:t>
      </w:r>
      <w:r>
        <w:t>的检</w:t>
      </w:r>
      <w:r>
        <w:rPr>
          <w:rFonts w:hint="eastAsia"/>
          <w:lang w:eastAsia="zh-CN"/>
        </w:rPr>
        <w:t>测</w:t>
      </w:r>
      <w:r>
        <w:t>方法。</w:t>
      </w:r>
    </w:p>
    <w:p>
      <w:pPr>
        <w:spacing w:line="440" w:lineRule="exact"/>
        <w:ind w:firstLine="420" w:firstLineChars="200"/>
      </w:pPr>
      <w:r>
        <w:t>本附录适用于原料</w:t>
      </w:r>
      <w:r>
        <w:rPr>
          <w:rFonts w:hint="eastAsia"/>
        </w:rPr>
        <w:t>水分</w:t>
      </w:r>
      <w:r>
        <w:t>的检</w:t>
      </w:r>
      <w:r>
        <w:rPr>
          <w:rFonts w:hint="eastAsia"/>
          <w:lang w:eastAsia="zh-CN"/>
        </w:rPr>
        <w:t>测</w:t>
      </w:r>
      <w:r>
        <w:t>。</w:t>
      </w:r>
    </w:p>
    <w:p>
      <w:pPr>
        <w:pStyle w:val="32"/>
        <w:spacing w:before="156" w:after="156"/>
      </w:pPr>
      <w:r>
        <w:rPr>
          <w:rFonts w:hint="eastAsia"/>
        </w:rPr>
        <w:t>A.2方法提要</w:t>
      </w:r>
    </w:p>
    <w:p>
      <w:pPr>
        <w:pStyle w:val="27"/>
        <w:ind w:firstLine="420"/>
      </w:pPr>
      <w:r>
        <w:rPr>
          <w:rFonts w:hint="eastAsia"/>
          <w:szCs w:val="22"/>
        </w:rPr>
        <w:t>将试样用酒精和清水清洗，加热至固定温</w:t>
      </w:r>
      <w:r>
        <w:rPr>
          <w:rFonts w:hint="eastAsia"/>
        </w:rPr>
        <w:t>度并保温至恒重，测量重量损失计算水分含量。</w:t>
      </w:r>
    </w:p>
    <w:p>
      <w:pPr>
        <w:pStyle w:val="32"/>
        <w:spacing w:before="156" w:after="156"/>
        <w:rPr>
          <w:rFonts w:hint="eastAsia"/>
          <w:szCs w:val="22"/>
        </w:rPr>
      </w:pPr>
      <w:r>
        <w:rPr>
          <w:rFonts w:hint="eastAsia"/>
          <w:szCs w:val="22"/>
        </w:rPr>
        <w:t>A.3试验试剂及装置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A.3.1 工业酒精（乙醇浓度不低于95%）和纯水。</w:t>
      </w:r>
    </w:p>
    <w:p>
      <w:pPr>
        <w:keepNext w:val="0"/>
        <w:keepLines w:val="0"/>
        <w:pageBreakBefore w:val="0"/>
        <w:widowControl/>
        <w:kinsoku/>
        <w:topLinePunct w:val="0"/>
        <w:autoSpaceDN/>
        <w:bidi w:val="0"/>
        <w:adjustRightInd/>
        <w:snapToGrid w:val="0"/>
        <w:spacing w:line="40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A.3.2 试验装置包括干燥箱（温度可控制在105±5℃）、干燥盘、电子秤（精度0.1g）。</w:t>
      </w:r>
    </w:p>
    <w:p>
      <w:pPr>
        <w:pStyle w:val="32"/>
        <w:spacing w:before="156" w:after="156"/>
        <w:rPr>
          <w:szCs w:val="22"/>
        </w:rPr>
      </w:pPr>
      <w:r>
        <w:rPr>
          <w:rFonts w:hint="eastAsia"/>
          <w:szCs w:val="22"/>
        </w:rPr>
        <w:t>A.4取样</w:t>
      </w:r>
    </w:p>
    <w:p>
      <w:pPr>
        <w:pStyle w:val="27"/>
        <w:ind w:firstLine="420"/>
      </w:pPr>
      <w:r>
        <w:rPr>
          <w:rFonts w:ascii="Calibri"/>
          <w:szCs w:val="21"/>
        </w:rPr>
        <w:t>随机抽取原料样品，重量不少于</w:t>
      </w:r>
      <w:r>
        <w:rPr>
          <w:rFonts w:hint="eastAsia" w:ascii="Calibri"/>
          <w:szCs w:val="21"/>
        </w:rPr>
        <w:t>1.0</w:t>
      </w:r>
      <w:r>
        <w:rPr>
          <w:rFonts w:ascii="Calibri"/>
          <w:szCs w:val="21"/>
        </w:rPr>
        <w:t>kg。</w:t>
      </w:r>
    </w:p>
    <w:p>
      <w:pPr>
        <w:pStyle w:val="32"/>
        <w:spacing w:before="156" w:after="156"/>
        <w:rPr>
          <w:rFonts w:hint="eastAsia" w:ascii="宋体" w:hAnsi="宋体" w:cs="宋体"/>
          <w:szCs w:val="21"/>
        </w:rPr>
      </w:pPr>
      <w:r>
        <w:rPr>
          <w:rFonts w:hint="eastAsia"/>
          <w:szCs w:val="22"/>
        </w:rPr>
        <w:t>A.5试验步骤</w:t>
      </w:r>
    </w:p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A.5.</w:t>
      </w: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干燥盘在105℃恒重后，放干燥箱中冷却至室温，称量重量，记为</w:t>
      </w:r>
      <w:r>
        <w:rPr>
          <w:rFonts w:hint="eastAsia" w:ascii="宋体" w:hAnsi="宋体" w:cs="宋体"/>
          <w:szCs w:val="21"/>
          <w:lang w:val="en-US" w:eastAsia="zh-CN"/>
        </w:rPr>
        <w:t>M</w:t>
      </w:r>
      <w:r>
        <w:rPr>
          <w:rFonts w:hint="eastAsia" w:ascii="宋体" w:hAnsi="宋体" w:cs="宋体"/>
          <w:szCs w:val="21"/>
          <w:vertAlign w:val="subscript"/>
        </w:rPr>
        <w:t>0</w:t>
      </w:r>
      <w:r>
        <w:rPr>
          <w:rFonts w:hint="eastAsia" w:ascii="宋体" w:hAnsi="宋体" w:cs="宋体"/>
          <w:szCs w:val="21"/>
        </w:rPr>
        <w:t>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A.5.</w:t>
      </w: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</w:rPr>
        <w:t>将样品放入干燥盘</w:t>
      </w:r>
      <w:r>
        <w:rPr>
          <w:rFonts w:hint="eastAsia" w:ascii="宋体" w:hAnsi="宋体" w:cs="宋体"/>
          <w:szCs w:val="21"/>
          <w:lang w:eastAsia="zh-CN"/>
        </w:rPr>
        <w:t>中</w:t>
      </w:r>
      <w:r>
        <w:rPr>
          <w:rFonts w:hint="eastAsia" w:ascii="宋体" w:hAnsi="宋体" w:cs="宋体"/>
          <w:szCs w:val="21"/>
        </w:rPr>
        <w:t>，称量装有样品的干燥盘重量，记为</w:t>
      </w:r>
      <w:r>
        <w:rPr>
          <w:rFonts w:hint="eastAsia" w:ascii="宋体" w:hAnsi="宋体" w:cs="宋体"/>
          <w:szCs w:val="21"/>
          <w:lang w:val="en-US" w:eastAsia="zh-CN"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 w:ascii="宋体" w:hAnsi="宋体" w:cs="宋体"/>
          <w:szCs w:val="21"/>
        </w:rPr>
        <w:t>。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A.5.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用工业酒精充分清洗样品，然后用纯水充分漂洗样品。</w:t>
      </w:r>
      <w:r>
        <w:rPr>
          <w:rFonts w:hint="eastAsia" w:ascii="宋体" w:hAnsi="宋体" w:cs="宋体"/>
          <w:szCs w:val="21"/>
          <w:lang w:eastAsia="zh-CN"/>
        </w:rPr>
        <w:t>同时用清水充分漂洗干燥盘。</w:t>
      </w:r>
    </w:p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A.5.4将装有样品的干燥盘放入干燥箱中架子上，干燥盘不应与炉底、炉壁接触。干燥箱升温至105℃，保温时间宜为2h。</w:t>
      </w:r>
    </w:p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A.5.5 从干燥箱中取出装有样品的干燥盘，冷却至室温后，称量装有样品的干燥盘重量。</w:t>
      </w:r>
    </w:p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A.5.6将装有样品的干燥盘放回干燥箱中，在105℃±5℃保温1h，重复A.5.5 </w:t>
      </w:r>
      <w:r>
        <w:rPr>
          <w:rFonts w:ascii="Times New Roman" w:hAnsi="Times New Roman"/>
          <w:szCs w:val="21"/>
        </w:rPr>
        <w:t>~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A.5.6。</w:t>
      </w:r>
    </w:p>
    <w:p>
      <w:pPr>
        <w:widowControl/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A.5.7 重复A.5.5条和A.5.6条</w:t>
      </w:r>
      <w:r>
        <w:rPr>
          <w:rFonts w:hint="eastAsia" w:ascii="宋体" w:hAnsi="宋体" w:cs="宋体"/>
          <w:szCs w:val="21"/>
          <w:lang w:eastAsia="zh-CN"/>
        </w:rPr>
        <w:t>至</w:t>
      </w:r>
      <w:r>
        <w:rPr>
          <w:rFonts w:hint="eastAsia" w:ascii="宋体" w:hAnsi="宋体" w:cs="宋体"/>
          <w:szCs w:val="21"/>
        </w:rPr>
        <w:t>称量结果之差不大于0.5g，否则应一直重复A.5.6条，直至前后两次称量结果之差不大于0.5g。将最后一次称量装有样品的干燥盘重量记为</w:t>
      </w:r>
      <w:r>
        <w:rPr>
          <w:rFonts w:hint="eastAsia"/>
          <w:i/>
          <w:lang w:val="en-US" w:eastAsia="zh-CN"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 w:ascii="宋体" w:hAnsi="宋体" w:cs="宋体"/>
          <w:szCs w:val="21"/>
        </w:rPr>
        <w:t>。</w:t>
      </w:r>
    </w:p>
    <w:p>
      <w:pPr>
        <w:pStyle w:val="32"/>
        <w:spacing w:before="156" w:after="156"/>
      </w:pPr>
      <w:r>
        <w:rPr>
          <w:rFonts w:hint="eastAsia"/>
        </w:rPr>
        <w:t xml:space="preserve">A.6 </w:t>
      </w:r>
      <w:r>
        <w:rPr>
          <w:rFonts w:hint="eastAsia" w:ascii="黑体" w:hAnsi="黑体" w:eastAsia="黑体"/>
        </w:rPr>
        <w:t>试验数据处理</w:t>
      </w:r>
    </w:p>
    <w:p>
      <w:pPr>
        <w:ind w:firstLine="420" w:firstLineChars="200"/>
      </w:pPr>
      <w:r>
        <w:rPr>
          <w:rFonts w:hint="eastAsia"/>
        </w:rPr>
        <w:t>根据式</w:t>
      </w:r>
      <w:r>
        <w:rPr>
          <w:rFonts w:hint="eastAsia" w:ascii="宋体" w:hAnsi="宋体"/>
          <w:kern w:val="0"/>
          <w:szCs w:val="21"/>
        </w:rPr>
        <w:t>（A.1）</w:t>
      </w:r>
      <w:r>
        <w:rPr>
          <w:rFonts w:hint="eastAsia"/>
        </w:rPr>
        <w:t>计算试样的水分</w:t>
      </w:r>
      <w:r>
        <w:rPr>
          <w:rFonts w:hint="eastAsia" w:ascii="Times New Roman" w:hAnsi="Times New Roman"/>
          <w:szCs w:val="21"/>
        </w:rPr>
        <w:t>（</w:t>
      </w:r>
      <w:r>
        <w:rPr>
          <w:rFonts w:cs="Calibri"/>
          <w:i/>
          <w:iCs/>
          <w:position w:val="-14"/>
          <w:szCs w:val="21"/>
        </w:rPr>
        <w:object>
          <v:shape id="_x0000_i1031" o:spt="75" type="#_x0000_t75" style="height:18.85pt;width:31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 w:cs="Calibri"/>
          <w:i/>
          <w:iCs/>
          <w:szCs w:val="21"/>
          <w:vertAlign w:val="subscript"/>
        </w:rPr>
        <w:t xml:space="preserve"> </w:t>
      </w:r>
      <w:r>
        <w:rPr>
          <w:rFonts w:hint="eastAsia" w:ascii="Times New Roman" w:hAnsi="Times New Roman"/>
          <w:szCs w:val="21"/>
        </w:rPr>
        <w:t>）,数值以%表示</w:t>
      </w:r>
      <w:r>
        <w:rPr>
          <w:rFonts w:hint="eastAsia"/>
        </w:rPr>
        <w:t>：</w:t>
      </w:r>
    </w:p>
    <w:p>
      <w:pPr>
        <w:snapToGrid w:val="0"/>
        <w:spacing w:line="288" w:lineRule="auto"/>
        <w:ind w:right="5"/>
        <w:jc w:val="right"/>
        <w:rPr>
          <w:rFonts w:ascii="宋体" w:hAnsi="宋体"/>
          <w:szCs w:val="21"/>
        </w:rPr>
      </w:pPr>
      <w:r>
        <w:rPr>
          <w:rFonts w:ascii="宋体" w:hAnsi="宋体"/>
          <w:position w:val="-30"/>
          <w:szCs w:val="21"/>
        </w:rPr>
        <w:object>
          <v:shape id="_x0000_i1032" o:spt="75" type="#_x0000_t75" style="height:38.2pt;width:121.5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………………………………………（A.1）</w:t>
      </w:r>
    </w:p>
    <w:p>
      <w:pPr>
        <w:snapToGrid w:val="0"/>
        <w:spacing w:line="288" w:lineRule="auto"/>
        <w:ind w:right="5"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式中：</w:t>
      </w:r>
    </w:p>
    <w:p>
      <w:pPr>
        <w:snapToGrid w:val="0"/>
        <w:spacing w:line="288" w:lineRule="auto"/>
        <w:ind w:right="5" w:firstLine="840" w:firstLineChars="400"/>
        <w:jc w:val="left"/>
        <w:rPr>
          <w:rFonts w:ascii="宋体" w:hAnsi="宋体"/>
          <w:szCs w:val="21"/>
        </w:rPr>
      </w:pPr>
      <w:r>
        <w:pict>
          <v:shape id="_x0000_i1033" o:spt="75" type="#_x0000_t75" style="height:12.75pt;width:14.25pt;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</w:pict>
      </w:r>
      <w:r>
        <w:rPr>
          <w:rFonts w:hint="eastAsia"/>
          <w:vertAlign w:val="subscript"/>
        </w:rPr>
        <w:t>0</w:t>
      </w:r>
      <w:r>
        <w:rPr>
          <w:rFonts w:hint="eastAsia" w:ascii="宋体" w:hAnsi="宋体"/>
          <w:szCs w:val="21"/>
        </w:rPr>
        <w:t>——干燥盘重量，单位千克（kg）；</w:t>
      </w:r>
    </w:p>
    <w:p>
      <w:pPr>
        <w:snapToGrid w:val="0"/>
        <w:spacing w:line="288" w:lineRule="auto"/>
        <w:ind w:right="5" w:firstLine="840" w:firstLineChars="400"/>
        <w:rPr>
          <w:rFonts w:ascii="宋体" w:hAnsi="宋体"/>
          <w:szCs w:val="21"/>
        </w:rPr>
      </w:pPr>
      <w:r>
        <w:pict>
          <v:shape id="_x0000_i1034" o:spt="75" type="#_x0000_t75" style="height:12.75pt;width:14.25pt;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</w:pict>
      </w:r>
      <w:r>
        <w:rPr>
          <w:rFonts w:hint="eastAsia"/>
          <w:vertAlign w:val="subscript"/>
        </w:rPr>
        <w:t>1</w:t>
      </w:r>
      <w:r>
        <w:rPr>
          <w:rFonts w:hint="eastAsia" w:ascii="宋体" w:hAnsi="宋体"/>
          <w:szCs w:val="21"/>
        </w:rPr>
        <w:t>——步骤A.5.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条中含</w:t>
      </w:r>
      <w:r>
        <w:rPr>
          <w:rFonts w:hint="eastAsia"/>
        </w:rPr>
        <w:t>水试样</w:t>
      </w:r>
      <w:r>
        <w:rPr>
          <w:rFonts w:hint="eastAsia" w:ascii="宋体" w:hAnsi="宋体"/>
          <w:szCs w:val="21"/>
        </w:rPr>
        <w:t>及干燥盘重量，单位千克（kg）；</w:t>
      </w:r>
    </w:p>
    <w:p>
      <w:pPr>
        <w:snapToGrid w:val="0"/>
        <w:spacing w:line="288" w:lineRule="auto"/>
        <w:ind w:right="5" w:firstLine="840" w:firstLineChars="400"/>
        <w:rPr>
          <w:rFonts w:eastAsia="黑体"/>
        </w:rPr>
      </w:pPr>
      <w:r>
        <w:pict>
          <v:shape id="_x0000_i1035" o:spt="75" type="#_x0000_t75" style="height:12.75pt;width:14.25pt;" filled="f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</w:pict>
      </w:r>
      <w:r>
        <w:rPr>
          <w:rFonts w:hint="eastAsia"/>
          <w:vertAlign w:val="subscript"/>
        </w:rPr>
        <w:t>2</w:t>
      </w:r>
      <w:r>
        <w:rPr>
          <w:rFonts w:hint="eastAsia" w:ascii="宋体" w:hAnsi="宋体"/>
          <w:szCs w:val="21"/>
        </w:rPr>
        <w:t>——步骤A.5.7条</w:t>
      </w:r>
      <w:r>
        <w:rPr>
          <w:rFonts w:hint="eastAsia"/>
        </w:rPr>
        <w:t>中最后一次称量的</w:t>
      </w:r>
      <w:r>
        <w:rPr>
          <w:rFonts w:hint="eastAsia" w:ascii="宋体" w:hAnsi="宋体"/>
          <w:szCs w:val="21"/>
        </w:rPr>
        <w:t>试样及干燥盘重量，单位千克（kg）。</w:t>
      </w:r>
    </w:p>
    <w:p>
      <w:pPr>
        <w:spacing w:line="360" w:lineRule="exact"/>
        <w:jc w:val="center"/>
        <w:rPr>
          <w:rFonts w:eastAsia="黑体"/>
        </w:rPr>
      </w:pPr>
      <w:r>
        <w:rPr>
          <w:rFonts w:eastAsia="黑体"/>
        </w:rPr>
        <w:t>附录</w:t>
      </w:r>
      <w:r>
        <w:rPr>
          <w:rFonts w:hint="eastAsia" w:eastAsia="黑体"/>
        </w:rPr>
        <w:t>B</w:t>
      </w:r>
    </w:p>
    <w:p>
      <w:pPr>
        <w:spacing w:line="400" w:lineRule="exact"/>
        <w:jc w:val="center"/>
        <w:rPr>
          <w:rFonts w:eastAsia="黑体"/>
        </w:rPr>
      </w:pPr>
      <w:r>
        <w:rPr>
          <w:rFonts w:eastAsia="黑体"/>
        </w:rPr>
        <w:t>（规范性附录）</w:t>
      </w:r>
    </w:p>
    <w:p>
      <w:pPr>
        <w:spacing w:line="440" w:lineRule="exact"/>
        <w:jc w:val="center"/>
        <w:rPr>
          <w:rFonts w:eastAsia="黑体"/>
        </w:rPr>
      </w:pPr>
      <w:r>
        <w:rPr>
          <w:rFonts w:hint="eastAsia" w:eastAsia="黑体"/>
        </w:rPr>
        <w:t>化学成分试样的制样及金属回收率检</w:t>
      </w:r>
      <w:r>
        <w:rPr>
          <w:rFonts w:hint="eastAsia" w:eastAsia="黑体"/>
          <w:lang w:eastAsia="zh-CN"/>
        </w:rPr>
        <w:t>测</w:t>
      </w:r>
      <w:r>
        <w:rPr>
          <w:rFonts w:hint="eastAsia" w:eastAsia="黑体"/>
        </w:rPr>
        <w:t>方法</w:t>
      </w:r>
    </w:p>
    <w:p>
      <w:pPr>
        <w:spacing w:line="440" w:lineRule="exact"/>
        <w:rPr>
          <w:rFonts w:eastAsia="黑体"/>
        </w:rPr>
      </w:pPr>
      <w:r>
        <w:rPr>
          <w:rFonts w:hint="eastAsia" w:eastAsia="黑体"/>
        </w:rPr>
        <w:t>B</w:t>
      </w:r>
      <w:r>
        <w:rPr>
          <w:rFonts w:eastAsia="黑体"/>
        </w:rPr>
        <w:t>.1  范围</w:t>
      </w:r>
    </w:p>
    <w:p>
      <w:pPr>
        <w:spacing w:line="440" w:lineRule="exact"/>
        <w:ind w:firstLine="420" w:firstLineChars="200"/>
      </w:pPr>
      <w:r>
        <w:t>本附录规定了</w:t>
      </w:r>
      <w:r>
        <w:rPr>
          <w:rFonts w:hint="eastAsia"/>
        </w:rPr>
        <w:t>化学成分试样的制样方法及</w:t>
      </w:r>
      <w:r>
        <w:t>原料金属回收率的检</w:t>
      </w:r>
      <w:r>
        <w:rPr>
          <w:rFonts w:hint="eastAsia"/>
          <w:lang w:eastAsia="zh-CN"/>
        </w:rPr>
        <w:t>测</w:t>
      </w:r>
      <w:r>
        <w:t>方法。</w:t>
      </w:r>
    </w:p>
    <w:p>
      <w:pPr>
        <w:spacing w:line="440" w:lineRule="exact"/>
        <w:ind w:firstLine="420" w:firstLineChars="200"/>
      </w:pPr>
      <w:r>
        <w:t>本附录适用于原料</w:t>
      </w:r>
      <w:r>
        <w:rPr>
          <w:rFonts w:hint="eastAsia"/>
        </w:rPr>
        <w:t>化学成分试样的制备及</w:t>
      </w:r>
      <w:r>
        <w:t>金属回收率的检</w:t>
      </w:r>
      <w:r>
        <w:rPr>
          <w:rFonts w:hint="eastAsia"/>
          <w:lang w:eastAsia="zh-CN"/>
        </w:rPr>
        <w:t>测</w:t>
      </w:r>
      <w:r>
        <w:t>。</w:t>
      </w:r>
    </w:p>
    <w:p>
      <w:pPr>
        <w:spacing w:line="440" w:lineRule="exact"/>
        <w:rPr>
          <w:rFonts w:eastAsia="黑体"/>
        </w:rPr>
      </w:pPr>
      <w:r>
        <w:rPr>
          <w:rFonts w:hint="eastAsia" w:eastAsia="黑体"/>
        </w:rPr>
        <w:t>B</w:t>
      </w:r>
      <w:r>
        <w:rPr>
          <w:rFonts w:eastAsia="黑体"/>
        </w:rPr>
        <w:t>.2  方法提要</w:t>
      </w:r>
    </w:p>
    <w:p>
      <w:pPr>
        <w:spacing w:line="440" w:lineRule="exact"/>
        <w:ind w:firstLine="420" w:firstLineChars="200"/>
      </w:pPr>
      <w:r>
        <w:t>取原料</w:t>
      </w:r>
      <w:r>
        <w:rPr>
          <w:rFonts w:hint="eastAsia"/>
        </w:rPr>
        <w:t>样品</w:t>
      </w:r>
      <w:r>
        <w:t>，放入熔化炉内</w:t>
      </w:r>
      <w:r>
        <w:rPr>
          <w:rFonts w:hint="eastAsia"/>
        </w:rPr>
        <w:t>，充分</w:t>
      </w:r>
      <w:r>
        <w:t>熔化</w:t>
      </w:r>
      <w:r>
        <w:rPr>
          <w:rFonts w:hint="eastAsia"/>
          <w:szCs w:val="21"/>
        </w:rPr>
        <w:t>，制取化学成分试样，</w:t>
      </w:r>
      <w:r>
        <w:t>熔</w:t>
      </w:r>
      <w:r>
        <w:rPr>
          <w:rFonts w:hint="eastAsia"/>
        </w:rPr>
        <w:t>液凝固后，所得铸块重量</w:t>
      </w:r>
      <w:r>
        <w:t>与</w:t>
      </w:r>
      <w:r>
        <w:rPr>
          <w:rFonts w:hint="eastAsia"/>
        </w:rPr>
        <w:t>样品重量</w:t>
      </w:r>
      <w:r>
        <w:t>的比值，即为金属回收率</w:t>
      </w:r>
      <w:r>
        <w:rPr>
          <w:rFonts w:hint="eastAsia"/>
        </w:rPr>
        <w:t>。</w:t>
      </w:r>
    </w:p>
    <w:p>
      <w:pPr>
        <w:spacing w:line="440" w:lineRule="exact"/>
        <w:rPr>
          <w:rFonts w:hint="eastAsia" w:eastAsia="黑体"/>
        </w:rPr>
      </w:pPr>
      <w:r>
        <w:rPr>
          <w:rFonts w:hint="eastAsia" w:eastAsia="黑体"/>
        </w:rPr>
        <w:t>B.3  试验试剂及装置</w:t>
      </w:r>
    </w:p>
    <w:p>
      <w:pPr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B.3.1熔铸覆盖剂和造渣剂。</w:t>
      </w:r>
    </w:p>
    <w:p>
      <w:pPr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B.3.2试验装置包括熔化电炉、坩埚、模具、电子秤（精度0.05kg）。</w:t>
      </w:r>
    </w:p>
    <w:p>
      <w:pPr>
        <w:spacing w:line="440" w:lineRule="exact"/>
        <w:rPr>
          <w:rFonts w:eastAsia="黑体"/>
        </w:rPr>
      </w:pPr>
      <w:r>
        <w:rPr>
          <w:rFonts w:hint="eastAsia"/>
          <w:b/>
        </w:rPr>
        <w:t>B</w:t>
      </w:r>
      <w:r>
        <w:rPr>
          <w:b/>
        </w:rPr>
        <w:t xml:space="preserve">.4  </w:t>
      </w:r>
      <w:r>
        <w:rPr>
          <w:b/>
          <w:bCs/>
          <w:szCs w:val="21"/>
        </w:rPr>
        <w:t>样品</w:t>
      </w:r>
    </w:p>
    <w:p>
      <w:pPr>
        <w:spacing w:line="440" w:lineRule="exact"/>
        <w:ind w:firstLine="420" w:firstLineChars="200"/>
      </w:pPr>
      <w:r>
        <w:rPr>
          <w:szCs w:val="21"/>
        </w:rPr>
        <w:t>随机抽取原料样品。</w:t>
      </w:r>
    </w:p>
    <w:p>
      <w:pPr>
        <w:spacing w:line="4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B.5  试验步骤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Calibri" w:hAnsi="宋体" w:eastAsia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>B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.</w:t>
      </w: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>5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.1</w:t>
      </w: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 xml:space="preserve"> </w:t>
      </w:r>
      <w:r>
        <w:rPr>
          <w:rFonts w:hint="eastAsia" w:hAnsi="宋体"/>
          <w:b/>
          <w:bCs/>
          <w:color w:val="auto"/>
          <w:highlight w:val="none"/>
          <w:lang w:val="en-US" w:eastAsia="zh-CN"/>
        </w:rPr>
        <w:t>取样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Calibri" w:hAnsi="宋体" w:eastAsia="宋体"/>
          <w:b w:val="0"/>
          <w:bCs w:val="0"/>
          <w:color w:val="auto"/>
          <w:highlight w:val="none"/>
          <w:lang w:eastAsia="zh-CN"/>
        </w:rPr>
      </w:pP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随机抽取重量不少于</w:t>
      </w:r>
      <w:r>
        <w:rPr>
          <w:rFonts w:hint="eastAsia"/>
          <w:b w:val="0"/>
          <w:bCs w:val="0"/>
          <w:color w:val="auto"/>
          <w:szCs w:val="21"/>
          <w:highlight w:val="none"/>
          <w:lang w:val="en-US" w:eastAsia="zh-CN"/>
        </w:rPr>
        <w:t>30kg的原</w:t>
      </w:r>
      <w:r>
        <w:rPr>
          <w:rFonts w:hint="eastAsia"/>
          <w:color w:val="000000"/>
          <w:sz w:val="21"/>
          <w:szCs w:val="21"/>
          <w:highlight w:val="none"/>
          <w:lang w:eastAsia="zh-CN"/>
        </w:rPr>
        <w:t>料</w:t>
      </w: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样品</w:t>
      </w:r>
      <w:r>
        <w:rPr>
          <w:rFonts w:hint="eastAsia"/>
          <w:b w:val="0"/>
          <w:bCs w:val="0"/>
          <w:color w:val="auto"/>
          <w:szCs w:val="21"/>
          <w:highlight w:val="none"/>
          <w:lang w:val="en-US" w:eastAsia="zh-CN"/>
        </w:rPr>
        <w:t>1份</w:t>
      </w: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，称重并记录样品</w:t>
      </w:r>
      <w:r>
        <w:rPr>
          <w:rFonts w:hint="eastAsia" w:ascii="Calibri"/>
          <w:b w:val="0"/>
          <w:bCs w:val="0"/>
          <w:color w:val="auto"/>
          <w:szCs w:val="21"/>
          <w:highlight w:val="none"/>
        </w:rPr>
        <w:t>重量</w:t>
      </w:r>
      <w:r>
        <w:rPr>
          <w:rFonts w:hint="eastAsia"/>
          <w:b w:val="0"/>
          <w:bCs w:val="0"/>
          <w:color w:val="auto"/>
          <w:szCs w:val="21"/>
          <w:highlight w:val="none"/>
          <w:lang w:val="en-US" w:eastAsia="zh-CN"/>
        </w:rPr>
        <w:t>M</w:t>
      </w:r>
      <w:r>
        <w:rPr>
          <w:rFonts w:hint="eastAsia"/>
          <w:b w:val="0"/>
          <w:bCs w:val="0"/>
          <w:color w:val="auto"/>
          <w:szCs w:val="21"/>
          <w:highlight w:val="none"/>
          <w:vertAlign w:val="subscript"/>
          <w:lang w:val="en-US" w:eastAsia="zh-CN"/>
        </w:rPr>
        <w:t>x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Calibri" w:hAnsi="宋体"/>
          <w:b w:val="0"/>
          <w:bCs w:val="0"/>
          <w:color w:val="auto"/>
          <w:highlight w:val="none"/>
        </w:rPr>
      </w:pP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>B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.</w:t>
      </w: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>5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.2</w:t>
      </w: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 xml:space="preserve"> </w:t>
      </w:r>
      <w:r>
        <w:rPr>
          <w:rFonts w:hint="eastAsia" w:ascii="Calibri" w:hAnsi="宋体"/>
          <w:b/>
          <w:bCs/>
          <w:color w:val="auto"/>
          <w:highlight w:val="none"/>
        </w:rPr>
        <w:t>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ascii="Calibri" w:hAnsi="宋体"/>
          <w:b w:val="0"/>
          <w:bCs w:val="0"/>
          <w:color w:val="auto"/>
          <w:highlight w:val="none"/>
        </w:rPr>
      </w:pP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人工分选并</w:t>
      </w:r>
      <w:r>
        <w:rPr>
          <w:rFonts w:hint="eastAsia" w:ascii="Calibri"/>
          <w:b w:val="0"/>
          <w:bCs w:val="0"/>
          <w:color w:val="auto"/>
          <w:szCs w:val="21"/>
          <w:highlight w:val="none"/>
        </w:rPr>
        <w:t>去除</w:t>
      </w: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样品中</w:t>
      </w:r>
      <w:r>
        <w:rPr>
          <w:rFonts w:hint="eastAsia" w:ascii="Calibri"/>
          <w:b w:val="0"/>
          <w:bCs w:val="0"/>
          <w:color w:val="auto"/>
          <w:szCs w:val="21"/>
          <w:highlight w:val="none"/>
        </w:rPr>
        <w:t>夹杂物和</w:t>
      </w: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非铜金属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Calibri" w:hAnsi="宋体" w:eastAsia="宋体"/>
          <w:b w:val="0"/>
          <w:bCs w:val="0"/>
          <w:color w:val="auto"/>
          <w:highlight w:val="none"/>
          <w:lang w:eastAsia="zh-CN"/>
        </w:rPr>
      </w:pP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>B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.</w:t>
      </w: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>5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.3</w:t>
      </w: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 xml:space="preserve"> </w:t>
      </w:r>
      <w:r>
        <w:rPr>
          <w:rFonts w:hint="eastAsia" w:hAnsi="宋体"/>
          <w:b/>
          <w:bCs/>
          <w:color w:val="auto"/>
          <w:highlight w:val="none"/>
          <w:lang w:eastAsia="zh-CN"/>
        </w:rPr>
        <w:t>熔化、保温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default" w:ascii="Calibri" w:hAnsi="宋体" w:eastAsia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Calibri" w:hAnsi="宋体"/>
          <w:b w:val="0"/>
          <w:bCs w:val="0"/>
          <w:color w:val="auto"/>
          <w:highlight w:val="none"/>
        </w:rPr>
        <w:t>将预处理后的</w:t>
      </w:r>
      <w:r>
        <w:rPr>
          <w:rFonts w:hint="eastAsia" w:hAnsi="宋体"/>
          <w:b w:val="0"/>
          <w:bCs w:val="0"/>
          <w:color w:val="auto"/>
          <w:highlight w:val="none"/>
          <w:lang w:eastAsia="zh-CN"/>
        </w:rPr>
        <w:t>样品</w:t>
      </w:r>
      <w:r>
        <w:rPr>
          <w:rFonts w:hint="eastAsia" w:ascii="Calibri"/>
          <w:b w:val="0"/>
          <w:bCs w:val="0"/>
          <w:color w:val="auto"/>
          <w:szCs w:val="21"/>
          <w:highlight w:val="none"/>
        </w:rPr>
        <w:t>投入熔化电炉中（单次不能加入完，可在熔化过程继续再加入）</w:t>
      </w: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，加热熔化后，保温</w:t>
      </w:r>
      <w:r>
        <w:rPr>
          <w:rFonts w:hint="eastAsia"/>
          <w:b w:val="0"/>
          <w:bCs w:val="0"/>
          <w:color w:val="auto"/>
          <w:szCs w:val="21"/>
          <w:highlight w:val="none"/>
          <w:lang w:val="en-US" w:eastAsia="zh-CN"/>
        </w:rPr>
        <w:t>5min。</w:t>
      </w:r>
      <w:r>
        <w:rPr>
          <w:rFonts w:hint="eastAsia"/>
          <w:szCs w:val="21"/>
        </w:rPr>
        <w:t>熔化过程中应添加适量的覆盖剂（如木炭）和</w:t>
      </w:r>
      <w:r>
        <w:rPr>
          <w:rFonts w:hint="eastAsia"/>
          <w:szCs w:val="21"/>
          <w:lang w:eastAsia="zh-CN"/>
        </w:rPr>
        <w:t>清</w:t>
      </w:r>
      <w:r>
        <w:rPr>
          <w:rFonts w:hint="eastAsia"/>
          <w:szCs w:val="21"/>
        </w:rPr>
        <w:t>渣剂。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Calibri" w:hAnsi="宋体" w:eastAsia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>B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.</w:t>
      </w: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>5</w:t>
      </w:r>
      <w:r>
        <w:rPr>
          <w:rFonts w:hint="eastAsia" w:ascii="Calibri" w:hAnsi="宋体"/>
          <w:b w:val="0"/>
          <w:bCs w:val="0"/>
          <w:color w:val="auto"/>
          <w:highlight w:val="none"/>
        </w:rPr>
        <w:t>.4</w:t>
      </w:r>
      <w:r>
        <w:rPr>
          <w:rFonts w:hint="eastAsia" w:hAnsi="宋体"/>
          <w:b w:val="0"/>
          <w:bCs w:val="0"/>
          <w:color w:val="auto"/>
          <w:highlight w:val="none"/>
          <w:lang w:val="en-US" w:eastAsia="zh-CN"/>
        </w:rPr>
        <w:t xml:space="preserve"> </w:t>
      </w:r>
      <w:r>
        <w:rPr>
          <w:rFonts w:hint="eastAsia" w:hAnsi="宋体"/>
          <w:b/>
          <w:bCs/>
          <w:color w:val="auto"/>
          <w:highlight w:val="none"/>
          <w:lang w:val="en-US" w:eastAsia="zh-CN"/>
        </w:rPr>
        <w:t>除杂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/>
          <w:b w:val="0"/>
          <w:bCs w:val="0"/>
          <w:color w:val="auto"/>
          <w:szCs w:val="21"/>
          <w:highlight w:val="none"/>
          <w:lang w:eastAsia="zh-CN"/>
        </w:rPr>
      </w:pP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待样品充分熔化后，搅拌、捞渣。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Cs w:val="21"/>
          <w:highlight w:val="none"/>
          <w:lang w:val="en-US" w:eastAsia="zh-CN"/>
        </w:rPr>
        <w:t xml:space="preserve">B.5.5 </w:t>
      </w:r>
      <w:r>
        <w:rPr>
          <w:rFonts w:hint="eastAsia"/>
          <w:b/>
          <w:bCs/>
          <w:color w:val="auto"/>
          <w:szCs w:val="21"/>
          <w:highlight w:val="none"/>
          <w:lang w:val="en-US" w:eastAsia="zh-CN"/>
        </w:rPr>
        <w:t>制取化学成分试样、铸块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hint="eastAsia" w:ascii="黑体" w:hAnsi="黑体" w:eastAsia="黑体"/>
        </w:rPr>
      </w:pP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取除杂后的熔体倒入化学成分试样模具中，制取化学成分试样，称重并记录化学成分试样重量</w:t>
      </w:r>
      <w:r>
        <w:rPr>
          <w:rFonts w:hint="eastAsia"/>
          <w:b w:val="0"/>
          <w:bCs w:val="0"/>
          <w:color w:val="auto"/>
          <w:szCs w:val="21"/>
          <w:highlight w:val="none"/>
          <w:lang w:val="en-US" w:eastAsia="zh-CN"/>
        </w:rPr>
        <w:t>M</w:t>
      </w:r>
      <w:r>
        <w:rPr>
          <w:rFonts w:hint="eastAsia"/>
          <w:b w:val="0"/>
          <w:bCs w:val="0"/>
          <w:color w:val="auto"/>
          <w:szCs w:val="21"/>
          <w:highlight w:val="none"/>
          <w:vertAlign w:val="subscript"/>
          <w:lang w:val="en-US" w:eastAsia="zh-CN"/>
        </w:rPr>
        <w:t>y</w:t>
      </w:r>
      <w:r>
        <w:rPr>
          <w:rFonts w:hint="eastAsia"/>
          <w:b w:val="0"/>
          <w:bCs w:val="0"/>
          <w:color w:val="auto"/>
          <w:szCs w:val="21"/>
          <w:highlight w:val="none"/>
          <w:lang w:eastAsia="zh-CN"/>
        </w:rPr>
        <w:t>；</w:t>
      </w:r>
      <w:r>
        <w:rPr>
          <w:rFonts w:hint="eastAsia"/>
          <w:b w:val="0"/>
          <w:bCs w:val="0"/>
          <w:color w:val="auto"/>
          <w:szCs w:val="21"/>
          <w:highlight w:val="none"/>
          <w:lang w:val="en-US" w:eastAsia="zh-CN"/>
        </w:rPr>
        <w:t>剩余熔体</w:t>
      </w:r>
      <w:r>
        <w:rPr>
          <w:rFonts w:hint="eastAsia"/>
          <w:szCs w:val="21"/>
          <w:highlight w:val="none"/>
        </w:rPr>
        <w:t>全部浇注或随炉冷却</w:t>
      </w:r>
      <w:r>
        <w:rPr>
          <w:rFonts w:hint="eastAsia"/>
          <w:szCs w:val="21"/>
          <w:highlight w:val="none"/>
          <w:lang w:eastAsia="zh-CN"/>
        </w:rPr>
        <w:t>至室温</w:t>
      </w:r>
      <w:r>
        <w:rPr>
          <w:rFonts w:hint="eastAsia"/>
          <w:szCs w:val="21"/>
          <w:highlight w:val="none"/>
        </w:rPr>
        <w:t>后，得到重熔铸块，清除铸块表面的灰尘及熔渣，称重并记录</w:t>
      </w:r>
      <w:r>
        <w:rPr>
          <w:rFonts w:hint="eastAsia"/>
          <w:szCs w:val="21"/>
          <w:highlight w:val="none"/>
          <w:lang w:eastAsia="zh-CN"/>
        </w:rPr>
        <w:t>铸块重量</w:t>
      </w:r>
      <w:r>
        <w:rPr>
          <w:rFonts w:hint="eastAsia"/>
          <w:szCs w:val="21"/>
          <w:highlight w:val="none"/>
          <w:lang w:val="en-US" w:eastAsia="zh-CN"/>
        </w:rPr>
        <w:t>M</w:t>
      </w:r>
      <w:r>
        <w:rPr>
          <w:rFonts w:hint="eastAsia"/>
          <w:szCs w:val="21"/>
          <w:highlight w:val="none"/>
          <w:vertAlign w:val="subscript"/>
          <w:lang w:val="en-US" w:eastAsia="zh-CN"/>
        </w:rPr>
        <w:t>z</w:t>
      </w:r>
      <w:r>
        <w:rPr>
          <w:rFonts w:hint="eastAsia"/>
          <w:szCs w:val="21"/>
          <w:highlight w:val="none"/>
          <w:vertAlign w:val="baseline"/>
          <w:lang w:val="en-US" w:eastAsia="zh-CN"/>
        </w:rPr>
        <w:t>。</w:t>
      </w:r>
    </w:p>
    <w:p>
      <w:pPr>
        <w:spacing w:line="44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B.6  试验数据处理</w:t>
      </w:r>
    </w:p>
    <w:p>
      <w:pPr>
        <w:spacing w:line="440" w:lineRule="exact"/>
        <w:ind w:firstLine="315" w:firstLineChars="150"/>
        <w:rPr>
          <w:rFonts w:ascii="宋体" w:hAnsi="宋体"/>
        </w:rPr>
      </w:pPr>
      <w:r>
        <w:rPr>
          <w:rFonts w:hint="eastAsia" w:ascii="宋体" w:hAnsi="宋体"/>
        </w:rPr>
        <w:t>按公式（B.1）进行计算该批次金属回收率</w:t>
      </w:r>
      <w:r>
        <w:rPr>
          <w:rFonts w:hint="eastAsia" w:ascii="Times New Roman" w:hAnsi="Times New Roman"/>
          <w:szCs w:val="21"/>
        </w:rPr>
        <w:t>（</w:t>
      </w:r>
      <w:r>
        <w:rPr>
          <w:rFonts w:cs="Calibri"/>
          <w:i/>
          <w:iCs/>
          <w:szCs w:val="21"/>
        </w:rPr>
        <w:t>W</w:t>
      </w:r>
      <w:r>
        <w:rPr>
          <w:rFonts w:hint="eastAsia" w:cs="Calibri"/>
          <w:i/>
          <w:iCs/>
          <w:szCs w:val="21"/>
          <w:vertAlign w:val="subscript"/>
        </w:rPr>
        <w:t xml:space="preserve">H </w:t>
      </w:r>
      <w:r>
        <w:rPr>
          <w:rFonts w:hint="eastAsia" w:ascii="Times New Roman" w:hAnsi="Times New Roman"/>
          <w:szCs w:val="21"/>
        </w:rPr>
        <w:t>）</w:t>
      </w:r>
      <w:r>
        <w:rPr>
          <w:rFonts w:hint="eastAsia" w:ascii="宋体" w:hAnsi="宋体"/>
        </w:rPr>
        <w:t>,</w:t>
      </w:r>
      <w:r>
        <w:rPr>
          <w:rFonts w:hint="eastAsia" w:ascii="Times New Roman" w:hAnsi="Times New Roman"/>
          <w:szCs w:val="21"/>
        </w:rPr>
        <w:t>数值以%表示</w:t>
      </w:r>
      <w:r>
        <w:rPr>
          <w:rFonts w:hint="eastAsia" w:ascii="宋体" w:hAnsi="宋体"/>
        </w:rPr>
        <w:t>。</w:t>
      </w:r>
    </w:p>
    <w:p>
      <w:pPr>
        <w:spacing w:line="360" w:lineRule="auto"/>
        <w:ind w:firstLine="315" w:firstLineChars="150"/>
        <w:rPr>
          <w:rFonts w:ascii="宋体" w:hAnsi="宋体"/>
        </w:rPr>
      </w:pPr>
      <w:r>
        <w:rPr>
          <w:rFonts w:hint="eastAsia"/>
          <w:position w:val="-24"/>
        </w:rPr>
        <w:object>
          <v:shape id="_x0000_i1036" o:spt="75" type="#_x0000_t75" style="height:38.2pt;width:152.3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6" DrawAspect="Content" ObjectID="_1468075733" r:id="rId2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………………………………………（B.1）</w:t>
      </w:r>
    </w:p>
    <w:p>
      <w:pPr>
        <w:spacing w:line="440" w:lineRule="exact"/>
        <w:rPr>
          <w:rFonts w:ascii="宋体" w:hAnsi="宋体"/>
        </w:rPr>
      </w:pPr>
      <w:r>
        <w:rPr>
          <w:rFonts w:hint="eastAsia" w:ascii="宋体" w:hAnsi="宋体"/>
        </w:rPr>
        <w:t>式中：</w:t>
      </w:r>
      <w:r>
        <w:rPr>
          <w:rFonts w:hint="eastAsia" w:hAnsi="宋体"/>
          <w:i/>
          <w:iCs/>
        </w:rPr>
        <w:t>M</w:t>
      </w:r>
      <w:r>
        <w:rPr>
          <w:rFonts w:hint="eastAsia" w:hAnsi="宋体"/>
          <w:i/>
          <w:iCs/>
          <w:vertAlign w:val="subscript"/>
        </w:rPr>
        <w:t>x</w:t>
      </w:r>
      <w:r>
        <w:rPr>
          <w:rFonts w:hint="eastAsia" w:hAnsi="宋体"/>
          <w:i/>
          <w:iCs/>
        </w:rPr>
        <w:t xml:space="preserve"> </w:t>
      </w:r>
      <w:r>
        <w:rPr>
          <w:rFonts w:hint="eastAsia" w:ascii="宋体" w:hAnsi="宋体"/>
        </w:rPr>
        <w:t>——样品重量</w:t>
      </w:r>
      <w:r>
        <w:rPr>
          <w:rFonts w:hint="eastAsia" w:ascii="宋体" w:hAnsi="宋体"/>
          <w:szCs w:val="21"/>
        </w:rPr>
        <w:t>，单位千克（kg）；</w:t>
      </w:r>
    </w:p>
    <w:p>
      <w:pPr>
        <w:spacing w:line="4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hAnsi="宋体"/>
          <w:i/>
          <w:iCs/>
        </w:rPr>
        <w:t>M</w:t>
      </w:r>
      <w:r>
        <w:rPr>
          <w:rFonts w:hint="eastAsia" w:hAnsi="宋体"/>
          <w:i/>
          <w:iCs/>
          <w:vertAlign w:val="subscript"/>
        </w:rPr>
        <w:t>y</w:t>
      </w:r>
      <w:r>
        <w:rPr>
          <w:rFonts w:hint="eastAsia" w:hAnsi="宋体"/>
        </w:rPr>
        <w:t xml:space="preserve"> </w:t>
      </w:r>
      <w:r>
        <w:rPr>
          <w:rFonts w:hint="eastAsia" w:ascii="宋体" w:hAnsi="宋体"/>
        </w:rPr>
        <w:t>——</w:t>
      </w:r>
      <w:r>
        <w:rPr>
          <w:rFonts w:hint="eastAsia" w:ascii="宋体" w:hAnsi="宋体"/>
          <w:szCs w:val="21"/>
          <w:lang w:eastAsia="zh-CN"/>
        </w:rPr>
        <w:t>化学成分</w:t>
      </w:r>
      <w:r>
        <w:rPr>
          <w:rFonts w:hint="eastAsia" w:ascii="宋体" w:hAnsi="宋体"/>
          <w:szCs w:val="21"/>
        </w:rPr>
        <w:t>试样重量，单位千克（kg）；</w:t>
      </w:r>
    </w:p>
    <w:p>
      <w:pPr>
        <w:spacing w:line="440" w:lineRule="exact"/>
        <w:ind w:firstLine="630" w:firstLineChars="300"/>
        <w:rPr>
          <w:rFonts w:ascii="宋体" w:hAnsi="宋体"/>
          <w:szCs w:val="21"/>
        </w:rPr>
      </w:pPr>
      <w:r>
        <w:rPr>
          <w:rFonts w:hint="eastAsia" w:hAnsi="宋体"/>
          <w:i/>
          <w:iCs/>
          <w:szCs w:val="21"/>
        </w:rPr>
        <w:t>M</w:t>
      </w:r>
      <w:r>
        <w:rPr>
          <w:rFonts w:hint="eastAsia" w:hAnsi="宋体"/>
          <w:i/>
          <w:iCs/>
          <w:szCs w:val="21"/>
          <w:vertAlign w:val="subscript"/>
        </w:rPr>
        <w:t>z</w:t>
      </w:r>
      <w:r>
        <w:rPr>
          <w:rFonts w:hint="eastAsia" w:ascii="宋体" w:hAnsi="宋体"/>
          <w:szCs w:val="21"/>
        </w:rPr>
        <w:t xml:space="preserve"> ——重熔后铸块重量，单位千克（</w:t>
      </w:r>
      <w:r>
        <w:rPr>
          <w:rFonts w:hint="eastAsia" w:ascii="宋体" w:hAnsi="宋体"/>
          <w:szCs w:val="21"/>
          <w:lang w:val="en-US" w:eastAsia="zh-CN"/>
        </w:rPr>
        <w:t>k</w:t>
      </w:r>
      <w:r>
        <w:rPr>
          <w:rFonts w:hint="eastAsia" w:ascii="宋体" w:hAnsi="宋体"/>
          <w:szCs w:val="21"/>
        </w:rPr>
        <w:t>g）。</w:t>
      </w:r>
    </w:p>
    <w:p>
      <w:pPr>
        <w:snapToGrid w:val="0"/>
        <w:spacing w:line="360" w:lineRule="auto"/>
      </w:pPr>
      <w:r>
        <w:rPr>
          <w:sz w:val="20"/>
        </w:rPr>
        <w:pict>
          <v:line id="Line 71" o:spid="_x0000_s1094" o:spt="20" style="position:absolute;left:0pt;margin-left:166.1pt;margin-top:140.65pt;height:0.05pt;width:144pt;z-index:102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sectPr>
      <w:footerReference r:id="rId3" w:type="default"/>
      <w:pgSz w:w="11907" w:h="16840"/>
      <w:pgMar w:top="1570" w:right="1667" w:bottom="1570" w:left="1678" w:header="1418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6480" w:firstLineChars="3600"/>
    </w:pPr>
    <w:r>
      <w:pict>
        <v:rect id="文本框 11" o:spid="_x0000_s2049" o:spt="1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119A1"/>
    <w:multiLevelType w:val="multilevel"/>
    <w:tmpl w:val="508119A1"/>
    <w:lvl w:ilvl="0" w:tentative="0">
      <w:start w:val="1"/>
      <w:numFmt w:val="lowerLetter"/>
      <w:lvlText w:val="%1)"/>
      <w:lvlJc w:val="left"/>
      <w:pPr>
        <w:tabs>
          <w:tab w:val="left" w:pos="705"/>
        </w:tabs>
        <w:ind w:left="705" w:hanging="28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F93"/>
    <w:rsid w:val="00007FF3"/>
    <w:rsid w:val="0002738C"/>
    <w:rsid w:val="0004341F"/>
    <w:rsid w:val="000E6AC0"/>
    <w:rsid w:val="000E6CAE"/>
    <w:rsid w:val="00146F6B"/>
    <w:rsid w:val="001A62C4"/>
    <w:rsid w:val="00240C0D"/>
    <w:rsid w:val="002453D2"/>
    <w:rsid w:val="00286EAF"/>
    <w:rsid w:val="00291713"/>
    <w:rsid w:val="002A1B49"/>
    <w:rsid w:val="002D3F1F"/>
    <w:rsid w:val="002F114B"/>
    <w:rsid w:val="002F6A5D"/>
    <w:rsid w:val="003D0ECE"/>
    <w:rsid w:val="003D3F93"/>
    <w:rsid w:val="004015E8"/>
    <w:rsid w:val="0041218F"/>
    <w:rsid w:val="00420563"/>
    <w:rsid w:val="004E0A06"/>
    <w:rsid w:val="0052137C"/>
    <w:rsid w:val="005418EA"/>
    <w:rsid w:val="00542D63"/>
    <w:rsid w:val="00560D91"/>
    <w:rsid w:val="005B4BB1"/>
    <w:rsid w:val="006402F6"/>
    <w:rsid w:val="00690225"/>
    <w:rsid w:val="006A1E13"/>
    <w:rsid w:val="00713851"/>
    <w:rsid w:val="00731F7F"/>
    <w:rsid w:val="00770E1B"/>
    <w:rsid w:val="007764E0"/>
    <w:rsid w:val="007C1883"/>
    <w:rsid w:val="007D1F72"/>
    <w:rsid w:val="0080572C"/>
    <w:rsid w:val="008077CE"/>
    <w:rsid w:val="00820DD1"/>
    <w:rsid w:val="008F7D3B"/>
    <w:rsid w:val="00983C8E"/>
    <w:rsid w:val="00984BFA"/>
    <w:rsid w:val="009C3132"/>
    <w:rsid w:val="009C3E49"/>
    <w:rsid w:val="009E37B6"/>
    <w:rsid w:val="00A11DCC"/>
    <w:rsid w:val="00A15A34"/>
    <w:rsid w:val="00A23425"/>
    <w:rsid w:val="00A46B54"/>
    <w:rsid w:val="00A47873"/>
    <w:rsid w:val="00A625AC"/>
    <w:rsid w:val="00A93576"/>
    <w:rsid w:val="00AC4F0A"/>
    <w:rsid w:val="00B53809"/>
    <w:rsid w:val="00BC3292"/>
    <w:rsid w:val="00BF3200"/>
    <w:rsid w:val="00C3791F"/>
    <w:rsid w:val="00C37EC2"/>
    <w:rsid w:val="00C66614"/>
    <w:rsid w:val="00C7347C"/>
    <w:rsid w:val="00CA1B88"/>
    <w:rsid w:val="00CA58E7"/>
    <w:rsid w:val="00CC2B95"/>
    <w:rsid w:val="00D358F6"/>
    <w:rsid w:val="00D901EE"/>
    <w:rsid w:val="00DD05C1"/>
    <w:rsid w:val="00E17072"/>
    <w:rsid w:val="00E22036"/>
    <w:rsid w:val="00E26FCE"/>
    <w:rsid w:val="00E313DB"/>
    <w:rsid w:val="00E44A13"/>
    <w:rsid w:val="00E80848"/>
    <w:rsid w:val="00E95FE3"/>
    <w:rsid w:val="00EC552C"/>
    <w:rsid w:val="00F01EEA"/>
    <w:rsid w:val="00F21EA2"/>
    <w:rsid w:val="0159438B"/>
    <w:rsid w:val="01FE4386"/>
    <w:rsid w:val="03424666"/>
    <w:rsid w:val="056476C2"/>
    <w:rsid w:val="0C17514A"/>
    <w:rsid w:val="11F96461"/>
    <w:rsid w:val="12EB1038"/>
    <w:rsid w:val="137A0B2E"/>
    <w:rsid w:val="14376071"/>
    <w:rsid w:val="14DF100F"/>
    <w:rsid w:val="16951000"/>
    <w:rsid w:val="17843E10"/>
    <w:rsid w:val="186D6B85"/>
    <w:rsid w:val="18C97A69"/>
    <w:rsid w:val="1909486F"/>
    <w:rsid w:val="193E56F6"/>
    <w:rsid w:val="1C38507D"/>
    <w:rsid w:val="1CF51396"/>
    <w:rsid w:val="1E64173E"/>
    <w:rsid w:val="24972234"/>
    <w:rsid w:val="24B06F4E"/>
    <w:rsid w:val="25D9208F"/>
    <w:rsid w:val="270656FE"/>
    <w:rsid w:val="28053D0E"/>
    <w:rsid w:val="282D7805"/>
    <w:rsid w:val="284062BE"/>
    <w:rsid w:val="299016C4"/>
    <w:rsid w:val="2B7870D1"/>
    <w:rsid w:val="2BCA0AB5"/>
    <w:rsid w:val="2BE43361"/>
    <w:rsid w:val="2BEB2750"/>
    <w:rsid w:val="2C5B01C4"/>
    <w:rsid w:val="2C7A695D"/>
    <w:rsid w:val="2D0E4C93"/>
    <w:rsid w:val="2D141D25"/>
    <w:rsid w:val="2D2C5EC0"/>
    <w:rsid w:val="2DCE0BC2"/>
    <w:rsid w:val="2EE07D77"/>
    <w:rsid w:val="2FE51515"/>
    <w:rsid w:val="30D05431"/>
    <w:rsid w:val="316D6D4F"/>
    <w:rsid w:val="31931C04"/>
    <w:rsid w:val="33E20E70"/>
    <w:rsid w:val="33FA14AC"/>
    <w:rsid w:val="3436196E"/>
    <w:rsid w:val="358D57DD"/>
    <w:rsid w:val="37D25613"/>
    <w:rsid w:val="38B37757"/>
    <w:rsid w:val="39703D85"/>
    <w:rsid w:val="3B7574E8"/>
    <w:rsid w:val="3DAC3FCC"/>
    <w:rsid w:val="3E6127D2"/>
    <w:rsid w:val="40FA2545"/>
    <w:rsid w:val="41F029CD"/>
    <w:rsid w:val="4DAF510F"/>
    <w:rsid w:val="4EC611DC"/>
    <w:rsid w:val="4FB8745D"/>
    <w:rsid w:val="50270835"/>
    <w:rsid w:val="52CE7471"/>
    <w:rsid w:val="539B02A6"/>
    <w:rsid w:val="543616EF"/>
    <w:rsid w:val="56011700"/>
    <w:rsid w:val="5664196F"/>
    <w:rsid w:val="56F750E1"/>
    <w:rsid w:val="59934F01"/>
    <w:rsid w:val="5A051A31"/>
    <w:rsid w:val="5A5952DC"/>
    <w:rsid w:val="5A6937FC"/>
    <w:rsid w:val="5AEF5D07"/>
    <w:rsid w:val="5D5307E9"/>
    <w:rsid w:val="5DBA0EA0"/>
    <w:rsid w:val="5E3160E9"/>
    <w:rsid w:val="5E8A25FC"/>
    <w:rsid w:val="604C1AF7"/>
    <w:rsid w:val="611C0F30"/>
    <w:rsid w:val="61A35E02"/>
    <w:rsid w:val="62C3104C"/>
    <w:rsid w:val="62CA350B"/>
    <w:rsid w:val="66200756"/>
    <w:rsid w:val="663A31A7"/>
    <w:rsid w:val="669D5085"/>
    <w:rsid w:val="67DB3D82"/>
    <w:rsid w:val="68C75215"/>
    <w:rsid w:val="69576147"/>
    <w:rsid w:val="6CAC20AF"/>
    <w:rsid w:val="6DA056F8"/>
    <w:rsid w:val="6DD30CCC"/>
    <w:rsid w:val="70873D8B"/>
    <w:rsid w:val="71210A15"/>
    <w:rsid w:val="71306B6F"/>
    <w:rsid w:val="719515A0"/>
    <w:rsid w:val="72DE30EA"/>
    <w:rsid w:val="7448089C"/>
    <w:rsid w:val="776D6CB8"/>
    <w:rsid w:val="78B93936"/>
    <w:rsid w:val="793604F4"/>
    <w:rsid w:val="793B719D"/>
    <w:rsid w:val="79D30045"/>
    <w:rsid w:val="79F766CE"/>
    <w:rsid w:val="7BF729F7"/>
    <w:rsid w:val="7BFA11C1"/>
    <w:rsid w:val="7D907C38"/>
    <w:rsid w:val="7E6905A1"/>
    <w:rsid w:val="7E89118F"/>
    <w:rsid w:val="7FD72BDB"/>
    <w:rsid w:val="7FE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1.25pt" color="#739CC3" endarrow="open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6"/>
    <w:qFormat/>
    <w:uiPriority w:val="0"/>
    <w:pPr>
      <w:keepNext/>
      <w:outlineLvl w:val="0"/>
    </w:pPr>
    <w:rPr>
      <w:rFonts w:eastAsia="黑体"/>
      <w:b/>
      <w:bCs/>
      <w:spacing w:val="26"/>
      <w:sz w:val="44"/>
    </w:rPr>
  </w:style>
  <w:style w:type="paragraph" w:styleId="3">
    <w:name w:val="heading 3"/>
    <w:basedOn w:val="1"/>
    <w:next w:val="1"/>
    <w:link w:val="88"/>
    <w:qFormat/>
    <w:uiPriority w:val="0"/>
    <w:pPr>
      <w:keepNext/>
      <w:outlineLvl w:val="2"/>
    </w:pPr>
    <w:rPr>
      <w:b/>
      <w:bCs/>
    </w:rPr>
  </w:style>
  <w:style w:type="paragraph" w:styleId="4">
    <w:name w:val="heading 6"/>
    <w:basedOn w:val="1"/>
    <w:next w:val="5"/>
    <w:link w:val="86"/>
    <w:qFormat/>
    <w:uiPriority w:val="0"/>
    <w:pPr>
      <w:keepNext/>
      <w:jc w:val="center"/>
      <w:outlineLvl w:val="5"/>
    </w:pPr>
    <w:rPr>
      <w:rFonts w:ascii="黑体" w:eastAsia="黑体"/>
      <w:sz w:val="28"/>
      <w:szCs w:val="20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Cs w:val="20"/>
    </w:rPr>
  </w:style>
  <w:style w:type="paragraph" w:styleId="7">
    <w:name w:val="Body Text"/>
    <w:basedOn w:val="1"/>
    <w:link w:val="90"/>
    <w:qFormat/>
    <w:uiPriority w:val="0"/>
    <w:pPr>
      <w:spacing w:after="120"/>
    </w:pPr>
  </w:style>
  <w:style w:type="paragraph" w:styleId="8">
    <w:name w:val="Body Text Indent"/>
    <w:basedOn w:val="1"/>
    <w:link w:val="84"/>
    <w:qFormat/>
    <w:uiPriority w:val="0"/>
    <w:pPr>
      <w:spacing w:after="120"/>
      <w:ind w:left="420" w:leftChars="200"/>
    </w:pPr>
  </w:style>
  <w:style w:type="paragraph" w:styleId="9">
    <w:name w:val="Date"/>
    <w:basedOn w:val="1"/>
    <w:next w:val="1"/>
    <w:link w:val="78"/>
    <w:qFormat/>
    <w:uiPriority w:val="0"/>
    <w:rPr>
      <w:szCs w:val="20"/>
    </w:rPr>
  </w:style>
  <w:style w:type="paragraph" w:styleId="10">
    <w:name w:val="Body Text Indent 2"/>
    <w:basedOn w:val="1"/>
    <w:link w:val="79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80"/>
    <w:qFormat/>
    <w:uiPriority w:val="99"/>
    <w:rPr>
      <w:sz w:val="18"/>
      <w:szCs w:val="18"/>
    </w:rPr>
  </w:style>
  <w:style w:type="paragraph" w:styleId="12">
    <w:name w:val="footer"/>
    <w:basedOn w:val="1"/>
    <w:link w:val="8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8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pPr>
      <w:snapToGrid w:val="0"/>
      <w:spacing w:beforeLines="50" w:line="340" w:lineRule="atLeast"/>
      <w:jc w:val="center"/>
    </w:pPr>
  </w:style>
  <w:style w:type="paragraph" w:styleId="15">
    <w:name w:val="footnote text"/>
    <w:basedOn w:val="1"/>
    <w:link w:val="9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Body Text Indent 3"/>
    <w:basedOn w:val="1"/>
    <w:link w:val="75"/>
    <w:qFormat/>
    <w:uiPriority w:val="0"/>
    <w:pPr>
      <w:snapToGrid w:val="0"/>
      <w:spacing w:line="320" w:lineRule="exact"/>
      <w:ind w:firstLine="420"/>
    </w:pPr>
    <w:rPr>
      <w:sz w:val="24"/>
      <w:szCs w:val="20"/>
    </w:rPr>
  </w:style>
  <w:style w:type="paragraph" w:styleId="17">
    <w:name w:val="Body Text 2"/>
    <w:basedOn w:val="1"/>
    <w:link w:val="92"/>
    <w:qFormat/>
    <w:uiPriority w:val="0"/>
    <w:pPr>
      <w:spacing w:after="120" w:line="480" w:lineRule="auto"/>
    </w:pPr>
    <w:rPr>
      <w:szCs w:val="20"/>
    </w:rPr>
  </w:style>
  <w:style w:type="paragraph" w:styleId="1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9">
    <w:name w:val="Body Text First Indent"/>
    <w:basedOn w:val="7"/>
    <w:link w:val="89"/>
    <w:qFormat/>
    <w:uiPriority w:val="0"/>
    <w:pPr>
      <w:ind w:firstLine="420" w:firstLineChars="100"/>
    </w:pPr>
    <w:rPr>
      <w:szCs w:val="20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page number"/>
    <w:basedOn w:val="22"/>
    <w:qFormat/>
    <w:uiPriority w:val="0"/>
  </w:style>
  <w:style w:type="character" w:styleId="24">
    <w:name w:val="FollowedHyperlink"/>
    <w:qFormat/>
    <w:uiPriority w:val="0"/>
    <w:rPr>
      <w:color w:val="800080"/>
      <w:u w:val="single"/>
    </w:rPr>
  </w:style>
  <w:style w:type="character" w:styleId="25">
    <w:name w:val="Hyperlink"/>
    <w:qFormat/>
    <w:uiPriority w:val="0"/>
    <w:rPr>
      <w:color w:val="0000FF"/>
      <w:u w:val="single"/>
    </w:rPr>
  </w:style>
  <w:style w:type="character" w:styleId="26">
    <w:name w:val="footnote reference"/>
    <w:semiHidden/>
    <w:qFormat/>
    <w:uiPriority w:val="0"/>
    <w:rPr>
      <w:vertAlign w:val="superscript"/>
    </w:rPr>
  </w:style>
  <w:style w:type="paragraph" w:customStyle="1" w:styleId="27">
    <w:name w:val="段"/>
    <w:link w:val="72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8">
    <w:name w:val="一级条标题"/>
    <w:basedOn w:val="1"/>
    <w:next w:val="1"/>
    <w:link w:val="73"/>
    <w:qFormat/>
    <w:uiPriority w:val="0"/>
    <w:pPr>
      <w:widowControl/>
      <w:outlineLvl w:val="2"/>
    </w:pPr>
    <w:rPr>
      <w:rFonts w:ascii="黑体" w:eastAsia="黑体"/>
      <w:kern w:val="0"/>
      <w:szCs w:val="20"/>
    </w:rPr>
  </w:style>
  <w:style w:type="paragraph" w:customStyle="1" w:styleId="29">
    <w:name w:val="二级条标题"/>
    <w:basedOn w:val="28"/>
    <w:next w:val="1"/>
    <w:link w:val="77"/>
    <w:qFormat/>
    <w:uiPriority w:val="0"/>
    <w:pPr>
      <w:tabs>
        <w:tab w:val="left" w:pos="495"/>
        <w:tab w:val="left" w:pos="720"/>
      </w:tabs>
      <w:ind w:left="495" w:hanging="495"/>
      <w:outlineLvl w:val="3"/>
    </w:pPr>
  </w:style>
  <w:style w:type="paragraph" w:customStyle="1" w:styleId="3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封面标准文稿类别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4"/>
      <w:lang w:val="en-US" w:eastAsia="zh-CN" w:bidi="ar-SA"/>
    </w:rPr>
  </w:style>
  <w:style w:type="paragraph" w:customStyle="1" w:styleId="32">
    <w:name w:val="附录章标题"/>
    <w:next w:val="27"/>
    <w:link w:val="93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33">
    <w:name w:val="封面标准号2"/>
    <w:basedOn w:val="34"/>
    <w:qFormat/>
    <w:uiPriority w:val="0"/>
    <w:pPr>
      <w:adjustRightInd w:val="0"/>
      <w:spacing w:before="357" w:line="280" w:lineRule="exact"/>
    </w:pPr>
  </w:style>
  <w:style w:type="paragraph" w:customStyle="1" w:styleId="3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35">
    <w:name w:val="四级条标题"/>
    <w:basedOn w:val="36"/>
    <w:next w:val="27"/>
    <w:qFormat/>
    <w:uiPriority w:val="0"/>
    <w:pPr>
      <w:tabs>
        <w:tab w:val="left" w:pos="495"/>
        <w:tab w:val="left" w:pos="720"/>
      </w:tabs>
      <w:ind w:left="0"/>
      <w:outlineLvl w:val="5"/>
    </w:pPr>
  </w:style>
  <w:style w:type="paragraph" w:customStyle="1" w:styleId="36">
    <w:name w:val="三级条标题"/>
    <w:basedOn w:val="29"/>
    <w:next w:val="27"/>
    <w:qFormat/>
    <w:uiPriority w:val="0"/>
    <w:pPr>
      <w:ind w:left="1890" w:firstLine="0"/>
      <w:outlineLvl w:val="4"/>
    </w:pPr>
  </w:style>
  <w:style w:type="paragraph" w:customStyle="1" w:styleId="37">
    <w:name w:val="封面正文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8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3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40">
    <w:name w:val="一级无标题条"/>
    <w:basedOn w:val="1"/>
    <w:qFormat/>
    <w:uiPriority w:val="0"/>
  </w:style>
  <w:style w:type="paragraph" w:customStyle="1" w:styleId="41">
    <w:name w:val="封面一致性程度标识"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8"/>
      <w:lang w:val="en-US" w:eastAsia="zh-CN" w:bidi="ar-SA"/>
    </w:rPr>
  </w:style>
  <w:style w:type="paragraph" w:customStyle="1" w:styleId="42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44">
    <w:name w:val="无标题条"/>
    <w:next w:val="27"/>
    <w:qFormat/>
    <w:uiPriority w:val="0"/>
    <w:pPr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45">
    <w:name w:val="正文表标题"/>
    <w:next w:val="1"/>
    <w:qFormat/>
    <w:uiPriority w:val="0"/>
    <w:pPr>
      <w:tabs>
        <w:tab w:val="left" w:pos="360"/>
      </w:tabs>
      <w:ind w:left="360" w:hanging="36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4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47">
    <w:name w:val="注："/>
    <w:next w:val="27"/>
    <w:qFormat/>
    <w:uiPriority w:val="0"/>
    <w:pPr>
      <w:widowControl w:val="0"/>
      <w:tabs>
        <w:tab w:val="left" w:pos="705"/>
      </w:tabs>
      <w:autoSpaceDE w:val="0"/>
      <w:autoSpaceDN w:val="0"/>
      <w:ind w:left="705" w:hanging="285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48">
    <w:name w:val="发布日期"/>
    <w:qFormat/>
    <w:uiPriority w:val="0"/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49">
    <w:name w:val="五级条标题"/>
    <w:basedOn w:val="35"/>
    <w:next w:val="27"/>
    <w:qFormat/>
    <w:uiPriority w:val="0"/>
    <w:pPr>
      <w:outlineLvl w:val="6"/>
    </w:pPr>
  </w:style>
  <w:style w:type="paragraph" w:customStyle="1" w:styleId="50">
    <w:name w:val="三级条标题 Char"/>
    <w:basedOn w:val="29"/>
    <w:next w:val="27"/>
    <w:qFormat/>
    <w:uiPriority w:val="0"/>
    <w:pPr>
      <w:tabs>
        <w:tab w:val="left" w:pos="360"/>
        <w:tab w:val="clear" w:pos="495"/>
        <w:tab w:val="clear" w:pos="720"/>
      </w:tabs>
      <w:ind w:left="0" w:firstLine="0"/>
      <w:outlineLvl w:val="4"/>
    </w:pPr>
    <w:rPr>
      <w:kern w:val="2"/>
      <w:szCs w:val="24"/>
    </w:rPr>
  </w:style>
  <w:style w:type="paragraph" w:customStyle="1" w:styleId="51">
    <w:name w:val="附录一级条标题"/>
    <w:basedOn w:val="32"/>
    <w:next w:val="27"/>
    <w:qFormat/>
    <w:uiPriority w:val="0"/>
    <w:pPr>
      <w:autoSpaceDN w:val="0"/>
      <w:spacing w:beforeLines="0" w:afterLines="0"/>
      <w:outlineLvl w:val="2"/>
    </w:pPr>
  </w:style>
  <w:style w:type="paragraph" w:customStyle="1" w:styleId="52">
    <w:name w:val="章标题"/>
    <w:next w:val="27"/>
    <w:qFormat/>
    <w:uiPriority w:val="0"/>
    <w:pPr>
      <w:spacing w:beforeLines="50" w:afterLines="5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53">
    <w:name w:val="标准书脚_偶数页"/>
    <w:qFormat/>
    <w:uiPriority w:val="0"/>
    <w:pPr>
      <w:spacing w:before="120"/>
    </w:pPr>
    <w:rPr>
      <w:rFonts w:ascii="Calibri" w:hAnsi="Calibri" w:eastAsia="宋体" w:cs="Times New Roman"/>
      <w:sz w:val="18"/>
      <w:lang w:val="en-US" w:eastAsia="zh-CN" w:bidi="ar-SA"/>
    </w:rPr>
  </w:style>
  <w:style w:type="paragraph" w:customStyle="1" w:styleId="54">
    <w:name w:val="实施日期"/>
    <w:basedOn w:val="48"/>
    <w:qFormat/>
    <w:uiPriority w:val="0"/>
    <w:pPr>
      <w:jc w:val="right"/>
    </w:pPr>
  </w:style>
  <w:style w:type="paragraph" w:customStyle="1" w:styleId="55">
    <w:name w:val="其他发布部门"/>
    <w:basedOn w:val="56"/>
    <w:qFormat/>
    <w:uiPriority w:val="0"/>
    <w:pPr>
      <w:spacing w:line="0" w:lineRule="atLeast"/>
    </w:pPr>
    <w:rPr>
      <w:rFonts w:ascii="黑体" w:eastAsia="黑体"/>
      <w:b w:val="0"/>
    </w:rPr>
  </w:style>
  <w:style w:type="paragraph" w:customStyle="1" w:styleId="56">
    <w:name w:val="发布部门"/>
    <w:next w:val="1"/>
    <w:qFormat/>
    <w:uiPriority w:val="0"/>
    <w:pPr>
      <w:jc w:val="center"/>
    </w:pPr>
    <w:rPr>
      <w:rFonts w:ascii="宋体" w:hAnsi="Calibri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57">
    <w:name w:val="五级无标题条"/>
    <w:basedOn w:val="1"/>
    <w:qFormat/>
    <w:uiPriority w:val="0"/>
  </w:style>
  <w:style w:type="paragraph" w:customStyle="1" w:styleId="5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封面标准文稿编辑信息"/>
    <w:qFormat/>
    <w:uiPriority w:val="0"/>
    <w:pPr>
      <w:spacing w:before="180" w:line="180" w:lineRule="exact"/>
      <w:jc w:val="center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60">
    <w:name w:val="图表脚注"/>
    <w:next w:val="27"/>
    <w:qFormat/>
    <w:uiPriority w:val="0"/>
    <w:pPr>
      <w:ind w:left="300" w:leftChars="200" w:hanging="100" w:hangingChars="10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61">
    <w:name w:val="文献分类号"/>
    <w:qFormat/>
    <w:uiPriority w:val="0"/>
    <w:pPr>
      <w:widowControl w:val="0"/>
      <w:textAlignment w:val="center"/>
    </w:pPr>
    <w:rPr>
      <w:rFonts w:ascii="Calibri" w:hAnsi="Calibri" w:eastAsia="黑体" w:cs="Times New Roman"/>
      <w:sz w:val="21"/>
      <w:lang w:val="en-US" w:eastAsia="zh-CN" w:bidi="ar-SA"/>
    </w:rPr>
  </w:style>
  <w:style w:type="paragraph" w:customStyle="1" w:styleId="62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63">
    <w:name w:val="标准书眉一"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64">
    <w:name w:val="注×："/>
    <w:qFormat/>
    <w:uiPriority w:val="0"/>
    <w:pPr>
      <w:widowControl w:val="0"/>
      <w:tabs>
        <w:tab w:val="left" w:pos="630"/>
        <w:tab w:val="left" w:pos="705"/>
      </w:tabs>
      <w:autoSpaceDE w:val="0"/>
      <w:autoSpaceDN w:val="0"/>
      <w:ind w:left="705" w:hanging="285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65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66">
    <w:name w:val="正文图标题"/>
    <w:next w:val="1"/>
    <w:qFormat/>
    <w:uiPriority w:val="0"/>
    <w:pPr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67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68">
    <w:name w:val="附录二级条标题"/>
    <w:basedOn w:val="51"/>
    <w:next w:val="27"/>
    <w:qFormat/>
    <w:uiPriority w:val="0"/>
    <w:pPr>
      <w:tabs>
        <w:tab w:val="left" w:pos="360"/>
      </w:tabs>
      <w:outlineLvl w:val="3"/>
    </w:pPr>
  </w:style>
  <w:style w:type="paragraph" w:customStyle="1" w:styleId="69">
    <w:name w:val="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70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30"/>
      <w:sz w:val="96"/>
      <w:lang w:val="en-US" w:eastAsia="zh-CN" w:bidi="ar-SA"/>
    </w:rPr>
  </w:style>
  <w:style w:type="paragraph" w:customStyle="1" w:styleId="71">
    <w:name w:val="列出段落2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72">
    <w:name w:val="段 Char"/>
    <w:link w:val="27"/>
    <w:qFormat/>
    <w:uiPriority w:val="0"/>
    <w:rPr>
      <w:rFonts w:ascii="宋体"/>
      <w:sz w:val="21"/>
    </w:rPr>
  </w:style>
  <w:style w:type="character" w:customStyle="1" w:styleId="73">
    <w:name w:val="一级条标题 Char"/>
    <w:link w:val="28"/>
    <w:qFormat/>
    <w:uiPriority w:val="0"/>
    <w:rPr>
      <w:rFonts w:ascii="黑体" w:eastAsia="黑体"/>
      <w:sz w:val="21"/>
    </w:rPr>
  </w:style>
  <w:style w:type="character" w:customStyle="1" w:styleId="74">
    <w:name w:val="表中文字"/>
    <w:qFormat/>
    <w:uiPriority w:val="0"/>
    <w:rPr>
      <w:rFonts w:ascii="宋体" w:eastAsia="宋体"/>
      <w:sz w:val="18"/>
      <w:lang w:val="en-US" w:eastAsia="zh-CN"/>
    </w:rPr>
  </w:style>
  <w:style w:type="character" w:customStyle="1" w:styleId="75">
    <w:name w:val="正文文本缩进 3 Char"/>
    <w:link w:val="16"/>
    <w:qFormat/>
    <w:uiPriority w:val="0"/>
    <w:rPr>
      <w:kern w:val="2"/>
      <w:sz w:val="24"/>
    </w:rPr>
  </w:style>
  <w:style w:type="character" w:customStyle="1" w:styleId="76">
    <w:name w:val="标题 1 Char"/>
    <w:link w:val="2"/>
    <w:qFormat/>
    <w:uiPriority w:val="0"/>
    <w:rPr>
      <w:rFonts w:eastAsia="黑体"/>
      <w:b/>
      <w:bCs/>
      <w:spacing w:val="26"/>
      <w:kern w:val="2"/>
      <w:sz w:val="44"/>
      <w:szCs w:val="24"/>
    </w:rPr>
  </w:style>
  <w:style w:type="character" w:customStyle="1" w:styleId="77">
    <w:name w:val="二级条标题 Char"/>
    <w:link w:val="29"/>
    <w:qFormat/>
    <w:uiPriority w:val="0"/>
    <w:rPr>
      <w:rFonts w:ascii="黑体" w:eastAsia="黑体"/>
      <w:sz w:val="21"/>
    </w:rPr>
  </w:style>
  <w:style w:type="character" w:customStyle="1" w:styleId="78">
    <w:name w:val="日期 Char"/>
    <w:link w:val="9"/>
    <w:qFormat/>
    <w:uiPriority w:val="0"/>
    <w:rPr>
      <w:kern w:val="2"/>
      <w:sz w:val="21"/>
    </w:rPr>
  </w:style>
  <w:style w:type="character" w:customStyle="1" w:styleId="79">
    <w:name w:val="正文文本缩进 2 Char"/>
    <w:link w:val="10"/>
    <w:qFormat/>
    <w:uiPriority w:val="0"/>
    <w:rPr>
      <w:kern w:val="2"/>
      <w:sz w:val="21"/>
      <w:szCs w:val="24"/>
    </w:rPr>
  </w:style>
  <w:style w:type="character" w:customStyle="1" w:styleId="80">
    <w:name w:val="批注框文本 Char"/>
    <w:link w:val="11"/>
    <w:qFormat/>
    <w:uiPriority w:val="99"/>
    <w:rPr>
      <w:kern w:val="2"/>
      <w:sz w:val="18"/>
      <w:szCs w:val="18"/>
    </w:rPr>
  </w:style>
  <w:style w:type="character" w:customStyle="1" w:styleId="81">
    <w:name w:val="页眉 Char"/>
    <w:link w:val="13"/>
    <w:qFormat/>
    <w:uiPriority w:val="0"/>
    <w:rPr>
      <w:kern w:val="2"/>
      <w:sz w:val="18"/>
      <w:szCs w:val="18"/>
    </w:rPr>
  </w:style>
  <w:style w:type="character" w:customStyle="1" w:styleId="82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83">
    <w:name w:val="段 Char Char Char"/>
    <w:qFormat/>
    <w:uiPriority w:val="0"/>
    <w:rPr>
      <w:rFonts w:ascii="宋体" w:eastAsia="宋体"/>
      <w:kern w:val="2"/>
      <w:sz w:val="21"/>
      <w:szCs w:val="24"/>
      <w:lang w:val="en-US" w:eastAsia="zh-CN" w:bidi="ar-SA"/>
    </w:rPr>
  </w:style>
  <w:style w:type="character" w:customStyle="1" w:styleId="84">
    <w:name w:val="正文文本缩进 Char"/>
    <w:link w:val="8"/>
    <w:qFormat/>
    <w:uiPriority w:val="0"/>
    <w:rPr>
      <w:kern w:val="2"/>
      <w:sz w:val="21"/>
      <w:szCs w:val="24"/>
    </w:rPr>
  </w:style>
  <w:style w:type="character" w:customStyle="1" w:styleId="85">
    <w:name w:val="注释"/>
    <w:qFormat/>
    <w:uiPriority w:val="0"/>
    <w:rPr>
      <w:rFonts w:ascii="Times New Roman" w:eastAsia="宋体"/>
      <w:sz w:val="18"/>
    </w:rPr>
  </w:style>
  <w:style w:type="character" w:customStyle="1" w:styleId="86">
    <w:name w:val="标题 6 Char"/>
    <w:link w:val="4"/>
    <w:qFormat/>
    <w:uiPriority w:val="0"/>
    <w:rPr>
      <w:rFonts w:ascii="黑体" w:eastAsia="黑体"/>
      <w:kern w:val="2"/>
      <w:sz w:val="28"/>
    </w:rPr>
  </w:style>
  <w:style w:type="character" w:customStyle="1" w:styleId="87">
    <w:name w:val="页脚 Char"/>
    <w:link w:val="12"/>
    <w:qFormat/>
    <w:uiPriority w:val="0"/>
    <w:rPr>
      <w:kern w:val="2"/>
      <w:sz w:val="18"/>
      <w:szCs w:val="18"/>
    </w:rPr>
  </w:style>
  <w:style w:type="character" w:customStyle="1" w:styleId="88">
    <w:name w:val="标题 3 Char"/>
    <w:link w:val="3"/>
    <w:qFormat/>
    <w:uiPriority w:val="0"/>
    <w:rPr>
      <w:b/>
      <w:bCs/>
      <w:kern w:val="2"/>
      <w:sz w:val="21"/>
      <w:szCs w:val="24"/>
    </w:rPr>
  </w:style>
  <w:style w:type="character" w:customStyle="1" w:styleId="89">
    <w:name w:val="正文首行缩进 Char"/>
    <w:link w:val="19"/>
    <w:qFormat/>
    <w:uiPriority w:val="0"/>
    <w:rPr>
      <w:kern w:val="2"/>
      <w:sz w:val="21"/>
      <w:szCs w:val="24"/>
    </w:rPr>
  </w:style>
  <w:style w:type="character" w:customStyle="1" w:styleId="90">
    <w:name w:val="正文文本 Char"/>
    <w:link w:val="7"/>
    <w:qFormat/>
    <w:uiPriority w:val="0"/>
    <w:rPr>
      <w:kern w:val="2"/>
      <w:sz w:val="21"/>
      <w:szCs w:val="24"/>
    </w:rPr>
  </w:style>
  <w:style w:type="character" w:customStyle="1" w:styleId="91">
    <w:name w:val="脚注文本 Char"/>
    <w:link w:val="15"/>
    <w:semiHidden/>
    <w:qFormat/>
    <w:uiPriority w:val="0"/>
    <w:rPr>
      <w:kern w:val="2"/>
      <w:sz w:val="18"/>
      <w:szCs w:val="18"/>
    </w:rPr>
  </w:style>
  <w:style w:type="character" w:customStyle="1" w:styleId="92">
    <w:name w:val="正文文本 2 Char"/>
    <w:link w:val="17"/>
    <w:qFormat/>
    <w:uiPriority w:val="0"/>
    <w:rPr>
      <w:kern w:val="2"/>
      <w:sz w:val="21"/>
    </w:rPr>
  </w:style>
  <w:style w:type="character" w:customStyle="1" w:styleId="93">
    <w:name w:val="附录章标题 Char"/>
    <w:link w:val="32"/>
    <w:qFormat/>
    <w:uiPriority w:val="0"/>
    <w:rPr>
      <w:rFonts w:ascii="黑体" w:hAnsi="Calibri" w:eastAsia="黑体"/>
      <w:kern w:val="21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30"/>
    <customShpInfo spid="_x0000_s1031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7"/>
    <customShpInfo spid="_x0000_s1156"/>
    <customShpInfo spid="_x0000_s1155"/>
    <customShpInfo spid="_x0000_s1159"/>
    <customShpInfo spid="_x0000_s1158"/>
    <customShpInfo spid="_x0000_s1161"/>
    <customShpInfo spid="_x0000_s1160"/>
    <customShpInfo spid="_x0000_s1163"/>
    <customShpInfo spid="_x0000_s1162"/>
    <customShpInfo spid="_x0000_s1166"/>
    <customShpInfo spid="_x0000_s1164"/>
    <customShpInfo spid="_x0000_s1165"/>
    <customShpInfo spid="_x0000_s1167"/>
    <customShpInfo spid="_x0000_s1168"/>
    <customShpInfo spid="_x0000_s1171"/>
    <customShpInfo spid="_x0000_s1174"/>
    <customShpInfo spid="_x0000_s1176"/>
    <customShpInfo spid="_x0000_s1175"/>
    <customShpInfo spid="_x0000_s1173"/>
    <customShpInfo spid="_x0000_s1172"/>
    <customShpInfo spid="_x0000_s1170"/>
    <customShpInfo spid="_x0000_s1169"/>
    <customShpInfo spid="_x0000_s1178"/>
    <customShpInfo spid="_x0000_s1177"/>
    <customShpInfo spid="_x0000_s1179"/>
    <customShpInfo spid="_x0000_s1182"/>
    <customShpInfo spid="_x0000_s1180"/>
    <customShpInfo spid="_x0000_s1186"/>
    <customShpInfo spid="_x0000_s1183"/>
    <customShpInfo spid="_x0000_s1181"/>
    <customShpInfo spid="_x0000_s1185"/>
    <customShpInfo spid="_x0000_s1184"/>
    <customShpInfo spid="_x0000_s1188"/>
    <customShpInfo spid="_x0000_s1187"/>
    <customShpInfo spid="_x0000_s1189"/>
    <customShpInfo spid="_x0000_s1191"/>
    <customShpInfo spid="_x0000_s1190"/>
    <customShpInfo spid="_x0000_s1194"/>
    <customShpInfo spid="_x0000_s1193"/>
    <customShpInfo spid="_x0000_s1192"/>
    <customShpInfo spid="_x0000_s1196"/>
    <customShpInfo spid="_x0000_s1195"/>
    <customShpInfo spid="_x0000_s1197"/>
    <customShpInfo spid="_x0000_s1198"/>
    <customShpInfo spid="_x0000_s1199"/>
    <customShpInfo spid="_x0000_s1200"/>
    <customShpInfo spid="_x0000_s1202"/>
    <customShpInfo spid="_x0000_s1201"/>
    <customShpInfo spid="_x0000_s1203"/>
    <customShpInfo spid="_x0000_s1204"/>
    <customShpInfo spid="_x0000_s1206"/>
    <customShpInfo spid="_x0000_s1205"/>
    <customShpInfo spid="_x0000_s109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67E5B-8A0E-4941-A3FD-4667AA9FD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5558</Words>
  <Characters>7001</Characters>
  <Lines>59</Lines>
  <Paragraphs>16</Paragraphs>
  <TotalTime>20</TotalTime>
  <ScaleCrop>false</ScaleCrop>
  <LinksUpToDate>false</LinksUpToDate>
  <CharactersWithSpaces>7378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2019-01-02T01:29:00Z</dcterms:created>
  <dc:creator>Legend User</dc:creator>
  <cp:lastModifiedBy>杨丽娟</cp:lastModifiedBy>
  <cp:lastPrinted>2019-06-13T06:00:00Z</cp:lastPrinted>
  <dcterms:modified xsi:type="dcterms:W3CDTF">2019-09-16T08:32:02Z</dcterms:modified>
  <dc:title>ICS77.150.30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