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</w:pPr>
      <w:r>
        <w:pict>
          <v:shape id="_x0000_s1027" o:spid="_x0000_s1027" o:spt="202" type="#_x0000_t202" style="position:absolute;left:0pt;margin-left:361.1pt;margin-top:-16.35pt;height:88.5pt;width:140.25pt;z-index:251658240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contextualSpacing/>
                    <w:jc w:val="center"/>
                    <w:rPr>
                      <w:b/>
                      <w:sz w:val="144"/>
                    </w:rPr>
                  </w:pPr>
                  <w:r>
                    <w:rPr>
                      <w:rFonts w:hint="eastAsia"/>
                      <w:b/>
                      <w:sz w:val="144"/>
                    </w:rPr>
                    <w:t>XB</w:t>
                  </w:r>
                </w:p>
              </w:txbxContent>
            </v:textbox>
          </v:shape>
        </w:pict>
      </w:r>
      <w:r>
        <w:t xml:space="preserve">ICS 77.120.99                                                  </w:t>
      </w:r>
    </w:p>
    <w:p>
      <w:pPr>
        <w:pStyle w:val="21"/>
      </w:pPr>
      <w:r>
        <w:t>H 65</w:t>
      </w:r>
    </w:p>
    <w:p>
      <w:pPr>
        <w:pStyle w:val="20"/>
      </w:pPr>
    </w:p>
    <w:p>
      <w:pPr>
        <w:pStyle w:val="20"/>
      </w:pPr>
    </w:p>
    <w:p>
      <w:pPr>
        <w:pStyle w:val="20"/>
      </w:pPr>
    </w:p>
    <w:p>
      <w:pPr>
        <w:pStyle w:val="20"/>
        <w:rPr>
          <w:b/>
        </w:rPr>
      </w:pPr>
      <w:r>
        <w:rPr>
          <w:rFonts w:hint="eastAsia"/>
          <w:b/>
          <w:sz w:val="72"/>
        </w:rPr>
        <w:t>中华人民共和国稀土行业标准</w:t>
      </w:r>
    </w:p>
    <w:p>
      <w:pPr>
        <w:pStyle w:val="25"/>
        <w:rPr>
          <w:lang w:val="de-DE"/>
        </w:rPr>
      </w:pPr>
      <w:r>
        <w:rPr>
          <w:rFonts w:hint="eastAsia"/>
          <w:lang w:val="de-DE"/>
        </w:rPr>
        <w:t>X</w:t>
      </w:r>
      <w:r>
        <w:rPr>
          <w:lang w:val="de-DE"/>
        </w:rPr>
        <w:t xml:space="preserve">B/T </w:t>
      </w:r>
      <w:r>
        <w:rPr>
          <w:rFonts w:hint="eastAsia"/>
          <w:lang w:val="de-DE"/>
        </w:rPr>
        <w:t>xxx</w:t>
      </w:r>
      <w:r>
        <w:rPr>
          <w:lang w:val="de-DE"/>
        </w:rPr>
        <w:t>—××××</w:t>
      </w:r>
    </w:p>
    <w:p>
      <w:pPr>
        <w:pStyle w:val="28"/>
        <w:ind w:right="210"/>
        <w:rPr>
          <w:lang w:val="de-DE"/>
        </w:rPr>
      </w:pPr>
    </w:p>
    <w:p>
      <w:pPr>
        <w:pStyle w:val="28"/>
        <w:ind w:right="630"/>
        <w:jc w:val="both"/>
        <w:rPr>
          <w:u w:val="single"/>
          <w:lang w:val="de-DE"/>
        </w:rPr>
      </w:pPr>
      <w:r>
        <w:rPr>
          <w:rFonts w:hint="eastAsia"/>
          <w:u w:val="single"/>
          <w:lang w:val="de-DE"/>
        </w:rPr>
        <w:t xml:space="preserve">                                                                                           </w:t>
      </w:r>
    </w:p>
    <w:p>
      <w:pPr>
        <w:pStyle w:val="22"/>
      </w:pPr>
    </w:p>
    <w:p>
      <w:pPr>
        <w:pStyle w:val="22"/>
      </w:pPr>
    </w:p>
    <w:p>
      <w:pPr>
        <w:pStyle w:val="22"/>
      </w:pPr>
      <w:r>
        <w:rPr>
          <w:rFonts w:hint="eastAsia"/>
        </w:rPr>
        <w:t>高纯金属镱</w:t>
      </w:r>
    </w:p>
    <w:p>
      <w:pPr>
        <w:pStyle w:val="27"/>
      </w:pPr>
      <w:r>
        <w:rPr>
          <w:rFonts w:hint="eastAsia"/>
        </w:rPr>
        <w:t xml:space="preserve">High-purity </w:t>
      </w:r>
      <w:r>
        <w:rPr>
          <w:bCs/>
        </w:rPr>
        <w:t>ytterbium</w:t>
      </w:r>
      <w:r>
        <w:t xml:space="preserve"> metal</w:t>
      </w:r>
      <w:r>
        <w:br w:type="textWrapping"/>
      </w:r>
      <w:bookmarkStart w:id="6" w:name="_GoBack"/>
      <w:bookmarkEnd w:id="6"/>
      <w:r>
        <w:br w:type="textWrapping"/>
      </w:r>
    </w:p>
    <w:p>
      <w:pPr>
        <w:pStyle w:val="26"/>
      </w:pPr>
    </w:p>
    <w:p>
      <w:pPr>
        <w:pStyle w:val="29"/>
      </w:pPr>
      <w:r>
        <w:rPr>
          <w:rFonts w:hint="eastAsia"/>
        </w:rPr>
        <w:t>（</w:t>
      </w:r>
      <w:r>
        <w:rPr>
          <w:rFonts w:hint="eastAsia"/>
          <w:lang w:eastAsia="zh-CN"/>
        </w:rPr>
        <w:t>送审</w:t>
      </w:r>
      <w:r>
        <w:rPr>
          <w:rFonts w:hint="eastAsia"/>
        </w:rPr>
        <w:t>稿）</w:t>
      </w:r>
    </w:p>
    <w:p>
      <w:pPr>
        <w:pStyle w:val="24"/>
      </w:pPr>
    </w:p>
    <w:p>
      <w:pPr>
        <w:pStyle w:val="28"/>
        <w:ind w:right="630"/>
        <w:jc w:val="both"/>
        <w:rPr>
          <w:u w:val="single"/>
          <w:lang w:val="de-DE"/>
        </w:rPr>
      </w:pPr>
    </w:p>
    <w:p>
      <w:pPr>
        <w:pStyle w:val="28"/>
        <w:ind w:right="630"/>
        <w:jc w:val="both"/>
        <w:rPr>
          <w:u w:val="single"/>
          <w:lang w:val="de-DE"/>
        </w:rPr>
      </w:pPr>
    </w:p>
    <w:p>
      <w:pPr>
        <w:pStyle w:val="28"/>
        <w:ind w:right="630"/>
        <w:jc w:val="both"/>
        <w:rPr>
          <w:u w:val="single"/>
          <w:lang w:val="de-DE"/>
        </w:rPr>
      </w:pPr>
    </w:p>
    <w:p>
      <w:pPr>
        <w:pStyle w:val="28"/>
        <w:ind w:right="630"/>
        <w:jc w:val="both"/>
        <w:rPr>
          <w:u w:val="single"/>
          <w:lang w:val="de-DE"/>
        </w:rPr>
      </w:pPr>
    </w:p>
    <w:p>
      <w:pPr>
        <w:pStyle w:val="28"/>
        <w:ind w:right="630"/>
        <w:jc w:val="both"/>
        <w:rPr>
          <w:u w:val="single"/>
          <w:lang w:val="de-DE"/>
        </w:rPr>
      </w:pPr>
    </w:p>
    <w:p>
      <w:pPr>
        <w:pStyle w:val="28"/>
        <w:ind w:right="630"/>
        <w:jc w:val="both"/>
        <w:rPr>
          <w:u w:val="single"/>
          <w:lang w:val="de-DE"/>
        </w:rPr>
      </w:pPr>
    </w:p>
    <w:p>
      <w:pPr>
        <w:pStyle w:val="28"/>
        <w:ind w:right="630"/>
        <w:jc w:val="both"/>
        <w:rPr>
          <w:u w:val="single"/>
          <w:lang w:val="de-DE"/>
        </w:rPr>
      </w:pPr>
    </w:p>
    <w:p>
      <w:pPr>
        <w:pStyle w:val="30"/>
        <w:rPr>
          <w:u w:val="single"/>
        </w:rPr>
      </w:pPr>
      <w:r>
        <w:rPr>
          <w:rFonts w:hint="eastAsia"/>
          <w:u w:val="single"/>
        </w:rPr>
        <w:t>××××</w:t>
      </w:r>
      <w:r>
        <w:rPr>
          <w:u w:val="single"/>
        </w:rPr>
        <w:t>-</w:t>
      </w:r>
      <w:r>
        <w:rPr>
          <w:rFonts w:hint="eastAsia"/>
          <w:u w:val="single"/>
        </w:rPr>
        <w:t>××</w:t>
      </w:r>
      <w:r>
        <w:rPr>
          <w:u w:val="single"/>
        </w:rPr>
        <w:t>-</w:t>
      </w:r>
      <w:r>
        <w:rPr>
          <w:rFonts w:hint="eastAsia"/>
          <w:u w:val="single"/>
        </w:rPr>
        <w:t>××发布</w:t>
      </w:r>
      <w:r>
        <w:rPr>
          <w:u w:val="single"/>
        </w:rPr>
        <w:t xml:space="preserve">                      </w:t>
      </w:r>
      <w:r>
        <w:rPr>
          <w:rFonts w:hint="eastAsia"/>
          <w:u w:val="single"/>
        </w:rPr>
        <w:t>××××</w:t>
      </w:r>
      <w:r>
        <w:rPr>
          <w:u w:val="single"/>
        </w:rPr>
        <w:t>-</w:t>
      </w:r>
      <w:r>
        <w:rPr>
          <w:rFonts w:hint="eastAsia"/>
          <w:u w:val="single"/>
        </w:rPr>
        <w:t>××</w:t>
      </w:r>
      <w:r>
        <w:rPr>
          <w:u w:val="single"/>
        </w:rPr>
        <w:t>-</w:t>
      </w:r>
      <w:r>
        <w:rPr>
          <w:rFonts w:hint="eastAsia"/>
          <w:u w:val="single"/>
        </w:rPr>
        <w:t>××实施</w:t>
      </w:r>
    </w:p>
    <w:p>
      <w:pPr>
        <w:widowControl/>
        <w:spacing w:line="340" w:lineRule="exact"/>
        <w:jc w:val="center"/>
        <w:rPr>
          <w:rFonts w:ascii="华文中宋" w:hAnsi="华文中宋" w:eastAsia="华文中宋" w:cs="华文中宋"/>
          <w:b/>
          <w:sz w:val="32"/>
          <w:szCs w:val="32"/>
        </w:rPr>
      </w:pPr>
      <w:bookmarkStart w:id="0" w:name="_Hlk491262227"/>
      <w:r>
        <w:rPr>
          <w:rFonts w:hint="eastAsia" w:ascii="华文中宋" w:hAnsi="华文中宋" w:eastAsia="华文中宋" w:cs="华文中宋"/>
          <w:b/>
          <w:spacing w:val="102"/>
          <w:sz w:val="32"/>
          <w:szCs w:val="32"/>
        </w:rPr>
        <w:t xml:space="preserve">   </w:t>
      </w:r>
      <w:r>
        <w:rPr>
          <w:rFonts w:hint="eastAsia" w:ascii="华文中宋" w:hAnsi="华文中宋" w:eastAsia="华文中宋" w:cs="华文中宋"/>
          <w:b/>
          <w:sz w:val="32"/>
          <w:szCs w:val="32"/>
        </w:rPr>
        <w:t>中华人民共和国工业和信息化部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hint="eastAsia" w:ascii="华文中宋" w:hAnsi="华文中宋" w:eastAsia="华文中宋" w:cs="华文中宋"/>
          <w:b/>
          <w:sz w:val="32"/>
          <w:szCs w:val="32"/>
        </w:rPr>
        <w:t>发布</w:t>
      </w:r>
    </w:p>
    <w:p>
      <w:pPr>
        <w:pStyle w:val="20"/>
        <w:rPr>
          <w:u w:val="single"/>
          <w:lang w:val="de-DE"/>
        </w:rPr>
      </w:pPr>
      <w:r>
        <w:rPr>
          <w:rFonts w:eastAsia="黑体"/>
          <w:sz w:val="28"/>
        </w:rPr>
        <w:t xml:space="preserve"> </w:t>
      </w:r>
    </w:p>
    <w:bookmarkEnd w:id="0"/>
    <w:p>
      <w:pPr>
        <w:widowControl/>
        <w:jc w:val="left"/>
        <w:rPr>
          <w:kern w:val="0"/>
          <w:sz w:val="20"/>
          <w:u w:val="single"/>
          <w:lang w:val="de-DE"/>
        </w:rPr>
        <w:sectPr>
          <w:pgSz w:w="11907" w:h="16839"/>
          <w:pgMar w:top="567" w:right="851" w:bottom="1361" w:left="1418" w:header="0" w:footer="0" w:gutter="0"/>
          <w:pgNumType w:fmt="upperRoman" w:start="1"/>
          <w:cols w:space="720" w:num="1"/>
          <w:docGrid w:type="lines" w:linePitch="312" w:charSpace="0"/>
        </w:sectPr>
      </w:pPr>
    </w:p>
    <w:p>
      <w:pPr>
        <w:pStyle w:val="18"/>
        <w:jc w:val="both"/>
      </w:pPr>
      <w:r>
        <w:rPr>
          <w:rFonts w:hint="eastAsia"/>
        </w:rPr>
        <w:t xml:space="preserve">                      前</w:t>
      </w:r>
      <w:r>
        <w:rPr>
          <w:rFonts w:hint="eastAsia"/>
          <w:lang w:val="de-DE"/>
        </w:rPr>
        <w:t xml:space="preserve">    </w:t>
      </w:r>
      <w:r>
        <w:rPr>
          <w:rFonts w:hint="eastAsia"/>
        </w:rPr>
        <w:t>言</w:t>
      </w:r>
    </w:p>
    <w:p>
      <w:pPr>
        <w:adjustRightInd w:val="0"/>
        <w:snapToGrid w:val="0"/>
        <w:spacing w:line="360" w:lineRule="atLeast"/>
        <w:rPr>
          <w:szCs w:val="21"/>
        </w:rPr>
      </w:pPr>
      <w:r>
        <w:rPr>
          <w:rFonts w:hAnsi="宋体"/>
          <w:szCs w:val="21"/>
        </w:rPr>
        <w:t>本标准按照</w:t>
      </w:r>
      <w:r>
        <w:rPr>
          <w:szCs w:val="21"/>
        </w:rPr>
        <w:t>GB/T 1.1-2009</w:t>
      </w:r>
      <w:r>
        <w:rPr>
          <w:rFonts w:hAnsi="宋体"/>
          <w:szCs w:val="21"/>
        </w:rPr>
        <w:t>给出的规则起草。</w:t>
      </w:r>
    </w:p>
    <w:p>
      <w:pPr>
        <w:spacing w:line="360" w:lineRule="atLeast"/>
        <w:rPr>
          <w:szCs w:val="21"/>
        </w:rPr>
      </w:pPr>
      <w:r>
        <w:rPr>
          <w:rFonts w:hAnsi="宋体"/>
          <w:szCs w:val="21"/>
        </w:rPr>
        <w:t>本标准由全国稀土标准化技术委员会（</w:t>
      </w:r>
      <w:r>
        <w:rPr>
          <w:szCs w:val="21"/>
        </w:rPr>
        <w:t>SAC/TC229</w:t>
      </w:r>
      <w:r>
        <w:rPr>
          <w:rFonts w:hAnsi="宋体"/>
          <w:szCs w:val="21"/>
        </w:rPr>
        <w:t>）提出并归口。</w:t>
      </w:r>
    </w:p>
    <w:p>
      <w:pPr>
        <w:spacing w:line="360" w:lineRule="atLeast"/>
        <w:rPr>
          <w:szCs w:val="21"/>
        </w:rPr>
      </w:pPr>
      <w:r>
        <w:rPr>
          <w:rFonts w:hAnsi="宋体"/>
          <w:szCs w:val="21"/>
        </w:rPr>
        <w:t>本标准主要起草单位：</w:t>
      </w:r>
      <w:r>
        <w:rPr>
          <w:rFonts w:hint="eastAsia" w:hAnsi="宋体"/>
          <w:szCs w:val="21"/>
        </w:rPr>
        <w:t>有研稀土新材料股份有限公司，……</w:t>
      </w:r>
    </w:p>
    <w:p>
      <w:pPr>
        <w:adjustRightInd w:val="0"/>
        <w:snapToGrid w:val="0"/>
        <w:spacing w:line="360" w:lineRule="atLeast"/>
        <w:rPr>
          <w:kern w:val="0"/>
        </w:rPr>
      </w:pPr>
      <w:r>
        <w:rPr>
          <w:kern w:val="0"/>
        </w:rPr>
        <w:t xml:space="preserve">本标准主要起草人： </w:t>
      </w:r>
      <w:r>
        <w:rPr>
          <w:rFonts w:hint="eastAsia"/>
          <w:kern w:val="0"/>
        </w:rPr>
        <w:t>张小伟，庞思明，陈德宏，钟嘉珉，王爽，……</w:t>
      </w:r>
    </w:p>
    <w:p>
      <w:pPr>
        <w:pStyle w:val="14"/>
        <w:spacing w:line="200" w:lineRule="atLeast"/>
        <w:ind w:firstLine="420"/>
        <w:rPr>
          <w:rFonts w:hAnsi="Times New Roman"/>
          <w:szCs w:val="20"/>
        </w:rPr>
      </w:pPr>
    </w:p>
    <w:p>
      <w:pPr>
        <w:widowControl/>
        <w:jc w:val="left"/>
        <w:rPr>
          <w:rFonts w:ascii="宋体"/>
          <w:kern w:val="0"/>
        </w:rPr>
        <w:sectPr>
          <w:pgSz w:w="11907" w:h="16839"/>
          <w:pgMar w:top="1418" w:right="1134" w:bottom="1134" w:left="1418" w:header="1418" w:footer="851" w:gutter="0"/>
          <w:pgNumType w:fmt="upperRoman" w:start="1"/>
          <w:cols w:space="720" w:num="1"/>
          <w:docGrid w:type="lines" w:linePitch="312" w:charSpace="0"/>
        </w:sectPr>
      </w:pPr>
    </w:p>
    <w:p>
      <w:pPr>
        <w:pStyle w:val="17"/>
        <w:spacing w:line="360" w:lineRule="exact"/>
        <w:ind w:firstLine="3840"/>
        <w:jc w:val="both"/>
        <w:rPr>
          <w:b/>
        </w:rPr>
      </w:pPr>
      <w:r>
        <w:rPr>
          <w:rFonts w:hint="eastAsia"/>
          <w:b/>
        </w:rPr>
        <w:t>高纯金属镱</w:t>
      </w:r>
    </w:p>
    <w:p>
      <w:pPr>
        <w:pStyle w:val="14"/>
        <w:adjustRightInd w:val="0"/>
        <w:snapToGrid w:val="0"/>
        <w:spacing w:before="312" w:after="312" w:line="0" w:lineRule="atLeast"/>
        <w:ind w:firstLine="0" w:firstLineChars="0"/>
        <w:rPr>
          <w:rFonts w:ascii="黑体" w:eastAsia="黑体"/>
        </w:rPr>
      </w:pPr>
      <w:r>
        <w:rPr>
          <w:rFonts w:hint="eastAsia" w:ascii="黑体" w:eastAsia="黑体"/>
        </w:rPr>
        <w:t>1  范围</w:t>
      </w:r>
    </w:p>
    <w:p>
      <w:pPr>
        <w:pStyle w:val="14"/>
        <w:adjustRightInd w:val="0"/>
        <w:snapToGrid w:val="0"/>
        <w:spacing w:line="360" w:lineRule="exact"/>
        <w:ind w:firstLine="420"/>
      </w:pPr>
      <w:r>
        <w:t>本标准规定了高纯金属镱的要求、试验方法、检验规则和标志、包装、运输、贮存及质量证明书。</w:t>
      </w:r>
    </w:p>
    <w:p>
      <w:pPr>
        <w:pStyle w:val="14"/>
        <w:adjustRightInd w:val="0"/>
        <w:snapToGrid w:val="0"/>
        <w:spacing w:line="360" w:lineRule="exact"/>
        <w:ind w:firstLine="420"/>
      </w:pPr>
      <w:r>
        <w:t>本标准适用于以</w:t>
      </w:r>
      <w:r>
        <w:rPr>
          <w:rFonts w:hint="eastAsia"/>
        </w:rPr>
        <w:t>真空</w:t>
      </w:r>
      <w:r>
        <w:t>还原-蒸馏法、真空蒸馏</w:t>
      </w:r>
      <w:r>
        <w:rPr>
          <w:rFonts w:hint="eastAsia"/>
        </w:rPr>
        <w:t>/升华</w:t>
      </w:r>
      <w:r>
        <w:t>法制得的高纯金属镱，主要用于生产</w:t>
      </w:r>
      <w:r>
        <w:rPr>
          <w:rFonts w:hint="eastAsia"/>
        </w:rPr>
        <w:t>稀土高K栅介材料、重费米子超导材料、显示材料</w:t>
      </w:r>
      <w:r>
        <w:t>等</w:t>
      </w:r>
      <w:r>
        <w:rPr>
          <w:rFonts w:hint="eastAsia"/>
        </w:rPr>
        <w:t>功能材料</w:t>
      </w:r>
      <w:r>
        <w:t>。</w:t>
      </w:r>
    </w:p>
    <w:p>
      <w:pPr>
        <w:pStyle w:val="14"/>
        <w:adjustRightInd w:val="0"/>
        <w:snapToGrid w:val="0"/>
        <w:spacing w:before="312" w:after="312" w:line="0" w:lineRule="atLeast"/>
        <w:ind w:firstLine="0" w:firstLineChars="0"/>
        <w:rPr>
          <w:rFonts w:ascii="黑体" w:hAnsi="Times New Roman" w:eastAsia="黑体"/>
        </w:rPr>
      </w:pPr>
      <w:r>
        <w:rPr>
          <w:rFonts w:hint="eastAsia" w:ascii="黑体" w:eastAsia="黑体"/>
        </w:rPr>
        <w:t>2  规范性引用文件</w:t>
      </w:r>
    </w:p>
    <w:p>
      <w:pPr>
        <w:pStyle w:val="14"/>
        <w:adjustRightInd w:val="0"/>
        <w:snapToGrid w:val="0"/>
        <w:spacing w:line="360" w:lineRule="exact"/>
        <w:ind w:firstLine="420"/>
      </w:pPr>
      <w:r>
        <w:rPr>
          <w:rFonts w:hint="eastAsia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>
      <w:pPr>
        <w:pStyle w:val="14"/>
        <w:adjustRightInd w:val="0"/>
        <w:snapToGrid w:val="0"/>
        <w:spacing w:line="360" w:lineRule="exact"/>
        <w:ind w:firstLine="420"/>
      </w:pPr>
      <w:r>
        <w:rPr>
          <w:rFonts w:hint="eastAsia"/>
        </w:rPr>
        <w:t>GB  XXXX   稀土产品的包装、标志、运输及贮存</w:t>
      </w:r>
    </w:p>
    <w:p>
      <w:pPr>
        <w:pStyle w:val="14"/>
        <w:adjustRightInd w:val="0"/>
        <w:snapToGrid w:val="0"/>
        <w:spacing w:line="360" w:lineRule="exact"/>
        <w:ind w:firstLine="420"/>
      </w:pPr>
      <w:r>
        <w:rPr>
          <w:rFonts w:hint="eastAsia"/>
        </w:rPr>
        <w:t>GB/T 8170   数值修约规则与极限数值的表示与判定。</w:t>
      </w:r>
    </w:p>
    <w:p>
      <w:pPr>
        <w:pStyle w:val="14"/>
        <w:adjustRightInd w:val="0"/>
        <w:snapToGrid w:val="0"/>
        <w:spacing w:line="360" w:lineRule="exact"/>
        <w:ind w:firstLine="420"/>
      </w:pPr>
      <w:r>
        <w:rPr>
          <w:rFonts w:hint="eastAsia"/>
        </w:rPr>
        <w:t xml:space="preserve">GB/T 12690（所有部分） </w:t>
      </w:r>
      <w:r>
        <w:t xml:space="preserve"> </w:t>
      </w:r>
      <w:r>
        <w:rPr>
          <w:rFonts w:hint="eastAsia"/>
        </w:rPr>
        <w:t>稀土金属及其氧化物中非稀土杂质化学分析方法</w:t>
      </w:r>
    </w:p>
    <w:p>
      <w:pPr>
        <w:pStyle w:val="14"/>
        <w:adjustRightInd w:val="0"/>
        <w:snapToGrid w:val="0"/>
        <w:spacing w:line="360" w:lineRule="exact"/>
        <w:ind w:firstLine="420"/>
      </w:pPr>
      <w:r>
        <w:rPr>
          <w:rFonts w:hint="eastAsia"/>
        </w:rPr>
        <w:t>GB/T 18115.14稀土金属及其氧化物中稀土杂质化学分析方法</w:t>
      </w:r>
      <w:r>
        <w:t>镱中镧、铈、镨、钕、钐、铕、钆、铽、镝、钬、铒、铥、镥和钇量的测定</w:t>
      </w:r>
    </w:p>
    <w:p>
      <w:pPr>
        <w:pStyle w:val="14"/>
        <w:adjustRightInd w:val="0"/>
        <w:snapToGrid w:val="0"/>
        <w:spacing w:line="360" w:lineRule="exact"/>
        <w:ind w:firstLine="420"/>
      </w:pPr>
      <w:r>
        <w:t xml:space="preserve">XB/T XXX-20XX </w:t>
      </w:r>
      <w:r>
        <w:rPr>
          <w:rFonts w:hint="eastAsia"/>
        </w:rPr>
        <w:t>高纯稀土金属化学分析方法痕量元素含量的测定</w:t>
      </w:r>
      <w:r>
        <w:t xml:space="preserve"> </w:t>
      </w:r>
      <w:r>
        <w:rPr>
          <w:rFonts w:hint="eastAsia"/>
        </w:rPr>
        <w:t>辉光放电质谱法</w:t>
      </w:r>
    </w:p>
    <w:p>
      <w:pPr>
        <w:pStyle w:val="14"/>
        <w:adjustRightInd w:val="0"/>
        <w:snapToGrid w:val="0"/>
        <w:spacing w:before="312" w:after="312" w:line="0" w:lineRule="atLeast"/>
        <w:ind w:firstLine="0" w:firstLineChars="0"/>
        <w:rPr>
          <w:rFonts w:ascii="黑体" w:eastAsia="黑体"/>
        </w:rPr>
      </w:pPr>
      <w:r>
        <w:rPr>
          <w:rFonts w:hint="eastAsia" w:ascii="黑体" w:eastAsia="黑体"/>
        </w:rPr>
        <w:t>3  要求</w:t>
      </w:r>
    </w:p>
    <w:p>
      <w:pPr>
        <w:pStyle w:val="14"/>
        <w:adjustRightInd w:val="0"/>
        <w:snapToGrid w:val="0"/>
        <w:spacing w:before="312" w:after="312" w:line="0" w:lineRule="atLeast"/>
        <w:ind w:firstLine="0" w:firstLineChars="0"/>
        <w:rPr>
          <w:rFonts w:ascii="黑体" w:hAnsi="Times New Roman" w:eastAsia="黑体"/>
          <w:kern w:val="0"/>
          <w:szCs w:val="20"/>
        </w:rPr>
      </w:pPr>
      <w:r>
        <w:rPr>
          <w:rFonts w:hint="eastAsia" w:ascii="黑体" w:eastAsia="黑体"/>
        </w:rPr>
        <w:t>3.1 产品分类</w:t>
      </w:r>
    </w:p>
    <w:p>
      <w:pPr>
        <w:spacing w:beforeLines="50" w:afterLines="5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3.1.1 牌号</w:t>
      </w:r>
    </w:p>
    <w:p>
      <w:pPr>
        <w:ind w:firstLine="420" w:firstLineChars="200"/>
      </w:pPr>
      <w:r>
        <w:rPr>
          <w:rFonts w:hint="eastAsia"/>
        </w:rPr>
        <w:t>产品按化学成分分为H-Yb-4N</w:t>
      </w:r>
      <w:r>
        <w:rPr>
          <w:rFonts w:hint="eastAsia"/>
          <w:vertAlign w:val="superscript"/>
        </w:rPr>
        <w:t>a</w:t>
      </w:r>
      <w:r>
        <w:rPr>
          <w:rFonts w:hint="eastAsia"/>
        </w:rPr>
        <w:t>、H-Yb-3N</w:t>
      </w:r>
      <w:r>
        <w:rPr>
          <w:rFonts w:hint="eastAsia"/>
          <w:vertAlign w:val="superscript"/>
        </w:rPr>
        <w:t>a</w:t>
      </w:r>
      <w:r>
        <w:rPr>
          <w:rFonts w:hint="eastAsia"/>
        </w:rPr>
        <w:t>8、H-Yb-3N</w:t>
      </w:r>
      <w:r>
        <w:rPr>
          <w:rFonts w:hint="eastAsia"/>
          <w:vertAlign w:val="superscript"/>
        </w:rPr>
        <w:t>a</w:t>
      </w:r>
      <w:r>
        <w:rPr>
          <w:rFonts w:hint="eastAsia"/>
        </w:rPr>
        <w:t>5、H-Yb-3N</w:t>
      </w:r>
      <w:r>
        <w:rPr>
          <w:rFonts w:hint="eastAsia"/>
          <w:vertAlign w:val="superscript"/>
        </w:rPr>
        <w:t>a</w:t>
      </w:r>
      <w:r>
        <w:rPr>
          <w:rFonts w:hint="eastAsia"/>
        </w:rPr>
        <w:t>-A、H-Yb-3N</w:t>
      </w:r>
      <w:r>
        <w:rPr>
          <w:rFonts w:hint="eastAsia"/>
          <w:vertAlign w:val="superscript"/>
        </w:rPr>
        <w:t>a</w:t>
      </w:r>
      <w:r>
        <w:rPr>
          <w:rFonts w:hint="eastAsia"/>
        </w:rPr>
        <w:t>-B五个牌号。</w:t>
      </w:r>
    </w:p>
    <w:p>
      <w:pPr>
        <w:rPr>
          <w:rFonts w:ascii="黑体" w:hAnsi="黑体" w:eastAsia="黑体"/>
        </w:rPr>
      </w:pPr>
      <w:r>
        <w:rPr>
          <w:rFonts w:ascii="黑体" w:hAnsi="黑体" w:eastAsia="黑体"/>
        </w:rPr>
        <w:t xml:space="preserve">3.1.2 </w:t>
      </w:r>
      <w:r>
        <w:rPr>
          <w:rFonts w:hint="eastAsia" w:ascii="黑体" w:hAnsi="黑体" w:eastAsia="黑体"/>
        </w:rPr>
        <w:t>牌号表示方法</w:t>
      </w:r>
    </w:p>
    <w:p>
      <w:pPr>
        <w:ind w:firstLine="420" w:firstLineChars="200"/>
      </w:pPr>
      <w:r>
        <w:rPr>
          <w:rFonts w:hint="eastAsia"/>
        </w:rPr>
        <w:t>高纯金属镱牌号共分四个层次，其中第一层次表示高纯，用高纯的英文首字母“H”表示；第二层次表示产品金属镱，用分子式“Yb”表示；第三层次表示纯度，当产品稀土绝对纯度（质量分数）等于或大于99%时，则用质量分数中“9”的个数加“N”来表示（“N”为数字9的英文首字母），</w:t>
      </w:r>
      <w:r>
        <w:rPr>
          <w:vertAlign w:val="superscript"/>
        </w:rPr>
        <w:t>a</w:t>
      </w:r>
      <w:r>
        <w:rPr>
          <w:rFonts w:hint="eastAsia"/>
        </w:rPr>
        <w:t>为absolute首字母，N</w:t>
      </w:r>
      <w:r>
        <w:rPr>
          <w:vertAlign w:val="superscript"/>
        </w:rPr>
        <w:t>a</w:t>
      </w:r>
      <w:r>
        <w:rPr>
          <w:rFonts w:hint="eastAsia"/>
        </w:rPr>
        <w:t>表示绝对纯度；（-A）表示绝对纯度相同但稀土杂质合量不同的产品，用A、B等大写英文字母加以区分。具体表示方法如下：</w:t>
      </w:r>
    </w:p>
    <w:p>
      <w:pPr>
        <w:ind w:firstLine="420" w:firstLineChars="200"/>
        <w:jc w:val="center"/>
      </w:pPr>
      <w:r>
        <w:object>
          <v:shape id="_x0000_i1025" o:spt="75" type="#_x0000_t75" style="height:140.6pt;width:287.4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 r:id="rId4">
            <o:LockedField>false</o:LockedField>
          </o:OLEObject>
        </w:object>
      </w:r>
    </w:p>
    <w:p>
      <w:pPr>
        <w:ind w:firstLine="420" w:firstLineChars="200"/>
        <w:jc w:val="left"/>
      </w:pPr>
      <w:r>
        <w:rPr>
          <w:rFonts w:hint="eastAsia"/>
        </w:rPr>
        <w:t>牌号</w:t>
      </w:r>
      <w:r>
        <w:t>示例</w:t>
      </w:r>
      <w:r>
        <w:rPr>
          <w:rFonts w:hint="eastAsia"/>
        </w:rPr>
        <w:t>：H-Yb-</w:t>
      </w:r>
      <w:r>
        <w:t>3N</w:t>
      </w:r>
      <w:r>
        <w:rPr>
          <w:vertAlign w:val="superscript"/>
        </w:rPr>
        <w:t>a</w:t>
      </w:r>
      <w:r>
        <w:t>8表示绝对纯度为99.98</w:t>
      </w:r>
      <w:r>
        <w:rPr>
          <w:rFonts w:hint="eastAsia"/>
        </w:rPr>
        <w:t>%的高纯镱产品；H-Yb-</w:t>
      </w:r>
      <w:r>
        <w:t>3N</w:t>
      </w:r>
      <w:r>
        <w:rPr>
          <w:vertAlign w:val="superscript"/>
        </w:rPr>
        <w:t>a</w:t>
      </w:r>
      <w:r>
        <w:rPr>
          <w:rFonts w:hint="eastAsia"/>
        </w:rPr>
        <w:t>-</w:t>
      </w:r>
      <w:r>
        <w:t>A和H</w:t>
      </w:r>
      <w:r>
        <w:rPr>
          <w:rFonts w:hint="eastAsia"/>
        </w:rPr>
        <w:t>-Yb-</w:t>
      </w:r>
      <w:r>
        <w:t>3N</w:t>
      </w:r>
      <w:r>
        <w:rPr>
          <w:vertAlign w:val="superscript"/>
        </w:rPr>
        <w:t>a</w:t>
      </w:r>
      <w:r>
        <w:t>-B表示绝对纯度均为</w:t>
      </w:r>
      <w:r>
        <w:rPr>
          <w:rFonts w:hint="eastAsia"/>
        </w:rPr>
        <w:t>9</w:t>
      </w:r>
      <w:r>
        <w:t>9.9</w:t>
      </w:r>
      <w:r>
        <w:rPr>
          <w:rFonts w:hint="eastAsia"/>
        </w:rPr>
        <w:t>%，但</w:t>
      </w:r>
      <w:r>
        <w:t>稀土杂质合量不同的高纯</w:t>
      </w:r>
      <w:r>
        <w:rPr>
          <w:rFonts w:hint="eastAsia"/>
        </w:rPr>
        <w:t>镱</w:t>
      </w:r>
      <w:r>
        <w:t>产品</w:t>
      </w:r>
      <w:r>
        <w:rPr>
          <w:rFonts w:hint="eastAsia"/>
        </w:rPr>
        <w:t>。</w:t>
      </w:r>
    </w:p>
    <w:p>
      <w:pPr>
        <w:spacing w:beforeLines="50" w:afterLines="50"/>
        <w:rPr>
          <w:rFonts w:ascii="黑体" w:hAnsi="黑体" w:eastAsia="黑体"/>
        </w:rPr>
      </w:pPr>
      <w:r>
        <w:rPr>
          <w:szCs w:val="21"/>
        </w:rPr>
        <w:t xml:space="preserve">  </w:t>
      </w:r>
      <w:r>
        <w:rPr>
          <w:rFonts w:ascii="黑体" w:hAnsi="黑体" w:eastAsia="黑体"/>
        </w:rPr>
        <w:t>3.2</w:t>
      </w:r>
      <w:r>
        <w:rPr>
          <w:rFonts w:hint="eastAsia" w:ascii="黑体" w:hAnsi="黑体" w:eastAsia="黑体"/>
        </w:rPr>
        <w:t>化学成分</w:t>
      </w:r>
    </w:p>
    <w:p>
      <w:pPr>
        <w:ind w:firstLine="420" w:firstLineChars="200"/>
      </w:pPr>
      <w:r>
        <w:rPr>
          <w:rFonts w:hint="eastAsia"/>
        </w:rPr>
        <w:t>产品化学成分应符合表</w:t>
      </w:r>
      <w:r>
        <w:t>1</w:t>
      </w:r>
      <w:r>
        <w:rPr>
          <w:rFonts w:hint="eastAsia"/>
        </w:rPr>
        <w:t>的规定。需方如对产品有特殊要求，供需双方可另行协商。</w:t>
      </w:r>
    </w:p>
    <w:p>
      <w:pPr>
        <w:jc w:val="center"/>
      </w:pPr>
      <w:r>
        <w:rPr>
          <w:rFonts w:hint="eastAsia"/>
        </w:rPr>
        <w:t>表</w:t>
      </w:r>
      <w:r>
        <w:t xml:space="preserve">1 </w:t>
      </w:r>
      <w:r>
        <w:rPr>
          <w:rFonts w:hint="eastAsia"/>
        </w:rPr>
        <w:t>产品化学成分</w:t>
      </w:r>
    </w:p>
    <w:tbl>
      <w:tblPr>
        <w:tblStyle w:val="8"/>
        <w:tblW w:w="877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694"/>
        <w:gridCol w:w="394"/>
        <w:gridCol w:w="1224"/>
        <w:gridCol w:w="1140"/>
        <w:gridCol w:w="1140"/>
        <w:gridCol w:w="1140"/>
        <w:gridCol w:w="1170"/>
        <w:gridCol w:w="12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956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产品牌号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H-Yb-4N</w:t>
            </w:r>
            <w:r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H-Yb-3N</w:t>
            </w:r>
            <w:r>
              <w:rPr>
                <w:sz w:val="18"/>
                <w:szCs w:val="18"/>
                <w:vertAlign w:val="superscript"/>
              </w:rPr>
              <w:t>a</w:t>
            </w: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H-Yb-3N</w:t>
            </w:r>
            <w:r>
              <w:rPr>
                <w:sz w:val="18"/>
                <w:szCs w:val="18"/>
                <w:vertAlign w:val="superscript"/>
              </w:rPr>
              <w:t>a</w:t>
            </w: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H-Yb-3N</w:t>
            </w:r>
            <w:r>
              <w:rPr>
                <w:sz w:val="18"/>
                <w:szCs w:val="18"/>
                <w:vertAlign w:val="superscript"/>
              </w:rPr>
              <w:t>a</w:t>
            </w:r>
            <w:r>
              <w:rPr>
                <w:sz w:val="18"/>
                <w:szCs w:val="18"/>
              </w:rPr>
              <w:t>-</w:t>
            </w:r>
            <w:r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H-Yb-3N</w:t>
            </w:r>
            <w:r>
              <w:rPr>
                <w:sz w:val="18"/>
                <w:szCs w:val="18"/>
                <w:vertAlign w:val="superscript"/>
              </w:rPr>
              <w:t>a</w:t>
            </w:r>
            <w:r>
              <w:rPr>
                <w:sz w:val="18"/>
                <w:szCs w:val="18"/>
              </w:rPr>
              <w:t>-</w:t>
            </w:r>
            <w:r>
              <w:rPr>
                <w:kern w:val="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4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化学成分（质量分数）</w:t>
            </w:r>
            <w:r>
              <w:rPr>
                <w:kern w:val="0"/>
                <w:sz w:val="18"/>
                <w:szCs w:val="18"/>
              </w:rPr>
              <w:t>/%</w:t>
            </w:r>
          </w:p>
        </w:tc>
        <w:tc>
          <w:tcPr>
            <w:tcW w:w="23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Yb</w:t>
            </w:r>
            <w:r>
              <w:rPr>
                <w:rFonts w:hAnsi="宋体"/>
                <w:kern w:val="0"/>
                <w:sz w:val="18"/>
                <w:szCs w:val="18"/>
              </w:rPr>
              <w:t>，不小于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99.99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99.98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99.95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99.9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 w:val="restart"/>
            <w:shd w:val="clear" w:color="auto" w:fill="auto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杂质含量，不大于</w:t>
            </w: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稀土杂质合量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0.002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0.005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0.005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非稀土杂质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Fe</w:t>
            </w:r>
          </w:p>
        </w:tc>
        <w:tc>
          <w:tcPr>
            <w:tcW w:w="1140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0.0005</w:t>
            </w:r>
          </w:p>
        </w:tc>
        <w:tc>
          <w:tcPr>
            <w:tcW w:w="1140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0.002</w:t>
            </w:r>
          </w:p>
        </w:tc>
        <w:tc>
          <w:tcPr>
            <w:tcW w:w="114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0.005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Si</w:t>
            </w:r>
          </w:p>
        </w:tc>
        <w:tc>
          <w:tcPr>
            <w:tcW w:w="1140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0.0005</w:t>
            </w:r>
          </w:p>
        </w:tc>
        <w:tc>
          <w:tcPr>
            <w:tcW w:w="1140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0.0015</w:t>
            </w:r>
          </w:p>
        </w:tc>
        <w:tc>
          <w:tcPr>
            <w:tcW w:w="114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0.003</w:t>
            </w:r>
          </w:p>
        </w:tc>
        <w:tc>
          <w:tcPr>
            <w:tcW w:w="117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0.005</w:t>
            </w:r>
          </w:p>
        </w:tc>
        <w:tc>
          <w:tcPr>
            <w:tcW w:w="1228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Ca</w:t>
            </w:r>
          </w:p>
        </w:tc>
        <w:tc>
          <w:tcPr>
            <w:tcW w:w="1140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0.001</w:t>
            </w:r>
          </w:p>
        </w:tc>
        <w:tc>
          <w:tcPr>
            <w:tcW w:w="1140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0.002</w:t>
            </w:r>
          </w:p>
        </w:tc>
        <w:tc>
          <w:tcPr>
            <w:tcW w:w="114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0.005</w:t>
            </w:r>
          </w:p>
        </w:tc>
        <w:tc>
          <w:tcPr>
            <w:tcW w:w="117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</w:t>
            </w:r>
          </w:p>
        </w:tc>
        <w:tc>
          <w:tcPr>
            <w:tcW w:w="1228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Mg</w:t>
            </w:r>
          </w:p>
        </w:tc>
        <w:tc>
          <w:tcPr>
            <w:tcW w:w="1140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0.001</w:t>
            </w:r>
          </w:p>
        </w:tc>
        <w:tc>
          <w:tcPr>
            <w:tcW w:w="1140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0.002</w:t>
            </w:r>
          </w:p>
        </w:tc>
        <w:tc>
          <w:tcPr>
            <w:tcW w:w="114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0.005</w:t>
            </w:r>
          </w:p>
        </w:tc>
        <w:tc>
          <w:tcPr>
            <w:tcW w:w="117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1228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Al</w:t>
            </w:r>
          </w:p>
        </w:tc>
        <w:tc>
          <w:tcPr>
            <w:tcW w:w="1140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0.0005</w:t>
            </w:r>
          </w:p>
        </w:tc>
        <w:tc>
          <w:tcPr>
            <w:tcW w:w="1140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0.001</w:t>
            </w:r>
          </w:p>
        </w:tc>
        <w:tc>
          <w:tcPr>
            <w:tcW w:w="114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0.002</w:t>
            </w:r>
          </w:p>
        </w:tc>
        <w:tc>
          <w:tcPr>
            <w:tcW w:w="117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0.005</w:t>
            </w:r>
          </w:p>
        </w:tc>
        <w:tc>
          <w:tcPr>
            <w:tcW w:w="1228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Ni</w:t>
            </w:r>
          </w:p>
        </w:tc>
        <w:tc>
          <w:tcPr>
            <w:tcW w:w="1140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0.0005</w:t>
            </w:r>
          </w:p>
        </w:tc>
        <w:tc>
          <w:tcPr>
            <w:tcW w:w="1140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0.0005</w:t>
            </w:r>
          </w:p>
        </w:tc>
        <w:tc>
          <w:tcPr>
            <w:tcW w:w="114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0.001</w:t>
            </w:r>
          </w:p>
        </w:tc>
        <w:tc>
          <w:tcPr>
            <w:tcW w:w="117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0.002</w:t>
            </w:r>
          </w:p>
        </w:tc>
        <w:tc>
          <w:tcPr>
            <w:tcW w:w="1228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Ti</w:t>
            </w:r>
          </w:p>
        </w:tc>
        <w:tc>
          <w:tcPr>
            <w:tcW w:w="1140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0.0005</w:t>
            </w:r>
          </w:p>
        </w:tc>
        <w:tc>
          <w:tcPr>
            <w:tcW w:w="1140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0.0005</w:t>
            </w:r>
          </w:p>
        </w:tc>
        <w:tc>
          <w:tcPr>
            <w:tcW w:w="114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0.001</w:t>
            </w:r>
          </w:p>
        </w:tc>
        <w:tc>
          <w:tcPr>
            <w:tcW w:w="117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0.002</w:t>
            </w:r>
          </w:p>
        </w:tc>
        <w:tc>
          <w:tcPr>
            <w:tcW w:w="1228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Mn</w:t>
            </w:r>
          </w:p>
        </w:tc>
        <w:tc>
          <w:tcPr>
            <w:tcW w:w="1140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0.001</w:t>
            </w:r>
          </w:p>
        </w:tc>
        <w:tc>
          <w:tcPr>
            <w:tcW w:w="1140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0.002</w:t>
            </w:r>
          </w:p>
        </w:tc>
        <w:tc>
          <w:tcPr>
            <w:tcW w:w="114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0.003</w:t>
            </w:r>
          </w:p>
        </w:tc>
        <w:tc>
          <w:tcPr>
            <w:tcW w:w="117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0.005</w:t>
            </w:r>
          </w:p>
        </w:tc>
        <w:tc>
          <w:tcPr>
            <w:tcW w:w="1228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Zn</w:t>
            </w:r>
          </w:p>
        </w:tc>
        <w:tc>
          <w:tcPr>
            <w:tcW w:w="1140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0.001</w:t>
            </w:r>
          </w:p>
        </w:tc>
        <w:tc>
          <w:tcPr>
            <w:tcW w:w="1140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0.002</w:t>
            </w:r>
          </w:p>
        </w:tc>
        <w:tc>
          <w:tcPr>
            <w:tcW w:w="114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0.003</w:t>
            </w:r>
          </w:p>
        </w:tc>
        <w:tc>
          <w:tcPr>
            <w:tcW w:w="117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0.005</w:t>
            </w:r>
          </w:p>
        </w:tc>
        <w:tc>
          <w:tcPr>
            <w:tcW w:w="1228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Pb</w:t>
            </w:r>
          </w:p>
        </w:tc>
        <w:tc>
          <w:tcPr>
            <w:tcW w:w="1140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0.0005</w:t>
            </w:r>
          </w:p>
        </w:tc>
        <w:tc>
          <w:tcPr>
            <w:tcW w:w="1140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0.0005</w:t>
            </w:r>
          </w:p>
        </w:tc>
        <w:tc>
          <w:tcPr>
            <w:tcW w:w="114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0.001</w:t>
            </w:r>
          </w:p>
        </w:tc>
        <w:tc>
          <w:tcPr>
            <w:tcW w:w="117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0.002</w:t>
            </w:r>
          </w:p>
        </w:tc>
        <w:tc>
          <w:tcPr>
            <w:tcW w:w="1228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Cu</w:t>
            </w:r>
          </w:p>
        </w:tc>
        <w:tc>
          <w:tcPr>
            <w:tcW w:w="1140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0.0005</w:t>
            </w:r>
          </w:p>
        </w:tc>
        <w:tc>
          <w:tcPr>
            <w:tcW w:w="1140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0.0005</w:t>
            </w:r>
          </w:p>
        </w:tc>
        <w:tc>
          <w:tcPr>
            <w:tcW w:w="114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0.001</w:t>
            </w:r>
          </w:p>
        </w:tc>
        <w:tc>
          <w:tcPr>
            <w:tcW w:w="117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0.002</w:t>
            </w:r>
          </w:p>
        </w:tc>
        <w:tc>
          <w:tcPr>
            <w:tcW w:w="1228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</w:t>
            </w:r>
          </w:p>
        </w:tc>
        <w:tc>
          <w:tcPr>
            <w:tcW w:w="1140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0.005</w:t>
            </w:r>
          </w:p>
        </w:tc>
        <w:tc>
          <w:tcPr>
            <w:tcW w:w="1140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</w:t>
            </w:r>
          </w:p>
        </w:tc>
        <w:tc>
          <w:tcPr>
            <w:tcW w:w="114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0.005</w:t>
            </w:r>
          </w:p>
        </w:tc>
        <w:tc>
          <w:tcPr>
            <w:tcW w:w="117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</w:t>
            </w:r>
          </w:p>
        </w:tc>
        <w:tc>
          <w:tcPr>
            <w:tcW w:w="1228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O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0.005</w:t>
            </w:r>
          </w:p>
        </w:tc>
        <w:tc>
          <w:tcPr>
            <w:tcW w:w="117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</w:t>
            </w:r>
          </w:p>
        </w:tc>
        <w:tc>
          <w:tcPr>
            <w:tcW w:w="1228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N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0.005</w:t>
            </w:r>
          </w:p>
        </w:tc>
        <w:tc>
          <w:tcPr>
            <w:tcW w:w="117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</w:t>
            </w:r>
          </w:p>
        </w:tc>
        <w:tc>
          <w:tcPr>
            <w:tcW w:w="1228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Cl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0.001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0.005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Ta</w:t>
            </w:r>
            <w:r>
              <w:rPr>
                <w:rFonts w:hAnsi="宋体"/>
                <w:kern w:val="0"/>
                <w:sz w:val="18"/>
                <w:szCs w:val="18"/>
              </w:rPr>
              <w:t>、</w:t>
            </w:r>
            <w:r>
              <w:rPr>
                <w:kern w:val="0"/>
                <w:sz w:val="18"/>
                <w:szCs w:val="18"/>
              </w:rPr>
              <w:t>Nb</w:t>
            </w:r>
            <w:r>
              <w:rPr>
                <w:rFonts w:hAnsi="宋体"/>
                <w:kern w:val="0"/>
                <w:sz w:val="18"/>
                <w:szCs w:val="18"/>
              </w:rPr>
              <w:t>、</w:t>
            </w:r>
            <w:r>
              <w:rPr>
                <w:kern w:val="0"/>
                <w:sz w:val="18"/>
                <w:szCs w:val="18"/>
              </w:rPr>
              <w:t>Mo</w:t>
            </w:r>
            <w:r>
              <w:rPr>
                <w:rFonts w:hAnsi="宋体"/>
                <w:kern w:val="0"/>
                <w:sz w:val="18"/>
                <w:szCs w:val="18"/>
              </w:rPr>
              <w:t>和</w:t>
            </w:r>
            <w:r>
              <w:rPr>
                <w:kern w:val="0"/>
                <w:sz w:val="18"/>
                <w:szCs w:val="18"/>
              </w:rPr>
              <w:t>W</w:t>
            </w:r>
            <w:r>
              <w:rPr>
                <w:rFonts w:hAnsi="宋体"/>
                <w:kern w:val="0"/>
                <w:sz w:val="18"/>
                <w:szCs w:val="18"/>
              </w:rPr>
              <w:t>的合量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0.001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0.002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0.002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0.002</w:t>
            </w:r>
          </w:p>
        </w:tc>
      </w:tr>
    </w:tbl>
    <w:p>
      <w:pPr>
        <w:pStyle w:val="14"/>
        <w:adjustRightInd w:val="0"/>
        <w:snapToGrid w:val="0"/>
        <w:spacing w:line="360" w:lineRule="exact"/>
        <w:ind w:firstLine="0" w:firstLineChars="0"/>
        <w:rPr>
          <w:rFonts w:ascii="Times New Roman" w:hAnsi="Times New Roman" w:eastAsia="黑体"/>
          <w:kern w:val="0"/>
          <w:szCs w:val="20"/>
        </w:rPr>
      </w:pPr>
      <w:r>
        <w:rPr>
          <w:rFonts w:ascii="Times New Roman" w:eastAsia="黑体"/>
        </w:rPr>
        <w:t>3.3</w:t>
      </w:r>
      <w:r>
        <w:rPr>
          <w:rFonts w:hint="eastAsia" w:ascii="Times New Roman" w:eastAsia="黑体"/>
        </w:rPr>
        <w:t>外观</w:t>
      </w:r>
    </w:p>
    <w:p>
      <w:pPr>
        <w:adjustRightInd w:val="0"/>
        <w:snapToGrid w:val="0"/>
        <w:spacing w:line="360" w:lineRule="exact"/>
        <w:rPr>
          <w:rFonts w:hAnsi="宋体"/>
        </w:rPr>
      </w:pPr>
      <w:r>
        <w:rPr>
          <w:rFonts w:hAnsi="宋体"/>
        </w:rPr>
        <w:t xml:space="preserve">3.3.1 </w:t>
      </w:r>
      <w:r>
        <w:rPr>
          <w:rFonts w:hint="eastAsia" w:hAnsi="宋体"/>
        </w:rPr>
        <w:t>产品为块状或丝状，呈银灰色金属光泽。</w:t>
      </w:r>
      <w:r>
        <w:rPr>
          <w:rFonts w:hAnsi="宋体"/>
        </w:rPr>
        <w:t xml:space="preserve"> </w:t>
      </w:r>
    </w:p>
    <w:p>
      <w:pPr>
        <w:adjustRightInd w:val="0"/>
        <w:snapToGrid w:val="0"/>
        <w:spacing w:line="360" w:lineRule="exact"/>
      </w:pPr>
      <w:r>
        <w:rPr>
          <w:rFonts w:hAnsi="宋体"/>
        </w:rPr>
        <w:t xml:space="preserve">3.3.2 </w:t>
      </w:r>
      <w:r>
        <w:rPr>
          <w:rFonts w:hint="eastAsia" w:hAnsi="宋体"/>
        </w:rPr>
        <w:t>产品表面应清洁，目视无可见夹杂物。</w:t>
      </w:r>
    </w:p>
    <w:p>
      <w:pPr>
        <w:pStyle w:val="14"/>
        <w:adjustRightInd w:val="0"/>
        <w:snapToGrid w:val="0"/>
        <w:spacing w:before="312" w:after="312" w:line="0" w:lineRule="atLeast"/>
        <w:ind w:firstLine="0" w:firstLineChars="0"/>
        <w:rPr>
          <w:rFonts w:ascii="黑体" w:eastAsia="黑体"/>
        </w:rPr>
      </w:pPr>
      <w:r>
        <w:rPr>
          <w:rFonts w:hint="eastAsia" w:ascii="黑体" w:eastAsia="黑体"/>
        </w:rPr>
        <w:t>4  试验方法</w:t>
      </w:r>
    </w:p>
    <w:p>
      <w:pPr>
        <w:spacing w:line="3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4.1化学成分</w:t>
      </w:r>
    </w:p>
    <w:p>
      <w:pPr>
        <w:adjustRightInd w:val="0"/>
        <w:snapToGrid w:val="0"/>
        <w:spacing w:line="360" w:lineRule="exact"/>
        <w:rPr>
          <w:rFonts w:hAnsi="宋体"/>
        </w:rPr>
      </w:pPr>
      <w:bookmarkStart w:id="1" w:name="_Hlk496201320"/>
      <w:r>
        <w:rPr>
          <w:rFonts w:hAnsi="宋体"/>
        </w:rPr>
        <w:t xml:space="preserve">4.1.1 </w:t>
      </w:r>
      <w:r>
        <w:rPr>
          <w:rFonts w:hint="eastAsia" w:hAnsi="宋体"/>
        </w:rPr>
        <w:t>产品中稀土杂质含量的分析方法按</w:t>
      </w:r>
      <w:r>
        <w:rPr>
          <w:rFonts w:hAnsi="宋体"/>
        </w:rPr>
        <w:t>GB/T 18115.14</w:t>
      </w:r>
      <w:r>
        <w:rPr>
          <w:rFonts w:hint="eastAsia" w:hAnsi="宋体"/>
        </w:rPr>
        <w:t>和“</w:t>
      </w:r>
      <w:r>
        <w:rPr>
          <w:rFonts w:hAnsi="宋体"/>
        </w:rPr>
        <w:t xml:space="preserve">XB/T XXX-20XX </w:t>
      </w:r>
      <w:r>
        <w:rPr>
          <w:rFonts w:hint="eastAsia" w:hAnsi="宋体"/>
        </w:rPr>
        <w:t>高纯稀土金属化学分析方法痕量元素含量的测定</w:t>
      </w:r>
      <w:r>
        <w:rPr>
          <w:rFonts w:hAnsi="宋体"/>
        </w:rPr>
        <w:t xml:space="preserve"> </w:t>
      </w:r>
      <w:r>
        <w:rPr>
          <w:rFonts w:hint="eastAsia" w:hAnsi="宋体"/>
        </w:rPr>
        <w:t>辉光放电质谱法”的规定进行。</w:t>
      </w:r>
    </w:p>
    <w:p>
      <w:pPr>
        <w:adjustRightInd w:val="0"/>
        <w:snapToGrid w:val="0"/>
        <w:spacing w:line="360" w:lineRule="exact"/>
        <w:rPr>
          <w:rFonts w:hAnsi="宋体"/>
        </w:rPr>
      </w:pPr>
      <w:r>
        <w:rPr>
          <w:rFonts w:hAnsi="宋体"/>
        </w:rPr>
        <w:t xml:space="preserve">4.1.2 </w:t>
      </w:r>
      <w:r>
        <w:rPr>
          <w:rFonts w:hint="eastAsia" w:hAnsi="宋体"/>
        </w:rPr>
        <w:t>产品非稀土杂质含量的分析方法按</w:t>
      </w:r>
      <w:r>
        <w:rPr>
          <w:rFonts w:hAnsi="宋体"/>
        </w:rPr>
        <w:t>GB/T 12690</w:t>
      </w:r>
      <w:r>
        <w:rPr>
          <w:rFonts w:hint="eastAsia" w:hAnsi="宋体"/>
        </w:rPr>
        <w:t>和“</w:t>
      </w:r>
      <w:r>
        <w:rPr>
          <w:rFonts w:hAnsi="宋体"/>
        </w:rPr>
        <w:t xml:space="preserve">XB/T XXX-20XX </w:t>
      </w:r>
      <w:r>
        <w:rPr>
          <w:rFonts w:hint="eastAsia" w:hAnsi="宋体"/>
        </w:rPr>
        <w:t>高纯稀土金属化学分析方法痕量元素含量的测定</w:t>
      </w:r>
      <w:r>
        <w:rPr>
          <w:rFonts w:hAnsi="宋体"/>
        </w:rPr>
        <w:t xml:space="preserve"> </w:t>
      </w:r>
      <w:r>
        <w:rPr>
          <w:rFonts w:hint="eastAsia" w:hAnsi="宋体"/>
        </w:rPr>
        <w:t>辉光放电质谱法”的规定进行。</w:t>
      </w:r>
    </w:p>
    <w:p>
      <w:pPr>
        <w:adjustRightInd w:val="0"/>
        <w:snapToGrid w:val="0"/>
        <w:spacing w:line="360" w:lineRule="exact"/>
        <w:rPr>
          <w:rFonts w:hint="eastAsia" w:hAnsi="宋体"/>
        </w:rPr>
      </w:pPr>
      <w:r>
        <w:rPr>
          <w:rFonts w:hint="eastAsia" w:hAnsi="宋体"/>
        </w:rPr>
        <w:t>4</w:t>
      </w:r>
      <w:r>
        <w:rPr>
          <w:rFonts w:hAnsi="宋体"/>
        </w:rPr>
        <w:t>.1.3 镱（Yb）的绝对纯度由计算得出，即[(100-Σ表1所列杂质含量)%]</w:t>
      </w:r>
      <w:bookmarkEnd w:id="1"/>
    </w:p>
    <w:p>
      <w:pPr>
        <w:spacing w:beforeLines="50" w:line="36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4.2数值修约</w:t>
      </w:r>
    </w:p>
    <w:p>
      <w:pPr>
        <w:ind w:firstLine="420" w:firstLineChars="200"/>
      </w:pPr>
      <w:r>
        <w:rPr>
          <w:rFonts w:hint="eastAsia"/>
        </w:rPr>
        <w:t>按</w:t>
      </w:r>
      <w:r>
        <w:t>GB/T 8170</w:t>
      </w:r>
      <w:r>
        <w:rPr>
          <w:rFonts w:hint="eastAsia"/>
        </w:rPr>
        <w:t>的规定进行。</w:t>
      </w:r>
    </w:p>
    <w:p>
      <w:pPr>
        <w:spacing w:beforeLines="50" w:line="3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4.3 外观质量</w:t>
      </w:r>
    </w:p>
    <w:p>
      <w:pPr>
        <w:ind w:firstLine="420" w:firstLineChars="200"/>
      </w:pPr>
      <w:r>
        <w:rPr>
          <w:rFonts w:hint="eastAsia" w:hAnsi="宋体"/>
        </w:rPr>
        <w:t>自然散色光下，</w:t>
      </w:r>
      <w:r>
        <w:rPr>
          <w:rFonts w:hint="eastAsia"/>
        </w:rPr>
        <w:t>目视检查</w:t>
      </w:r>
      <w:r>
        <w:rPr>
          <w:rFonts w:hint="eastAsia" w:hAnsi="宋体"/>
        </w:rPr>
        <w:t>。</w:t>
      </w:r>
    </w:p>
    <w:p>
      <w:pPr>
        <w:pStyle w:val="14"/>
        <w:adjustRightInd w:val="0"/>
        <w:snapToGrid w:val="0"/>
        <w:spacing w:before="312" w:after="312" w:line="0" w:lineRule="atLeast"/>
        <w:ind w:firstLine="0" w:firstLineChars="0"/>
        <w:rPr>
          <w:rFonts w:ascii="黑体" w:eastAsia="黑体"/>
        </w:rPr>
      </w:pPr>
      <w:r>
        <w:rPr>
          <w:rFonts w:hint="eastAsia" w:ascii="黑体" w:eastAsia="黑体"/>
        </w:rPr>
        <w:t>5  检验规则</w:t>
      </w:r>
    </w:p>
    <w:p>
      <w:pPr>
        <w:pStyle w:val="14"/>
        <w:adjustRightInd w:val="0"/>
        <w:snapToGrid w:val="0"/>
        <w:spacing w:line="360" w:lineRule="exact"/>
        <w:ind w:firstLine="0" w:firstLineChars="0"/>
        <w:rPr>
          <w:rFonts w:ascii="Times New Roman" w:eastAsia="黑体"/>
        </w:rPr>
      </w:pPr>
      <w:r>
        <w:rPr>
          <w:rFonts w:ascii="Times New Roman" w:eastAsia="黑体"/>
        </w:rPr>
        <w:t xml:space="preserve">5.1  </w:t>
      </w:r>
      <w:r>
        <w:rPr>
          <w:rFonts w:hint="eastAsia" w:ascii="Times New Roman" w:eastAsia="黑体"/>
        </w:rPr>
        <w:t>检查与验收</w:t>
      </w:r>
    </w:p>
    <w:p>
      <w:pPr>
        <w:adjustRightInd w:val="0"/>
        <w:snapToGrid w:val="0"/>
        <w:spacing w:line="360" w:lineRule="exact"/>
      </w:pPr>
      <w:r>
        <w:t xml:space="preserve">5.1.1  </w:t>
      </w:r>
      <w:r>
        <w:rPr>
          <w:rFonts w:hint="eastAsia" w:hAnsi="宋体"/>
        </w:rPr>
        <w:t>产品由供方质量检验部门进行检验，保证产品质量符合本标准规定，并填写产品质量证明书。</w:t>
      </w:r>
    </w:p>
    <w:p>
      <w:r>
        <w:rPr>
          <w:rFonts w:ascii="黑体" w:hAnsi="黑体" w:eastAsia="黑体"/>
        </w:rPr>
        <w:t>5.1.2</w:t>
      </w:r>
      <w:r>
        <w:t xml:space="preserve"> </w:t>
      </w:r>
      <w:r>
        <w:rPr>
          <w:rFonts w:hint="eastAsia"/>
        </w:rPr>
        <w:t>需方应对收到的产品按本标准的规定进行检验，如检验结果与本标准规定不符时，应在收到产品之日起</w:t>
      </w:r>
      <w:r>
        <w:t>2</w:t>
      </w:r>
      <w:r>
        <w:rPr>
          <w:rFonts w:hint="eastAsia"/>
        </w:rPr>
        <w:t>个月内向供方提出，由供需双方协商解决。如需仲裁，可委托双方认可的单位进行，并在需方共同取样。</w:t>
      </w:r>
    </w:p>
    <w:p>
      <w:pPr>
        <w:pStyle w:val="14"/>
        <w:adjustRightInd w:val="0"/>
        <w:snapToGrid w:val="0"/>
        <w:spacing w:line="360" w:lineRule="exact"/>
        <w:ind w:firstLine="0" w:firstLineChars="0"/>
        <w:rPr>
          <w:rFonts w:ascii="Times New Roman" w:eastAsia="黑体"/>
        </w:rPr>
      </w:pPr>
      <w:r>
        <w:rPr>
          <w:rFonts w:ascii="Times New Roman" w:eastAsia="黑体"/>
        </w:rPr>
        <w:t xml:space="preserve">5.2  </w:t>
      </w:r>
      <w:r>
        <w:rPr>
          <w:rFonts w:hint="eastAsia" w:ascii="Times New Roman" w:eastAsia="黑体"/>
        </w:rPr>
        <w:t>组批</w:t>
      </w:r>
    </w:p>
    <w:p>
      <w:pPr>
        <w:adjustRightInd w:val="0"/>
        <w:snapToGrid w:val="0"/>
        <w:spacing w:line="360" w:lineRule="exact"/>
        <w:ind w:firstLine="420" w:firstLineChars="200"/>
      </w:pPr>
      <w:r>
        <w:rPr>
          <w:rFonts w:hint="eastAsia" w:hAnsi="宋体"/>
        </w:rPr>
        <w:t>产品应成批检验，每批应由同一牌号的产品组成。</w:t>
      </w:r>
    </w:p>
    <w:p>
      <w:pPr>
        <w:pStyle w:val="14"/>
        <w:adjustRightInd w:val="0"/>
        <w:snapToGrid w:val="0"/>
        <w:spacing w:line="360" w:lineRule="exact"/>
        <w:ind w:firstLine="0" w:firstLineChars="0"/>
        <w:rPr>
          <w:rFonts w:ascii="Times New Roman" w:eastAsia="黑体"/>
        </w:rPr>
      </w:pPr>
      <w:r>
        <w:rPr>
          <w:rFonts w:ascii="Times New Roman" w:eastAsia="黑体"/>
        </w:rPr>
        <w:t xml:space="preserve">5.3  </w:t>
      </w:r>
      <w:r>
        <w:rPr>
          <w:rFonts w:hint="eastAsia" w:ascii="Times New Roman" w:eastAsia="黑体"/>
        </w:rPr>
        <w:t>检验项目</w:t>
      </w:r>
    </w:p>
    <w:p>
      <w:pPr>
        <w:pStyle w:val="14"/>
        <w:adjustRightInd w:val="0"/>
        <w:snapToGrid w:val="0"/>
        <w:spacing w:line="360" w:lineRule="exact"/>
        <w:ind w:firstLine="420"/>
      </w:pPr>
      <w:r>
        <w:rPr>
          <w:rFonts w:hint="eastAsia"/>
        </w:rPr>
        <w:t>每批产品均应进行化学成分和外观质量的检验。</w:t>
      </w:r>
    </w:p>
    <w:p>
      <w:pPr>
        <w:pStyle w:val="14"/>
        <w:adjustRightInd w:val="0"/>
        <w:snapToGrid w:val="0"/>
        <w:spacing w:line="360" w:lineRule="exact"/>
        <w:ind w:firstLine="0" w:firstLineChars="0"/>
        <w:rPr>
          <w:rFonts w:ascii="Times New Roman" w:eastAsia="黑体"/>
        </w:rPr>
      </w:pPr>
      <w:r>
        <w:rPr>
          <w:rFonts w:ascii="Times New Roman" w:eastAsia="黑体"/>
        </w:rPr>
        <w:t xml:space="preserve">5.4  </w:t>
      </w:r>
      <w:r>
        <w:rPr>
          <w:rFonts w:hint="eastAsia" w:ascii="Times New Roman" w:eastAsia="黑体"/>
        </w:rPr>
        <w:t>取样与制样</w:t>
      </w:r>
    </w:p>
    <w:p>
      <w:pPr>
        <w:pStyle w:val="14"/>
        <w:adjustRightInd w:val="0"/>
        <w:snapToGrid w:val="0"/>
        <w:spacing w:line="360" w:lineRule="exact"/>
        <w:ind w:firstLine="0" w:firstLineChars="0"/>
        <w:rPr>
          <w:rFonts w:eastAsia="黑体"/>
        </w:rPr>
      </w:pPr>
      <w:bookmarkStart w:id="2" w:name="_Hlk496202286"/>
      <w:r>
        <w:rPr>
          <w:rFonts w:ascii="Times New Roman" w:eastAsia="黑体"/>
        </w:rPr>
        <w:t>5.4.1</w:t>
      </w:r>
      <w:r>
        <w:rPr>
          <w:rFonts w:hint="eastAsia" w:ascii="Times New Roman" w:eastAsia="黑体"/>
        </w:rPr>
        <w:t>化学成分分析的仲裁取样件数按表</w:t>
      </w:r>
      <w:r>
        <w:rPr>
          <w:rFonts w:ascii="Times New Roman" w:eastAsia="黑体"/>
        </w:rPr>
        <w:t>2</w:t>
      </w:r>
      <w:r>
        <w:rPr>
          <w:rFonts w:hint="eastAsia" w:ascii="Times New Roman" w:eastAsia="黑体"/>
        </w:rPr>
        <w:t>的规定进行。</w:t>
      </w:r>
    </w:p>
    <w:p>
      <w:pPr>
        <w:spacing w:beforeLines="50" w:afterLines="50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表</w:t>
      </w:r>
      <w:r>
        <w:rPr>
          <w:rFonts w:ascii="黑体" w:hAnsi="黑体" w:eastAsia="黑体"/>
        </w:rPr>
        <w:t xml:space="preserve">2 </w:t>
      </w:r>
      <w:r>
        <w:rPr>
          <w:rFonts w:hint="eastAsia" w:ascii="黑体" w:hAnsi="黑体" w:eastAsia="黑体"/>
        </w:rPr>
        <w:t>产品的仲裁取样数量</w:t>
      </w:r>
    </w:p>
    <w:tbl>
      <w:tblPr>
        <w:tblStyle w:val="8"/>
        <w:tblW w:w="852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742"/>
        <w:gridCol w:w="1100"/>
        <w:gridCol w:w="1216"/>
        <w:gridCol w:w="1330"/>
        <w:gridCol w:w="1330"/>
        <w:gridCol w:w="8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5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每批重量</w:t>
            </w:r>
            <w:r>
              <w:rPr>
                <w:sz w:val="18"/>
              </w:rPr>
              <w:t xml:space="preserve"> / kg</w:t>
            </w:r>
          </w:p>
        </w:tc>
        <w:tc>
          <w:tcPr>
            <w:tcW w:w="742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≤</w:t>
            </w:r>
            <w:r>
              <w:rPr>
                <w:sz w:val="18"/>
              </w:rPr>
              <w:t xml:space="preserve">10 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＞</w:t>
            </w:r>
            <w:r>
              <w:rPr>
                <w:sz w:val="18"/>
              </w:rPr>
              <w:t>10～50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＞</w:t>
            </w:r>
            <w:r>
              <w:rPr>
                <w:sz w:val="18"/>
              </w:rPr>
              <w:t>50～100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＞</w:t>
            </w:r>
            <w:r>
              <w:rPr>
                <w:sz w:val="18"/>
              </w:rPr>
              <w:t>100～200</w:t>
            </w:r>
          </w:p>
        </w:tc>
        <w:tc>
          <w:tcPr>
            <w:tcW w:w="133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＞</w:t>
            </w:r>
            <w:r>
              <w:rPr>
                <w:sz w:val="18"/>
              </w:rPr>
              <w:t>200～500</w:t>
            </w:r>
          </w:p>
        </w:tc>
        <w:tc>
          <w:tcPr>
            <w:tcW w:w="858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＞</w:t>
            </w:r>
            <w:r>
              <w:rPr>
                <w:sz w:val="18"/>
              </w:rPr>
              <w:t>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5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取样件数</w:t>
            </w:r>
            <w:r>
              <w:rPr>
                <w:sz w:val="18"/>
              </w:rPr>
              <w:t xml:space="preserve"> / </w:t>
            </w:r>
            <w:r>
              <w:rPr>
                <w:rFonts w:hint="eastAsia"/>
                <w:sz w:val="18"/>
              </w:rPr>
              <w:t>块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42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33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58" w:type="dxa"/>
            <w:tcBorders>
              <w:top w:val="single" w:color="auto" w:sz="6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bookmarkEnd w:id="2"/>
    </w:tbl>
    <w:p>
      <w:pPr>
        <w:pStyle w:val="14"/>
        <w:adjustRightInd w:val="0"/>
        <w:snapToGrid w:val="0"/>
        <w:spacing w:line="360" w:lineRule="exact"/>
        <w:ind w:firstLine="0" w:firstLineChars="0"/>
        <w:rPr>
          <w:rFonts w:eastAsia="黑体"/>
        </w:rPr>
      </w:pPr>
      <w:bookmarkStart w:id="3" w:name="_Hlk496202326"/>
      <w:r>
        <w:rPr>
          <w:rFonts w:ascii="Times New Roman" w:eastAsia="黑体"/>
        </w:rPr>
        <w:t>5.4.2</w:t>
      </w:r>
      <w:r>
        <w:rPr>
          <w:rFonts w:hint="eastAsia" w:ascii="Times New Roman" w:eastAsia="黑体"/>
        </w:rPr>
        <w:t>化学成分分析的取样方法</w:t>
      </w:r>
    </w:p>
    <w:p>
      <w:pPr>
        <w:adjustRightInd w:val="0"/>
        <w:snapToGrid w:val="0"/>
        <w:spacing w:line="360" w:lineRule="exact"/>
        <w:ind w:firstLine="420" w:firstLineChars="200"/>
        <w:rPr>
          <w:rFonts w:ascii="宋体" w:hAnsi="宋体"/>
          <w:kern w:val="0"/>
          <w:szCs w:val="21"/>
        </w:rPr>
      </w:pPr>
      <w:r>
        <w:rPr>
          <w:rFonts w:hint="eastAsia"/>
        </w:rPr>
        <w:t>分析氧含量，在氩气保护气氛下从金属锭中间截面位置上锯切试样，取样量不少于10g，取好的块状样品应立即密封保存。分析其他元素含量时，</w:t>
      </w:r>
      <w:r>
        <w:rPr>
          <w:rFonts w:hint="eastAsia" w:ascii="宋体" w:hAnsi="宋体"/>
          <w:kern w:val="0"/>
          <w:szCs w:val="21"/>
        </w:rPr>
        <w:t>根据检查分析手段不同，选择屑状或者块状。</w:t>
      </w:r>
    </w:p>
    <w:p>
      <w:pPr>
        <w:adjustRightInd w:val="0"/>
        <w:snapToGrid w:val="0"/>
        <w:spacing w:line="360" w:lineRule="exact"/>
        <w:ind w:firstLine="420" w:firstLineChars="200"/>
      </w:pPr>
      <w:r>
        <w:rPr>
          <w:rFonts w:hint="eastAsia" w:ascii="宋体" w:hAnsi="宋体"/>
          <w:kern w:val="0"/>
          <w:szCs w:val="21"/>
        </w:rPr>
        <w:t>屑状样品取样要求：</w:t>
      </w:r>
      <w:r>
        <w:rPr>
          <w:rFonts w:hint="eastAsia"/>
        </w:rPr>
        <w:t>用直径5～10mm的钻头在金属锭上下两面各钻三点以上，钻点均匀分布，弃去深度0.5～1.0mm的表面钻屑，然后钻取试样，取样量不少于10g，将所得试样迅速混匀缩分至所需数量，并立即密封保存。蒸馏产品取样时，也可制取块状样品，取样时弃去深度0.5～1.0mm的表层，取样量不少于10g，将所得试样迅速混匀缩分至所需数量，并立即密封保存。</w:t>
      </w:r>
    </w:p>
    <w:p>
      <w:pPr>
        <w:adjustRightInd w:val="0"/>
        <w:snapToGrid w:val="0"/>
        <w:spacing w:line="360" w:lineRule="exact"/>
        <w:ind w:firstLine="420" w:firstLineChars="200"/>
      </w:pPr>
      <w:r>
        <w:rPr>
          <w:rFonts w:hint="eastAsia" w:ascii="宋体" w:hAnsi="宋体"/>
          <w:kern w:val="0"/>
          <w:szCs w:val="21"/>
        </w:rPr>
        <w:t>块状样品取样要求：如果GDMS分析标准里面有说明，则按照GD</w:t>
      </w:r>
      <w:r>
        <w:rPr>
          <w:rFonts w:ascii="宋体" w:hAnsi="宋体"/>
          <w:kern w:val="0"/>
          <w:szCs w:val="21"/>
        </w:rPr>
        <w:t>MS</w:t>
      </w:r>
      <w:r>
        <w:rPr>
          <w:rFonts w:hint="eastAsia" w:ascii="宋体" w:hAnsi="宋体"/>
          <w:kern w:val="0"/>
          <w:szCs w:val="21"/>
        </w:rPr>
        <w:t>标准执行，如果没有，需和GDMS分析单位核实取样要求。</w:t>
      </w:r>
    </w:p>
    <w:bookmarkEnd w:id="3"/>
    <w:p>
      <w:pPr>
        <w:pStyle w:val="14"/>
        <w:adjustRightInd w:val="0"/>
        <w:snapToGrid w:val="0"/>
        <w:spacing w:before="156" w:line="360" w:lineRule="exact"/>
        <w:ind w:firstLine="0" w:firstLineChars="0"/>
        <w:rPr>
          <w:rFonts w:ascii="Times New Roman" w:hAnsi="Times New Roman" w:eastAsia="黑体"/>
        </w:rPr>
      </w:pPr>
      <w:r>
        <w:rPr>
          <w:rFonts w:ascii="Times New Roman" w:eastAsia="黑体"/>
        </w:rPr>
        <w:t xml:space="preserve">5.5  </w:t>
      </w:r>
      <w:r>
        <w:rPr>
          <w:rFonts w:hint="eastAsia" w:ascii="Times New Roman" w:eastAsia="黑体"/>
        </w:rPr>
        <w:t>检验结果的判定</w:t>
      </w:r>
    </w:p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  <w:b/>
        </w:rPr>
        <w:t xml:space="preserve">5.5.1 </w:t>
      </w:r>
      <w:r>
        <w:rPr>
          <w:rFonts w:hint="eastAsia" w:ascii="宋体" w:hAnsi="宋体"/>
        </w:rPr>
        <w:t>化学成分仲裁分析结果与本标准规定不符时，则从该批产品中取双倍样对不合格项目进行重复试验，</w:t>
      </w:r>
      <w:bookmarkStart w:id="4" w:name="_Hlk488852754"/>
      <w:r>
        <w:rPr>
          <w:rFonts w:hint="eastAsia" w:ascii="宋体" w:hAnsi="宋体"/>
        </w:rPr>
        <w:t>如仍有不合格项，</w:t>
      </w:r>
      <w:bookmarkEnd w:id="4"/>
      <w:r>
        <w:rPr>
          <w:rFonts w:hint="eastAsia" w:ascii="宋体" w:hAnsi="宋体"/>
        </w:rPr>
        <w:t>则判该批产品为不合格。</w:t>
      </w:r>
    </w:p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  <w:b/>
        </w:rPr>
        <w:t xml:space="preserve">5.5.2 </w:t>
      </w:r>
      <w:r>
        <w:rPr>
          <w:rFonts w:hint="eastAsia" w:ascii="宋体" w:hAnsi="宋体"/>
        </w:rPr>
        <w:t>产品外观检验与本标准规定不符时，则直接判该批产品为不合格。</w:t>
      </w:r>
    </w:p>
    <w:p>
      <w:pPr>
        <w:pStyle w:val="14"/>
        <w:adjustRightInd w:val="0"/>
        <w:snapToGrid w:val="0"/>
        <w:spacing w:beforeLines="100" w:afterLines="100" w:line="360" w:lineRule="exact"/>
        <w:ind w:firstLine="0" w:firstLineChars="0"/>
        <w:rPr>
          <w:rFonts w:ascii="Times New Roman" w:hAnsi="Times New Roman" w:eastAsia="黑体"/>
        </w:rPr>
      </w:pPr>
      <w:bookmarkStart w:id="5" w:name="_Hlk496202388"/>
      <w:r>
        <w:rPr>
          <w:rFonts w:hint="eastAsia" w:ascii="黑体" w:eastAsia="黑体"/>
        </w:rPr>
        <w:t>6  标志、包装、运输、贮存及</w:t>
      </w:r>
      <w:r>
        <w:rPr>
          <w:rFonts w:hint="eastAsia" w:ascii="Times New Roman" w:eastAsia="黑体"/>
        </w:rPr>
        <w:t>质量证明书</w:t>
      </w:r>
    </w:p>
    <w:p>
      <w:pPr>
        <w:pStyle w:val="19"/>
        <w:numPr>
          <w:ilvl w:val="1"/>
          <w:numId w:val="0"/>
        </w:numPr>
        <w:spacing w:beforeLines="50" w:afterLines="50" w:line="400" w:lineRule="exact"/>
        <w:jc w:val="left"/>
      </w:pPr>
      <w:r>
        <w:rPr>
          <w:rFonts w:hint="eastAsia"/>
          <w:bCs/>
        </w:rPr>
        <w:t>6.1</w:t>
      </w:r>
      <w:r>
        <w:rPr>
          <w:rFonts w:hint="eastAsia"/>
        </w:rPr>
        <w:t>产品的标志、包装、运输、贮存</w:t>
      </w:r>
    </w:p>
    <w:p>
      <w:pPr>
        <w:spacing w:beforeLines="50" w:afterLines="50"/>
        <w:rPr>
          <w:color w:val="000000"/>
        </w:rPr>
      </w:pPr>
      <w:r>
        <w:rPr>
          <w:rFonts w:hint="eastAsia"/>
          <w:color w:val="000000"/>
        </w:rPr>
        <w:t>应符合GB XXXX 《稀土产品的包装、标志、运输及贮存》的规定。</w:t>
      </w:r>
    </w:p>
    <w:p>
      <w:pPr>
        <w:spacing w:beforeLines="50" w:afterLines="50"/>
        <w:rPr>
          <w:rFonts w:eastAsia="黑体"/>
          <w:bCs/>
        </w:rPr>
      </w:pPr>
      <w:r>
        <w:rPr>
          <w:rFonts w:ascii="黑体" w:hAnsi="黑体" w:eastAsia="黑体"/>
          <w:bCs/>
        </w:rPr>
        <w:t>6.</w:t>
      </w:r>
      <w:r>
        <w:rPr>
          <w:rFonts w:hint="eastAsia" w:ascii="黑体" w:hAnsi="黑体" w:eastAsia="黑体"/>
          <w:bCs/>
        </w:rPr>
        <w:t>2</w:t>
      </w:r>
      <w:r>
        <w:rPr>
          <w:rFonts w:ascii="黑体" w:hAnsi="黑体" w:eastAsia="黑体"/>
          <w:bCs/>
        </w:rPr>
        <w:t xml:space="preserve"> </w:t>
      </w:r>
      <w:r>
        <w:rPr>
          <w:rFonts w:eastAsia="黑体"/>
          <w:bCs/>
        </w:rPr>
        <w:t xml:space="preserve"> </w:t>
      </w:r>
      <w:r>
        <w:rPr>
          <w:rFonts w:hint="eastAsia" w:eastAsia="黑体"/>
          <w:bCs/>
        </w:rPr>
        <w:t>质量证明书</w:t>
      </w:r>
    </w:p>
    <w:p>
      <w:pPr>
        <w:ind w:firstLine="359" w:firstLineChars="171"/>
      </w:pPr>
      <w:r>
        <w:t xml:space="preserve"> </w:t>
      </w:r>
      <w:r>
        <w:rPr>
          <w:rFonts w:hint="eastAsia"/>
        </w:rPr>
        <w:t>每批产品应附质量证明书，注明：</w:t>
      </w:r>
    </w:p>
    <w:p>
      <w:pPr>
        <w:ind w:firstLine="420" w:firstLineChars="200"/>
      </w:pPr>
      <w:r>
        <w:t xml:space="preserve">a)  </w:t>
      </w:r>
      <w:r>
        <w:rPr>
          <w:rFonts w:hint="eastAsia"/>
        </w:rPr>
        <w:t>供方名称；</w:t>
      </w:r>
    </w:p>
    <w:p>
      <w:pPr>
        <w:ind w:firstLine="420" w:firstLineChars="200"/>
      </w:pPr>
      <w:r>
        <w:t xml:space="preserve">b)  </w:t>
      </w:r>
      <w:r>
        <w:rPr>
          <w:rFonts w:hint="eastAsia"/>
        </w:rPr>
        <w:t>产品名称和牌号；</w:t>
      </w:r>
    </w:p>
    <w:p>
      <w:pPr>
        <w:ind w:firstLine="420" w:firstLineChars="200"/>
      </w:pPr>
      <w:r>
        <w:t xml:space="preserve">c)  </w:t>
      </w:r>
      <w:r>
        <w:rPr>
          <w:rFonts w:hint="eastAsia"/>
        </w:rPr>
        <w:t>批号；</w:t>
      </w:r>
    </w:p>
    <w:p>
      <w:pPr>
        <w:ind w:firstLine="420" w:firstLineChars="200"/>
      </w:pPr>
      <w:r>
        <w:t>d)  净重</w:t>
      </w:r>
      <w:r>
        <w:rPr>
          <w:rFonts w:hint="eastAsia"/>
        </w:rPr>
        <w:t>、</w:t>
      </w:r>
      <w:r>
        <w:t>件数</w:t>
      </w:r>
      <w:r>
        <w:rPr>
          <w:rFonts w:hint="eastAsia"/>
        </w:rPr>
        <w:t>；</w:t>
      </w:r>
    </w:p>
    <w:p>
      <w:pPr>
        <w:ind w:firstLine="420" w:firstLineChars="200"/>
      </w:pPr>
      <w:r>
        <w:t xml:space="preserve">e)  </w:t>
      </w:r>
      <w:r>
        <w:rPr>
          <w:rFonts w:hint="eastAsia"/>
        </w:rPr>
        <w:t>各项分析检验结果和供方质量检验部门印记；</w:t>
      </w:r>
    </w:p>
    <w:p>
      <w:pPr>
        <w:ind w:firstLine="420" w:firstLineChars="200"/>
      </w:pPr>
      <w:r>
        <w:t xml:space="preserve">f)  </w:t>
      </w:r>
      <w:r>
        <w:rPr>
          <w:rFonts w:hint="eastAsia"/>
        </w:rPr>
        <w:t>本标准编号；</w:t>
      </w:r>
    </w:p>
    <w:p>
      <w:pPr>
        <w:adjustRightInd w:val="0"/>
        <w:snapToGrid w:val="0"/>
        <w:spacing w:line="360" w:lineRule="exact"/>
        <w:ind w:firstLine="420" w:firstLineChars="200"/>
      </w:pPr>
      <w:r>
        <w:rPr>
          <w:rFonts w:hint="eastAsia"/>
        </w:rPr>
        <w:t>g</w:t>
      </w:r>
      <w:r>
        <w:t xml:space="preserve">)  </w:t>
      </w:r>
      <w:r>
        <w:rPr>
          <w:rFonts w:hint="eastAsia"/>
        </w:rPr>
        <w:t>出厂日期。</w:t>
      </w:r>
    </w:p>
    <w:bookmarkEnd w:id="5"/>
    <w:p>
      <w:pPr>
        <w:adjustRightInd w:val="0"/>
        <w:snapToGrid w:val="0"/>
        <w:spacing w:line="360" w:lineRule="exact"/>
        <w:rPr>
          <w:rFonts w:hAnsi="宋体"/>
        </w:rPr>
      </w:pPr>
    </w:p>
    <w:p>
      <w:pPr>
        <w:adjustRightInd w:val="0"/>
        <w:snapToGrid w:val="0"/>
        <w:spacing w:line="360" w:lineRule="exact"/>
        <w:ind w:firstLine="420" w:firstLineChars="200"/>
      </w:pPr>
      <w:r>
        <w:pict>
          <v:line id="直接连接符 1" o:spid="_x0000_s1026" o:spt="20" style="position:absolute;left:0pt;margin-left:162.75pt;margin-top:2.65pt;height:0.05pt;width:110.25pt;z-index:25165721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">
            <v:path arrowok="t"/>
            <v:fill focussize="0,0"/>
            <v:stroke weight="2pt"/>
            <v:imagedata o:title=""/>
            <o:lock v:ext="edit"/>
          </v:line>
        </w:pic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67BF"/>
    <w:rsid w:val="00010419"/>
    <w:rsid w:val="00011CE1"/>
    <w:rsid w:val="00020F4B"/>
    <w:rsid w:val="00022408"/>
    <w:rsid w:val="00070D73"/>
    <w:rsid w:val="00075FFE"/>
    <w:rsid w:val="00090983"/>
    <w:rsid w:val="00092337"/>
    <w:rsid w:val="000E1F2E"/>
    <w:rsid w:val="000F6DC9"/>
    <w:rsid w:val="00121A78"/>
    <w:rsid w:val="00124D5B"/>
    <w:rsid w:val="0013370E"/>
    <w:rsid w:val="0013402D"/>
    <w:rsid w:val="001878B2"/>
    <w:rsid w:val="001B32E8"/>
    <w:rsid w:val="001B4AE4"/>
    <w:rsid w:val="001C4689"/>
    <w:rsid w:val="001E5DCD"/>
    <w:rsid w:val="001F0C5B"/>
    <w:rsid w:val="00203750"/>
    <w:rsid w:val="002240CC"/>
    <w:rsid w:val="00266011"/>
    <w:rsid w:val="002750F2"/>
    <w:rsid w:val="002B7D84"/>
    <w:rsid w:val="002C0661"/>
    <w:rsid w:val="002D1B70"/>
    <w:rsid w:val="002D41AA"/>
    <w:rsid w:val="00332287"/>
    <w:rsid w:val="00345402"/>
    <w:rsid w:val="00353245"/>
    <w:rsid w:val="0035666B"/>
    <w:rsid w:val="00386FEA"/>
    <w:rsid w:val="003947F7"/>
    <w:rsid w:val="003B71E7"/>
    <w:rsid w:val="003C1E57"/>
    <w:rsid w:val="003E6E7F"/>
    <w:rsid w:val="0040005D"/>
    <w:rsid w:val="00402917"/>
    <w:rsid w:val="00477CEB"/>
    <w:rsid w:val="004829AE"/>
    <w:rsid w:val="004956CE"/>
    <w:rsid w:val="004A20A2"/>
    <w:rsid w:val="004B15C6"/>
    <w:rsid w:val="004B5D59"/>
    <w:rsid w:val="004E6023"/>
    <w:rsid w:val="005174E6"/>
    <w:rsid w:val="005239A4"/>
    <w:rsid w:val="00530331"/>
    <w:rsid w:val="00537ED8"/>
    <w:rsid w:val="0054415D"/>
    <w:rsid w:val="00547F8D"/>
    <w:rsid w:val="005C5562"/>
    <w:rsid w:val="005D5F06"/>
    <w:rsid w:val="005E3D35"/>
    <w:rsid w:val="005F4333"/>
    <w:rsid w:val="005F524A"/>
    <w:rsid w:val="00606802"/>
    <w:rsid w:val="00663755"/>
    <w:rsid w:val="006679EE"/>
    <w:rsid w:val="0069175E"/>
    <w:rsid w:val="006B1ACE"/>
    <w:rsid w:val="006C7EA7"/>
    <w:rsid w:val="006D3832"/>
    <w:rsid w:val="006E42A2"/>
    <w:rsid w:val="00710040"/>
    <w:rsid w:val="00735BBF"/>
    <w:rsid w:val="00737D08"/>
    <w:rsid w:val="00795191"/>
    <w:rsid w:val="007B0221"/>
    <w:rsid w:val="007C3354"/>
    <w:rsid w:val="007D2139"/>
    <w:rsid w:val="007D311D"/>
    <w:rsid w:val="0083067E"/>
    <w:rsid w:val="008424D7"/>
    <w:rsid w:val="008628B9"/>
    <w:rsid w:val="008728F9"/>
    <w:rsid w:val="00885EC2"/>
    <w:rsid w:val="008B104F"/>
    <w:rsid w:val="008C238A"/>
    <w:rsid w:val="008F1636"/>
    <w:rsid w:val="008F1B75"/>
    <w:rsid w:val="00901E97"/>
    <w:rsid w:val="009067D8"/>
    <w:rsid w:val="0090749F"/>
    <w:rsid w:val="00932A0D"/>
    <w:rsid w:val="00940A1D"/>
    <w:rsid w:val="00951E52"/>
    <w:rsid w:val="009579DA"/>
    <w:rsid w:val="00966FC7"/>
    <w:rsid w:val="0097597E"/>
    <w:rsid w:val="0098603A"/>
    <w:rsid w:val="0099112C"/>
    <w:rsid w:val="00996831"/>
    <w:rsid w:val="009C5AD4"/>
    <w:rsid w:val="009E66A4"/>
    <w:rsid w:val="009F3DEA"/>
    <w:rsid w:val="00A13B9D"/>
    <w:rsid w:val="00A1472F"/>
    <w:rsid w:val="00A45C2E"/>
    <w:rsid w:val="00A47F7F"/>
    <w:rsid w:val="00A944CF"/>
    <w:rsid w:val="00A969E1"/>
    <w:rsid w:val="00AA295D"/>
    <w:rsid w:val="00AB0EE4"/>
    <w:rsid w:val="00AD0675"/>
    <w:rsid w:val="00AD6294"/>
    <w:rsid w:val="00AE130F"/>
    <w:rsid w:val="00AE69ED"/>
    <w:rsid w:val="00B029E8"/>
    <w:rsid w:val="00B0607C"/>
    <w:rsid w:val="00B42664"/>
    <w:rsid w:val="00B712B6"/>
    <w:rsid w:val="00B75517"/>
    <w:rsid w:val="00BD7E4E"/>
    <w:rsid w:val="00C4542D"/>
    <w:rsid w:val="00C576AE"/>
    <w:rsid w:val="00C65130"/>
    <w:rsid w:val="00C9149D"/>
    <w:rsid w:val="00C9277B"/>
    <w:rsid w:val="00CA2A5B"/>
    <w:rsid w:val="00CD068E"/>
    <w:rsid w:val="00D201F5"/>
    <w:rsid w:val="00D42B4E"/>
    <w:rsid w:val="00D44E37"/>
    <w:rsid w:val="00D67BAA"/>
    <w:rsid w:val="00DA6BCA"/>
    <w:rsid w:val="00DE7FB1"/>
    <w:rsid w:val="00E00226"/>
    <w:rsid w:val="00E02DC8"/>
    <w:rsid w:val="00E167BF"/>
    <w:rsid w:val="00E55844"/>
    <w:rsid w:val="00E57B41"/>
    <w:rsid w:val="00E6139A"/>
    <w:rsid w:val="00E6611E"/>
    <w:rsid w:val="00E77FFC"/>
    <w:rsid w:val="00E80DCD"/>
    <w:rsid w:val="00EE365D"/>
    <w:rsid w:val="00EE39D7"/>
    <w:rsid w:val="00F2384D"/>
    <w:rsid w:val="00F56666"/>
    <w:rsid w:val="00F801AF"/>
    <w:rsid w:val="00F91B44"/>
    <w:rsid w:val="00FE3E49"/>
    <w:rsid w:val="3BC90256"/>
    <w:rsid w:val="53585186"/>
    <w:rsid w:val="7606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DengXian" w:hAnsi="DengXian" w:eastAsia="DengXi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31"/>
    <w:semiHidden/>
    <w:unhideWhenUsed/>
    <w:uiPriority w:val="99"/>
    <w:rPr>
      <w:rFonts w:ascii="宋体"/>
      <w:sz w:val="18"/>
      <w:szCs w:val="18"/>
    </w:rPr>
  </w:style>
  <w:style w:type="paragraph" w:styleId="3">
    <w:name w:val="Body Text"/>
    <w:basedOn w:val="1"/>
    <w:link w:val="34"/>
    <w:semiHidden/>
    <w:unhideWhenUsed/>
    <w:uiPriority w:val="99"/>
    <w:pPr>
      <w:spacing w:after="120"/>
    </w:pPr>
  </w:style>
  <w:style w:type="paragraph" w:styleId="4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DengXian" w:hAnsi="DengXian" w:eastAsia="DengXian"/>
      <w:kern w:val="0"/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DengXian" w:hAnsi="DengXian" w:eastAsia="DengXian"/>
      <w:kern w:val="0"/>
      <w:sz w:val="18"/>
      <w:szCs w:val="18"/>
    </w:rPr>
  </w:style>
  <w:style w:type="paragraph" w:styleId="7">
    <w:name w:val="Body Text First Indent"/>
    <w:basedOn w:val="3"/>
    <w:link w:val="35"/>
    <w:uiPriority w:val="0"/>
    <w:pPr>
      <w:ind w:firstLine="420" w:firstLineChars="100"/>
    </w:pPr>
    <w:rPr>
      <w:szCs w:val="24"/>
    </w:rPr>
  </w:style>
  <w:style w:type="table" w:styleId="9">
    <w:name w:val="Table Grid"/>
    <w:basedOn w:val="8"/>
    <w:uiPriority w:val="59"/>
    <w:pPr>
      <w:spacing w:beforeAutospacing="1" w:afterAutospacing="1"/>
    </w:pPr>
    <w:rPr>
      <w:rFonts w:ascii="Calibri" w:hAnsi="Calibri" w:eastAsia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qFormat/>
    <w:uiPriority w:val="20"/>
    <w:rPr>
      <w:i/>
      <w:iCs/>
    </w:r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customStyle="1" w:styleId="13">
    <w:name w:val="段 Char"/>
    <w:link w:val="14"/>
    <w:qFormat/>
    <w:locked/>
    <w:uiPriority w:val="0"/>
    <w:rPr>
      <w:rFonts w:ascii="宋体" w:hAnsi="宋体" w:eastAsia="宋体"/>
      <w:kern w:val="2"/>
      <w:sz w:val="21"/>
      <w:szCs w:val="22"/>
      <w:lang w:val="en-US" w:eastAsia="zh-CN" w:bidi="ar-SA"/>
    </w:rPr>
  </w:style>
  <w:style w:type="paragraph" w:customStyle="1" w:styleId="14">
    <w:name w:val="段"/>
    <w:link w:val="13"/>
    <w:uiPriority w:val="0"/>
    <w:pPr>
      <w:autoSpaceDE w:val="0"/>
      <w:autoSpaceDN w:val="0"/>
      <w:ind w:firstLine="200" w:firstLineChars="200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页脚 Char"/>
    <w:link w:val="5"/>
    <w:qFormat/>
    <w:uiPriority w:val="99"/>
    <w:rPr>
      <w:sz w:val="18"/>
      <w:szCs w:val="18"/>
    </w:rPr>
  </w:style>
  <w:style w:type="character" w:customStyle="1" w:styleId="16">
    <w:name w:val="页眉 Char"/>
    <w:link w:val="6"/>
    <w:qFormat/>
    <w:uiPriority w:val="99"/>
    <w:rPr>
      <w:sz w:val="18"/>
      <w:szCs w:val="18"/>
    </w:rPr>
  </w:style>
  <w:style w:type="paragraph" w:customStyle="1" w:styleId="17">
    <w:name w:val="目次、标准名称标题"/>
    <w:basedOn w:val="18"/>
    <w:next w:val="14"/>
    <w:qFormat/>
    <w:uiPriority w:val="0"/>
    <w:pPr>
      <w:spacing w:line="460" w:lineRule="exact"/>
    </w:pPr>
  </w:style>
  <w:style w:type="paragraph" w:customStyle="1" w:styleId="18">
    <w:name w:val="前言、引言标题"/>
    <w:next w:val="1"/>
    <w:qFormat/>
    <w:uiPriority w:val="0"/>
    <w:pPr>
      <w:shd w:val="clear" w:color="auto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9">
    <w:name w:val="一级条标题"/>
    <w:basedOn w:val="1"/>
    <w:next w:val="14"/>
    <w:qFormat/>
    <w:uiPriority w:val="0"/>
    <w:pPr>
      <w:widowControl/>
      <w:outlineLvl w:val="2"/>
    </w:pPr>
    <w:rPr>
      <w:rFonts w:ascii="黑体" w:eastAsia="黑体"/>
      <w:kern w:val="0"/>
    </w:rPr>
  </w:style>
  <w:style w:type="paragraph" w:customStyle="1" w:styleId="20">
    <w:name w:val="封面正文"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1">
    <w:name w:val="文献分类号"/>
    <w:uiPriority w:val="0"/>
    <w:pPr>
      <w:widowControl w:val="0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22">
    <w:name w:val="封面标准名称"/>
    <w:uiPriority w:val="0"/>
    <w:pPr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3">
    <w:name w:val="标准称谓"/>
    <w:next w:val="1"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spacing w:val="20"/>
      <w:w w:val="148"/>
      <w:sz w:val="52"/>
      <w:lang w:val="en-US" w:eastAsia="zh-CN" w:bidi="ar-SA"/>
    </w:rPr>
  </w:style>
  <w:style w:type="paragraph" w:customStyle="1" w:styleId="24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5">
    <w:name w:val="封面标准号2"/>
    <w:basedOn w:val="1"/>
    <w:uiPriority w:val="0"/>
    <w:pPr>
      <w:kinsoku w:val="0"/>
      <w:overflowPunct w:val="0"/>
      <w:autoSpaceDE w:val="0"/>
      <w:autoSpaceDN w:val="0"/>
      <w:adjustRightInd w:val="0"/>
      <w:spacing w:before="357" w:line="280" w:lineRule="exact"/>
      <w:jc w:val="right"/>
    </w:pPr>
    <w:rPr>
      <w:kern w:val="0"/>
      <w:sz w:val="28"/>
    </w:rPr>
  </w:style>
  <w:style w:type="paragraph" w:customStyle="1" w:styleId="26">
    <w:name w:val="封面一致性程度标识"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27">
    <w:name w:val="封面标准英文名称"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28">
    <w:name w:val="封面标准代替信息"/>
    <w:basedOn w:val="25"/>
    <w:uiPriority w:val="0"/>
    <w:pPr>
      <w:spacing w:before="57"/>
    </w:pPr>
    <w:rPr>
      <w:rFonts w:ascii="宋体"/>
      <w:sz w:val="21"/>
    </w:rPr>
  </w:style>
  <w:style w:type="paragraph" w:customStyle="1" w:styleId="29">
    <w:name w:val="封面标准文稿类别"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30">
    <w:name w:val="实施日期"/>
    <w:basedOn w:val="1"/>
    <w:uiPriority w:val="0"/>
    <w:pPr>
      <w:widowControl/>
      <w:jc w:val="right"/>
    </w:pPr>
    <w:rPr>
      <w:rFonts w:eastAsia="黑体"/>
      <w:kern w:val="0"/>
      <w:sz w:val="28"/>
    </w:rPr>
  </w:style>
  <w:style w:type="character" w:customStyle="1" w:styleId="31">
    <w:name w:val="文档结构图 Char"/>
    <w:link w:val="2"/>
    <w:semiHidden/>
    <w:uiPriority w:val="99"/>
    <w:rPr>
      <w:rFonts w:ascii="宋体" w:hAnsi="Times New Roman" w:eastAsia="宋体"/>
      <w:kern w:val="2"/>
      <w:sz w:val="18"/>
      <w:szCs w:val="18"/>
    </w:rPr>
  </w:style>
  <w:style w:type="character" w:customStyle="1" w:styleId="32">
    <w:name w:val="批注框文本 Char"/>
    <w:link w:val="4"/>
    <w:semiHidden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33">
    <w:name w:val="apple-converted-space"/>
    <w:basedOn w:val="10"/>
    <w:uiPriority w:val="0"/>
  </w:style>
  <w:style w:type="character" w:customStyle="1" w:styleId="34">
    <w:name w:val="正文文本 Char"/>
    <w:basedOn w:val="10"/>
    <w:link w:val="3"/>
    <w:semiHidden/>
    <w:uiPriority w:val="99"/>
    <w:rPr>
      <w:rFonts w:ascii="Times New Roman" w:hAnsi="Times New Roman" w:eastAsia="宋体"/>
      <w:kern w:val="2"/>
      <w:sz w:val="21"/>
    </w:rPr>
  </w:style>
  <w:style w:type="character" w:customStyle="1" w:styleId="35">
    <w:name w:val="正文首行缩进 Char"/>
    <w:basedOn w:val="34"/>
    <w:link w:val="7"/>
    <w:uiPriority w:val="0"/>
    <w:rPr>
      <w:rFonts w:ascii="Times New Roman" w:hAnsi="Times New Roman" w:eastAsia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9B4FB3-DDDF-4556-963A-1193005EC2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515</Words>
  <Characters>2940</Characters>
  <Lines>24</Lines>
  <Paragraphs>6</Paragraphs>
  <TotalTime>101</TotalTime>
  <ScaleCrop>false</ScaleCrop>
  <LinksUpToDate>false</LinksUpToDate>
  <CharactersWithSpaces>3449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2019-06-19T03:24:00Z</dcterms:created>
  <dc:creator>笑笑</dc:creator>
  <cp:lastModifiedBy>高兰</cp:lastModifiedBy>
  <dcterms:modified xsi:type="dcterms:W3CDTF">2019-09-12T00:21:14Z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