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ascii="黑体" w:hAnsi="黑体" w:eastAsia="黑体"/>
        </w:rPr>
        <w:t>ICS 77.120.99</w:t>
      </w:r>
    </w:p>
    <w:p>
      <w:pPr>
        <w:rPr>
          <w:rFonts w:hint="eastAsia"/>
          <w:sz w:val="84"/>
          <w:szCs w:val="84"/>
        </w:rPr>
      </w:pPr>
      <w:r>
        <w:rPr>
          <w:rFonts w:ascii="黑体" w:hAnsi="黑体" w:eastAsia="黑体"/>
        </w:rPr>
        <w:t>H</w:t>
      </w:r>
      <w:r>
        <w:rPr>
          <w:rFonts w:hint="eastAsia" w:ascii="黑体" w:hAnsi="黑体" w:eastAsia="黑体"/>
        </w:rPr>
        <w:t xml:space="preserve"> 14</w:t>
      </w:r>
      <w:r>
        <w:rPr>
          <w:rFonts w:ascii="黑体" w:hAnsi="黑体" w:eastAsia="黑体"/>
        </w:rPr>
        <w:t xml:space="preserve">  </w:t>
      </w:r>
      <w:r>
        <w:rPr>
          <w:rFonts w:eastAsia="仿宋_GB2312"/>
        </w:rPr>
        <w:t xml:space="preserve">  </w:t>
      </w:r>
      <w:r>
        <w:rPr>
          <w:rFonts w:hint="eastAsia" w:ascii="仿宋_GB2312" w:eastAsia="仿宋_GB2312"/>
        </w:rPr>
        <w:t xml:space="preserve"> </w:t>
      </w:r>
      <w:r>
        <w:rPr>
          <w:rFonts w:hint="eastAsia"/>
        </w:rPr>
        <w:t xml:space="preserve">                                                      </w:t>
      </w:r>
      <w:r>
        <w:rPr>
          <w:rFonts w:hint="eastAsia"/>
          <w:sz w:val="84"/>
          <w:szCs w:val="84"/>
        </w:rPr>
        <w:t xml:space="preserve">   </w:t>
      </w:r>
      <w:r>
        <w:rPr>
          <w:rFonts w:hint="eastAsia"/>
          <w:sz w:val="84"/>
          <w:szCs w:val="84"/>
        </w:rPr>
        <w:drawing>
          <wp:anchor distT="0" distB="0" distL="114300" distR="114300" simplePos="0" relativeHeight="251661312" behindDoc="0" locked="1" layoutInCell="1" allowOverlap="1">
            <wp:simplePos x="0" y="0"/>
            <wp:positionH relativeFrom="margin">
              <wp:posOffset>4569460</wp:posOffset>
            </wp:positionH>
            <wp:positionV relativeFrom="margin">
              <wp:posOffset>255270</wp:posOffset>
            </wp:positionV>
            <wp:extent cx="1403350" cy="720090"/>
            <wp:effectExtent l="0" t="0" r="6350" b="3810"/>
            <wp:wrapNone/>
            <wp:docPr id="5" name="图片 5" descr="GB"/>
            <wp:cNvGraphicFramePr/>
            <a:graphic xmlns:a="http://schemas.openxmlformats.org/drawingml/2006/main">
              <a:graphicData uri="http://schemas.openxmlformats.org/drawingml/2006/picture">
                <pic:pic xmlns:pic="http://schemas.openxmlformats.org/drawingml/2006/picture">
                  <pic:nvPicPr>
                    <pic:cNvPr id="5" name="图片 5" descr="GB"/>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hint="eastAsia"/>
          <w:sz w:val="84"/>
          <w:szCs w:val="84"/>
        </w:rPr>
        <w:t xml:space="preserve">  </w:t>
      </w:r>
    </w:p>
    <w:p>
      <w:pPr>
        <w:ind w:left="302" w:leftChars="144" w:firstLine="522" w:firstLineChars="100"/>
        <w:rPr>
          <w:b/>
          <w:sz w:val="52"/>
          <w:szCs w:val="52"/>
          <w:highlight w:val="yellow"/>
        </w:rPr>
      </w:pPr>
    </w:p>
    <w:p>
      <w:pPr>
        <w:ind w:left="302" w:leftChars="144" w:right="480"/>
        <w:jc w:val="right"/>
        <w:rPr>
          <w:rFonts w:ascii="黑体" w:hAnsi="黑体" w:eastAsia="黑体" w:cs="黑体"/>
          <w:bCs/>
          <w:szCs w:val="21"/>
        </w:rPr>
      </w:pPr>
    </w:p>
    <w:p>
      <w:pPr>
        <w:ind w:left="302" w:leftChars="144" w:right="480"/>
        <w:jc w:val="right"/>
        <w:rPr>
          <w:rFonts w:hint="eastAsia" w:ascii="黑体" w:hAnsi="黑体" w:eastAsia="黑体"/>
          <w:sz w:val="28"/>
          <w:szCs w:val="28"/>
        </w:rPr>
      </w:pPr>
      <w:r>
        <w:rPr>
          <w:rFonts w:hint="eastAsia" w:ascii="黑体" w:hAnsi="黑体" w:eastAsia="黑体" w:cs="黑体"/>
          <w:bCs/>
          <w:sz w:val="52"/>
          <w:szCs w:val="52"/>
        </w:rPr>
        <w:t>中 华 人 民 共 和 国 国 家 标 准</w:t>
      </w:r>
      <w:r>
        <w:rPr>
          <w:rFonts w:hint="eastAsia"/>
          <w:sz w:val="24"/>
        </w:rPr>
        <w:t xml:space="preserve">                                             </w:t>
      </w:r>
      <w:r>
        <w:rPr>
          <w:rFonts w:hint="eastAsia"/>
          <w:sz w:val="28"/>
          <w:szCs w:val="28"/>
        </w:rPr>
        <w:t xml:space="preserve"> </w:t>
      </w:r>
      <w:r>
        <w:rPr>
          <w:rFonts w:hint="eastAsia" w:ascii="黑体" w:hAnsi="黑体" w:eastAsia="黑体"/>
          <w:sz w:val="28"/>
          <w:szCs w:val="28"/>
        </w:rPr>
        <w:t xml:space="preserve"> GB/T 24981.2</w:t>
      </w:r>
      <w:r>
        <w:rPr>
          <w:rFonts w:ascii="黑体" w:hAnsi="黑体" w:eastAsia="黑体"/>
          <w:kern w:val="0"/>
          <w:sz w:val="28"/>
          <w:szCs w:val="28"/>
        </w:rPr>
        <w:t>——××××</w:t>
      </w:r>
    </w:p>
    <w:p>
      <w:pPr>
        <w:ind w:left="302" w:leftChars="144" w:right="480"/>
        <w:jc w:val="center"/>
        <w:rPr>
          <w:rFonts w:hint="eastAsia" w:ascii="宋体" w:hAnsi="宋体" w:cs="黑体"/>
          <w:szCs w:val="21"/>
        </w:rPr>
      </w:pPr>
      <w:r>
        <w:rPr>
          <w:rFonts w:hint="eastAsia"/>
          <w:sz w:val="28"/>
          <w:szCs w:val="28"/>
        </w:rPr>
        <w:t xml:space="preserve">                                        </w:t>
      </w:r>
      <w:r>
        <w:rPr>
          <w:rFonts w:hint="eastAsia" w:ascii="宋体" w:hAnsi="宋体" w:cs="黑体"/>
          <w:szCs w:val="21"/>
        </w:rPr>
        <w:t>代替GB/T 24981.2-2010</w:t>
      </w:r>
    </w:p>
    <w:p>
      <w:pPr>
        <w:ind w:left="302" w:leftChars="144"/>
        <w:jc w:val="right"/>
        <w:rPr>
          <w:rFonts w:hint="eastAsia"/>
          <w:sz w:val="24"/>
        </w:rPr>
      </w:pPr>
      <w:r>
        <w:rPr>
          <w:rFonts w:hint="eastAsia"/>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43600" cy="0"/>
                <wp:effectExtent l="5715" t="7620" r="13335"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0pt;height:0pt;width:468pt;z-index:251659264;mso-width-relative:page;mso-height-relative:page;" filled="f" stroked="t" coordsize="21600,21600" o:gfxdata="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h3mfjRAAAAAgEAAA8AAAAAAAAAAQAgAAAAIgAAAGRycy9k&#10;b3ducmV2LnhtbFBLAQIUABQAAAAIAIdO4kCWzGyX0AEAAGcDAAAOAAAAAAAAAAEAIAAAACABAABk&#10;cnMvZTJvRG9jLnhtbFBLBQYAAAAABgAGAFkBAABiBQAAAAA=&#10;">
                <v:fill on="f" focussize="0,0"/>
                <v:stroke color="#000000" joinstyle="round"/>
                <v:imagedata o:title=""/>
                <o:lock v:ext="edit" aspectratio="f"/>
              </v:line>
            </w:pict>
          </mc:Fallback>
        </mc:AlternateContent>
      </w: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right"/>
        <w:rPr>
          <w:rFonts w:hint="eastAsia"/>
          <w:sz w:val="24"/>
        </w:rPr>
      </w:pPr>
    </w:p>
    <w:p>
      <w:pPr>
        <w:ind w:left="302" w:leftChars="144"/>
        <w:jc w:val="center"/>
        <w:rPr>
          <w:rFonts w:hint="eastAsia" w:ascii="黑体" w:hAnsi="黑体" w:eastAsia="黑体"/>
          <w:sz w:val="52"/>
          <w:szCs w:val="52"/>
        </w:rPr>
      </w:pPr>
      <w:bookmarkStart w:id="0" w:name="OLE_LINK21"/>
      <w:bookmarkStart w:id="1" w:name="OLE_LINK22"/>
      <w:r>
        <w:rPr>
          <w:rFonts w:hint="eastAsia" w:ascii="黑体" w:hAnsi="黑体" w:eastAsia="黑体"/>
          <w:sz w:val="52"/>
          <w:szCs w:val="52"/>
        </w:rPr>
        <w:t>稀土长余辉荧光粉试验方法</w:t>
      </w:r>
    </w:p>
    <w:p>
      <w:pPr>
        <w:ind w:left="302" w:leftChars="144"/>
        <w:jc w:val="center"/>
        <w:rPr>
          <w:rFonts w:hint="eastAsia" w:ascii="黑体" w:hAnsi="黑体" w:eastAsia="黑体"/>
          <w:sz w:val="52"/>
          <w:szCs w:val="52"/>
        </w:rPr>
      </w:pPr>
      <w:r>
        <w:rPr>
          <w:rFonts w:hint="eastAsia" w:ascii="黑体" w:hAnsi="黑体" w:eastAsia="黑体"/>
          <w:sz w:val="52"/>
          <w:szCs w:val="52"/>
        </w:rPr>
        <w:t>第2部分：余辉亮度的测定</w:t>
      </w:r>
    </w:p>
    <w:bookmarkEnd w:id="0"/>
    <w:bookmarkEnd w:id="1"/>
    <w:p>
      <w:pPr>
        <w:ind w:left="302" w:leftChars="144"/>
        <w:jc w:val="center"/>
        <w:rPr>
          <w:rFonts w:hint="eastAsia" w:ascii="黑体" w:hAnsi="黑体" w:eastAsia="黑体"/>
          <w:sz w:val="28"/>
          <w:szCs w:val="28"/>
        </w:rPr>
      </w:pPr>
      <w:r>
        <w:rPr>
          <w:rFonts w:hint="eastAsia" w:ascii="黑体" w:hAnsi="黑体" w:eastAsia="黑体"/>
          <w:sz w:val="28"/>
          <w:szCs w:val="28"/>
        </w:rPr>
        <w:t>Test methods of long afterglow phosphors activated rare earths-</w:t>
      </w:r>
    </w:p>
    <w:p>
      <w:pPr>
        <w:ind w:left="302" w:leftChars="144"/>
        <w:jc w:val="center"/>
        <w:rPr>
          <w:rFonts w:hint="eastAsia" w:ascii="黑体" w:hAnsi="黑体" w:eastAsia="黑体"/>
          <w:sz w:val="28"/>
          <w:szCs w:val="28"/>
        </w:rPr>
      </w:pPr>
      <w:r>
        <w:rPr>
          <w:rFonts w:hint="eastAsia" w:ascii="黑体" w:hAnsi="黑体" w:eastAsia="黑体"/>
          <w:sz w:val="28"/>
          <w:szCs w:val="28"/>
        </w:rPr>
        <w:t>Part 2: Determination of afterglow brightness</w:t>
      </w:r>
    </w:p>
    <w:p>
      <w:pPr>
        <w:ind w:left="302" w:leftChars="144"/>
        <w:jc w:val="center"/>
        <w:rPr>
          <w:rFonts w:hint="eastAsia"/>
          <w:sz w:val="28"/>
          <w:szCs w:val="28"/>
        </w:rPr>
      </w:pPr>
      <w:r>
        <w:rPr>
          <w:rFonts w:hint="eastAsia"/>
          <w:sz w:val="28"/>
          <w:szCs w:val="28"/>
        </w:rPr>
        <w:t>（</w:t>
      </w:r>
      <w:r>
        <w:rPr>
          <w:rFonts w:hint="eastAsia"/>
          <w:sz w:val="28"/>
          <w:szCs w:val="28"/>
          <w:lang w:eastAsia="zh-CN"/>
        </w:rPr>
        <w:t>送审</w:t>
      </w:r>
      <w:r>
        <w:rPr>
          <w:rFonts w:hint="eastAsia"/>
          <w:sz w:val="28"/>
          <w:szCs w:val="28"/>
        </w:rPr>
        <w:t>稿）</w:t>
      </w:r>
    </w:p>
    <w:p>
      <w:pPr>
        <w:ind w:left="302" w:leftChars="144"/>
        <w:jc w:val="center"/>
        <w:rPr>
          <w:rFonts w:hint="eastAsia"/>
          <w:sz w:val="28"/>
          <w:szCs w:val="28"/>
        </w:rPr>
      </w:pPr>
    </w:p>
    <w:p>
      <w:pPr>
        <w:ind w:left="302" w:leftChars="144"/>
        <w:jc w:val="center"/>
        <w:rPr>
          <w:sz w:val="28"/>
          <w:szCs w:val="28"/>
        </w:rPr>
      </w:pPr>
      <w:bookmarkStart w:id="7" w:name="_GoBack"/>
      <w:bookmarkEnd w:id="7"/>
    </w:p>
    <w:p>
      <w:pPr>
        <w:ind w:left="302" w:leftChars="144"/>
        <w:jc w:val="center"/>
        <w:rPr>
          <w:rFonts w:hint="eastAsia"/>
          <w:sz w:val="28"/>
          <w:szCs w:val="28"/>
        </w:rPr>
      </w:pPr>
    </w:p>
    <w:p>
      <w:pPr>
        <w:ind w:left="302" w:leftChars="144"/>
        <w:jc w:val="center"/>
        <w:rPr>
          <w:sz w:val="28"/>
          <w:szCs w:val="28"/>
        </w:rPr>
      </w:pPr>
    </w:p>
    <w:p>
      <w:pPr>
        <w:ind w:left="302" w:leftChars="144"/>
        <w:jc w:val="center"/>
        <w:rPr>
          <w:rFonts w:hint="eastAsia"/>
          <w:sz w:val="28"/>
          <w:szCs w:val="28"/>
        </w:rPr>
      </w:pPr>
    </w:p>
    <w:p>
      <w:pPr>
        <w:rPr>
          <w:rFonts w:hint="eastAsia" w:ascii="黑体" w:hAnsi="黑体" w:eastAsia="黑体"/>
          <w:sz w:val="28"/>
          <w:szCs w:val="28"/>
        </w:rPr>
      </w:pPr>
      <w:r>
        <w:rPr>
          <w:rFonts w:ascii="黑体" w:hAnsi="黑体" w:eastAsia="黑体"/>
          <w:sz w:val="28"/>
          <w:szCs w:val="28"/>
        </w:rPr>
        <w:t>××××</w:t>
      </w:r>
      <w:r>
        <w:rPr>
          <w:rFonts w:hint="eastAsia" w:ascii="黑体" w:hAnsi="黑体" w:eastAsia="黑体"/>
          <w:sz w:val="28"/>
          <w:szCs w:val="28"/>
        </w:rPr>
        <w:t xml:space="preserve"> 发布                               </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 xml:space="preserve"> 实施</w:t>
      </w:r>
    </w:p>
    <w:p>
      <w:pPr>
        <w:ind w:left="302" w:leftChars="144"/>
        <w:jc w:val="center"/>
        <w:rPr>
          <w:sz w:val="28"/>
          <w:szCs w:val="28"/>
        </w:rPr>
      </w:pPr>
      <w:r>
        <w:rPr>
          <w:rFonts w:hint="eastAsia"/>
          <w:b/>
          <w:sz w:val="30"/>
          <w:szCs w:val="30"/>
        </w:rPr>
        <mc:AlternateContent>
          <mc:Choice Requires="wps">
            <w:drawing>
              <wp:anchor distT="0" distB="0" distL="114300" distR="114300" simplePos="0" relativeHeight="251662336" behindDoc="0" locked="1" layoutInCell="1" allowOverlap="1">
                <wp:simplePos x="0" y="0"/>
                <wp:positionH relativeFrom="margin">
                  <wp:posOffset>-219710</wp:posOffset>
                </wp:positionH>
                <wp:positionV relativeFrom="margin">
                  <wp:posOffset>8782050</wp:posOffset>
                </wp:positionV>
                <wp:extent cx="6334125" cy="754380"/>
                <wp:effectExtent l="0" t="0" r="444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334125" cy="754380"/>
                        </a:xfrm>
                        <a:prstGeom prst="rect">
                          <a:avLst/>
                        </a:prstGeom>
                        <a:solidFill>
                          <a:srgbClr val="FFFFFF"/>
                        </a:solidFill>
                        <a:ln>
                          <a:noFill/>
                        </a:ln>
                      </wps:spPr>
                      <wps:txbx>
                        <w:txbxContent>
                          <w:p>
                            <w:pPr>
                              <w:pStyle w:val="6"/>
                              <w:spacing w:line="0" w:lineRule="atLeast"/>
                              <w:ind w:firstLine="433" w:firstLineChars="100"/>
                              <w:rPr>
                                <w:rStyle w:val="5"/>
                                <w:rFonts w:hint="eastAsia"/>
                                <w:spacing w:val="0"/>
                              </w:rPr>
                            </w:pPr>
                            <w:r>
                              <w:rPr>
                                <w:rFonts w:hint="eastAsia"/>
                                <w:spacing w:val="0"/>
                                <w:sz w:val="32"/>
                              </w:rPr>
                              <w:t>国家市场监督管理总局</w:t>
                            </w:r>
                          </w:p>
                          <w:p>
                            <w:pPr>
                              <w:spacing w:line="0" w:lineRule="atLeast"/>
                              <w:jc w:val="center"/>
                            </w:pPr>
                            <w:r>
                              <w:rPr>
                                <w:rFonts w:hint="eastAsia"/>
                                <w:b/>
                                <w:spacing w:val="10"/>
                                <w:w w:val="135"/>
                                <w:sz w:val="32"/>
                              </w:rPr>
                              <w:t xml:space="preserve">    中国国家标准化管理委员会</w:t>
                            </w:r>
                            <w:r>
                              <w:rPr>
                                <w:rFonts w:hint="eastAsia"/>
                                <w:b/>
                                <w:sz w:val="32"/>
                              </w:rPr>
                              <w:t xml:space="preserve"> </w:t>
                            </w:r>
                            <w:r>
                              <w:rPr>
                                <w:rStyle w:val="5"/>
                                <w:rFonts w:hint="eastAsia"/>
                                <w:position w:val="18"/>
                                <w:sz w:val="32"/>
                              </w:rPr>
                              <w:t>发布</w:t>
                            </w:r>
                          </w:p>
                          <w:p>
                            <w:pPr>
                              <w:pStyle w:val="6"/>
                            </w:pP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3pt;margin-top:691.5pt;height:59.4pt;width:498.75pt;mso-position-horizontal-relative:margin;mso-position-vertical-relative:margin;z-index:251662336;mso-width-relative:page;mso-height-relative:page;" fillcolor="#FFFFFF" filled="t" stroked="f" coordsize="21600,21600" o:gfxdata="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PemVtsAAAANAQAADwAAAAAAAAABACAAAAAi&#10;AAAAZHJzL2Rvd25yZXYueG1sUEsBAhQAFAAAAAgAh07iQCFRGFcHAgAA4AMAAA4AAAAAAAAAAQAg&#10;AAAAKgEAAGRycy9lMm9Eb2MueG1sUEsFBgAAAAAGAAYAWQEAAKMFAAAAAA==&#10;">
                <v:fill on="t" focussize="0,0"/>
                <v:stroke on="f"/>
                <v:imagedata o:title=""/>
                <o:lock v:ext="edit" aspectratio="f"/>
                <v:textbox inset="0mm,0mm,0mm,0mm">
                  <w:txbxContent>
                    <w:p>
                      <w:pPr>
                        <w:pStyle w:val="6"/>
                        <w:spacing w:line="0" w:lineRule="atLeast"/>
                        <w:ind w:firstLine="433" w:firstLineChars="100"/>
                        <w:rPr>
                          <w:rStyle w:val="5"/>
                          <w:rFonts w:hint="eastAsia"/>
                          <w:spacing w:val="0"/>
                        </w:rPr>
                      </w:pPr>
                      <w:r>
                        <w:rPr>
                          <w:rFonts w:hint="eastAsia"/>
                          <w:spacing w:val="0"/>
                          <w:sz w:val="32"/>
                        </w:rPr>
                        <w:t>国家市场监督管理总局</w:t>
                      </w:r>
                    </w:p>
                    <w:p>
                      <w:pPr>
                        <w:spacing w:line="0" w:lineRule="atLeast"/>
                        <w:jc w:val="center"/>
                      </w:pPr>
                      <w:r>
                        <w:rPr>
                          <w:rFonts w:hint="eastAsia"/>
                          <w:b/>
                          <w:spacing w:val="10"/>
                          <w:w w:val="135"/>
                          <w:sz w:val="32"/>
                        </w:rPr>
                        <w:t xml:space="preserve">    中国国家标准化管理委员会</w:t>
                      </w:r>
                      <w:r>
                        <w:rPr>
                          <w:rFonts w:hint="eastAsia"/>
                          <w:b/>
                          <w:sz w:val="32"/>
                        </w:rPr>
                        <w:t xml:space="preserve"> </w:t>
                      </w:r>
                      <w:r>
                        <w:rPr>
                          <w:rStyle w:val="5"/>
                          <w:rFonts w:hint="eastAsia"/>
                          <w:position w:val="18"/>
                          <w:sz w:val="32"/>
                        </w:rPr>
                        <w:t>发布</w:t>
                      </w:r>
                    </w:p>
                    <w:p>
                      <w:pPr>
                        <w:pStyle w:val="6"/>
                      </w:pPr>
                    </w:p>
                    <w:p/>
                  </w:txbxContent>
                </v:textbox>
                <w10:anchorlock/>
              </v:shape>
            </w:pict>
          </mc:Fallback>
        </mc:AlternateContent>
      </w:r>
      <w:r>
        <w:rPr>
          <w:rFonts w:hint="eastAsia"/>
          <w:b/>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43600" cy="0"/>
                <wp:effectExtent l="5715" t="5715" r="1333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0pt;height:0pt;width:468pt;z-index:251660288;mso-width-relative:page;mso-height-relative:page;" filled="f" stroked="t" coordsize="21600,21600" o:gfxdata="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h3mfjRAAAAAgEAAA8AAAAAAAAAAQAgAAAAIgAAAGRycy9k&#10;b3ducmV2LnhtbFBLAQIUABQAAAAIAIdO4kAvss4h0AEAAGcDAAAOAAAAAAAAAAEAIAAAACABAABk&#10;cnMvZTJvRG9jLnhtbFBLBQYAAAAABgAGAFkBAABiBQAAAAA=&#10;">
                <v:fill on="f" focussize="0,0"/>
                <v:stroke color="#000000" joinstyle="round"/>
                <v:imagedata o:title=""/>
                <o:lock v:ext="edit" aspectratio="f"/>
              </v:line>
            </w:pict>
          </mc:Fallback>
        </mc:AlternateContent>
      </w:r>
      <w:r>
        <w:rPr>
          <w:sz w:val="28"/>
          <w:szCs w:val="28"/>
        </w:rPr>
        <w:br w:type="page"/>
      </w:r>
      <w:r>
        <w:rPr>
          <w:rFonts w:hint="eastAsia"/>
          <w:sz w:val="28"/>
          <w:szCs w:val="28"/>
        </w:rPr>
        <w:t xml:space="preserve">                              </w:t>
      </w:r>
      <w:r>
        <w:rPr>
          <w:sz w:val="28"/>
          <w:szCs w:val="28"/>
        </w:rPr>
        <w:t xml:space="preserve">             </w:t>
      </w:r>
    </w:p>
    <w:p>
      <w:pPr>
        <w:ind w:left="302" w:leftChars="144" w:right="480"/>
        <w:jc w:val="right"/>
        <w:rPr>
          <w:rFonts w:ascii="仿宋" w:hAnsi="仿宋" w:eastAsia="仿宋"/>
          <w:szCs w:val="21"/>
        </w:rPr>
      </w:pPr>
      <w:r>
        <w:rPr>
          <w:rFonts w:hint="eastAsia" w:ascii="黑体" w:hAnsi="黑体" w:eastAsia="黑体"/>
          <w:sz w:val="28"/>
          <w:szCs w:val="28"/>
        </w:rPr>
        <w:t xml:space="preserve">  </w:t>
      </w:r>
      <w:r>
        <w:rPr>
          <w:rFonts w:ascii="黑体" w:hAnsi="黑体" w:eastAsia="黑体"/>
          <w:sz w:val="28"/>
          <w:szCs w:val="28"/>
        </w:rPr>
        <w:t xml:space="preserve">  </w:t>
      </w:r>
      <w:r>
        <w:rPr>
          <w:rFonts w:ascii="黑体" w:hAnsi="黑体" w:eastAsia="黑体"/>
          <w:szCs w:val="21"/>
        </w:rPr>
        <w:t xml:space="preserve"> </w:t>
      </w:r>
      <w:r>
        <w:rPr>
          <w:rFonts w:ascii="仿宋" w:hAnsi="仿宋" w:eastAsia="仿宋"/>
          <w:szCs w:val="21"/>
        </w:rPr>
        <w:t>GB/T 24981.2</w:t>
      </w:r>
      <w:r>
        <w:rPr>
          <w:rFonts w:ascii="仿宋" w:hAnsi="仿宋" w:eastAsia="仿宋"/>
          <w:kern w:val="0"/>
          <w:szCs w:val="21"/>
        </w:rPr>
        <w:t>—××××</w:t>
      </w:r>
    </w:p>
    <w:p>
      <w:pPr>
        <w:spacing w:after="240" w:line="360" w:lineRule="exact"/>
        <w:jc w:val="center"/>
        <w:rPr>
          <w:rFonts w:ascii="黑体" w:hAnsi="黑体" w:eastAsia="黑体" w:cs="宋体"/>
          <w:kern w:val="0"/>
          <w:sz w:val="32"/>
          <w:szCs w:val="32"/>
        </w:rPr>
      </w:pPr>
    </w:p>
    <w:p>
      <w:pPr>
        <w:spacing w:after="240" w:line="360" w:lineRule="exact"/>
        <w:jc w:val="center"/>
        <w:rPr>
          <w:rFonts w:ascii="黑体" w:hAnsi="黑体" w:eastAsia="黑体" w:cs="宋体"/>
          <w:kern w:val="0"/>
          <w:sz w:val="32"/>
          <w:szCs w:val="32"/>
        </w:rPr>
      </w:pPr>
      <w:r>
        <w:rPr>
          <w:rFonts w:ascii="黑体" w:hAnsi="黑体" w:eastAsia="黑体" w:cs="宋体"/>
          <w:kern w:val="0"/>
          <w:sz w:val="32"/>
          <w:szCs w:val="32"/>
        </w:rPr>
        <w:t>前</w:t>
      </w:r>
      <w:r>
        <w:rPr>
          <w:rFonts w:ascii="Calibri" w:hAnsi="Calibri" w:eastAsia="黑体" w:cs="Calibri"/>
          <w:kern w:val="0"/>
          <w:sz w:val="32"/>
          <w:szCs w:val="32"/>
        </w:rPr>
        <w:t xml:space="preserve">    </w:t>
      </w:r>
      <w:r>
        <w:rPr>
          <w:rFonts w:ascii="黑体" w:hAnsi="黑体" w:eastAsia="黑体" w:cs="宋体"/>
          <w:kern w:val="0"/>
          <w:sz w:val="32"/>
          <w:szCs w:val="32"/>
        </w:rPr>
        <w:t>言</w:t>
      </w:r>
    </w:p>
    <w:p>
      <w:pPr>
        <w:spacing w:line="400" w:lineRule="exact"/>
        <w:ind w:left="420" w:leftChars="200"/>
        <w:jc w:val="left"/>
        <w:rPr>
          <w:rFonts w:ascii="宋体" w:hAnsi="宋体"/>
          <w:kern w:val="21"/>
          <w:szCs w:val="21"/>
        </w:rPr>
      </w:pPr>
      <w:r>
        <w:rPr>
          <w:rFonts w:ascii="宋体" w:hAnsi="宋体"/>
          <w:kern w:val="21"/>
          <w:szCs w:val="21"/>
        </w:rPr>
        <w:t>GB/T 24981《稀土长余辉荧光粉试验方法》共分2个部分：</w:t>
      </w:r>
      <w:r>
        <w:rPr>
          <w:rFonts w:ascii="宋体" w:hAnsi="宋体"/>
          <w:kern w:val="21"/>
          <w:szCs w:val="21"/>
        </w:rPr>
        <w:br w:type="textWrapping"/>
      </w:r>
      <w:r>
        <w:rPr>
          <w:szCs w:val="21"/>
        </w:rPr>
        <w:t>——</w:t>
      </w:r>
      <w:r>
        <w:rPr>
          <w:rFonts w:ascii="宋体" w:hAnsi="宋体"/>
          <w:kern w:val="21"/>
          <w:szCs w:val="21"/>
        </w:rPr>
        <w:t>第1部分：发射主峰和色品坐标的测定；</w:t>
      </w:r>
      <w:r>
        <w:rPr>
          <w:rFonts w:ascii="宋体" w:hAnsi="宋体"/>
          <w:kern w:val="21"/>
          <w:szCs w:val="21"/>
        </w:rPr>
        <w:br w:type="textWrapping"/>
      </w:r>
      <w:r>
        <w:rPr>
          <w:szCs w:val="21"/>
        </w:rPr>
        <w:t>——</w:t>
      </w:r>
      <w:r>
        <w:rPr>
          <w:rFonts w:ascii="宋体" w:hAnsi="宋体"/>
          <w:kern w:val="21"/>
          <w:szCs w:val="21"/>
        </w:rPr>
        <w:t>第2部分：余辉亮度的测定。</w:t>
      </w:r>
    </w:p>
    <w:p>
      <w:pPr>
        <w:spacing w:line="400" w:lineRule="exact"/>
        <w:ind w:left="420" w:leftChars="200"/>
        <w:jc w:val="left"/>
        <w:rPr>
          <w:rFonts w:ascii="宋体" w:hAnsi="宋体"/>
          <w:kern w:val="21"/>
          <w:szCs w:val="21"/>
        </w:rPr>
      </w:pPr>
      <w:r>
        <w:rPr>
          <w:rFonts w:ascii="宋体" w:hAnsi="宋体"/>
          <w:kern w:val="21"/>
          <w:szCs w:val="21"/>
        </w:rPr>
        <w:t>本部分为第2部分。</w:t>
      </w:r>
    </w:p>
    <w:p>
      <w:pPr>
        <w:spacing w:line="400" w:lineRule="exact"/>
        <w:ind w:left="420" w:leftChars="200"/>
        <w:jc w:val="left"/>
        <w:rPr>
          <w:rFonts w:ascii="宋体" w:hAnsi="宋体"/>
          <w:kern w:val="21"/>
          <w:szCs w:val="21"/>
        </w:rPr>
      </w:pPr>
      <w:r>
        <w:rPr>
          <w:rFonts w:ascii="宋体" w:hAnsi="宋体"/>
          <w:kern w:val="21"/>
          <w:szCs w:val="21"/>
        </w:rPr>
        <w:t>本部分是对GB/T 24981.2—2010《稀土长余辉荧光粉试验方法 第2部分：相对亮度的测定》的修订。本部分与GB/T 24981.2—2010相比，主要变化如下：</w:t>
      </w:r>
    </w:p>
    <w:p>
      <w:pPr>
        <w:spacing w:line="400" w:lineRule="exact"/>
        <w:ind w:left="420" w:leftChars="200"/>
        <w:jc w:val="left"/>
        <w:rPr>
          <w:rFonts w:ascii="宋体" w:hAnsi="宋体"/>
          <w:kern w:val="21"/>
          <w:szCs w:val="21"/>
        </w:rPr>
      </w:pPr>
      <w:r>
        <w:rPr>
          <w:szCs w:val="21"/>
        </w:rPr>
        <w:t>——</w:t>
      </w:r>
      <w:r>
        <w:rPr>
          <w:rFonts w:hint="eastAsia" w:ascii="宋体" w:hAnsi="宋体"/>
          <w:kern w:val="21"/>
          <w:szCs w:val="21"/>
        </w:rPr>
        <w:t>修改了</w:t>
      </w:r>
      <w:r>
        <w:rPr>
          <w:rFonts w:ascii="宋体" w:hAnsi="宋体"/>
          <w:kern w:val="21"/>
          <w:szCs w:val="21"/>
        </w:rPr>
        <w:t>标准名称</w:t>
      </w:r>
      <w:r>
        <w:rPr>
          <w:rFonts w:hint="eastAsia" w:ascii="宋体" w:hAnsi="宋体"/>
          <w:kern w:val="21"/>
          <w:szCs w:val="21"/>
        </w:rPr>
        <w:t>；</w:t>
      </w:r>
    </w:p>
    <w:p>
      <w:pPr>
        <w:spacing w:line="400" w:lineRule="exact"/>
        <w:ind w:left="420" w:leftChars="200"/>
        <w:jc w:val="left"/>
        <w:rPr>
          <w:rFonts w:ascii="宋体" w:hAnsi="宋体"/>
          <w:kern w:val="21"/>
          <w:szCs w:val="21"/>
        </w:rPr>
      </w:pPr>
      <w:r>
        <w:rPr>
          <w:szCs w:val="21"/>
        </w:rPr>
        <w:t>——</w:t>
      </w:r>
      <w:r>
        <w:rPr>
          <w:rFonts w:hint="eastAsia" w:ascii="宋体" w:hAnsi="宋体"/>
          <w:kern w:val="21"/>
          <w:szCs w:val="21"/>
        </w:rPr>
        <w:t>修改“相对亮度”为“余辉亮度”(见第1章，第5章，表2)；</w:t>
      </w:r>
    </w:p>
    <w:p>
      <w:pPr>
        <w:spacing w:line="400" w:lineRule="exact"/>
        <w:ind w:left="420" w:leftChars="200"/>
        <w:jc w:val="left"/>
        <w:rPr>
          <w:rFonts w:ascii="宋体" w:hAnsi="宋体"/>
          <w:kern w:val="21"/>
          <w:szCs w:val="21"/>
        </w:rPr>
      </w:pPr>
      <w:r>
        <w:rPr>
          <w:szCs w:val="21"/>
        </w:rPr>
        <w:t>——</w:t>
      </w:r>
      <w:r>
        <w:rPr>
          <w:rFonts w:hint="eastAsia" w:ascii="宋体" w:hAnsi="宋体"/>
          <w:kern w:val="21"/>
          <w:szCs w:val="21"/>
        </w:rPr>
        <w:t>修改了方法原理中的激发光源及测试原理(见第2章)；</w:t>
      </w:r>
    </w:p>
    <w:p>
      <w:pPr>
        <w:spacing w:line="400" w:lineRule="exact"/>
        <w:ind w:left="420" w:leftChars="200"/>
        <w:jc w:val="left"/>
        <w:rPr>
          <w:rFonts w:ascii="宋体" w:hAnsi="宋体"/>
          <w:kern w:val="21"/>
          <w:szCs w:val="21"/>
        </w:rPr>
      </w:pPr>
      <w:r>
        <w:rPr>
          <w:szCs w:val="21"/>
        </w:rPr>
        <w:t>——</w:t>
      </w:r>
      <w:r>
        <w:rPr>
          <w:rFonts w:hint="eastAsia" w:ascii="宋体" w:hAnsi="宋体"/>
          <w:kern w:val="21"/>
          <w:szCs w:val="21"/>
        </w:rPr>
        <w:t>修改了激发光源的种类(见3.3)；</w:t>
      </w:r>
    </w:p>
    <w:p>
      <w:pPr>
        <w:spacing w:line="400" w:lineRule="exact"/>
        <w:ind w:left="420" w:leftChars="200"/>
        <w:jc w:val="left"/>
        <w:rPr>
          <w:rFonts w:hint="eastAsia" w:ascii="宋体" w:hAnsi="宋体"/>
          <w:kern w:val="21"/>
          <w:szCs w:val="21"/>
        </w:rPr>
      </w:pPr>
      <w:r>
        <w:rPr>
          <w:szCs w:val="21"/>
        </w:rPr>
        <w:t>——</w:t>
      </w:r>
      <w:r>
        <w:rPr>
          <w:rFonts w:hint="eastAsia" w:ascii="宋体" w:hAnsi="宋体"/>
          <w:kern w:val="21"/>
          <w:szCs w:val="21"/>
        </w:rPr>
        <w:t>调整了样品盘的尺寸(见3.4)；</w:t>
      </w:r>
    </w:p>
    <w:p>
      <w:pPr>
        <w:spacing w:line="400" w:lineRule="exact"/>
        <w:ind w:left="420" w:leftChars="200"/>
        <w:jc w:val="left"/>
        <w:rPr>
          <w:rFonts w:hint="eastAsia" w:ascii="宋体" w:hAnsi="宋体"/>
          <w:szCs w:val="21"/>
        </w:rPr>
      </w:pPr>
      <w:r>
        <w:rPr>
          <w:szCs w:val="21"/>
        </w:rPr>
        <w:t>——</w:t>
      </w:r>
      <w:r>
        <w:rPr>
          <w:rFonts w:hint="eastAsia" w:ascii="宋体" w:hAnsi="宋体"/>
          <w:kern w:val="21"/>
          <w:szCs w:val="21"/>
        </w:rPr>
        <w:t>修改了待测试样荧光粉牌号，并增加了产品牌号,</w:t>
      </w:r>
      <w:r>
        <w:rPr>
          <w:rFonts w:hint="eastAsia" w:ascii="宋体" w:hAnsi="宋体"/>
          <w:szCs w:val="21"/>
        </w:rPr>
        <w:t>删除了国家标准样品编号及名称(见表1)；</w:t>
      </w:r>
    </w:p>
    <w:p>
      <w:pPr>
        <w:spacing w:line="400" w:lineRule="exact"/>
        <w:ind w:left="420" w:leftChars="200"/>
        <w:jc w:val="left"/>
        <w:rPr>
          <w:rFonts w:ascii="宋体" w:hAnsi="宋体"/>
          <w:kern w:val="21"/>
          <w:szCs w:val="21"/>
        </w:rPr>
      </w:pPr>
      <w:r>
        <w:rPr>
          <w:szCs w:val="21"/>
        </w:rPr>
        <w:t>——</w:t>
      </w:r>
      <w:r>
        <w:rPr>
          <w:rFonts w:hint="eastAsia" w:ascii="宋体" w:hAnsi="宋体"/>
          <w:szCs w:val="21"/>
        </w:rPr>
        <w:t>修改了测试步骤（见第5章）</w:t>
      </w:r>
      <w:r>
        <w:rPr>
          <w:rFonts w:hint="eastAsia" w:ascii="宋体" w:hAnsi="宋体"/>
          <w:kern w:val="21"/>
          <w:szCs w:val="21"/>
        </w:rPr>
        <w:t>；</w:t>
      </w:r>
    </w:p>
    <w:p>
      <w:pPr>
        <w:spacing w:line="400" w:lineRule="exact"/>
        <w:ind w:left="420" w:leftChars="200"/>
        <w:jc w:val="left"/>
        <w:rPr>
          <w:rFonts w:hint="eastAsia" w:ascii="宋体" w:hAnsi="宋体"/>
          <w:kern w:val="21"/>
          <w:szCs w:val="21"/>
        </w:rPr>
      </w:pPr>
      <w:r>
        <w:rPr>
          <w:szCs w:val="21"/>
        </w:rPr>
        <w:t>——</w:t>
      </w:r>
      <w:r>
        <w:rPr>
          <w:rFonts w:hint="eastAsia"/>
          <w:szCs w:val="21"/>
        </w:rPr>
        <w:t>删除了表2相对亮度指标，增加余辉亮度指标。</w:t>
      </w:r>
    </w:p>
    <w:p>
      <w:pPr>
        <w:adjustRightInd w:val="0"/>
        <w:spacing w:line="400" w:lineRule="exact"/>
        <w:ind w:left="420" w:leftChars="200"/>
        <w:jc w:val="left"/>
        <w:rPr>
          <w:rFonts w:ascii="宋体" w:hAnsi="宋体"/>
          <w:kern w:val="21"/>
          <w:szCs w:val="21"/>
          <w:lang w:val="zh-TW"/>
        </w:rPr>
      </w:pPr>
      <w:r>
        <w:rPr>
          <w:rFonts w:ascii="宋体" w:hAnsi="宋体"/>
          <w:kern w:val="21"/>
          <w:szCs w:val="21"/>
          <w:lang w:val="zh-TW"/>
        </w:rPr>
        <w:t>本部分由全国稀土标准化技术委员会</w:t>
      </w:r>
      <w:r>
        <w:rPr>
          <w:rFonts w:hint="eastAsia" w:ascii="宋体" w:hAnsi="宋体"/>
          <w:kern w:val="21"/>
          <w:szCs w:val="21"/>
          <w:lang w:val="zh-TW"/>
        </w:rPr>
        <w:t>（S</w:t>
      </w:r>
      <w:r>
        <w:rPr>
          <w:rFonts w:ascii="宋体" w:hAnsi="宋体"/>
          <w:kern w:val="21"/>
          <w:szCs w:val="21"/>
          <w:lang w:val="zh-TW" w:eastAsia="zh-TW"/>
        </w:rPr>
        <w:t>AT/TC 229）</w:t>
      </w:r>
      <w:r>
        <w:rPr>
          <w:rFonts w:ascii="宋体" w:hAnsi="宋体"/>
          <w:kern w:val="21"/>
          <w:szCs w:val="21"/>
          <w:lang w:val="zh-TW"/>
        </w:rPr>
        <w:t>提出并归口。</w:t>
      </w:r>
    </w:p>
    <w:p>
      <w:pPr>
        <w:adjustRightInd w:val="0"/>
        <w:spacing w:line="400" w:lineRule="exact"/>
        <w:ind w:left="420" w:leftChars="200"/>
        <w:jc w:val="left"/>
        <w:rPr>
          <w:rFonts w:ascii="宋体" w:hAnsi="宋体"/>
          <w:kern w:val="21"/>
          <w:szCs w:val="21"/>
        </w:rPr>
      </w:pPr>
      <w:r>
        <w:rPr>
          <w:rFonts w:ascii="宋体" w:hAnsi="宋体"/>
          <w:kern w:val="21"/>
          <w:szCs w:val="21"/>
          <w:lang w:val="zh-TW"/>
        </w:rPr>
        <w:t>本部分</w:t>
      </w:r>
      <w:r>
        <w:rPr>
          <w:rFonts w:hint="eastAsia" w:ascii="宋体" w:hAnsi="宋体"/>
          <w:kern w:val="21"/>
          <w:szCs w:val="21"/>
          <w:lang w:val="zh-TW"/>
        </w:rPr>
        <w:t>主要</w:t>
      </w:r>
      <w:r>
        <w:rPr>
          <w:rFonts w:ascii="宋体" w:hAnsi="宋体"/>
          <w:kern w:val="21"/>
          <w:szCs w:val="21"/>
          <w:lang w:val="zh-TW"/>
        </w:rPr>
        <w:t>起草单位：广东省稀有金属研究所</w:t>
      </w:r>
      <w:r>
        <w:rPr>
          <w:rFonts w:hint="eastAsia" w:ascii="宋体" w:hAnsi="宋体"/>
          <w:kern w:val="21"/>
          <w:szCs w:val="21"/>
          <w:lang w:val="zh-TW"/>
        </w:rPr>
        <w:t>、</w:t>
      </w:r>
      <w:r>
        <w:rPr>
          <w:rFonts w:ascii="宋体" w:hAnsi="宋体"/>
          <w:kern w:val="21"/>
          <w:szCs w:val="21"/>
        </w:rPr>
        <w:t>包头稀土研究院、</w:t>
      </w:r>
      <w:r>
        <w:rPr>
          <w:rFonts w:hint="eastAsia" w:ascii="宋体" w:hAnsi="宋体"/>
          <w:kern w:val="21"/>
          <w:szCs w:val="21"/>
        </w:rPr>
        <w:t>厦门大学、</w:t>
      </w:r>
      <w:r>
        <w:rPr>
          <w:rFonts w:ascii="宋体" w:hAnsi="宋体"/>
          <w:kern w:val="21"/>
          <w:szCs w:val="21"/>
        </w:rPr>
        <w:t>江苏博睿光电有限公司、</w:t>
      </w:r>
    </w:p>
    <w:p>
      <w:pPr>
        <w:adjustRightInd w:val="0"/>
        <w:spacing w:line="400" w:lineRule="exact"/>
        <w:jc w:val="left"/>
        <w:rPr>
          <w:rFonts w:ascii="宋体" w:hAnsi="宋体"/>
          <w:kern w:val="21"/>
          <w:szCs w:val="21"/>
        </w:rPr>
      </w:pPr>
      <w:r>
        <w:rPr>
          <w:rFonts w:ascii="宋体" w:hAnsi="宋体"/>
          <w:kern w:val="21"/>
          <w:szCs w:val="21"/>
        </w:rPr>
        <w:t>兰州大学、中国科学院长春应用化学研究所。</w:t>
      </w:r>
    </w:p>
    <w:p>
      <w:pPr>
        <w:adjustRightInd w:val="0"/>
        <w:spacing w:line="400" w:lineRule="exact"/>
        <w:ind w:left="420" w:leftChars="200"/>
        <w:jc w:val="left"/>
        <w:rPr>
          <w:rFonts w:ascii="宋体" w:hAnsi="宋体"/>
          <w:kern w:val="21"/>
          <w:szCs w:val="21"/>
          <w:lang w:val="zh-TW" w:eastAsia="zh-TW"/>
        </w:rPr>
      </w:pPr>
      <w:r>
        <w:rPr>
          <w:rFonts w:ascii="宋体" w:hAnsi="宋体"/>
          <w:kern w:val="21"/>
          <w:szCs w:val="21"/>
          <w:lang w:val="zh-TW"/>
        </w:rPr>
        <w:t>本部分主要起草人：</w:t>
      </w:r>
      <w:r>
        <w:rPr>
          <w:rFonts w:hint="eastAsia" w:ascii="宋体" w:hAnsi="宋体"/>
          <w:kern w:val="21"/>
          <w:szCs w:val="21"/>
          <w:lang w:val="zh-TW"/>
        </w:rPr>
        <w:t>丁建红、李许波、倪海勇、王忠志、庄逸熙、张秋红、梁超</w:t>
      </w:r>
      <w:r>
        <w:rPr>
          <w:rFonts w:ascii="宋体" w:hAnsi="宋体"/>
          <w:kern w:val="21"/>
          <w:szCs w:val="21"/>
          <w:lang w:val="zh-TW"/>
        </w:rPr>
        <w:t>……</w:t>
      </w:r>
      <w:r>
        <w:rPr>
          <w:rFonts w:ascii="宋体" w:hAnsi="宋体"/>
          <w:kern w:val="21"/>
          <w:szCs w:val="21"/>
          <w:lang w:val="zh-TW" w:eastAsia="zh-TW"/>
        </w:rPr>
        <w:t xml:space="preserve"> </w:t>
      </w:r>
    </w:p>
    <w:p>
      <w:pPr>
        <w:adjustRightInd w:val="0"/>
        <w:spacing w:line="400" w:lineRule="exact"/>
        <w:ind w:left="420" w:leftChars="200"/>
        <w:jc w:val="left"/>
        <w:rPr>
          <w:rFonts w:ascii="宋体" w:hAnsi="宋体"/>
          <w:kern w:val="21"/>
          <w:szCs w:val="21"/>
          <w:lang w:val="zh-TW" w:eastAsia="zh-TW"/>
        </w:rPr>
      </w:pPr>
      <w:r>
        <w:rPr>
          <w:rFonts w:ascii="宋体" w:hAnsi="宋体"/>
          <w:kern w:val="21"/>
          <w:szCs w:val="21"/>
          <w:lang w:val="zh-TW" w:eastAsia="zh-TW"/>
        </w:rPr>
        <w:t>本部分所代替标准的历次版本发布情况为：</w:t>
      </w:r>
    </w:p>
    <w:p>
      <w:pPr>
        <w:adjustRightInd w:val="0"/>
        <w:spacing w:line="400" w:lineRule="exact"/>
        <w:ind w:left="420" w:leftChars="200"/>
        <w:jc w:val="left"/>
        <w:rPr>
          <w:rFonts w:ascii="宋体" w:hAnsi="宋体"/>
          <w:szCs w:val="21"/>
        </w:rPr>
      </w:pPr>
      <w:bookmarkStart w:id="2" w:name="OLE_LINK3"/>
      <w:bookmarkStart w:id="3" w:name="OLE_LINK2"/>
      <w:bookmarkStart w:id="4" w:name="OLE_LINK1"/>
      <w:r>
        <w:rPr>
          <w:szCs w:val="21"/>
        </w:rPr>
        <w:t>——</w:t>
      </w:r>
      <w:bookmarkEnd w:id="2"/>
      <w:bookmarkEnd w:id="3"/>
      <w:bookmarkEnd w:id="4"/>
      <w:r>
        <w:rPr>
          <w:rFonts w:ascii="宋体" w:hAnsi="宋体"/>
          <w:kern w:val="21"/>
          <w:szCs w:val="21"/>
        </w:rPr>
        <w:t>GB/T 24981.2</w:t>
      </w:r>
      <w:r>
        <w:rPr>
          <w:rStyle w:val="4"/>
          <w:rFonts w:ascii="宋体" w:hAnsi="宋体" w:eastAsia="宋体" w:cs="Times New Roman"/>
          <w:color w:val="000000"/>
          <w:kern w:val="21"/>
          <w:sz w:val="21"/>
          <w:szCs w:val="21"/>
          <w:lang w:eastAsia="zh-CN"/>
        </w:rPr>
        <w:t>—</w:t>
      </w:r>
      <w:r>
        <w:rPr>
          <w:rFonts w:ascii="宋体" w:hAnsi="宋体"/>
          <w:kern w:val="21"/>
          <w:szCs w:val="21"/>
        </w:rPr>
        <w:t>2010。</w:t>
      </w:r>
      <w:r>
        <w:rPr>
          <w:rFonts w:ascii="宋体" w:hAnsi="宋体"/>
          <w:szCs w:val="21"/>
        </w:rPr>
        <w:t xml:space="preserve">                                        </w:t>
      </w:r>
    </w:p>
    <w:p>
      <w:pPr>
        <w:spacing w:line="360" w:lineRule="exact"/>
        <w:ind w:right="840" w:firstLine="1050" w:firstLineChars="500"/>
        <w:jc w:val="left"/>
        <w:rPr>
          <w:szCs w:val="21"/>
        </w:rPr>
      </w:pPr>
      <w:r>
        <w:rPr>
          <w:rFonts w:hint="eastAsia"/>
          <w:szCs w:val="21"/>
        </w:rPr>
        <w:t xml:space="preserve">                                      </w:t>
      </w:r>
    </w:p>
    <w:p>
      <w:pPr>
        <w:ind w:left="302" w:leftChars="144" w:right="480"/>
        <w:jc w:val="center"/>
        <w:rPr>
          <w:rFonts w:ascii="黑体" w:hAnsi="黑体" w:eastAsia="黑体"/>
          <w:szCs w:val="21"/>
        </w:rPr>
      </w:pPr>
      <w:r>
        <w:rPr>
          <w:szCs w:val="21"/>
        </w:rPr>
        <w:br w:type="page"/>
      </w:r>
      <w:r>
        <w:rPr>
          <w:rFonts w:hint="eastAsia"/>
          <w:szCs w:val="21"/>
        </w:rPr>
        <w:t xml:space="preserve">                                                </w:t>
      </w:r>
      <w:r>
        <w:rPr>
          <w:szCs w:val="21"/>
        </w:rPr>
        <w:t xml:space="preserve">            </w:t>
      </w:r>
      <w:r>
        <w:rPr>
          <w:rFonts w:hint="eastAsia" w:ascii="黑体" w:hAnsi="黑体" w:eastAsia="黑体"/>
          <w:szCs w:val="21"/>
        </w:rPr>
        <w:t xml:space="preserve"> </w:t>
      </w:r>
    </w:p>
    <w:p>
      <w:pPr>
        <w:ind w:left="302" w:leftChars="144" w:right="480"/>
        <w:jc w:val="right"/>
        <w:rPr>
          <w:rFonts w:hint="eastAsia" w:ascii="仿宋" w:hAnsi="仿宋" w:eastAsia="仿宋"/>
          <w:szCs w:val="21"/>
        </w:rPr>
      </w:pPr>
      <w:r>
        <w:rPr>
          <w:rFonts w:hint="eastAsia" w:ascii="黑体" w:hAnsi="黑体" w:eastAsia="黑体"/>
          <w:szCs w:val="21"/>
        </w:rPr>
        <w:t xml:space="preserve"> </w:t>
      </w:r>
      <w:r>
        <w:rPr>
          <w:rFonts w:hint="eastAsia" w:ascii="仿宋" w:hAnsi="仿宋" w:eastAsia="仿宋"/>
          <w:szCs w:val="21"/>
        </w:rPr>
        <w:t>GB/T 24981.2</w:t>
      </w:r>
      <w:r>
        <w:rPr>
          <w:rFonts w:ascii="仿宋" w:hAnsi="仿宋" w:eastAsia="仿宋"/>
          <w:kern w:val="0"/>
          <w:szCs w:val="21"/>
        </w:rPr>
        <w:t>—××××</w:t>
      </w:r>
    </w:p>
    <w:p>
      <w:pPr>
        <w:ind w:left="302" w:leftChars="144" w:right="480"/>
        <w:jc w:val="center"/>
        <w:rPr>
          <w:szCs w:val="21"/>
        </w:rPr>
      </w:pPr>
    </w:p>
    <w:p>
      <w:pPr>
        <w:spacing w:line="360" w:lineRule="exact"/>
        <w:ind w:right="840" w:firstLine="1050" w:firstLineChars="500"/>
        <w:jc w:val="center"/>
        <w:rPr>
          <w:rFonts w:hint="eastAsia"/>
          <w:szCs w:val="21"/>
        </w:rPr>
      </w:pPr>
      <w:r>
        <w:rPr>
          <w:rFonts w:hint="eastAsia"/>
          <w:szCs w:val="21"/>
        </w:rPr>
        <w:t xml:space="preserve"> </w:t>
      </w:r>
    </w:p>
    <w:p>
      <w:pPr>
        <w:spacing w:line="360" w:lineRule="exact"/>
        <w:ind w:right="840" w:firstLine="3200" w:firstLineChars="1000"/>
        <w:rPr>
          <w:rFonts w:ascii="黑体" w:hAnsi="黑体" w:eastAsia="黑体"/>
          <w:sz w:val="32"/>
          <w:szCs w:val="32"/>
        </w:rPr>
      </w:pPr>
      <w:r>
        <w:rPr>
          <w:rFonts w:hint="eastAsia" w:ascii="黑体" w:hAnsi="黑体" w:eastAsia="黑体"/>
          <w:sz w:val="32"/>
          <w:szCs w:val="32"/>
        </w:rPr>
        <w:t>稀土长余辉荧光粉试验方法</w:t>
      </w:r>
    </w:p>
    <w:p>
      <w:pPr>
        <w:ind w:left="302" w:leftChars="144" w:firstLine="2880" w:firstLineChars="900"/>
        <w:rPr>
          <w:rFonts w:ascii="黑体" w:hAnsi="黑体" w:eastAsia="黑体"/>
          <w:sz w:val="32"/>
          <w:szCs w:val="32"/>
        </w:rPr>
      </w:pPr>
      <w:r>
        <w:rPr>
          <w:rFonts w:hint="eastAsia" w:ascii="黑体" w:hAnsi="黑体" w:eastAsia="黑体"/>
          <w:sz w:val="32"/>
          <w:szCs w:val="32"/>
        </w:rPr>
        <w:t>第2部分：余辉亮度的测定</w:t>
      </w:r>
    </w:p>
    <w:p>
      <w:pPr>
        <w:ind w:left="302" w:leftChars="144" w:firstLine="2880" w:firstLineChars="900"/>
        <w:rPr>
          <w:rFonts w:hint="eastAsia" w:ascii="黑体" w:hAnsi="黑体" w:eastAsia="黑体"/>
          <w:sz w:val="32"/>
          <w:szCs w:val="32"/>
        </w:rPr>
      </w:pPr>
    </w:p>
    <w:p>
      <w:pPr>
        <w:numPr>
          <w:ilvl w:val="0"/>
          <w:numId w:val="1"/>
        </w:numPr>
        <w:spacing w:line="360" w:lineRule="exact"/>
        <w:jc w:val="left"/>
        <w:rPr>
          <w:rFonts w:hint="eastAsia" w:ascii="黑体" w:hAnsi="黑体" w:eastAsia="黑体"/>
          <w:szCs w:val="21"/>
        </w:rPr>
      </w:pPr>
      <w:r>
        <w:rPr>
          <w:rFonts w:hint="eastAsia" w:ascii="黑体" w:hAnsi="黑体" w:eastAsia="黑体"/>
          <w:szCs w:val="21"/>
        </w:rPr>
        <w:t>范围</w:t>
      </w:r>
    </w:p>
    <w:p>
      <w:pPr>
        <w:ind w:right="480" w:firstLine="420" w:firstLineChars="200"/>
        <w:rPr>
          <w:rFonts w:hint="eastAsia"/>
          <w:szCs w:val="21"/>
        </w:rPr>
      </w:pPr>
      <w:r>
        <w:rPr>
          <w:rFonts w:hint="eastAsia"/>
          <w:szCs w:val="21"/>
        </w:rPr>
        <w:t>GB/T 24981的本部分规定了稀土长余辉荧光粉余辉亮度的测定方法。</w:t>
      </w:r>
    </w:p>
    <w:p>
      <w:pPr>
        <w:spacing w:line="360" w:lineRule="exact"/>
        <w:ind w:firstLine="420" w:firstLineChars="200"/>
        <w:jc w:val="left"/>
        <w:rPr>
          <w:rFonts w:hint="eastAsia"/>
          <w:szCs w:val="21"/>
        </w:rPr>
      </w:pPr>
      <w:r>
        <w:rPr>
          <w:rFonts w:hint="eastAsia"/>
          <w:szCs w:val="21"/>
        </w:rPr>
        <w:t>本部分适用于稀土长余辉荧光粉余辉亮度的测定。</w:t>
      </w:r>
    </w:p>
    <w:p>
      <w:pPr>
        <w:numPr>
          <w:ilvl w:val="0"/>
          <w:numId w:val="1"/>
        </w:numPr>
        <w:spacing w:line="360" w:lineRule="exact"/>
        <w:jc w:val="left"/>
        <w:rPr>
          <w:rFonts w:hint="eastAsia" w:ascii="黑体" w:hAnsi="黑体" w:eastAsia="黑体"/>
          <w:szCs w:val="21"/>
        </w:rPr>
      </w:pPr>
      <w:r>
        <w:rPr>
          <w:rFonts w:hint="eastAsia" w:ascii="黑体" w:hAnsi="黑体" w:eastAsia="黑体"/>
          <w:szCs w:val="21"/>
        </w:rPr>
        <w:t>方法原理</w:t>
      </w:r>
    </w:p>
    <w:p>
      <w:pPr>
        <w:spacing w:line="360" w:lineRule="exact"/>
        <w:ind w:left="360"/>
        <w:jc w:val="left"/>
        <w:rPr>
          <w:rFonts w:hint="eastAsia"/>
          <w:szCs w:val="21"/>
        </w:rPr>
      </w:pPr>
      <w:r>
        <w:rPr>
          <w:rFonts w:hint="eastAsia"/>
          <w:szCs w:val="21"/>
        </w:rPr>
        <w:t xml:space="preserve"> 使用色温5500 K</w:t>
      </w:r>
      <w:r>
        <w:rPr>
          <w:szCs w:val="21"/>
        </w:rPr>
        <w:t>~</w:t>
      </w:r>
      <w:r>
        <w:rPr>
          <w:rFonts w:hint="eastAsia"/>
          <w:szCs w:val="21"/>
        </w:rPr>
        <w:t>6500 K的光源作为激发光源，以规定的照度直接照射试样，待试样激发饱和，关闭</w:t>
      </w:r>
    </w:p>
    <w:p>
      <w:pPr>
        <w:spacing w:line="360" w:lineRule="exact"/>
        <w:jc w:val="left"/>
        <w:rPr>
          <w:rFonts w:hint="eastAsia"/>
          <w:szCs w:val="21"/>
        </w:rPr>
      </w:pPr>
      <w:r>
        <w:rPr>
          <w:rFonts w:hint="eastAsia"/>
          <w:szCs w:val="21"/>
        </w:rPr>
        <w:t>激发光源，通过亮度计测量，并以规定的时间间隔点记录试样余辉荧光的亮度值，得到试样的余辉亮度。</w:t>
      </w:r>
    </w:p>
    <w:p>
      <w:pPr>
        <w:numPr>
          <w:ilvl w:val="0"/>
          <w:numId w:val="1"/>
        </w:numPr>
        <w:spacing w:line="360" w:lineRule="exact"/>
        <w:jc w:val="left"/>
        <w:rPr>
          <w:rFonts w:hint="eastAsia" w:ascii="黑体" w:hAnsi="黑体" w:eastAsia="黑体"/>
          <w:szCs w:val="21"/>
        </w:rPr>
      </w:pPr>
      <w:r>
        <w:rPr>
          <w:rFonts w:hint="eastAsia" w:ascii="黑体" w:hAnsi="黑体" w:eastAsia="黑体"/>
          <w:szCs w:val="21"/>
        </w:rPr>
        <w:t>仪器与装置</w:t>
      </w: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 xml:space="preserve"> 照度测试装置</w:t>
      </w:r>
    </w:p>
    <w:p>
      <w:pPr>
        <w:numPr>
          <w:ilvl w:val="2"/>
          <w:numId w:val="1"/>
        </w:numPr>
        <w:spacing w:line="360" w:lineRule="exact"/>
        <w:jc w:val="left"/>
        <w:rPr>
          <w:rFonts w:hint="eastAsia"/>
          <w:szCs w:val="21"/>
        </w:rPr>
      </w:pPr>
      <w:r>
        <w:rPr>
          <w:rFonts w:hint="eastAsia"/>
          <w:szCs w:val="21"/>
        </w:rPr>
        <w:t>测量范围：10 lx</w:t>
      </w:r>
      <w:bookmarkStart w:id="5" w:name="OLE_LINK23"/>
      <w:bookmarkStart w:id="6" w:name="OLE_LINK24"/>
      <w:r>
        <w:rPr>
          <w:szCs w:val="21"/>
        </w:rPr>
        <w:t>~</w:t>
      </w:r>
      <w:bookmarkEnd w:id="5"/>
      <w:bookmarkEnd w:id="6"/>
      <w:r>
        <w:rPr>
          <w:rFonts w:hint="eastAsia"/>
          <w:szCs w:val="21"/>
        </w:rPr>
        <w:t>1</w:t>
      </w:r>
      <w:r>
        <w:rPr>
          <w:szCs w:val="21"/>
        </w:rPr>
        <w:t>×</w:t>
      </w:r>
      <w:r>
        <w:rPr>
          <w:rFonts w:hint="eastAsia"/>
          <w:szCs w:val="21"/>
        </w:rPr>
        <w:t>10</w:t>
      </w:r>
      <w:r>
        <w:rPr>
          <w:rFonts w:hint="eastAsia"/>
          <w:szCs w:val="21"/>
          <w:vertAlign w:val="superscript"/>
        </w:rPr>
        <w:t xml:space="preserve">5 </w:t>
      </w:r>
      <w:r>
        <w:rPr>
          <w:rFonts w:hint="eastAsia"/>
          <w:szCs w:val="21"/>
        </w:rPr>
        <w:t>lx，精度满足国家一级照度计要求。</w:t>
      </w:r>
    </w:p>
    <w:p>
      <w:pPr>
        <w:numPr>
          <w:ilvl w:val="2"/>
          <w:numId w:val="1"/>
        </w:numPr>
        <w:spacing w:line="360" w:lineRule="exact"/>
        <w:jc w:val="left"/>
        <w:rPr>
          <w:rFonts w:hint="eastAsia"/>
          <w:szCs w:val="21"/>
        </w:rPr>
      </w:pPr>
      <w:r>
        <w:rPr>
          <w:rFonts w:hint="eastAsia"/>
          <w:szCs w:val="21"/>
        </w:rPr>
        <w:t>测光探头感光灵敏面直径：8 mm</w:t>
      </w:r>
      <w:r>
        <w:rPr>
          <w:szCs w:val="21"/>
        </w:rPr>
        <w:t>~</w:t>
      </w:r>
      <w:r>
        <w:rPr>
          <w:rFonts w:hint="eastAsia"/>
          <w:szCs w:val="21"/>
        </w:rPr>
        <w:t>12 mm。</w:t>
      </w:r>
    </w:p>
    <w:p>
      <w:pPr>
        <w:numPr>
          <w:ilvl w:val="2"/>
          <w:numId w:val="1"/>
        </w:numPr>
        <w:spacing w:line="360" w:lineRule="exact"/>
        <w:jc w:val="left"/>
        <w:rPr>
          <w:szCs w:val="21"/>
        </w:rPr>
      </w:pPr>
      <w:r>
        <w:rPr>
          <w:rFonts w:hint="eastAsia"/>
          <w:szCs w:val="21"/>
        </w:rPr>
        <w:t>照度：照射在弱光型荧光粉待测试样测试表面上任一位置的照度均在25 lx</w:t>
      </w:r>
      <w:r>
        <w:rPr>
          <w:rFonts w:hint="eastAsia" w:ascii="宋体" w:hAnsi="宋体"/>
          <w:szCs w:val="21"/>
        </w:rPr>
        <w:t>±</w:t>
      </w:r>
      <w:r>
        <w:rPr>
          <w:rFonts w:hint="eastAsia"/>
          <w:szCs w:val="21"/>
        </w:rPr>
        <w:t>0.5 lx范围内；照射在</w:t>
      </w:r>
    </w:p>
    <w:p>
      <w:pPr>
        <w:spacing w:line="360" w:lineRule="exact"/>
        <w:jc w:val="left"/>
        <w:rPr>
          <w:rFonts w:hint="eastAsia"/>
          <w:szCs w:val="21"/>
        </w:rPr>
      </w:pPr>
      <w:r>
        <w:rPr>
          <w:rFonts w:hint="eastAsia"/>
          <w:szCs w:val="21"/>
        </w:rPr>
        <w:t>其他荧光粉待测试样测试表面上任一位置的照度均在1000 lx</w:t>
      </w:r>
      <w:r>
        <w:rPr>
          <w:rFonts w:hint="eastAsia" w:ascii="宋体" w:hAnsi="宋体"/>
          <w:szCs w:val="21"/>
        </w:rPr>
        <w:t>±</w:t>
      </w:r>
      <w:r>
        <w:rPr>
          <w:rFonts w:hint="eastAsia"/>
          <w:szCs w:val="21"/>
        </w:rPr>
        <w:t>5 lx范围内。</w:t>
      </w: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余辉亮度测试装置</w:t>
      </w:r>
    </w:p>
    <w:p>
      <w:pPr>
        <w:numPr>
          <w:ilvl w:val="2"/>
          <w:numId w:val="1"/>
        </w:numPr>
        <w:spacing w:line="360" w:lineRule="exact"/>
        <w:jc w:val="left"/>
        <w:rPr>
          <w:rFonts w:hint="eastAsia"/>
          <w:szCs w:val="21"/>
        </w:rPr>
      </w:pPr>
      <w:r>
        <w:rPr>
          <w:rFonts w:hint="eastAsia"/>
          <w:szCs w:val="21"/>
        </w:rPr>
        <w:t>测量范围：1.0</w:t>
      </w:r>
      <w:r>
        <w:rPr>
          <w:szCs w:val="21"/>
        </w:rPr>
        <w:t>×</w:t>
      </w:r>
      <w:r>
        <w:rPr>
          <w:rFonts w:hint="eastAsia"/>
          <w:szCs w:val="21"/>
        </w:rPr>
        <w:t>10</w:t>
      </w:r>
      <w:r>
        <w:rPr>
          <w:rFonts w:hint="eastAsia"/>
          <w:szCs w:val="21"/>
          <w:vertAlign w:val="superscript"/>
        </w:rPr>
        <w:t xml:space="preserve">-5 </w:t>
      </w:r>
      <w:r>
        <w:rPr>
          <w:rFonts w:hint="eastAsia"/>
          <w:szCs w:val="21"/>
        </w:rPr>
        <w:t>cd/m</w:t>
      </w:r>
      <w:r>
        <w:rPr>
          <w:rFonts w:hint="eastAsia"/>
          <w:szCs w:val="21"/>
          <w:vertAlign w:val="superscript"/>
        </w:rPr>
        <w:t>2</w:t>
      </w:r>
      <w:r>
        <w:rPr>
          <w:rFonts w:hint="eastAsia"/>
          <w:szCs w:val="21"/>
        </w:rPr>
        <w:t xml:space="preserve"> </w:t>
      </w:r>
      <w:r>
        <w:rPr>
          <w:szCs w:val="21"/>
        </w:rPr>
        <w:t>~</w:t>
      </w:r>
      <w:r>
        <w:rPr>
          <w:rFonts w:hint="eastAsia"/>
          <w:szCs w:val="21"/>
        </w:rPr>
        <w:t>1.0</w:t>
      </w:r>
      <w:r>
        <w:rPr>
          <w:szCs w:val="21"/>
        </w:rPr>
        <w:t>×</w:t>
      </w:r>
      <w:r>
        <w:rPr>
          <w:rFonts w:hint="eastAsia"/>
          <w:szCs w:val="21"/>
        </w:rPr>
        <w:t>10</w:t>
      </w:r>
      <w:r>
        <w:rPr>
          <w:rFonts w:hint="eastAsia"/>
          <w:szCs w:val="21"/>
          <w:vertAlign w:val="superscript"/>
        </w:rPr>
        <w:t>2</w:t>
      </w:r>
      <w:r>
        <w:rPr>
          <w:rFonts w:hint="eastAsia"/>
          <w:szCs w:val="21"/>
        </w:rPr>
        <w:t xml:space="preserve"> cd/m</w:t>
      </w:r>
      <w:r>
        <w:rPr>
          <w:rFonts w:hint="eastAsia"/>
          <w:szCs w:val="21"/>
          <w:vertAlign w:val="superscript"/>
        </w:rPr>
        <w:t>2</w:t>
      </w:r>
      <w:r>
        <w:rPr>
          <w:rFonts w:hint="eastAsia"/>
          <w:szCs w:val="21"/>
        </w:rPr>
        <w:t>。</w:t>
      </w:r>
    </w:p>
    <w:p>
      <w:pPr>
        <w:numPr>
          <w:ilvl w:val="2"/>
          <w:numId w:val="1"/>
        </w:numPr>
        <w:spacing w:line="360" w:lineRule="exact"/>
        <w:jc w:val="left"/>
        <w:rPr>
          <w:rFonts w:hint="eastAsia"/>
          <w:szCs w:val="21"/>
        </w:rPr>
      </w:pPr>
      <w:r>
        <w:rPr>
          <w:rFonts w:hint="eastAsia"/>
          <w:szCs w:val="21"/>
        </w:rPr>
        <w:t>显示数值最少4位数，精度要求达到国家一级亮度计要求。</w:t>
      </w:r>
    </w:p>
    <w:p>
      <w:pPr>
        <w:numPr>
          <w:ilvl w:val="2"/>
          <w:numId w:val="1"/>
        </w:numPr>
        <w:spacing w:line="360" w:lineRule="exact"/>
        <w:jc w:val="left"/>
        <w:rPr>
          <w:rFonts w:hint="eastAsia"/>
          <w:szCs w:val="21"/>
        </w:rPr>
      </w:pPr>
      <w:r>
        <w:rPr>
          <w:rFonts w:hint="eastAsia"/>
          <w:szCs w:val="21"/>
        </w:rPr>
        <w:t>具备测试被测面积所发出的平均亮度的能力。</w:t>
      </w: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激发光源</w:t>
      </w:r>
    </w:p>
    <w:p>
      <w:pPr>
        <w:spacing w:line="360" w:lineRule="exact"/>
        <w:ind w:firstLine="420" w:firstLineChars="200"/>
        <w:jc w:val="left"/>
        <w:rPr>
          <w:szCs w:val="21"/>
        </w:rPr>
      </w:pPr>
      <w:r>
        <w:rPr>
          <w:rFonts w:hint="eastAsia"/>
          <w:szCs w:val="21"/>
        </w:rPr>
        <w:t>色温5500 K</w:t>
      </w:r>
      <w:r>
        <w:rPr>
          <w:szCs w:val="21"/>
        </w:rPr>
        <w:t>~</w:t>
      </w:r>
      <w:r>
        <w:rPr>
          <w:rFonts w:hint="eastAsia"/>
          <w:szCs w:val="21"/>
        </w:rPr>
        <w:t>6500 K的光源（氙灯、日光灯或L</w:t>
      </w:r>
      <w:r>
        <w:rPr>
          <w:szCs w:val="21"/>
        </w:rPr>
        <w:t>ED</w:t>
      </w:r>
      <w:r>
        <w:rPr>
          <w:rFonts w:hint="eastAsia"/>
          <w:szCs w:val="21"/>
        </w:rPr>
        <w:t>灯），每10min光输出稳定度优于1%，在整个</w:t>
      </w:r>
    </w:p>
    <w:p>
      <w:pPr>
        <w:spacing w:line="360" w:lineRule="exact"/>
        <w:jc w:val="left"/>
        <w:rPr>
          <w:rFonts w:hint="eastAsia"/>
          <w:szCs w:val="21"/>
        </w:rPr>
      </w:pPr>
      <w:r>
        <w:rPr>
          <w:rFonts w:hint="eastAsia"/>
          <w:szCs w:val="21"/>
        </w:rPr>
        <w:t>寿命期内满足上述要求。</w:t>
      </w: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样品盘</w:t>
      </w:r>
    </w:p>
    <w:p>
      <w:pPr>
        <w:spacing w:line="360" w:lineRule="exact"/>
        <w:ind w:left="495"/>
        <w:jc w:val="left"/>
        <w:rPr>
          <w:szCs w:val="21"/>
        </w:rPr>
      </w:pPr>
      <w:r>
        <w:rPr>
          <w:rFonts w:hint="eastAsia"/>
          <w:szCs w:val="21"/>
        </w:rPr>
        <w:t>样品盘为黑色，内径为50 mm，深度为5 mm。材质不能影响激发光源的光谱特性及稀土长余辉荧光</w:t>
      </w:r>
    </w:p>
    <w:p>
      <w:pPr>
        <w:spacing w:line="360" w:lineRule="exact"/>
        <w:jc w:val="left"/>
        <w:rPr>
          <w:rFonts w:hint="eastAsia"/>
          <w:szCs w:val="21"/>
        </w:rPr>
      </w:pPr>
      <w:r>
        <w:rPr>
          <w:rFonts w:hint="eastAsia"/>
          <w:szCs w:val="21"/>
        </w:rPr>
        <w:t>粉的光谱特性。</w:t>
      </w:r>
    </w:p>
    <w:p>
      <w:pPr>
        <w:numPr>
          <w:ilvl w:val="0"/>
          <w:numId w:val="1"/>
        </w:numPr>
        <w:spacing w:line="420" w:lineRule="exact"/>
        <w:ind w:left="357" w:hanging="357"/>
        <w:jc w:val="left"/>
        <w:rPr>
          <w:rFonts w:hint="eastAsia" w:ascii="黑体" w:hAnsi="黑体" w:eastAsia="黑体"/>
          <w:szCs w:val="21"/>
        </w:rPr>
      </w:pPr>
      <w:r>
        <w:rPr>
          <w:rFonts w:hint="eastAsia" w:ascii="黑体" w:hAnsi="黑体" w:eastAsia="黑体"/>
          <w:szCs w:val="21"/>
        </w:rPr>
        <w:t>试样准备</w:t>
      </w:r>
    </w:p>
    <w:p>
      <w:pPr>
        <w:numPr>
          <w:ilvl w:val="1"/>
          <w:numId w:val="1"/>
        </w:numPr>
        <w:spacing w:line="360" w:lineRule="exact"/>
        <w:jc w:val="left"/>
        <w:rPr>
          <w:rFonts w:hint="eastAsia" w:ascii="宋体" w:hAnsi="宋体" w:cs="宋体"/>
          <w:szCs w:val="21"/>
        </w:rPr>
      </w:pPr>
      <w:r>
        <w:rPr>
          <w:rFonts w:hint="eastAsia" w:ascii="宋体" w:hAnsi="宋体" w:cs="宋体"/>
          <w:szCs w:val="21"/>
        </w:rPr>
        <w:t>表1为待测试样荧光粉。</w:t>
      </w:r>
    </w:p>
    <w:p>
      <w:pPr>
        <w:ind w:left="302" w:leftChars="144" w:right="480"/>
        <w:jc w:val="right"/>
        <w:rPr>
          <w:rFonts w:hint="eastAsia" w:ascii="黑体" w:hAnsi="黑体" w:eastAsia="黑体"/>
          <w:szCs w:val="21"/>
        </w:rPr>
      </w:pPr>
    </w:p>
    <w:p>
      <w:pPr>
        <w:ind w:left="302" w:leftChars="144" w:right="480"/>
        <w:jc w:val="right"/>
        <w:rPr>
          <w:rFonts w:ascii="黑体" w:hAnsi="黑体" w:eastAsia="黑体"/>
          <w:szCs w:val="21"/>
        </w:rPr>
      </w:pPr>
      <w:r>
        <w:rPr>
          <w:rFonts w:hint="eastAsia" w:ascii="黑体" w:hAnsi="黑体" w:eastAsia="黑体"/>
          <w:szCs w:val="21"/>
        </w:rPr>
        <w:br w:type="page"/>
      </w:r>
    </w:p>
    <w:p>
      <w:pPr>
        <w:ind w:left="302" w:leftChars="144" w:right="480"/>
        <w:jc w:val="right"/>
        <w:rPr>
          <w:rFonts w:hint="eastAsia" w:ascii="仿宋" w:hAnsi="仿宋" w:eastAsia="仿宋"/>
          <w:szCs w:val="21"/>
        </w:rPr>
      </w:pPr>
      <w:r>
        <w:rPr>
          <w:rFonts w:hint="eastAsia" w:ascii="仿宋" w:hAnsi="仿宋" w:eastAsia="仿宋"/>
          <w:szCs w:val="21"/>
        </w:rPr>
        <w:t xml:space="preserve"> GB/T 24981.2</w:t>
      </w:r>
      <w:r>
        <w:rPr>
          <w:rFonts w:ascii="仿宋" w:hAnsi="仿宋" w:eastAsia="仿宋"/>
          <w:kern w:val="0"/>
          <w:szCs w:val="21"/>
        </w:rPr>
        <w:t>—××××</w:t>
      </w:r>
    </w:p>
    <w:p>
      <w:pPr>
        <w:spacing w:line="360" w:lineRule="exact"/>
        <w:ind w:left="495"/>
        <w:jc w:val="center"/>
        <w:rPr>
          <w:rFonts w:hint="eastAsia" w:ascii="黑体" w:hAnsi="黑体" w:eastAsia="黑体"/>
          <w:szCs w:val="21"/>
        </w:rPr>
      </w:pPr>
      <w:r>
        <w:rPr>
          <w:rFonts w:hint="eastAsia" w:ascii="黑体" w:hAnsi="黑体" w:eastAsia="黑体"/>
          <w:szCs w:val="21"/>
        </w:rPr>
        <w:t>表1</w:t>
      </w:r>
    </w:p>
    <w:tbl>
      <w:tblPr>
        <w:tblStyle w:val="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55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spacing w:line="360" w:lineRule="exact"/>
              <w:jc w:val="center"/>
              <w:rPr>
                <w:rFonts w:hint="eastAsia" w:ascii="宋体" w:hAnsi="宋体"/>
                <w:sz w:val="18"/>
                <w:szCs w:val="18"/>
              </w:rPr>
            </w:pPr>
            <w:r>
              <w:rPr>
                <w:rFonts w:hint="eastAsia" w:ascii="宋体" w:hAnsi="宋体"/>
                <w:sz w:val="18"/>
                <w:szCs w:val="18"/>
              </w:rPr>
              <w:t>化学成分组成体系</w:t>
            </w:r>
          </w:p>
        </w:tc>
        <w:tc>
          <w:tcPr>
            <w:tcW w:w="2551" w:type="dxa"/>
            <w:vAlign w:val="center"/>
          </w:tcPr>
          <w:p>
            <w:pPr>
              <w:spacing w:line="360" w:lineRule="exact"/>
              <w:jc w:val="center"/>
              <w:rPr>
                <w:rFonts w:hint="eastAsia" w:ascii="宋体" w:hAnsi="宋体"/>
                <w:sz w:val="18"/>
                <w:szCs w:val="18"/>
              </w:rPr>
            </w:pPr>
            <w:r>
              <w:rPr>
                <w:rFonts w:hint="eastAsia" w:ascii="宋体" w:hAnsi="宋体"/>
                <w:sz w:val="18"/>
                <w:szCs w:val="18"/>
              </w:rPr>
              <w:t>类别</w:t>
            </w:r>
          </w:p>
        </w:tc>
        <w:tc>
          <w:tcPr>
            <w:tcW w:w="5103" w:type="dxa"/>
            <w:vAlign w:val="center"/>
          </w:tcPr>
          <w:p>
            <w:pPr>
              <w:spacing w:line="360" w:lineRule="exact"/>
              <w:jc w:val="center"/>
              <w:rPr>
                <w:rFonts w:hint="eastAsia" w:ascii="宋体" w:hAnsi="宋体"/>
                <w:sz w:val="18"/>
                <w:szCs w:val="18"/>
              </w:rPr>
            </w:pPr>
            <w:r>
              <w:rPr>
                <w:rFonts w:hint="eastAsia" w:ascii="宋体" w:hAnsi="宋体"/>
                <w:sz w:val="18"/>
                <w:szCs w:val="18"/>
              </w:rPr>
              <w:t>待测试样荧光粉牌号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Merge w:val="restart"/>
            <w:vAlign w:val="center"/>
          </w:tcPr>
          <w:p>
            <w:pPr>
              <w:spacing w:line="360" w:lineRule="exact"/>
              <w:ind w:firstLine="360" w:firstLineChars="200"/>
              <w:rPr>
                <w:rFonts w:hint="eastAsia" w:ascii="宋体" w:hAnsi="宋体"/>
                <w:sz w:val="18"/>
                <w:szCs w:val="18"/>
              </w:rPr>
            </w:pPr>
            <w:r>
              <w:rPr>
                <w:rFonts w:hint="eastAsia" w:ascii="宋体" w:hAnsi="宋体"/>
                <w:sz w:val="18"/>
                <w:szCs w:val="18"/>
              </w:rPr>
              <w:t>碱土铝酸盐</w:t>
            </w:r>
          </w:p>
        </w:tc>
        <w:tc>
          <w:tcPr>
            <w:tcW w:w="2551" w:type="dxa"/>
            <w:vAlign w:val="center"/>
          </w:tcPr>
          <w:p>
            <w:pPr>
              <w:spacing w:line="360" w:lineRule="exact"/>
              <w:rPr>
                <w:rFonts w:hint="eastAsia" w:ascii="宋体" w:hAnsi="宋体"/>
                <w:sz w:val="18"/>
                <w:szCs w:val="18"/>
              </w:rPr>
            </w:pPr>
            <w:r>
              <w:rPr>
                <w:rFonts w:hint="eastAsia" w:ascii="宋体" w:hAnsi="宋体"/>
                <w:sz w:val="18"/>
                <w:szCs w:val="18"/>
              </w:rPr>
              <w:t>常规黄绿色碱土铝酸盐</w:t>
            </w:r>
          </w:p>
        </w:tc>
        <w:tc>
          <w:tcPr>
            <w:tcW w:w="5103" w:type="dxa"/>
            <w:vAlign w:val="center"/>
          </w:tcPr>
          <w:p>
            <w:pPr>
              <w:spacing w:line="360" w:lineRule="exact"/>
              <w:rPr>
                <w:sz w:val="18"/>
                <w:szCs w:val="18"/>
              </w:rPr>
            </w:pPr>
            <w:r>
              <w:rPr>
                <w:sz w:val="18"/>
                <w:szCs w:val="18"/>
              </w:rPr>
              <w:t>207001A、207001B、207001C、207001D、207001E、</w:t>
            </w:r>
          </w:p>
          <w:p>
            <w:pPr>
              <w:spacing w:line="360" w:lineRule="exact"/>
              <w:rPr>
                <w:sz w:val="18"/>
                <w:szCs w:val="18"/>
              </w:rPr>
            </w:pPr>
            <w:r>
              <w:rPr>
                <w:sz w:val="18"/>
                <w:szCs w:val="18"/>
              </w:rPr>
              <w:t>207002A、207002B、207002C、207002D、207002E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Merge w:val="continue"/>
            <w:vAlign w:val="center"/>
          </w:tcPr>
          <w:p>
            <w:pPr>
              <w:spacing w:line="360" w:lineRule="exact"/>
              <w:rPr>
                <w:rFonts w:hint="eastAsia" w:ascii="宋体" w:hAnsi="宋体"/>
                <w:sz w:val="18"/>
                <w:szCs w:val="18"/>
              </w:rPr>
            </w:pPr>
          </w:p>
        </w:tc>
        <w:tc>
          <w:tcPr>
            <w:tcW w:w="2551" w:type="dxa"/>
            <w:vAlign w:val="center"/>
          </w:tcPr>
          <w:p>
            <w:pPr>
              <w:spacing w:line="360" w:lineRule="exact"/>
              <w:rPr>
                <w:rFonts w:hint="eastAsia" w:ascii="宋体" w:hAnsi="宋体"/>
                <w:sz w:val="18"/>
                <w:szCs w:val="18"/>
              </w:rPr>
            </w:pPr>
            <w:r>
              <w:rPr>
                <w:rFonts w:hint="eastAsia" w:ascii="宋体" w:hAnsi="宋体"/>
                <w:sz w:val="18"/>
                <w:szCs w:val="18"/>
              </w:rPr>
              <w:t>常规蓝绿色碱土铝酸盐</w:t>
            </w:r>
          </w:p>
        </w:tc>
        <w:tc>
          <w:tcPr>
            <w:tcW w:w="5103" w:type="dxa"/>
            <w:vAlign w:val="center"/>
          </w:tcPr>
          <w:p>
            <w:pPr>
              <w:spacing w:line="360" w:lineRule="exact"/>
              <w:rPr>
                <w:sz w:val="18"/>
                <w:szCs w:val="18"/>
              </w:rPr>
            </w:pPr>
            <w:r>
              <w:rPr>
                <w:sz w:val="18"/>
                <w:szCs w:val="18"/>
              </w:rPr>
              <w:t>207001F、207001G、207001H</w:t>
            </w:r>
            <w:r>
              <w:rPr>
                <w:rFonts w:hint="eastAsia"/>
                <w:sz w:val="18"/>
                <w:szCs w:val="18"/>
              </w:rPr>
              <w:t>、</w:t>
            </w:r>
            <w:r>
              <w:rPr>
                <w:sz w:val="18"/>
                <w:szCs w:val="18"/>
              </w:rPr>
              <w:t>207001K、</w:t>
            </w:r>
          </w:p>
          <w:p>
            <w:pPr>
              <w:spacing w:line="360" w:lineRule="exact"/>
              <w:rPr>
                <w:sz w:val="18"/>
                <w:szCs w:val="18"/>
              </w:rPr>
            </w:pPr>
            <w:r>
              <w:rPr>
                <w:sz w:val="18"/>
                <w:szCs w:val="18"/>
              </w:rPr>
              <w:t>207002F、207002G、207002H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Merge w:val="continue"/>
            <w:vAlign w:val="center"/>
          </w:tcPr>
          <w:p>
            <w:pPr>
              <w:spacing w:line="360" w:lineRule="exact"/>
              <w:rPr>
                <w:rFonts w:hint="eastAsia" w:ascii="宋体" w:hAnsi="宋体"/>
                <w:sz w:val="18"/>
                <w:szCs w:val="18"/>
              </w:rPr>
            </w:pPr>
          </w:p>
        </w:tc>
        <w:tc>
          <w:tcPr>
            <w:tcW w:w="2551" w:type="dxa"/>
            <w:vAlign w:val="center"/>
          </w:tcPr>
          <w:p>
            <w:pPr>
              <w:spacing w:line="360" w:lineRule="exact"/>
              <w:rPr>
                <w:rFonts w:hint="eastAsia" w:ascii="宋体" w:hAnsi="宋体"/>
                <w:sz w:val="18"/>
                <w:szCs w:val="18"/>
              </w:rPr>
            </w:pPr>
            <w:r>
              <w:rPr>
                <w:rFonts w:hint="eastAsia" w:ascii="宋体" w:hAnsi="宋体"/>
                <w:sz w:val="18"/>
                <w:szCs w:val="18"/>
              </w:rPr>
              <w:t>颗粒型黄绿色碱土铝酸盐</w:t>
            </w:r>
          </w:p>
        </w:tc>
        <w:tc>
          <w:tcPr>
            <w:tcW w:w="5103" w:type="dxa"/>
            <w:vAlign w:val="center"/>
          </w:tcPr>
          <w:p>
            <w:pPr>
              <w:spacing w:line="360" w:lineRule="exact"/>
              <w:rPr>
                <w:sz w:val="18"/>
                <w:szCs w:val="18"/>
              </w:rPr>
            </w:pPr>
            <w:r>
              <w:rPr>
                <w:sz w:val="18"/>
                <w:szCs w:val="18"/>
              </w:rPr>
              <w:t>207003A、207003B、207003C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spacing w:line="360" w:lineRule="exact"/>
              <w:jc w:val="center"/>
              <w:rPr>
                <w:rFonts w:hint="eastAsia" w:ascii="宋体" w:hAnsi="宋体"/>
                <w:sz w:val="18"/>
                <w:szCs w:val="18"/>
              </w:rPr>
            </w:pPr>
            <w:r>
              <w:rPr>
                <w:rFonts w:hint="eastAsia" w:ascii="宋体" w:hAnsi="宋体"/>
                <w:sz w:val="18"/>
                <w:szCs w:val="18"/>
              </w:rPr>
              <w:t>碱土铝酸盐</w:t>
            </w:r>
          </w:p>
        </w:tc>
        <w:tc>
          <w:tcPr>
            <w:tcW w:w="2551" w:type="dxa"/>
            <w:vAlign w:val="center"/>
          </w:tcPr>
          <w:p>
            <w:pPr>
              <w:spacing w:line="360" w:lineRule="exact"/>
              <w:jc w:val="center"/>
              <w:rPr>
                <w:rFonts w:hint="eastAsia" w:ascii="宋体" w:hAnsi="宋体"/>
                <w:sz w:val="18"/>
                <w:szCs w:val="18"/>
              </w:rPr>
            </w:pPr>
            <w:r>
              <w:rPr>
                <w:rFonts w:hint="eastAsia" w:ascii="宋体" w:hAnsi="宋体"/>
                <w:sz w:val="18"/>
                <w:szCs w:val="18"/>
              </w:rPr>
              <w:t>弱光型黄绿色碱土铝酸盐</w:t>
            </w:r>
          </w:p>
        </w:tc>
        <w:tc>
          <w:tcPr>
            <w:tcW w:w="5103" w:type="dxa"/>
            <w:vAlign w:val="center"/>
          </w:tcPr>
          <w:p>
            <w:pPr>
              <w:spacing w:line="360" w:lineRule="exact"/>
              <w:jc w:val="left"/>
              <w:rPr>
                <w:sz w:val="18"/>
                <w:szCs w:val="18"/>
              </w:rPr>
            </w:pPr>
            <w:r>
              <w:rPr>
                <w:sz w:val="18"/>
                <w:szCs w:val="18"/>
              </w:rPr>
              <w:t>207004A、207004B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tcBorders>
              <w:bottom w:val="nil"/>
            </w:tcBorders>
            <w:vAlign w:val="center"/>
          </w:tcPr>
          <w:p>
            <w:pPr>
              <w:spacing w:line="360" w:lineRule="exact"/>
              <w:jc w:val="center"/>
              <w:rPr>
                <w:rFonts w:hint="eastAsia" w:ascii="宋体" w:hAnsi="宋体"/>
                <w:sz w:val="18"/>
                <w:szCs w:val="18"/>
              </w:rPr>
            </w:pPr>
            <w:r>
              <w:rPr>
                <w:rFonts w:hint="eastAsia" w:ascii="宋体" w:hAnsi="宋体"/>
                <w:sz w:val="18"/>
                <w:szCs w:val="18"/>
              </w:rPr>
              <w:t>硅酸盐</w:t>
            </w:r>
          </w:p>
        </w:tc>
        <w:tc>
          <w:tcPr>
            <w:tcW w:w="2551" w:type="dxa"/>
            <w:tcBorders>
              <w:bottom w:val="nil"/>
            </w:tcBorders>
            <w:vAlign w:val="center"/>
          </w:tcPr>
          <w:p>
            <w:pPr>
              <w:spacing w:line="360" w:lineRule="exact"/>
              <w:jc w:val="center"/>
              <w:rPr>
                <w:rFonts w:hint="eastAsia" w:ascii="宋体" w:hAnsi="宋体"/>
                <w:sz w:val="18"/>
                <w:szCs w:val="18"/>
              </w:rPr>
            </w:pPr>
            <w:r>
              <w:rPr>
                <w:rFonts w:hint="eastAsia" w:ascii="宋体" w:hAnsi="宋体"/>
                <w:sz w:val="18"/>
                <w:szCs w:val="18"/>
              </w:rPr>
              <w:t>常规蓝色硅酸盐</w:t>
            </w:r>
          </w:p>
        </w:tc>
        <w:tc>
          <w:tcPr>
            <w:tcW w:w="5103" w:type="dxa"/>
            <w:tcBorders>
              <w:bottom w:val="nil"/>
            </w:tcBorders>
            <w:vAlign w:val="center"/>
          </w:tcPr>
          <w:p>
            <w:pPr>
              <w:spacing w:line="360" w:lineRule="exact"/>
              <w:jc w:val="left"/>
              <w:rPr>
                <w:sz w:val="18"/>
                <w:szCs w:val="18"/>
              </w:rPr>
            </w:pPr>
            <w:r>
              <w:rPr>
                <w:sz w:val="18"/>
                <w:szCs w:val="18"/>
              </w:rPr>
              <w:t>207101A、207101B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tcBorders>
              <w:top w:val="single" w:color="auto" w:sz="4" w:space="0"/>
            </w:tcBorders>
            <w:vAlign w:val="center"/>
          </w:tcPr>
          <w:p>
            <w:pPr>
              <w:spacing w:line="360" w:lineRule="exact"/>
              <w:jc w:val="center"/>
              <w:rPr>
                <w:rFonts w:hint="eastAsia" w:ascii="宋体" w:hAnsi="宋体"/>
                <w:sz w:val="18"/>
                <w:szCs w:val="18"/>
              </w:rPr>
            </w:pPr>
            <w:r>
              <w:rPr>
                <w:rFonts w:hint="eastAsia" w:ascii="宋体" w:hAnsi="宋体"/>
                <w:sz w:val="18"/>
                <w:szCs w:val="18"/>
              </w:rPr>
              <w:t>硫氧化物</w:t>
            </w:r>
          </w:p>
        </w:tc>
        <w:tc>
          <w:tcPr>
            <w:tcW w:w="2551" w:type="dxa"/>
            <w:tcBorders>
              <w:top w:val="single" w:color="auto" w:sz="4" w:space="0"/>
            </w:tcBorders>
            <w:vAlign w:val="center"/>
          </w:tcPr>
          <w:p>
            <w:pPr>
              <w:spacing w:line="360" w:lineRule="exact"/>
              <w:jc w:val="center"/>
              <w:rPr>
                <w:rFonts w:hint="eastAsia" w:ascii="宋体" w:hAnsi="宋体"/>
                <w:sz w:val="18"/>
                <w:szCs w:val="18"/>
              </w:rPr>
            </w:pPr>
            <w:r>
              <w:rPr>
                <w:rFonts w:hint="eastAsia" w:ascii="宋体" w:hAnsi="宋体"/>
                <w:sz w:val="18"/>
                <w:szCs w:val="18"/>
              </w:rPr>
              <w:t>常规橙红色硫氧化物</w:t>
            </w:r>
          </w:p>
        </w:tc>
        <w:tc>
          <w:tcPr>
            <w:tcW w:w="5103" w:type="dxa"/>
            <w:tcBorders>
              <w:top w:val="single" w:color="auto" w:sz="4" w:space="0"/>
            </w:tcBorders>
            <w:vAlign w:val="center"/>
          </w:tcPr>
          <w:p>
            <w:pPr>
              <w:spacing w:line="360" w:lineRule="exact"/>
              <w:jc w:val="left"/>
              <w:rPr>
                <w:sz w:val="18"/>
                <w:szCs w:val="18"/>
              </w:rPr>
            </w:pPr>
            <w:r>
              <w:rPr>
                <w:sz w:val="18"/>
                <w:szCs w:val="18"/>
              </w:rPr>
              <w:t>207201</w:t>
            </w:r>
          </w:p>
        </w:tc>
      </w:tr>
    </w:tbl>
    <w:p>
      <w:pPr>
        <w:spacing w:line="360" w:lineRule="exact"/>
        <w:jc w:val="left"/>
        <w:rPr>
          <w:rFonts w:hint="eastAsia"/>
          <w:szCs w:val="21"/>
        </w:rPr>
      </w:pPr>
      <w:r>
        <w:rPr>
          <w:rFonts w:hint="eastAsia"/>
          <w:szCs w:val="21"/>
        </w:rPr>
        <w:t>4.2</w:t>
      </w:r>
      <w:r>
        <w:rPr>
          <w:szCs w:val="21"/>
        </w:rPr>
        <w:t xml:space="preserve"> </w:t>
      </w:r>
      <w:r>
        <w:rPr>
          <w:rFonts w:hint="eastAsia"/>
          <w:szCs w:val="21"/>
        </w:rPr>
        <w:t>测量前，将待测试样放置在不透光的黑色容器中，避光保存24h。</w:t>
      </w:r>
    </w:p>
    <w:p>
      <w:pPr>
        <w:numPr>
          <w:ilvl w:val="0"/>
          <w:numId w:val="1"/>
        </w:numPr>
        <w:spacing w:line="360" w:lineRule="exact"/>
        <w:jc w:val="left"/>
        <w:rPr>
          <w:rFonts w:hint="eastAsia" w:ascii="黑体" w:hAnsi="黑体" w:eastAsia="黑体"/>
          <w:szCs w:val="21"/>
        </w:rPr>
      </w:pPr>
      <w:r>
        <w:rPr>
          <w:rFonts w:hint="eastAsia" w:ascii="黑体" w:hAnsi="黑体" w:eastAsia="黑体"/>
          <w:szCs w:val="21"/>
        </w:rPr>
        <w:t>测试步骤</w:t>
      </w: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测试条件</w:t>
      </w:r>
    </w:p>
    <w:p>
      <w:pPr>
        <w:numPr>
          <w:ilvl w:val="2"/>
          <w:numId w:val="1"/>
        </w:numPr>
        <w:spacing w:line="360" w:lineRule="exact"/>
        <w:jc w:val="left"/>
        <w:rPr>
          <w:rFonts w:hint="eastAsia" w:ascii="宋体" w:hAnsi="宋体"/>
          <w:szCs w:val="21"/>
        </w:rPr>
      </w:pPr>
      <w:r>
        <w:rPr>
          <w:rFonts w:hint="eastAsia" w:ascii="宋体" w:hAnsi="宋体"/>
          <w:szCs w:val="21"/>
        </w:rPr>
        <w:t>环境温度：</w:t>
      </w:r>
      <w:r>
        <w:rPr>
          <w:szCs w:val="21"/>
        </w:rPr>
        <w:t>22</w:t>
      </w:r>
      <w:r>
        <w:rPr>
          <w:rFonts w:hint="eastAsia" w:ascii="宋体" w:hAnsi="宋体" w:cs="宋体"/>
          <w:szCs w:val="21"/>
        </w:rPr>
        <w:t>℃</w:t>
      </w:r>
      <w:r>
        <w:rPr>
          <w:szCs w:val="21"/>
        </w:rPr>
        <w:t>~27</w:t>
      </w:r>
      <w:r>
        <w:rPr>
          <w:rFonts w:hint="eastAsia" w:ascii="宋体" w:hAnsi="宋体" w:cs="宋体"/>
          <w:szCs w:val="21"/>
        </w:rPr>
        <w:t>℃</w:t>
      </w:r>
      <w:r>
        <w:rPr>
          <w:szCs w:val="21"/>
        </w:rPr>
        <w:t>。</w:t>
      </w:r>
    </w:p>
    <w:p>
      <w:pPr>
        <w:numPr>
          <w:ilvl w:val="2"/>
          <w:numId w:val="1"/>
        </w:numPr>
        <w:spacing w:line="360" w:lineRule="exact"/>
        <w:jc w:val="left"/>
        <w:rPr>
          <w:rFonts w:hint="eastAsia" w:ascii="宋体" w:hAnsi="宋体"/>
          <w:szCs w:val="21"/>
        </w:rPr>
      </w:pPr>
      <w:r>
        <w:rPr>
          <w:rFonts w:hint="eastAsia" w:ascii="宋体" w:hAnsi="宋体"/>
          <w:szCs w:val="21"/>
        </w:rPr>
        <w:t>相对湿度：</w:t>
      </w:r>
      <w:r>
        <w:rPr>
          <w:szCs w:val="21"/>
        </w:rPr>
        <w:t>≤70%</w:t>
      </w:r>
      <w:r>
        <w:rPr>
          <w:rFonts w:hint="eastAsia" w:ascii="宋体" w:hAnsi="宋体"/>
          <w:szCs w:val="21"/>
        </w:rPr>
        <w:t>。</w:t>
      </w:r>
    </w:p>
    <w:p>
      <w:pPr>
        <w:numPr>
          <w:ilvl w:val="2"/>
          <w:numId w:val="1"/>
        </w:numPr>
        <w:spacing w:line="360" w:lineRule="exact"/>
        <w:jc w:val="left"/>
        <w:rPr>
          <w:rFonts w:hint="eastAsia"/>
          <w:szCs w:val="21"/>
        </w:rPr>
      </w:pPr>
      <w:r>
        <w:rPr>
          <w:rFonts w:hint="eastAsia"/>
          <w:szCs w:val="21"/>
        </w:rPr>
        <w:t>测量过程中，除规定的激发时间内的激发光源照射外，不允许有可见光或紫外光等杂散光干扰。</w:t>
      </w: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照度校正</w:t>
      </w:r>
    </w:p>
    <w:p>
      <w:pPr>
        <w:spacing w:line="360" w:lineRule="exact"/>
        <w:ind w:left="495"/>
        <w:jc w:val="left"/>
        <w:rPr>
          <w:rFonts w:hint="eastAsia" w:ascii="宋体" w:hAnsi="宋体"/>
          <w:szCs w:val="21"/>
        </w:rPr>
      </w:pPr>
      <w:r>
        <w:rPr>
          <w:rFonts w:hint="eastAsia" w:ascii="宋体" w:hAnsi="宋体"/>
          <w:szCs w:val="21"/>
        </w:rPr>
        <w:t>开启光源，根据仪器要求稳定</w:t>
      </w:r>
      <w:r>
        <w:rPr>
          <w:szCs w:val="21"/>
        </w:rPr>
        <w:t>10</w:t>
      </w:r>
      <w:r>
        <w:rPr>
          <w:rFonts w:hint="eastAsia"/>
          <w:szCs w:val="21"/>
        </w:rPr>
        <w:t xml:space="preserve"> </w:t>
      </w:r>
      <w:r>
        <w:rPr>
          <w:szCs w:val="21"/>
        </w:rPr>
        <w:t>min~30</w:t>
      </w:r>
      <w:r>
        <w:rPr>
          <w:rFonts w:hint="eastAsia"/>
          <w:szCs w:val="21"/>
        </w:rPr>
        <w:t xml:space="preserve"> </w:t>
      </w:r>
      <w:r>
        <w:rPr>
          <w:szCs w:val="21"/>
        </w:rPr>
        <w:t>min</w:t>
      </w:r>
      <w:r>
        <w:rPr>
          <w:rFonts w:hint="eastAsia" w:ascii="宋体" w:hAnsi="宋体"/>
          <w:szCs w:val="21"/>
        </w:rPr>
        <w:t>。将照度测试装置的测光探头置于试样待激发处，调</w:t>
      </w:r>
    </w:p>
    <w:p>
      <w:pPr>
        <w:spacing w:line="360" w:lineRule="exact"/>
        <w:jc w:val="left"/>
        <w:rPr>
          <w:rFonts w:hint="eastAsia" w:ascii="宋体" w:hAnsi="宋体"/>
          <w:szCs w:val="21"/>
        </w:rPr>
      </w:pPr>
      <w:r>
        <w:rPr>
          <w:rFonts w:hint="eastAsia" w:ascii="宋体" w:hAnsi="宋体"/>
          <w:szCs w:val="21"/>
        </w:rPr>
        <w:t>整光源，保证照射在被测样品上的平均照度稳定在</w:t>
      </w:r>
      <w:r>
        <w:rPr>
          <w:szCs w:val="21"/>
        </w:rPr>
        <w:t>1000</w:t>
      </w:r>
      <w:r>
        <w:rPr>
          <w:rFonts w:hint="eastAsia"/>
          <w:szCs w:val="21"/>
        </w:rPr>
        <w:t xml:space="preserve"> </w:t>
      </w:r>
      <w:r>
        <w:rPr>
          <w:szCs w:val="21"/>
        </w:rPr>
        <w:t>lx±5</w:t>
      </w:r>
      <w:r>
        <w:rPr>
          <w:rFonts w:hint="eastAsia"/>
          <w:szCs w:val="21"/>
        </w:rPr>
        <w:t xml:space="preserve"> </w:t>
      </w:r>
      <w:r>
        <w:rPr>
          <w:szCs w:val="21"/>
        </w:rPr>
        <w:t>lx</w:t>
      </w:r>
      <w:r>
        <w:rPr>
          <w:rFonts w:hint="eastAsia" w:ascii="宋体" w:hAnsi="宋体"/>
          <w:szCs w:val="21"/>
        </w:rPr>
        <w:t>或</w:t>
      </w:r>
      <w:r>
        <w:rPr>
          <w:szCs w:val="21"/>
        </w:rPr>
        <w:t>25</w:t>
      </w:r>
      <w:r>
        <w:rPr>
          <w:rFonts w:hint="eastAsia"/>
          <w:szCs w:val="21"/>
        </w:rPr>
        <w:t xml:space="preserve"> </w:t>
      </w:r>
      <w:r>
        <w:rPr>
          <w:szCs w:val="21"/>
        </w:rPr>
        <w:t>lx±0.5</w:t>
      </w:r>
      <w:r>
        <w:rPr>
          <w:rFonts w:hint="eastAsia"/>
          <w:szCs w:val="21"/>
        </w:rPr>
        <w:t xml:space="preserve"> </w:t>
      </w:r>
      <w:r>
        <w:rPr>
          <w:szCs w:val="21"/>
        </w:rPr>
        <w:t>lx</w:t>
      </w:r>
      <w:r>
        <w:rPr>
          <w:rFonts w:hint="eastAsia" w:ascii="宋体" w:hAnsi="宋体"/>
          <w:szCs w:val="21"/>
        </w:rPr>
        <w:t>。</w:t>
      </w: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余辉亮度测试</w:t>
      </w:r>
    </w:p>
    <w:p>
      <w:pPr>
        <w:numPr>
          <w:ilvl w:val="2"/>
          <w:numId w:val="1"/>
        </w:numPr>
        <w:spacing w:line="360" w:lineRule="exact"/>
        <w:jc w:val="left"/>
        <w:rPr>
          <w:rFonts w:hint="eastAsia" w:ascii="宋体" w:hAnsi="宋体"/>
          <w:szCs w:val="21"/>
        </w:rPr>
      </w:pPr>
      <w:r>
        <w:rPr>
          <w:rFonts w:hint="eastAsia" w:ascii="宋体" w:hAnsi="宋体"/>
          <w:szCs w:val="21"/>
        </w:rPr>
        <w:t>将试样装入样品盘中，压实并使表面平整。</w:t>
      </w:r>
    </w:p>
    <w:p>
      <w:pPr>
        <w:numPr>
          <w:ilvl w:val="2"/>
          <w:numId w:val="1"/>
        </w:numPr>
        <w:spacing w:line="360" w:lineRule="exact"/>
        <w:jc w:val="left"/>
        <w:rPr>
          <w:rFonts w:ascii="宋体" w:hAnsi="宋体"/>
          <w:szCs w:val="21"/>
        </w:rPr>
      </w:pPr>
      <w:r>
        <w:rPr>
          <w:rFonts w:hint="eastAsia" w:ascii="宋体" w:hAnsi="宋体"/>
          <w:szCs w:val="21"/>
        </w:rPr>
        <w:t>将样品盘置于待激发处，使试样受光源激发到饱和状态，试样测试表面的激发光照度满足</w:t>
      </w:r>
      <w:r>
        <w:rPr>
          <w:szCs w:val="21"/>
        </w:rPr>
        <w:t>3.1.3</w:t>
      </w:r>
    </w:p>
    <w:p>
      <w:pPr>
        <w:spacing w:line="360" w:lineRule="exact"/>
        <w:jc w:val="left"/>
        <w:rPr>
          <w:rFonts w:hint="eastAsia" w:ascii="宋体" w:hAnsi="宋体"/>
          <w:szCs w:val="21"/>
        </w:rPr>
      </w:pPr>
      <w:r>
        <w:rPr>
          <w:rFonts w:hint="eastAsia" w:ascii="宋体" w:hAnsi="宋体"/>
          <w:szCs w:val="21"/>
        </w:rPr>
        <w:t>的要求。</w:t>
      </w:r>
    </w:p>
    <w:p>
      <w:pPr>
        <w:numPr>
          <w:ilvl w:val="2"/>
          <w:numId w:val="1"/>
        </w:numPr>
        <w:spacing w:line="360" w:lineRule="exact"/>
        <w:jc w:val="left"/>
        <w:rPr>
          <w:rFonts w:hint="eastAsia" w:ascii="宋体" w:hAnsi="宋体"/>
          <w:szCs w:val="21"/>
        </w:rPr>
      </w:pPr>
      <w:r>
        <w:rPr>
          <w:rFonts w:hint="eastAsia" w:ascii="宋体" w:hAnsi="宋体"/>
          <w:szCs w:val="21"/>
        </w:rPr>
        <w:t>关闭光源，立即用余辉亮度测试装置测试试样的余辉亮度，并在规定时间间隔点记录余辉亮度值。</w:t>
      </w:r>
    </w:p>
    <w:p>
      <w:pPr>
        <w:numPr>
          <w:ilvl w:val="2"/>
          <w:numId w:val="1"/>
        </w:numPr>
        <w:spacing w:line="360" w:lineRule="exact"/>
        <w:jc w:val="left"/>
        <w:rPr>
          <w:rFonts w:hint="eastAsia" w:ascii="宋体" w:hAnsi="宋体"/>
          <w:szCs w:val="21"/>
        </w:rPr>
      </w:pPr>
      <w:r>
        <w:rPr>
          <w:rFonts w:hint="eastAsia" w:ascii="宋体" w:hAnsi="宋体"/>
          <w:szCs w:val="21"/>
        </w:rPr>
        <w:t>重复测试3次，计算其平均值。测试结果的相对偏差不超过5%。</w:t>
      </w:r>
    </w:p>
    <w:p>
      <w:pPr>
        <w:numPr>
          <w:ilvl w:val="0"/>
          <w:numId w:val="1"/>
        </w:numPr>
        <w:spacing w:line="360" w:lineRule="exact"/>
        <w:jc w:val="left"/>
        <w:rPr>
          <w:rFonts w:hint="eastAsia" w:ascii="黑体" w:hAnsi="黑体" w:eastAsia="黑体"/>
          <w:szCs w:val="21"/>
        </w:rPr>
      </w:pPr>
      <w:r>
        <w:rPr>
          <w:rFonts w:hint="eastAsia" w:ascii="黑体" w:hAnsi="黑体" w:eastAsia="黑体"/>
          <w:szCs w:val="21"/>
        </w:rPr>
        <w:t>精密度</w:t>
      </w: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重复性</w:t>
      </w:r>
    </w:p>
    <w:p>
      <w:pPr>
        <w:spacing w:line="360" w:lineRule="exact"/>
        <w:ind w:left="495"/>
        <w:jc w:val="left"/>
        <w:rPr>
          <w:rFonts w:hint="eastAsia"/>
          <w:szCs w:val="21"/>
        </w:rPr>
      </w:pPr>
      <w:r>
        <w:rPr>
          <w:rFonts w:hint="eastAsia"/>
          <w:szCs w:val="21"/>
        </w:rPr>
        <w:t>在重复性条件下获得的两次独立测试余辉亮度的测定值，在以下给出的平均值范围内，这两个测试</w:t>
      </w:r>
    </w:p>
    <w:p>
      <w:pPr>
        <w:spacing w:line="360" w:lineRule="exact"/>
        <w:jc w:val="left"/>
        <w:rPr>
          <w:rFonts w:hint="eastAsia"/>
          <w:szCs w:val="21"/>
        </w:rPr>
      </w:pPr>
      <w:r>
        <w:rPr>
          <w:rFonts w:hint="eastAsia"/>
          <w:szCs w:val="21"/>
        </w:rPr>
        <w:t>结果的绝对差值不超过重复性限（r），超过重复性限（r）的情况不超过5%，重复性限（r）按表2数据采用线性内插法求得。</w:t>
      </w:r>
    </w:p>
    <w:p>
      <w:pPr>
        <w:ind w:left="302" w:leftChars="144" w:right="480"/>
        <w:jc w:val="right"/>
        <w:rPr>
          <w:rFonts w:hint="eastAsia" w:ascii="黑体" w:hAnsi="黑体" w:eastAsia="黑体"/>
          <w:szCs w:val="21"/>
        </w:rPr>
      </w:pPr>
      <w:r>
        <w:rPr>
          <w:rFonts w:hint="eastAsia" w:ascii="黑体" w:hAnsi="黑体" w:eastAsia="黑体"/>
          <w:szCs w:val="21"/>
        </w:rPr>
        <w:br w:type="page"/>
      </w:r>
    </w:p>
    <w:p>
      <w:pPr>
        <w:ind w:left="302" w:leftChars="144" w:right="480"/>
        <w:jc w:val="right"/>
        <w:rPr>
          <w:rFonts w:hint="eastAsia" w:ascii="黑体" w:hAnsi="黑体" w:eastAsia="黑体"/>
          <w:szCs w:val="21"/>
        </w:rPr>
      </w:pPr>
    </w:p>
    <w:p>
      <w:pPr>
        <w:ind w:left="302" w:leftChars="144" w:right="480"/>
        <w:jc w:val="right"/>
        <w:rPr>
          <w:rFonts w:hint="eastAsia" w:ascii="仿宋" w:hAnsi="仿宋" w:eastAsia="仿宋"/>
          <w:szCs w:val="21"/>
        </w:rPr>
      </w:pPr>
      <w:r>
        <w:rPr>
          <w:rFonts w:hint="eastAsia" w:ascii="仿宋" w:hAnsi="仿宋" w:eastAsia="仿宋"/>
          <w:szCs w:val="21"/>
        </w:rPr>
        <w:t xml:space="preserve"> GB/T 24981.2</w:t>
      </w:r>
      <w:r>
        <w:rPr>
          <w:rFonts w:ascii="仿宋" w:hAnsi="仿宋" w:eastAsia="仿宋"/>
          <w:kern w:val="0"/>
          <w:szCs w:val="21"/>
        </w:rPr>
        <w:t>—××××</w:t>
      </w:r>
    </w:p>
    <w:p>
      <w:pPr>
        <w:spacing w:line="360" w:lineRule="exact"/>
        <w:ind w:left="495"/>
        <w:jc w:val="center"/>
        <w:rPr>
          <w:rFonts w:hint="eastAsia" w:ascii="宋体" w:hAnsi="宋体"/>
          <w:szCs w:val="21"/>
        </w:rPr>
      </w:pPr>
      <w:r>
        <w:rPr>
          <w:rFonts w:hint="eastAsia" w:ascii="宋体" w:hAnsi="宋体"/>
          <w:szCs w:val="21"/>
        </w:rPr>
        <w:t>表2</w:t>
      </w:r>
    </w:p>
    <w:tbl>
      <w:tblPr>
        <w:tblStyle w:val="2"/>
        <w:tblW w:w="9359"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2328"/>
        <w:gridCol w:w="2383"/>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tcPr>
          <w:p>
            <w:pPr>
              <w:jc w:val="center"/>
              <w:rPr>
                <w:rFonts w:hint="eastAsia" w:ascii="宋体" w:hAnsi="宋体"/>
                <w:sz w:val="18"/>
                <w:szCs w:val="18"/>
              </w:rPr>
            </w:pPr>
            <w:r>
              <w:rPr>
                <w:rFonts w:hint="eastAsia" w:ascii="宋体" w:hAnsi="宋体"/>
                <w:sz w:val="18"/>
                <w:szCs w:val="18"/>
              </w:rPr>
              <w:t>试样牌号</w:t>
            </w:r>
          </w:p>
        </w:tc>
        <w:tc>
          <w:tcPr>
            <w:tcW w:w="2328" w:type="dxa"/>
          </w:tcPr>
          <w:p>
            <w:pPr>
              <w:jc w:val="center"/>
              <w:rPr>
                <w:rFonts w:hint="eastAsia" w:ascii="宋体" w:hAnsi="宋体"/>
                <w:sz w:val="18"/>
                <w:szCs w:val="18"/>
              </w:rPr>
            </w:pPr>
            <w:r>
              <w:rPr>
                <w:rFonts w:hint="eastAsia" w:ascii="宋体" w:hAnsi="宋体"/>
                <w:sz w:val="18"/>
                <w:szCs w:val="18"/>
              </w:rPr>
              <w:t>测试时间/</w:t>
            </w:r>
            <w:r>
              <w:rPr>
                <w:sz w:val="18"/>
                <w:szCs w:val="18"/>
              </w:rPr>
              <w:t>min</w:t>
            </w:r>
          </w:p>
        </w:tc>
        <w:tc>
          <w:tcPr>
            <w:tcW w:w="2383" w:type="dxa"/>
          </w:tcPr>
          <w:p>
            <w:pPr>
              <w:jc w:val="center"/>
              <w:rPr>
                <w:rFonts w:hint="eastAsia" w:ascii="宋体" w:hAnsi="宋体"/>
                <w:sz w:val="18"/>
                <w:szCs w:val="18"/>
              </w:rPr>
            </w:pPr>
            <w:r>
              <w:rPr>
                <w:rFonts w:hint="eastAsia" w:ascii="宋体" w:hAnsi="宋体"/>
                <w:sz w:val="18"/>
                <w:szCs w:val="18"/>
              </w:rPr>
              <w:t>余辉亮度（</w:t>
            </w:r>
            <w:r>
              <w:rPr>
                <w:sz w:val="18"/>
                <w:szCs w:val="18"/>
              </w:rPr>
              <w:t>mcd/m</w:t>
            </w:r>
            <w:r>
              <w:rPr>
                <w:sz w:val="18"/>
                <w:szCs w:val="18"/>
                <w:vertAlign w:val="superscript"/>
              </w:rPr>
              <w:t>2</w:t>
            </w:r>
            <w:r>
              <w:rPr>
                <w:rFonts w:hint="eastAsia" w:ascii="宋体" w:hAnsi="宋体"/>
                <w:sz w:val="18"/>
                <w:szCs w:val="18"/>
              </w:rPr>
              <w:t>）</w:t>
            </w:r>
          </w:p>
        </w:tc>
        <w:tc>
          <w:tcPr>
            <w:tcW w:w="2335" w:type="dxa"/>
          </w:tcPr>
          <w:p>
            <w:pPr>
              <w:jc w:val="center"/>
              <w:rPr>
                <w:rFonts w:hint="eastAsia" w:ascii="宋体" w:hAnsi="宋体"/>
                <w:sz w:val="18"/>
                <w:szCs w:val="18"/>
              </w:rPr>
            </w:pPr>
            <w:r>
              <w:rPr>
                <w:rFonts w:hint="eastAsia" w:ascii="宋体" w:hAnsi="宋体"/>
                <w:sz w:val="18"/>
                <w:szCs w:val="18"/>
              </w:rPr>
              <w:t>重复性限(r)/%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restart"/>
            <w:vAlign w:val="center"/>
          </w:tcPr>
          <w:p>
            <w:pPr>
              <w:spacing w:line="360" w:lineRule="auto"/>
              <w:jc w:val="center"/>
              <w:rPr>
                <w:sz w:val="18"/>
                <w:szCs w:val="18"/>
              </w:rPr>
            </w:pPr>
            <w:r>
              <w:rPr>
                <w:sz w:val="18"/>
                <w:szCs w:val="18"/>
              </w:rPr>
              <w:t>207001A</w:t>
            </w:r>
          </w:p>
        </w:tc>
        <w:tc>
          <w:tcPr>
            <w:tcW w:w="2328" w:type="dxa"/>
            <w:vAlign w:val="center"/>
          </w:tcPr>
          <w:p>
            <w:pPr>
              <w:spacing w:line="360" w:lineRule="auto"/>
              <w:jc w:val="center"/>
              <w:rPr>
                <w:sz w:val="18"/>
                <w:szCs w:val="18"/>
              </w:rPr>
            </w:pPr>
            <w:r>
              <w:rPr>
                <w:sz w:val="18"/>
                <w:szCs w:val="18"/>
              </w:rPr>
              <w:t>10</w:t>
            </w:r>
          </w:p>
        </w:tc>
        <w:tc>
          <w:tcPr>
            <w:tcW w:w="2383" w:type="dxa"/>
            <w:vAlign w:val="center"/>
          </w:tcPr>
          <w:p>
            <w:pPr>
              <w:widowControl/>
              <w:jc w:val="center"/>
              <w:rPr>
                <w:kern w:val="0"/>
                <w:sz w:val="18"/>
                <w:szCs w:val="18"/>
              </w:rPr>
            </w:pPr>
            <w:r>
              <w:rPr>
                <w:kern w:val="0"/>
                <w:sz w:val="18"/>
                <w:szCs w:val="18"/>
              </w:rPr>
              <w:t>730.65</w:t>
            </w:r>
          </w:p>
        </w:tc>
        <w:tc>
          <w:tcPr>
            <w:tcW w:w="2335" w:type="dxa"/>
            <w:vAlign w:val="center"/>
          </w:tcPr>
          <w:p>
            <w:pPr>
              <w:widowControl/>
              <w:jc w:val="center"/>
              <w:rPr>
                <w:kern w:val="0"/>
                <w:sz w:val="18"/>
                <w:szCs w:val="18"/>
              </w:rPr>
            </w:pPr>
            <w:r>
              <w:rPr>
                <w:rFonts w:hint="eastAsia"/>
                <w:kern w:val="0"/>
                <w:sz w:val="18"/>
                <w:szCs w:val="18"/>
              </w:rPr>
              <w:t>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continue"/>
            <w:vAlign w:val="center"/>
          </w:tcPr>
          <w:p>
            <w:pPr>
              <w:jc w:val="center"/>
              <w:rPr>
                <w:rFonts w:hint="eastAsia" w:ascii="宋体" w:hAnsi="宋体"/>
                <w:sz w:val="18"/>
                <w:szCs w:val="18"/>
              </w:rPr>
            </w:pPr>
          </w:p>
        </w:tc>
        <w:tc>
          <w:tcPr>
            <w:tcW w:w="2328" w:type="dxa"/>
            <w:vAlign w:val="center"/>
          </w:tcPr>
          <w:p>
            <w:pPr>
              <w:jc w:val="center"/>
              <w:rPr>
                <w:rFonts w:hint="eastAsia" w:ascii="宋体" w:hAnsi="宋体"/>
                <w:sz w:val="18"/>
                <w:szCs w:val="18"/>
              </w:rPr>
            </w:pPr>
            <w:r>
              <w:rPr>
                <w:sz w:val="18"/>
                <w:szCs w:val="18"/>
              </w:rPr>
              <w:t>60</w:t>
            </w:r>
          </w:p>
        </w:tc>
        <w:tc>
          <w:tcPr>
            <w:tcW w:w="2383" w:type="dxa"/>
          </w:tcPr>
          <w:p>
            <w:pPr>
              <w:jc w:val="center"/>
              <w:rPr>
                <w:rFonts w:ascii="宋体" w:hAnsi="宋体"/>
                <w:sz w:val="18"/>
                <w:szCs w:val="18"/>
              </w:rPr>
            </w:pPr>
            <w:r>
              <w:rPr>
                <w:sz w:val="18"/>
                <w:szCs w:val="18"/>
              </w:rPr>
              <w:t>117.97</w:t>
            </w:r>
          </w:p>
        </w:tc>
        <w:tc>
          <w:tcPr>
            <w:tcW w:w="2335" w:type="dxa"/>
          </w:tcPr>
          <w:p>
            <w:pPr>
              <w:jc w:val="center"/>
              <w:rPr>
                <w:rFonts w:ascii="宋体" w:hAnsi="宋体"/>
                <w:sz w:val="18"/>
                <w:szCs w:val="18"/>
              </w:rPr>
            </w:pPr>
            <w:r>
              <w:rPr>
                <w:rFonts w:hint="eastAsia"/>
                <w:sz w:val="18"/>
                <w:szCs w:val="18"/>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restart"/>
            <w:vAlign w:val="center"/>
          </w:tcPr>
          <w:p>
            <w:pPr>
              <w:spacing w:line="360" w:lineRule="auto"/>
              <w:jc w:val="center"/>
              <w:rPr>
                <w:sz w:val="18"/>
                <w:szCs w:val="18"/>
              </w:rPr>
            </w:pPr>
            <w:r>
              <w:rPr>
                <w:sz w:val="18"/>
                <w:szCs w:val="18"/>
              </w:rPr>
              <w:t>20700</w:t>
            </w:r>
            <w:r>
              <w:rPr>
                <w:rFonts w:hint="eastAsia"/>
                <w:sz w:val="18"/>
                <w:szCs w:val="18"/>
              </w:rPr>
              <w:t>1</w:t>
            </w:r>
            <w:r>
              <w:rPr>
                <w:sz w:val="18"/>
                <w:szCs w:val="18"/>
              </w:rPr>
              <w:t>F</w:t>
            </w:r>
          </w:p>
        </w:tc>
        <w:tc>
          <w:tcPr>
            <w:tcW w:w="2328" w:type="dxa"/>
            <w:vAlign w:val="center"/>
          </w:tcPr>
          <w:p>
            <w:pPr>
              <w:spacing w:line="360" w:lineRule="auto"/>
              <w:jc w:val="center"/>
              <w:rPr>
                <w:sz w:val="18"/>
                <w:szCs w:val="18"/>
              </w:rPr>
            </w:pPr>
            <w:r>
              <w:rPr>
                <w:sz w:val="18"/>
                <w:szCs w:val="18"/>
              </w:rPr>
              <w:t>10</w:t>
            </w:r>
          </w:p>
        </w:tc>
        <w:tc>
          <w:tcPr>
            <w:tcW w:w="2383" w:type="dxa"/>
            <w:vAlign w:val="center"/>
          </w:tcPr>
          <w:p>
            <w:pPr>
              <w:widowControl/>
              <w:jc w:val="center"/>
              <w:rPr>
                <w:kern w:val="0"/>
                <w:sz w:val="18"/>
                <w:szCs w:val="18"/>
              </w:rPr>
            </w:pPr>
            <w:r>
              <w:rPr>
                <w:kern w:val="0"/>
                <w:sz w:val="18"/>
                <w:szCs w:val="18"/>
              </w:rPr>
              <w:t>509.01</w:t>
            </w:r>
          </w:p>
        </w:tc>
        <w:tc>
          <w:tcPr>
            <w:tcW w:w="2335" w:type="dxa"/>
            <w:vAlign w:val="center"/>
          </w:tcPr>
          <w:p>
            <w:pPr>
              <w:widowControl/>
              <w:jc w:val="center"/>
              <w:rPr>
                <w:kern w:val="0"/>
                <w:sz w:val="18"/>
                <w:szCs w:val="18"/>
              </w:rPr>
            </w:pPr>
            <w:r>
              <w:rPr>
                <w:rFonts w:hint="eastAsia"/>
                <w:kern w:val="0"/>
                <w:sz w:val="18"/>
                <w:szCs w:val="18"/>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continue"/>
            <w:vAlign w:val="center"/>
          </w:tcPr>
          <w:p>
            <w:pPr>
              <w:jc w:val="center"/>
              <w:rPr>
                <w:rFonts w:hint="eastAsia" w:ascii="宋体" w:hAnsi="宋体"/>
                <w:sz w:val="18"/>
                <w:szCs w:val="18"/>
              </w:rPr>
            </w:pPr>
          </w:p>
        </w:tc>
        <w:tc>
          <w:tcPr>
            <w:tcW w:w="2328" w:type="dxa"/>
            <w:vAlign w:val="center"/>
          </w:tcPr>
          <w:p>
            <w:pPr>
              <w:jc w:val="center"/>
              <w:rPr>
                <w:rFonts w:hint="eastAsia" w:ascii="宋体" w:hAnsi="宋体"/>
                <w:sz w:val="18"/>
                <w:szCs w:val="18"/>
              </w:rPr>
            </w:pPr>
            <w:r>
              <w:rPr>
                <w:sz w:val="18"/>
                <w:szCs w:val="18"/>
              </w:rPr>
              <w:t>60</w:t>
            </w:r>
          </w:p>
        </w:tc>
        <w:tc>
          <w:tcPr>
            <w:tcW w:w="2383" w:type="dxa"/>
            <w:vAlign w:val="center"/>
          </w:tcPr>
          <w:p>
            <w:pPr>
              <w:jc w:val="center"/>
              <w:rPr>
                <w:rFonts w:ascii="宋体" w:hAnsi="宋体"/>
                <w:sz w:val="18"/>
                <w:szCs w:val="18"/>
              </w:rPr>
            </w:pPr>
            <w:r>
              <w:rPr>
                <w:kern w:val="0"/>
                <w:sz w:val="18"/>
                <w:szCs w:val="18"/>
              </w:rPr>
              <w:t>80.48</w:t>
            </w:r>
          </w:p>
        </w:tc>
        <w:tc>
          <w:tcPr>
            <w:tcW w:w="2335" w:type="dxa"/>
            <w:vAlign w:val="center"/>
          </w:tcPr>
          <w:p>
            <w:pPr>
              <w:jc w:val="center"/>
              <w:rPr>
                <w:rFonts w:ascii="宋体" w:hAnsi="宋体"/>
                <w:sz w:val="18"/>
                <w:szCs w:val="18"/>
              </w:rPr>
            </w:pPr>
            <w:r>
              <w:rPr>
                <w:rFonts w:hint="eastAsia"/>
                <w:kern w:val="0"/>
                <w:sz w:val="18"/>
                <w:szCs w:val="18"/>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restart"/>
            <w:vAlign w:val="center"/>
          </w:tcPr>
          <w:p>
            <w:pPr>
              <w:spacing w:line="360" w:lineRule="auto"/>
              <w:jc w:val="center"/>
              <w:rPr>
                <w:sz w:val="18"/>
                <w:szCs w:val="18"/>
              </w:rPr>
            </w:pPr>
            <w:r>
              <w:rPr>
                <w:sz w:val="18"/>
                <w:szCs w:val="18"/>
              </w:rPr>
              <w:t>207003A</w:t>
            </w:r>
          </w:p>
        </w:tc>
        <w:tc>
          <w:tcPr>
            <w:tcW w:w="2328" w:type="dxa"/>
            <w:vAlign w:val="center"/>
          </w:tcPr>
          <w:p>
            <w:pPr>
              <w:spacing w:line="360" w:lineRule="auto"/>
              <w:jc w:val="center"/>
              <w:rPr>
                <w:sz w:val="18"/>
                <w:szCs w:val="18"/>
              </w:rPr>
            </w:pPr>
            <w:r>
              <w:rPr>
                <w:sz w:val="18"/>
                <w:szCs w:val="18"/>
              </w:rPr>
              <w:t>10</w:t>
            </w:r>
          </w:p>
        </w:tc>
        <w:tc>
          <w:tcPr>
            <w:tcW w:w="2383" w:type="dxa"/>
          </w:tcPr>
          <w:p>
            <w:pPr>
              <w:jc w:val="center"/>
              <w:rPr>
                <w:sz w:val="18"/>
                <w:szCs w:val="18"/>
              </w:rPr>
            </w:pPr>
            <w:r>
              <w:rPr>
                <w:sz w:val="18"/>
                <w:szCs w:val="18"/>
              </w:rPr>
              <w:t>1090.12</w:t>
            </w:r>
          </w:p>
        </w:tc>
        <w:tc>
          <w:tcPr>
            <w:tcW w:w="2335" w:type="dxa"/>
          </w:tcPr>
          <w:p>
            <w:pPr>
              <w:jc w:val="center"/>
              <w:rPr>
                <w:sz w:val="18"/>
                <w:szCs w:val="18"/>
              </w:rPr>
            </w:pPr>
            <w:r>
              <w:rPr>
                <w:sz w:val="18"/>
                <w:szCs w:val="18"/>
              </w:rPr>
              <w:t>11.</w:t>
            </w:r>
            <w:r>
              <w:rPr>
                <w:rFonts w:hint="eastAsia"/>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continue"/>
            <w:vAlign w:val="center"/>
          </w:tcPr>
          <w:p>
            <w:pPr>
              <w:jc w:val="center"/>
              <w:rPr>
                <w:rFonts w:hint="eastAsia" w:ascii="宋体" w:hAnsi="宋体"/>
                <w:sz w:val="18"/>
                <w:szCs w:val="18"/>
              </w:rPr>
            </w:pPr>
          </w:p>
        </w:tc>
        <w:tc>
          <w:tcPr>
            <w:tcW w:w="2328" w:type="dxa"/>
            <w:vAlign w:val="center"/>
          </w:tcPr>
          <w:p>
            <w:pPr>
              <w:jc w:val="center"/>
              <w:rPr>
                <w:rFonts w:hint="eastAsia" w:ascii="宋体" w:hAnsi="宋体"/>
                <w:sz w:val="18"/>
                <w:szCs w:val="18"/>
              </w:rPr>
            </w:pPr>
            <w:r>
              <w:rPr>
                <w:sz w:val="18"/>
                <w:szCs w:val="18"/>
              </w:rPr>
              <w:t>60</w:t>
            </w:r>
          </w:p>
        </w:tc>
        <w:tc>
          <w:tcPr>
            <w:tcW w:w="2383" w:type="dxa"/>
          </w:tcPr>
          <w:p>
            <w:pPr>
              <w:jc w:val="center"/>
              <w:rPr>
                <w:rFonts w:ascii="宋体" w:hAnsi="宋体"/>
                <w:sz w:val="18"/>
                <w:szCs w:val="18"/>
              </w:rPr>
            </w:pPr>
            <w:r>
              <w:rPr>
                <w:sz w:val="18"/>
                <w:szCs w:val="18"/>
              </w:rPr>
              <w:t>178.61</w:t>
            </w:r>
          </w:p>
        </w:tc>
        <w:tc>
          <w:tcPr>
            <w:tcW w:w="2335" w:type="dxa"/>
          </w:tcPr>
          <w:p>
            <w:pPr>
              <w:jc w:val="center"/>
              <w:rPr>
                <w:rFonts w:ascii="宋体" w:hAnsi="宋体"/>
                <w:sz w:val="18"/>
                <w:szCs w:val="18"/>
              </w:rPr>
            </w:pPr>
            <w:r>
              <w:rPr>
                <w:rFonts w:hint="eastAsia"/>
                <w:sz w:val="18"/>
                <w:szCs w:val="18"/>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restart"/>
            <w:vAlign w:val="center"/>
          </w:tcPr>
          <w:p>
            <w:pPr>
              <w:spacing w:line="360" w:lineRule="auto"/>
              <w:jc w:val="center"/>
              <w:rPr>
                <w:sz w:val="18"/>
                <w:szCs w:val="18"/>
              </w:rPr>
            </w:pPr>
            <w:r>
              <w:rPr>
                <w:sz w:val="18"/>
                <w:szCs w:val="18"/>
              </w:rPr>
              <w:t>207004A</w:t>
            </w:r>
          </w:p>
        </w:tc>
        <w:tc>
          <w:tcPr>
            <w:tcW w:w="2328" w:type="dxa"/>
            <w:vAlign w:val="center"/>
          </w:tcPr>
          <w:p>
            <w:pPr>
              <w:spacing w:line="360" w:lineRule="auto"/>
              <w:jc w:val="center"/>
              <w:rPr>
                <w:sz w:val="18"/>
                <w:szCs w:val="18"/>
              </w:rPr>
            </w:pPr>
            <w:r>
              <w:rPr>
                <w:sz w:val="18"/>
                <w:szCs w:val="18"/>
              </w:rPr>
              <w:t>10</w:t>
            </w:r>
          </w:p>
        </w:tc>
        <w:tc>
          <w:tcPr>
            <w:tcW w:w="2383" w:type="dxa"/>
          </w:tcPr>
          <w:p>
            <w:pPr>
              <w:jc w:val="center"/>
              <w:rPr>
                <w:sz w:val="18"/>
                <w:szCs w:val="18"/>
              </w:rPr>
            </w:pPr>
            <w:r>
              <w:rPr>
                <w:sz w:val="18"/>
                <w:szCs w:val="18"/>
              </w:rPr>
              <w:t>78.16</w:t>
            </w:r>
          </w:p>
        </w:tc>
        <w:tc>
          <w:tcPr>
            <w:tcW w:w="2335" w:type="dxa"/>
          </w:tcPr>
          <w:p>
            <w:pPr>
              <w:jc w:val="center"/>
              <w:rPr>
                <w:sz w:val="18"/>
                <w:szCs w:val="18"/>
              </w:rPr>
            </w:pPr>
            <w:r>
              <w:rPr>
                <w:rFonts w:hint="eastAsia"/>
                <w:sz w:val="18"/>
                <w:szCs w:val="18"/>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continue"/>
            <w:vAlign w:val="center"/>
          </w:tcPr>
          <w:p>
            <w:pPr>
              <w:jc w:val="center"/>
              <w:rPr>
                <w:rFonts w:hint="eastAsia" w:ascii="宋体" w:hAnsi="宋体"/>
                <w:sz w:val="18"/>
                <w:szCs w:val="18"/>
              </w:rPr>
            </w:pPr>
          </w:p>
        </w:tc>
        <w:tc>
          <w:tcPr>
            <w:tcW w:w="2328" w:type="dxa"/>
            <w:vAlign w:val="center"/>
          </w:tcPr>
          <w:p>
            <w:pPr>
              <w:jc w:val="center"/>
              <w:rPr>
                <w:rFonts w:hint="eastAsia" w:ascii="宋体" w:hAnsi="宋体"/>
                <w:sz w:val="18"/>
                <w:szCs w:val="18"/>
              </w:rPr>
            </w:pPr>
            <w:r>
              <w:rPr>
                <w:sz w:val="18"/>
                <w:szCs w:val="18"/>
              </w:rPr>
              <w:t>60</w:t>
            </w:r>
          </w:p>
        </w:tc>
        <w:tc>
          <w:tcPr>
            <w:tcW w:w="2383" w:type="dxa"/>
          </w:tcPr>
          <w:p>
            <w:pPr>
              <w:jc w:val="center"/>
              <w:rPr>
                <w:rFonts w:ascii="宋体" w:hAnsi="宋体"/>
                <w:sz w:val="18"/>
                <w:szCs w:val="18"/>
              </w:rPr>
            </w:pPr>
            <w:r>
              <w:rPr>
                <w:sz w:val="18"/>
                <w:szCs w:val="18"/>
              </w:rPr>
              <w:t>12.90</w:t>
            </w:r>
          </w:p>
        </w:tc>
        <w:tc>
          <w:tcPr>
            <w:tcW w:w="2335" w:type="dxa"/>
          </w:tcPr>
          <w:p>
            <w:pPr>
              <w:jc w:val="center"/>
              <w:rPr>
                <w:rFonts w:ascii="宋体" w:hAnsi="宋体"/>
                <w:sz w:val="18"/>
                <w:szCs w:val="18"/>
              </w:rPr>
            </w:pPr>
            <w:r>
              <w:rPr>
                <w:rFonts w:hint="eastAsia"/>
                <w:sz w:val="18"/>
                <w:szCs w:val="1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restart"/>
            <w:vAlign w:val="center"/>
          </w:tcPr>
          <w:p>
            <w:pPr>
              <w:spacing w:line="360" w:lineRule="auto"/>
              <w:jc w:val="center"/>
              <w:rPr>
                <w:sz w:val="18"/>
                <w:szCs w:val="18"/>
              </w:rPr>
            </w:pPr>
            <w:r>
              <w:rPr>
                <w:sz w:val="18"/>
                <w:szCs w:val="18"/>
              </w:rPr>
              <w:t>207101A</w:t>
            </w:r>
          </w:p>
        </w:tc>
        <w:tc>
          <w:tcPr>
            <w:tcW w:w="2328" w:type="dxa"/>
            <w:vAlign w:val="center"/>
          </w:tcPr>
          <w:p>
            <w:pPr>
              <w:spacing w:line="360" w:lineRule="auto"/>
              <w:jc w:val="center"/>
              <w:rPr>
                <w:sz w:val="18"/>
                <w:szCs w:val="18"/>
              </w:rPr>
            </w:pPr>
            <w:r>
              <w:rPr>
                <w:sz w:val="18"/>
                <w:szCs w:val="18"/>
              </w:rPr>
              <w:t>10</w:t>
            </w:r>
          </w:p>
        </w:tc>
        <w:tc>
          <w:tcPr>
            <w:tcW w:w="2383" w:type="dxa"/>
          </w:tcPr>
          <w:p>
            <w:pPr>
              <w:jc w:val="center"/>
              <w:rPr>
                <w:sz w:val="18"/>
                <w:szCs w:val="18"/>
              </w:rPr>
            </w:pPr>
            <w:r>
              <w:rPr>
                <w:sz w:val="18"/>
                <w:szCs w:val="18"/>
              </w:rPr>
              <w:t>165.68</w:t>
            </w:r>
          </w:p>
        </w:tc>
        <w:tc>
          <w:tcPr>
            <w:tcW w:w="2335" w:type="dxa"/>
          </w:tcPr>
          <w:p>
            <w:pPr>
              <w:jc w:val="center"/>
              <w:rPr>
                <w:sz w:val="18"/>
                <w:szCs w:val="18"/>
              </w:rPr>
            </w:pPr>
            <w:r>
              <w:rPr>
                <w:rFonts w:hint="eastAsia"/>
                <w:sz w:val="18"/>
                <w:szCs w:val="18"/>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continue"/>
            <w:vAlign w:val="center"/>
          </w:tcPr>
          <w:p>
            <w:pPr>
              <w:jc w:val="center"/>
              <w:rPr>
                <w:rFonts w:hint="eastAsia" w:ascii="宋体" w:hAnsi="宋体"/>
                <w:sz w:val="18"/>
                <w:szCs w:val="18"/>
              </w:rPr>
            </w:pPr>
          </w:p>
        </w:tc>
        <w:tc>
          <w:tcPr>
            <w:tcW w:w="2328" w:type="dxa"/>
            <w:vAlign w:val="center"/>
          </w:tcPr>
          <w:p>
            <w:pPr>
              <w:jc w:val="center"/>
              <w:rPr>
                <w:rFonts w:hint="eastAsia" w:ascii="宋体" w:hAnsi="宋体"/>
                <w:sz w:val="18"/>
                <w:szCs w:val="18"/>
              </w:rPr>
            </w:pPr>
            <w:r>
              <w:rPr>
                <w:sz w:val="18"/>
                <w:szCs w:val="18"/>
              </w:rPr>
              <w:t>60</w:t>
            </w:r>
          </w:p>
        </w:tc>
        <w:tc>
          <w:tcPr>
            <w:tcW w:w="2383" w:type="dxa"/>
          </w:tcPr>
          <w:p>
            <w:pPr>
              <w:jc w:val="center"/>
              <w:rPr>
                <w:rFonts w:ascii="宋体" w:hAnsi="宋体"/>
                <w:sz w:val="18"/>
                <w:szCs w:val="18"/>
              </w:rPr>
            </w:pPr>
            <w:r>
              <w:rPr>
                <w:sz w:val="18"/>
                <w:szCs w:val="18"/>
              </w:rPr>
              <w:t>29.42</w:t>
            </w:r>
          </w:p>
        </w:tc>
        <w:tc>
          <w:tcPr>
            <w:tcW w:w="2335" w:type="dxa"/>
          </w:tcPr>
          <w:p>
            <w:pPr>
              <w:jc w:val="center"/>
              <w:rPr>
                <w:rFonts w:ascii="宋体" w:hAnsi="宋体"/>
                <w:sz w:val="18"/>
                <w:szCs w:val="18"/>
              </w:rPr>
            </w:pPr>
            <w:r>
              <w:rPr>
                <w:rFonts w:hint="eastAsia"/>
                <w:sz w:val="18"/>
                <w:szCs w:val="18"/>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restart"/>
            <w:vAlign w:val="center"/>
          </w:tcPr>
          <w:p>
            <w:pPr>
              <w:spacing w:line="360" w:lineRule="auto"/>
              <w:jc w:val="center"/>
              <w:rPr>
                <w:sz w:val="18"/>
                <w:szCs w:val="18"/>
              </w:rPr>
            </w:pPr>
            <w:r>
              <w:rPr>
                <w:sz w:val="18"/>
                <w:szCs w:val="18"/>
              </w:rPr>
              <w:t>207201</w:t>
            </w:r>
          </w:p>
        </w:tc>
        <w:tc>
          <w:tcPr>
            <w:tcW w:w="2328" w:type="dxa"/>
            <w:vAlign w:val="center"/>
          </w:tcPr>
          <w:p>
            <w:pPr>
              <w:spacing w:line="360" w:lineRule="auto"/>
              <w:jc w:val="center"/>
              <w:rPr>
                <w:sz w:val="18"/>
                <w:szCs w:val="18"/>
              </w:rPr>
            </w:pPr>
            <w:r>
              <w:rPr>
                <w:rFonts w:hint="eastAsia"/>
                <w:sz w:val="18"/>
                <w:szCs w:val="18"/>
              </w:rPr>
              <w:t>1</w:t>
            </w:r>
          </w:p>
        </w:tc>
        <w:tc>
          <w:tcPr>
            <w:tcW w:w="2383" w:type="dxa"/>
          </w:tcPr>
          <w:p>
            <w:pPr>
              <w:jc w:val="center"/>
              <w:rPr>
                <w:sz w:val="18"/>
                <w:szCs w:val="18"/>
              </w:rPr>
            </w:pPr>
            <w:r>
              <w:rPr>
                <w:sz w:val="18"/>
                <w:szCs w:val="18"/>
              </w:rPr>
              <w:t>111.</w:t>
            </w:r>
            <w:r>
              <w:rPr>
                <w:rFonts w:hint="eastAsia"/>
                <w:sz w:val="18"/>
                <w:szCs w:val="18"/>
              </w:rPr>
              <w:t>41</w:t>
            </w:r>
          </w:p>
        </w:tc>
        <w:tc>
          <w:tcPr>
            <w:tcW w:w="2335" w:type="dxa"/>
          </w:tcPr>
          <w:p>
            <w:pPr>
              <w:jc w:val="center"/>
              <w:rPr>
                <w:sz w:val="18"/>
                <w:szCs w:val="18"/>
              </w:rPr>
            </w:pPr>
            <w:r>
              <w:rPr>
                <w:rFonts w:hint="eastAsia"/>
                <w:sz w:val="18"/>
                <w:szCs w:val="18"/>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13" w:type="dxa"/>
            <w:vMerge w:val="continue"/>
            <w:vAlign w:val="center"/>
          </w:tcPr>
          <w:p>
            <w:pPr>
              <w:jc w:val="center"/>
              <w:rPr>
                <w:rFonts w:hint="eastAsia" w:ascii="宋体" w:hAnsi="宋体"/>
                <w:sz w:val="18"/>
                <w:szCs w:val="18"/>
              </w:rPr>
            </w:pPr>
          </w:p>
        </w:tc>
        <w:tc>
          <w:tcPr>
            <w:tcW w:w="2328" w:type="dxa"/>
            <w:vAlign w:val="center"/>
          </w:tcPr>
          <w:p>
            <w:pPr>
              <w:jc w:val="center"/>
              <w:rPr>
                <w:rFonts w:hint="eastAsia" w:ascii="宋体" w:hAnsi="宋体"/>
                <w:sz w:val="18"/>
                <w:szCs w:val="18"/>
              </w:rPr>
            </w:pPr>
            <w:r>
              <w:rPr>
                <w:rFonts w:hint="eastAsia"/>
                <w:sz w:val="18"/>
                <w:szCs w:val="18"/>
              </w:rPr>
              <w:t>10</w:t>
            </w:r>
          </w:p>
        </w:tc>
        <w:tc>
          <w:tcPr>
            <w:tcW w:w="2383" w:type="dxa"/>
          </w:tcPr>
          <w:p>
            <w:pPr>
              <w:jc w:val="center"/>
              <w:rPr>
                <w:rFonts w:ascii="宋体" w:hAnsi="宋体"/>
                <w:sz w:val="18"/>
                <w:szCs w:val="18"/>
              </w:rPr>
            </w:pPr>
            <w:r>
              <w:rPr>
                <w:sz w:val="18"/>
                <w:szCs w:val="18"/>
              </w:rPr>
              <w:t>11.58</w:t>
            </w:r>
          </w:p>
        </w:tc>
        <w:tc>
          <w:tcPr>
            <w:tcW w:w="2335" w:type="dxa"/>
          </w:tcPr>
          <w:p>
            <w:pPr>
              <w:jc w:val="center"/>
              <w:rPr>
                <w:rFonts w:ascii="宋体" w:hAnsi="宋体"/>
                <w:sz w:val="18"/>
                <w:szCs w:val="18"/>
              </w:rPr>
            </w:pPr>
            <w:r>
              <w:rPr>
                <w:rFonts w:hint="eastAsia"/>
                <w:sz w:val="18"/>
                <w:szCs w:val="1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359" w:type="dxa"/>
            <w:gridSpan w:val="4"/>
            <w:vAlign w:val="center"/>
          </w:tcPr>
          <w:p>
            <w:pPr>
              <w:ind w:firstLine="360" w:firstLineChars="200"/>
              <w:jc w:val="left"/>
              <w:rPr>
                <w:rFonts w:hint="eastAsia" w:ascii="宋体" w:hAnsi="宋体"/>
                <w:sz w:val="18"/>
                <w:szCs w:val="18"/>
              </w:rPr>
            </w:pPr>
            <w:r>
              <w:rPr>
                <w:rFonts w:hint="eastAsia" w:ascii="宋体" w:hAnsi="宋体"/>
                <w:sz w:val="18"/>
                <w:szCs w:val="18"/>
              </w:rPr>
              <w:t>注：重复性限（r）为2.8</w:t>
            </w:r>
            <w:r>
              <w:rPr>
                <w:rFonts w:ascii="宋体" w:hAnsi="宋体"/>
                <w:sz w:val="18"/>
                <w:szCs w:val="18"/>
              </w:rPr>
              <w:t>×</w:t>
            </w:r>
            <w:r>
              <w:rPr>
                <w:rFonts w:hint="eastAsia" w:ascii="宋体" w:hAnsi="宋体"/>
                <w:sz w:val="18"/>
                <w:szCs w:val="18"/>
              </w:rPr>
              <w:t>Sr，Sr为重复性标准差。</w:t>
            </w:r>
          </w:p>
        </w:tc>
      </w:tr>
    </w:tbl>
    <w:p>
      <w:pPr>
        <w:spacing w:line="360" w:lineRule="exact"/>
        <w:ind w:left="495"/>
        <w:jc w:val="center"/>
        <w:rPr>
          <w:rFonts w:hint="eastAsia"/>
          <w:b/>
          <w:szCs w:val="21"/>
        </w:rPr>
      </w:pPr>
    </w:p>
    <w:p>
      <w:pPr>
        <w:numPr>
          <w:ilvl w:val="1"/>
          <w:numId w:val="1"/>
        </w:numPr>
        <w:spacing w:line="360" w:lineRule="exact"/>
        <w:jc w:val="left"/>
        <w:rPr>
          <w:rFonts w:hint="eastAsia" w:ascii="黑体" w:hAnsi="黑体" w:eastAsia="黑体"/>
          <w:szCs w:val="21"/>
        </w:rPr>
      </w:pPr>
      <w:r>
        <w:rPr>
          <w:rFonts w:hint="eastAsia" w:ascii="黑体" w:hAnsi="黑体" w:eastAsia="黑体"/>
          <w:szCs w:val="21"/>
        </w:rPr>
        <w:t>允许差</w:t>
      </w:r>
    </w:p>
    <w:p>
      <w:pPr>
        <w:spacing w:line="360" w:lineRule="exact"/>
        <w:ind w:left="495"/>
        <w:jc w:val="left"/>
        <w:rPr>
          <w:rFonts w:ascii="宋体" w:hAnsi="宋体"/>
          <w:szCs w:val="21"/>
        </w:rPr>
      </w:pPr>
      <w:r>
        <w:rPr>
          <w:rFonts w:hint="eastAsia" w:ascii="宋体" w:hAnsi="宋体"/>
          <w:szCs w:val="21"/>
        </w:rPr>
        <w:t>实验室之间稀土长余辉荧光粉余辉亮度分析结果的相对允许差应不大于15%。</w:t>
      </w:r>
    </w:p>
    <w:p>
      <w:pPr>
        <w:spacing w:line="360" w:lineRule="exact"/>
        <w:ind w:left="495"/>
        <w:jc w:val="left"/>
        <w:rPr>
          <w:rFonts w:hint="eastAsia" w:ascii="宋体" w:hAnsi="宋体"/>
          <w:szCs w:val="21"/>
        </w:rPr>
      </w:pPr>
    </w:p>
    <w:p>
      <w:pPr>
        <w:spacing w:line="360" w:lineRule="exact"/>
        <w:ind w:left="495"/>
        <w:jc w:val="left"/>
        <w:rPr>
          <w:rFonts w:hint="eastAsia" w:ascii="宋体" w:hAnsi="宋体"/>
          <w:szCs w:val="21"/>
        </w:rPr>
      </w:pPr>
    </w:p>
    <w:p>
      <w:pPr>
        <w:spacing w:line="360" w:lineRule="exact"/>
        <w:ind w:left="495"/>
        <w:jc w:val="left"/>
        <w:rPr>
          <w:rFonts w:hint="eastAsia" w:ascii="宋体" w:hAnsi="宋体"/>
          <w:szCs w:val="21"/>
        </w:rPr>
      </w:pPr>
    </w:p>
    <w:p>
      <w:pPr>
        <w:spacing w:line="360" w:lineRule="exact"/>
        <w:ind w:left="495"/>
        <w:jc w:val="left"/>
        <w:rPr>
          <w:rFonts w:hint="eastAsia" w:ascii="宋体" w:hAnsi="宋体"/>
          <w:szCs w:val="21"/>
        </w:rPr>
      </w:pPr>
    </w:p>
    <w:p>
      <w:pPr>
        <w:spacing w:line="360" w:lineRule="exact"/>
        <w:ind w:left="495"/>
        <w:jc w:val="left"/>
        <w:rPr>
          <w:rFonts w:hint="eastAsia" w:ascii="宋体" w:hAnsi="宋体"/>
          <w:szCs w:val="21"/>
        </w:rPr>
      </w:pPr>
      <w:r>
        <mc:AlternateContent>
          <mc:Choice Requires="wps">
            <w:drawing>
              <wp:anchor distT="0" distB="0" distL="114300" distR="114300" simplePos="0" relativeHeight="251663360" behindDoc="0" locked="0" layoutInCell="1" allowOverlap="1">
                <wp:simplePos x="0" y="0"/>
                <wp:positionH relativeFrom="column">
                  <wp:posOffset>1741170</wp:posOffset>
                </wp:positionH>
                <wp:positionV relativeFrom="paragraph">
                  <wp:posOffset>658495</wp:posOffset>
                </wp:positionV>
                <wp:extent cx="2409825" cy="10160"/>
                <wp:effectExtent l="13335" t="16510" r="1524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409825" cy="1016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137.1pt;margin-top:51.85pt;height:0.8pt;width:189.75pt;z-index:251663360;mso-width-relative:page;mso-height-relative:page;" filled="f" stroked="t" coordsize="21600,21600" o:gfxdata="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CrQdgAAAALAQAADwAAAAAAAAABACAA&#10;AAAiAAAAZHJzL2Rvd25yZXYueG1sUEsBAhQAFAAAAAgAh07iQO9IkUrUAQAAbAMAAA4AAAAAAAAA&#10;AQAgAAAAJwEAAGRycy9lMm9Eb2MueG1sUEsFBgAAAAAGAAYAWQEAAG0FAAAAAA==&#10;">
                <v:fill on="f" focussize="0,0"/>
                <v:stroke weight="1.5pt" color="#000000" joinstyle="round"/>
                <v:imagedata o:title=""/>
                <o:lock v:ext="edit" aspectratio="f"/>
              </v:line>
            </w:pict>
          </mc:Fallback>
        </mc:AlternateContent>
      </w:r>
    </w:p>
    <w:p/>
    <w:sectPr>
      <w:pgSz w:w="11906" w:h="16838"/>
      <w:pgMar w:top="720" w:right="1134" w:bottom="7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54D2C"/>
    <w:multiLevelType w:val="multilevel"/>
    <w:tmpl w:val="78954D2C"/>
    <w:lvl w:ilvl="0" w:tentative="0">
      <w:start w:val="1"/>
      <w:numFmt w:val="decimal"/>
      <w:lvlText w:val="%1"/>
      <w:lvlJc w:val="left"/>
      <w:pPr>
        <w:ind w:left="360" w:hanging="360"/>
      </w:pPr>
      <w:rPr>
        <w:rFonts w:hint="default"/>
      </w:rPr>
    </w:lvl>
    <w:lvl w:ilvl="1" w:tentative="0">
      <w:start w:val="1"/>
      <w:numFmt w:val="decimal"/>
      <w:isLgl/>
      <w:lvlText w:val="%1.%2"/>
      <w:lvlJc w:val="left"/>
      <w:pPr>
        <w:ind w:left="495" w:hanging="49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0"/>
    <w:rsid w:val="000F5E50"/>
    <w:rsid w:val="00E862F9"/>
    <w:rsid w:val="3651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customStyle="1" w:styleId="4">
    <w:name w:val="正文文本 + Arial Unicode MS2"/>
    <w:uiPriority w:val="99"/>
    <w:rPr>
      <w:rFonts w:ascii="Arial Unicode MS" w:eastAsia="Arial Unicode MS" w:cs="Arial Unicode MS"/>
      <w:sz w:val="19"/>
      <w:szCs w:val="19"/>
      <w:shd w:val="clear" w:color="auto" w:fill="FFFFFF"/>
      <w:lang w:val="en-US" w:eastAsia="en-US"/>
    </w:rPr>
  </w:style>
  <w:style w:type="character" w:customStyle="1" w:styleId="5">
    <w:name w:val="发布"/>
    <w:uiPriority w:val="0"/>
    <w:rPr>
      <w:rFonts w:ascii="黑体" w:eastAsia="黑体"/>
      <w:spacing w:val="22"/>
      <w:w w:val="100"/>
      <w:position w:val="3"/>
      <w:sz w:val="28"/>
    </w:rPr>
  </w:style>
  <w:style w:type="paragraph" w:customStyle="1" w:styleId="6">
    <w:name w:val="发布部门"/>
    <w:next w:val="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451</Words>
  <Characters>2577</Characters>
  <Lines>21</Lines>
  <Paragraphs>6</Paragraphs>
  <TotalTime>3</TotalTime>
  <ScaleCrop>false</ScaleCrop>
  <LinksUpToDate>false</LinksUpToDate>
  <CharactersWithSpaces>3022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2019-09-08T08:59:00Z</dcterms:created>
  <dc:creator>ding</dc:creator>
  <cp:lastModifiedBy>高兰</cp:lastModifiedBy>
  <dcterms:modified xsi:type="dcterms:W3CDTF">2019-09-12T00:12:41Z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