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7884" w:rsidRDefault="000A7884">
      <w:pPr>
        <w:spacing w:line="360" w:lineRule="auto"/>
        <w:jc w:val="center"/>
        <w:rPr>
          <w:rFonts w:ascii="黑体" w:eastAsia="黑体" w:hAnsi="黑体" w:hint="eastAsia"/>
          <w:sz w:val="32"/>
          <w:szCs w:val="32"/>
        </w:rPr>
      </w:pPr>
      <w:r>
        <w:rPr>
          <w:rFonts w:ascii="黑体" w:eastAsia="黑体" w:hAnsi="黑体" w:hint="eastAsia"/>
          <w:sz w:val="32"/>
          <w:szCs w:val="32"/>
        </w:rPr>
        <w:t>稀土国家标准《镧铈金属》（</w:t>
      </w:r>
      <w:r w:rsidR="0014203F">
        <w:rPr>
          <w:rFonts w:ascii="黑体" w:eastAsia="黑体" w:hAnsi="黑体" w:hint="eastAsia"/>
          <w:sz w:val="32"/>
          <w:szCs w:val="32"/>
        </w:rPr>
        <w:t>送</w:t>
      </w:r>
      <w:r>
        <w:rPr>
          <w:rFonts w:ascii="黑体" w:eastAsia="黑体" w:hAnsi="黑体" w:hint="eastAsia"/>
          <w:sz w:val="32"/>
          <w:szCs w:val="32"/>
        </w:rPr>
        <w:t>审稿）编制说明</w:t>
      </w:r>
    </w:p>
    <w:p w:rsidR="000A7884" w:rsidRDefault="000A7884">
      <w:pPr>
        <w:adjustRightInd w:val="0"/>
        <w:snapToGrid w:val="0"/>
        <w:spacing w:line="360" w:lineRule="auto"/>
        <w:jc w:val="center"/>
        <w:rPr>
          <w:rFonts w:ascii="宋体" w:hAnsi="宋体" w:hint="eastAsia"/>
          <w:sz w:val="24"/>
          <w:szCs w:val="24"/>
        </w:rPr>
      </w:pPr>
    </w:p>
    <w:p w:rsidR="000A7884" w:rsidRDefault="000A7884">
      <w:pPr>
        <w:adjustRightInd w:val="0"/>
        <w:snapToGrid w:val="0"/>
        <w:spacing w:line="360" w:lineRule="auto"/>
        <w:rPr>
          <w:rFonts w:ascii="黑体" w:eastAsia="黑体" w:hAnsi="黑体"/>
          <w:szCs w:val="21"/>
        </w:rPr>
      </w:pPr>
      <w:r>
        <w:rPr>
          <w:rFonts w:ascii="黑体" w:eastAsia="黑体" w:hAnsi="黑体"/>
          <w:szCs w:val="21"/>
        </w:rPr>
        <w:t>一、工作简况</w:t>
      </w:r>
    </w:p>
    <w:p w:rsidR="000A7884" w:rsidRDefault="000A7884">
      <w:pPr>
        <w:tabs>
          <w:tab w:val="left" w:pos="522"/>
        </w:tabs>
        <w:adjustRightInd w:val="0"/>
        <w:snapToGrid w:val="0"/>
        <w:spacing w:line="360" w:lineRule="auto"/>
        <w:jc w:val="left"/>
        <w:rPr>
          <w:rFonts w:ascii="黑体" w:eastAsia="黑体" w:hAnsi="黑体"/>
          <w:szCs w:val="21"/>
        </w:rPr>
      </w:pPr>
      <w:r>
        <w:rPr>
          <w:rFonts w:ascii="黑体" w:eastAsia="黑体" w:hAnsi="黑体"/>
          <w:szCs w:val="21"/>
        </w:rPr>
        <w:t>1.1立项的目的和意义</w:t>
      </w:r>
    </w:p>
    <w:p w:rsidR="000A7884" w:rsidRDefault="000A7884">
      <w:pPr>
        <w:adjustRightInd w:val="0"/>
        <w:snapToGrid w:val="0"/>
        <w:spacing w:line="360" w:lineRule="auto"/>
        <w:ind w:firstLine="480"/>
        <w:rPr>
          <w:szCs w:val="21"/>
        </w:rPr>
      </w:pPr>
      <w:r>
        <w:rPr>
          <w:rFonts w:hint="eastAsia"/>
          <w:szCs w:val="21"/>
        </w:rPr>
        <w:t>镍氢电池是目前国内外混合动力汽车的首选电池。镍氢电池中</w:t>
      </w:r>
      <w:r>
        <w:rPr>
          <w:szCs w:val="21"/>
        </w:rPr>
        <w:t>储氢合金的主要来源是稀土</w:t>
      </w:r>
      <w:r>
        <w:rPr>
          <w:rFonts w:hint="eastAsia"/>
          <w:szCs w:val="21"/>
        </w:rPr>
        <w:t>金属</w:t>
      </w:r>
      <w:proofErr w:type="gramStart"/>
      <w:r>
        <w:rPr>
          <w:rFonts w:hint="eastAsia"/>
          <w:szCs w:val="21"/>
        </w:rPr>
        <w:t>镧</w:t>
      </w:r>
      <w:proofErr w:type="gramEnd"/>
      <w:r>
        <w:rPr>
          <w:rFonts w:hint="eastAsia"/>
          <w:szCs w:val="21"/>
        </w:rPr>
        <w:t>和金属</w:t>
      </w:r>
      <w:proofErr w:type="gramStart"/>
      <w:r>
        <w:rPr>
          <w:rFonts w:hint="eastAsia"/>
          <w:szCs w:val="21"/>
        </w:rPr>
        <w:t>铈</w:t>
      </w:r>
      <w:proofErr w:type="gramEnd"/>
      <w:r>
        <w:rPr>
          <w:rFonts w:hint="eastAsia"/>
          <w:szCs w:val="21"/>
        </w:rPr>
        <w:t>。有</w:t>
      </w:r>
      <w:r>
        <w:rPr>
          <w:szCs w:val="21"/>
        </w:rPr>
        <w:t>研究表明，</w:t>
      </w:r>
      <w:r>
        <w:rPr>
          <w:rFonts w:hint="eastAsia"/>
          <w:szCs w:val="21"/>
        </w:rPr>
        <w:t xml:space="preserve"> </w:t>
      </w:r>
      <w:proofErr w:type="spellStart"/>
      <w:r>
        <w:rPr>
          <w:rFonts w:hint="eastAsia"/>
          <w:szCs w:val="21"/>
        </w:rPr>
        <w:t>Ce</w:t>
      </w:r>
      <w:proofErr w:type="spellEnd"/>
      <w:r>
        <w:rPr>
          <w:rFonts w:hint="eastAsia"/>
          <w:szCs w:val="21"/>
        </w:rPr>
        <w:t>部分替代</w:t>
      </w:r>
      <w:r>
        <w:rPr>
          <w:rFonts w:hint="eastAsia"/>
          <w:szCs w:val="21"/>
        </w:rPr>
        <w:t>La</w:t>
      </w:r>
      <w:r>
        <w:rPr>
          <w:szCs w:val="21"/>
        </w:rPr>
        <w:t>，可</w:t>
      </w:r>
      <w:r>
        <w:rPr>
          <w:rFonts w:hint="eastAsia"/>
          <w:szCs w:val="21"/>
        </w:rPr>
        <w:t>使得合金相晶胞体积减小，</w:t>
      </w:r>
      <w:proofErr w:type="gramStart"/>
      <w:r>
        <w:rPr>
          <w:rFonts w:hint="eastAsia"/>
          <w:szCs w:val="21"/>
        </w:rPr>
        <w:t>吸氢量</w:t>
      </w:r>
      <w:proofErr w:type="gramEnd"/>
      <w:r>
        <w:rPr>
          <w:rFonts w:hint="eastAsia"/>
          <w:szCs w:val="21"/>
        </w:rPr>
        <w:t>减少，合金在吸</w:t>
      </w:r>
      <w:r>
        <w:rPr>
          <w:rFonts w:hint="eastAsia"/>
          <w:szCs w:val="21"/>
        </w:rPr>
        <w:t>/</w:t>
      </w:r>
      <w:r>
        <w:rPr>
          <w:rFonts w:hint="eastAsia"/>
          <w:szCs w:val="21"/>
        </w:rPr>
        <w:t>放</w:t>
      </w:r>
      <w:proofErr w:type="gramStart"/>
      <w:r>
        <w:rPr>
          <w:rFonts w:hint="eastAsia"/>
          <w:szCs w:val="21"/>
        </w:rPr>
        <w:t>氢过程</w:t>
      </w:r>
      <w:proofErr w:type="gramEnd"/>
      <w:r>
        <w:rPr>
          <w:rFonts w:hint="eastAsia"/>
          <w:szCs w:val="21"/>
        </w:rPr>
        <w:t>中晶格膨胀率减小，使合金的微粉化程度和腐蚀变得缓慢，从而提高了合金的容量保持率。此外，</w:t>
      </w:r>
      <w:proofErr w:type="spellStart"/>
      <w:r>
        <w:rPr>
          <w:rFonts w:hint="eastAsia"/>
          <w:szCs w:val="21"/>
        </w:rPr>
        <w:t>Ce</w:t>
      </w:r>
      <w:proofErr w:type="spellEnd"/>
      <w:r>
        <w:rPr>
          <w:rFonts w:hint="eastAsia"/>
          <w:szCs w:val="21"/>
        </w:rPr>
        <w:t>在合金表面形成保护性氧化膜也有利于改善合金电极的循环稳定性。</w:t>
      </w:r>
      <w:r>
        <w:rPr>
          <w:szCs w:val="21"/>
        </w:rPr>
        <w:t>目前中国已开发成功九个系列，</w:t>
      </w:r>
      <w:r>
        <w:rPr>
          <w:szCs w:val="21"/>
        </w:rPr>
        <w:t>32</w:t>
      </w:r>
      <w:r>
        <w:rPr>
          <w:szCs w:val="21"/>
        </w:rPr>
        <w:t>个规格的镍氢电池产品，形成了年产</w:t>
      </w:r>
      <w:r>
        <w:rPr>
          <w:szCs w:val="21"/>
        </w:rPr>
        <w:t>3000</w:t>
      </w:r>
      <w:r>
        <w:rPr>
          <w:szCs w:val="21"/>
        </w:rPr>
        <w:t>吨储氢合金材料和</w:t>
      </w:r>
      <w:r>
        <w:rPr>
          <w:szCs w:val="21"/>
        </w:rPr>
        <w:t>3</w:t>
      </w:r>
      <w:r>
        <w:rPr>
          <w:szCs w:val="21"/>
        </w:rPr>
        <w:t>亿</w:t>
      </w:r>
      <w:proofErr w:type="gramStart"/>
      <w:r>
        <w:rPr>
          <w:szCs w:val="21"/>
        </w:rPr>
        <w:t>安时</w:t>
      </w:r>
      <w:proofErr w:type="gramEnd"/>
      <w:r>
        <w:rPr>
          <w:szCs w:val="21"/>
        </w:rPr>
        <w:t>镍氢电池的生产规模，年产值约</w:t>
      </w:r>
      <w:r>
        <w:rPr>
          <w:szCs w:val="21"/>
        </w:rPr>
        <w:t>30</w:t>
      </w:r>
      <w:r>
        <w:rPr>
          <w:szCs w:val="21"/>
        </w:rPr>
        <w:t>亿元人民币的镍氢电池产业。</w:t>
      </w:r>
    </w:p>
    <w:p w:rsidR="000A7884" w:rsidRDefault="000A7884">
      <w:pPr>
        <w:adjustRightInd w:val="0"/>
        <w:snapToGrid w:val="0"/>
        <w:spacing w:line="360" w:lineRule="auto"/>
        <w:ind w:firstLine="480"/>
        <w:rPr>
          <w:szCs w:val="21"/>
        </w:rPr>
      </w:pPr>
      <w:r>
        <w:rPr>
          <w:rFonts w:hint="eastAsia"/>
          <w:szCs w:val="21"/>
        </w:rPr>
        <w:t>该项目符合《国务院关于印发</w:t>
      </w:r>
      <w:r>
        <w:rPr>
          <w:rFonts w:hint="eastAsia"/>
          <w:szCs w:val="21"/>
        </w:rPr>
        <w:t xml:space="preserve"> </w:t>
      </w:r>
      <w:r>
        <w:rPr>
          <w:rFonts w:hint="eastAsia"/>
          <w:szCs w:val="21"/>
        </w:rPr>
        <w:t>“十三五”国家科技创新规划的通知</w:t>
      </w:r>
      <w:r>
        <w:rPr>
          <w:rFonts w:hint="eastAsia"/>
          <w:szCs w:val="21"/>
        </w:rPr>
        <w:t xml:space="preserve"> </w:t>
      </w:r>
      <w:r>
        <w:rPr>
          <w:rFonts w:hint="eastAsia"/>
          <w:szCs w:val="21"/>
        </w:rPr>
        <w:t>国发〔</w:t>
      </w:r>
      <w:r>
        <w:rPr>
          <w:rFonts w:hint="eastAsia"/>
          <w:szCs w:val="21"/>
        </w:rPr>
        <w:t>2016</w:t>
      </w:r>
      <w:r>
        <w:rPr>
          <w:rFonts w:hint="eastAsia"/>
          <w:szCs w:val="21"/>
        </w:rPr>
        <w:t>〕</w:t>
      </w:r>
      <w:r>
        <w:rPr>
          <w:rFonts w:hint="eastAsia"/>
          <w:szCs w:val="21"/>
        </w:rPr>
        <w:t>43</w:t>
      </w:r>
      <w:r>
        <w:rPr>
          <w:rFonts w:hint="eastAsia"/>
          <w:szCs w:val="21"/>
        </w:rPr>
        <w:t>号》文件中对稀土新材料和新能源汽车的规划要求。</w:t>
      </w:r>
    </w:p>
    <w:p w:rsidR="000A7884" w:rsidRDefault="000A7884">
      <w:pPr>
        <w:adjustRightInd w:val="0"/>
        <w:snapToGrid w:val="0"/>
        <w:spacing w:line="360" w:lineRule="auto"/>
        <w:ind w:firstLine="480"/>
        <w:rPr>
          <w:szCs w:val="21"/>
        </w:rPr>
      </w:pPr>
      <w:r>
        <w:rPr>
          <w:rFonts w:hint="eastAsia"/>
          <w:szCs w:val="21"/>
        </w:rPr>
        <w:t>目前</w:t>
      </w:r>
      <w:r>
        <w:rPr>
          <w:szCs w:val="21"/>
        </w:rPr>
        <w:t>常用的元素替代法是混溶法，即分别生产</w:t>
      </w:r>
      <w:r>
        <w:rPr>
          <w:rFonts w:hint="eastAsia"/>
          <w:szCs w:val="21"/>
        </w:rPr>
        <w:t>出</w:t>
      </w:r>
      <w:r>
        <w:rPr>
          <w:szCs w:val="21"/>
        </w:rPr>
        <w:t>各种合金</w:t>
      </w:r>
      <w:r>
        <w:rPr>
          <w:rFonts w:hint="eastAsia"/>
          <w:szCs w:val="21"/>
        </w:rPr>
        <w:t>组分</w:t>
      </w:r>
      <w:r>
        <w:rPr>
          <w:szCs w:val="21"/>
        </w:rPr>
        <w:t>的单质，然后再按照一定的比例将其混合，</w:t>
      </w:r>
      <w:r>
        <w:rPr>
          <w:rFonts w:hint="eastAsia"/>
          <w:szCs w:val="21"/>
        </w:rPr>
        <w:t>通过</w:t>
      </w:r>
      <w:r>
        <w:rPr>
          <w:szCs w:val="21"/>
        </w:rPr>
        <w:t>高温</w:t>
      </w:r>
      <w:proofErr w:type="gramStart"/>
      <w:r>
        <w:rPr>
          <w:szCs w:val="21"/>
        </w:rPr>
        <w:t>熔炼炉将其</w:t>
      </w:r>
      <w:proofErr w:type="gramEnd"/>
      <w:r>
        <w:rPr>
          <w:szCs w:val="21"/>
        </w:rPr>
        <w:t>制备成</w:t>
      </w:r>
      <w:r>
        <w:rPr>
          <w:rFonts w:hint="eastAsia"/>
          <w:szCs w:val="21"/>
        </w:rPr>
        <w:t>目标</w:t>
      </w:r>
      <w:r>
        <w:rPr>
          <w:szCs w:val="21"/>
        </w:rPr>
        <w:t>合金。</w:t>
      </w:r>
      <w:r>
        <w:rPr>
          <w:rFonts w:hint="eastAsia"/>
          <w:szCs w:val="21"/>
        </w:rPr>
        <w:t>由于</w:t>
      </w:r>
      <w:r>
        <w:rPr>
          <w:szCs w:val="21"/>
        </w:rPr>
        <w:t>La</w:t>
      </w:r>
      <w:r>
        <w:rPr>
          <w:rFonts w:hint="eastAsia"/>
          <w:szCs w:val="21"/>
        </w:rPr>
        <w:t>、</w:t>
      </w:r>
      <w:proofErr w:type="spellStart"/>
      <w:r>
        <w:rPr>
          <w:szCs w:val="21"/>
        </w:rPr>
        <w:t>Ce</w:t>
      </w:r>
      <w:proofErr w:type="spellEnd"/>
      <w:r>
        <w:rPr>
          <w:szCs w:val="21"/>
        </w:rPr>
        <w:t>都是采用熔盐电解制备而得，</w:t>
      </w:r>
      <w:r>
        <w:rPr>
          <w:rFonts w:hint="eastAsia"/>
          <w:szCs w:val="21"/>
        </w:rPr>
        <w:t>分别</w:t>
      </w:r>
      <w:r>
        <w:rPr>
          <w:szCs w:val="21"/>
        </w:rPr>
        <w:t>制备</w:t>
      </w:r>
      <w:r>
        <w:rPr>
          <w:rFonts w:hint="eastAsia"/>
          <w:szCs w:val="21"/>
        </w:rPr>
        <w:t>单</w:t>
      </w:r>
      <w:r>
        <w:rPr>
          <w:szCs w:val="21"/>
        </w:rPr>
        <w:t>La</w:t>
      </w:r>
      <w:r>
        <w:rPr>
          <w:szCs w:val="21"/>
        </w:rPr>
        <w:t>、单</w:t>
      </w:r>
      <w:proofErr w:type="spellStart"/>
      <w:r>
        <w:rPr>
          <w:szCs w:val="21"/>
        </w:rPr>
        <w:t>Ce</w:t>
      </w:r>
      <w:proofErr w:type="spellEnd"/>
      <w:r>
        <w:rPr>
          <w:szCs w:val="21"/>
        </w:rPr>
        <w:t>流程长、成本高，而且合金</w:t>
      </w:r>
      <w:r>
        <w:rPr>
          <w:rFonts w:hint="eastAsia"/>
          <w:szCs w:val="21"/>
        </w:rPr>
        <w:t>组分</w:t>
      </w:r>
      <w:r>
        <w:rPr>
          <w:szCs w:val="21"/>
        </w:rPr>
        <w:t>不均匀。</w:t>
      </w:r>
      <w:r>
        <w:rPr>
          <w:rFonts w:hint="eastAsia"/>
          <w:szCs w:val="21"/>
        </w:rPr>
        <w:t>此外</w:t>
      </w:r>
      <w:r>
        <w:rPr>
          <w:szCs w:val="21"/>
        </w:rPr>
        <w:t>，单质</w:t>
      </w:r>
      <w:r>
        <w:rPr>
          <w:rFonts w:hint="eastAsia"/>
          <w:szCs w:val="21"/>
        </w:rPr>
        <w:t>La</w:t>
      </w:r>
      <w:r>
        <w:rPr>
          <w:rFonts w:hint="eastAsia"/>
          <w:szCs w:val="21"/>
        </w:rPr>
        <w:t>、</w:t>
      </w:r>
      <w:proofErr w:type="spellStart"/>
      <w:r>
        <w:rPr>
          <w:szCs w:val="21"/>
        </w:rPr>
        <w:t>Ce</w:t>
      </w:r>
      <w:proofErr w:type="spellEnd"/>
      <w:r>
        <w:rPr>
          <w:szCs w:val="21"/>
        </w:rPr>
        <w:t>化学活性极强，</w:t>
      </w:r>
      <w:r>
        <w:rPr>
          <w:rFonts w:hint="eastAsia"/>
          <w:szCs w:val="21"/>
        </w:rPr>
        <w:t>在</w:t>
      </w:r>
      <w:r>
        <w:rPr>
          <w:szCs w:val="21"/>
        </w:rPr>
        <w:t>空气中极易氧化</w:t>
      </w:r>
      <w:r>
        <w:rPr>
          <w:rFonts w:hint="eastAsia"/>
          <w:szCs w:val="21"/>
        </w:rPr>
        <w:t>，</w:t>
      </w:r>
      <w:proofErr w:type="spellStart"/>
      <w:r>
        <w:rPr>
          <w:szCs w:val="21"/>
        </w:rPr>
        <w:t>Ce</w:t>
      </w:r>
      <w:proofErr w:type="spellEnd"/>
      <w:r>
        <w:rPr>
          <w:szCs w:val="21"/>
        </w:rPr>
        <w:t>尤甚。在</w:t>
      </w:r>
      <w:r>
        <w:rPr>
          <w:rFonts w:hint="eastAsia"/>
          <w:szCs w:val="21"/>
        </w:rPr>
        <w:t>长途</w:t>
      </w:r>
      <w:r>
        <w:rPr>
          <w:szCs w:val="21"/>
        </w:rPr>
        <w:t>运输过程中，</w:t>
      </w:r>
      <w:proofErr w:type="spellStart"/>
      <w:r>
        <w:rPr>
          <w:szCs w:val="21"/>
        </w:rPr>
        <w:t>Ce</w:t>
      </w:r>
      <w:proofErr w:type="spellEnd"/>
      <w:r>
        <w:rPr>
          <w:szCs w:val="21"/>
        </w:rPr>
        <w:t>存在自燃的风险。如果</w:t>
      </w:r>
      <w:r>
        <w:rPr>
          <w:rFonts w:hint="eastAsia"/>
          <w:szCs w:val="21"/>
        </w:rPr>
        <w:t>在</w:t>
      </w:r>
      <w:r>
        <w:rPr>
          <w:szCs w:val="21"/>
        </w:rPr>
        <w:t>电解过程中，适当控制</w:t>
      </w:r>
      <w:r>
        <w:rPr>
          <w:rFonts w:hint="eastAsia"/>
          <w:szCs w:val="21"/>
        </w:rPr>
        <w:t>熔体</w:t>
      </w:r>
      <w:r>
        <w:rPr>
          <w:szCs w:val="21"/>
        </w:rPr>
        <w:t>中</w:t>
      </w:r>
      <w:r>
        <w:rPr>
          <w:szCs w:val="21"/>
        </w:rPr>
        <w:t>La</w:t>
      </w:r>
      <w:r>
        <w:rPr>
          <w:rFonts w:hint="eastAsia"/>
          <w:szCs w:val="21"/>
        </w:rPr>
        <w:t>、</w:t>
      </w:r>
      <w:proofErr w:type="spellStart"/>
      <w:r>
        <w:rPr>
          <w:szCs w:val="21"/>
        </w:rPr>
        <w:t>Ce</w:t>
      </w:r>
      <w:proofErr w:type="spellEnd"/>
      <w:r>
        <w:rPr>
          <w:szCs w:val="21"/>
        </w:rPr>
        <w:t>的浓度比例和</w:t>
      </w:r>
      <w:r>
        <w:rPr>
          <w:rFonts w:hint="eastAsia"/>
          <w:szCs w:val="21"/>
        </w:rPr>
        <w:t>阴极</w:t>
      </w:r>
      <w:r>
        <w:rPr>
          <w:szCs w:val="21"/>
        </w:rPr>
        <w:t>析出速率，制得一定</w:t>
      </w:r>
      <w:r>
        <w:rPr>
          <w:rFonts w:hint="eastAsia"/>
          <w:szCs w:val="21"/>
        </w:rPr>
        <w:t>组分</w:t>
      </w:r>
      <w:r>
        <w:rPr>
          <w:szCs w:val="21"/>
        </w:rPr>
        <w:t>的</w:t>
      </w:r>
      <w:proofErr w:type="spellStart"/>
      <w:r>
        <w:rPr>
          <w:szCs w:val="21"/>
        </w:rPr>
        <w:t>LaCe</w:t>
      </w:r>
      <w:proofErr w:type="spellEnd"/>
      <w:r>
        <w:rPr>
          <w:szCs w:val="21"/>
        </w:rPr>
        <w:t>合金，</w:t>
      </w:r>
      <w:r>
        <w:rPr>
          <w:rFonts w:hint="eastAsia"/>
          <w:szCs w:val="21"/>
        </w:rPr>
        <w:t>不仅</w:t>
      </w:r>
      <w:r>
        <w:rPr>
          <w:szCs w:val="21"/>
        </w:rPr>
        <w:t>可为储氢合金提供</w:t>
      </w:r>
      <w:r>
        <w:rPr>
          <w:rFonts w:hint="eastAsia"/>
          <w:szCs w:val="21"/>
        </w:rPr>
        <w:t>低成本</w:t>
      </w:r>
      <w:r>
        <w:rPr>
          <w:szCs w:val="21"/>
        </w:rPr>
        <w:t>母合金原料，</w:t>
      </w:r>
      <w:r>
        <w:rPr>
          <w:rFonts w:hint="eastAsia"/>
          <w:szCs w:val="21"/>
        </w:rPr>
        <w:t>而且</w:t>
      </w:r>
      <w:r>
        <w:rPr>
          <w:szCs w:val="21"/>
        </w:rPr>
        <w:t>可有效降低</w:t>
      </w:r>
      <w:r>
        <w:rPr>
          <w:rFonts w:hint="eastAsia"/>
          <w:szCs w:val="21"/>
        </w:rPr>
        <w:t>单</w:t>
      </w:r>
      <w:r>
        <w:rPr>
          <w:szCs w:val="21"/>
        </w:rPr>
        <w:t>La</w:t>
      </w:r>
      <w:r>
        <w:rPr>
          <w:szCs w:val="21"/>
        </w:rPr>
        <w:t>、单</w:t>
      </w:r>
      <w:proofErr w:type="spellStart"/>
      <w:r>
        <w:rPr>
          <w:szCs w:val="21"/>
        </w:rPr>
        <w:t>Ce</w:t>
      </w:r>
      <w:proofErr w:type="spellEnd"/>
      <w:r>
        <w:rPr>
          <w:rFonts w:hint="eastAsia"/>
          <w:szCs w:val="21"/>
        </w:rPr>
        <w:t>的</w:t>
      </w:r>
      <w:r>
        <w:rPr>
          <w:szCs w:val="21"/>
        </w:rPr>
        <w:t>化学活性，抑制其氧化和燃烧行为</w:t>
      </w:r>
      <w:r>
        <w:rPr>
          <w:rFonts w:hint="eastAsia"/>
          <w:szCs w:val="21"/>
        </w:rPr>
        <w:t>，</w:t>
      </w:r>
      <w:r>
        <w:rPr>
          <w:szCs w:val="21"/>
        </w:rPr>
        <w:t>具有</w:t>
      </w:r>
      <w:r>
        <w:rPr>
          <w:rFonts w:hint="eastAsia"/>
          <w:szCs w:val="21"/>
        </w:rPr>
        <w:t>较好</w:t>
      </w:r>
      <w:r>
        <w:rPr>
          <w:szCs w:val="21"/>
        </w:rPr>
        <w:t>的</w:t>
      </w:r>
      <w:r>
        <w:rPr>
          <w:rFonts w:hint="eastAsia"/>
          <w:szCs w:val="21"/>
        </w:rPr>
        <w:t>应用</w:t>
      </w:r>
      <w:r>
        <w:rPr>
          <w:szCs w:val="21"/>
        </w:rPr>
        <w:t>前景。</w:t>
      </w:r>
    </w:p>
    <w:p w:rsidR="000A7884" w:rsidRDefault="000A7884">
      <w:pPr>
        <w:adjustRightInd w:val="0"/>
        <w:snapToGrid w:val="0"/>
        <w:spacing w:line="360" w:lineRule="auto"/>
        <w:ind w:firstLine="480"/>
        <w:rPr>
          <w:szCs w:val="21"/>
        </w:rPr>
      </w:pPr>
      <w:proofErr w:type="gramStart"/>
      <w:r>
        <w:rPr>
          <w:rFonts w:hint="eastAsia"/>
          <w:szCs w:val="21"/>
        </w:rPr>
        <w:t>镧铈</w:t>
      </w:r>
      <w:proofErr w:type="gramEnd"/>
      <w:r>
        <w:rPr>
          <w:rFonts w:hint="eastAsia"/>
          <w:szCs w:val="21"/>
        </w:rPr>
        <w:t>金属产量高，应用广，但没有一个标准来规范产品质量，而是作为混合稀土金属标准的一个牌号存在。混合稀土金属是包括</w:t>
      </w:r>
      <w:proofErr w:type="gramStart"/>
      <w:r>
        <w:rPr>
          <w:rFonts w:hint="eastAsia"/>
          <w:szCs w:val="21"/>
        </w:rPr>
        <w:t>镧铈</w:t>
      </w:r>
      <w:proofErr w:type="gramEnd"/>
      <w:r>
        <w:rPr>
          <w:rFonts w:hint="eastAsia"/>
          <w:szCs w:val="21"/>
        </w:rPr>
        <w:t>金属、富</w:t>
      </w:r>
      <w:proofErr w:type="gramStart"/>
      <w:r>
        <w:rPr>
          <w:rFonts w:hint="eastAsia"/>
          <w:szCs w:val="21"/>
        </w:rPr>
        <w:t>铈</w:t>
      </w:r>
      <w:proofErr w:type="gramEnd"/>
      <w:r>
        <w:rPr>
          <w:rFonts w:hint="eastAsia"/>
          <w:szCs w:val="21"/>
        </w:rPr>
        <w:t>混合稀土金属和</w:t>
      </w:r>
      <w:proofErr w:type="gramStart"/>
      <w:r>
        <w:rPr>
          <w:rFonts w:hint="eastAsia"/>
          <w:szCs w:val="21"/>
        </w:rPr>
        <w:t>镨</w:t>
      </w:r>
      <w:proofErr w:type="gramEnd"/>
      <w:r>
        <w:rPr>
          <w:rFonts w:hint="eastAsia"/>
          <w:szCs w:val="21"/>
        </w:rPr>
        <w:t>钕金属等一大类标准，不应替代单独的产品标准。制定该产品标准有利于</w:t>
      </w:r>
      <w:proofErr w:type="gramStart"/>
      <w:r>
        <w:rPr>
          <w:rFonts w:hint="eastAsia"/>
          <w:szCs w:val="21"/>
        </w:rPr>
        <w:t>镧铈</w:t>
      </w:r>
      <w:proofErr w:type="gramEnd"/>
      <w:r>
        <w:rPr>
          <w:rFonts w:hint="eastAsia"/>
          <w:szCs w:val="21"/>
        </w:rPr>
        <w:t>金属的大量生产和销售，使市场处于有序、合理竞争的状态，进而促进稀土产业的发展。</w:t>
      </w:r>
    </w:p>
    <w:p w:rsidR="000A7884" w:rsidRDefault="000A7884">
      <w:pPr>
        <w:tabs>
          <w:tab w:val="left" w:pos="522"/>
        </w:tabs>
        <w:adjustRightInd w:val="0"/>
        <w:snapToGrid w:val="0"/>
        <w:spacing w:beforeLines="50" w:line="360" w:lineRule="auto"/>
        <w:jc w:val="left"/>
        <w:rPr>
          <w:rFonts w:ascii="黑体" w:eastAsia="黑体" w:hAnsi="黑体"/>
          <w:szCs w:val="21"/>
        </w:rPr>
      </w:pPr>
      <w:r>
        <w:rPr>
          <w:rFonts w:ascii="黑体" w:eastAsia="黑体" w:hAnsi="黑体"/>
          <w:szCs w:val="21"/>
        </w:rPr>
        <w:t>1.2任务来源</w:t>
      </w:r>
    </w:p>
    <w:p w:rsidR="000A7884" w:rsidRDefault="000A7884">
      <w:pPr>
        <w:adjustRightInd w:val="0"/>
        <w:snapToGrid w:val="0"/>
        <w:spacing w:line="360" w:lineRule="auto"/>
        <w:ind w:firstLineChars="200" w:firstLine="420"/>
        <w:rPr>
          <w:rFonts w:hint="eastAsia"/>
          <w:szCs w:val="21"/>
          <w:lang w:val="en-US" w:eastAsia="zh-CN"/>
        </w:rPr>
      </w:pPr>
      <w:r>
        <w:rPr>
          <w:szCs w:val="21"/>
          <w:lang w:val="en-US" w:eastAsia="zh-CN"/>
        </w:rPr>
        <w:t>根据国家标准委关于下达</w:t>
      </w:r>
      <w:r>
        <w:rPr>
          <w:szCs w:val="21"/>
          <w:lang w:val="en-US" w:eastAsia="zh-CN"/>
        </w:rPr>
        <w:t>2018</w:t>
      </w:r>
      <w:r>
        <w:rPr>
          <w:szCs w:val="21"/>
          <w:lang w:val="en-US" w:eastAsia="zh-CN"/>
        </w:rPr>
        <w:t>年第三批国家标准制修订计划的通知（</w:t>
      </w:r>
      <w:r>
        <w:rPr>
          <w:rFonts w:hint="eastAsia"/>
          <w:szCs w:val="21"/>
          <w:lang w:val="en-US" w:eastAsia="zh-CN"/>
        </w:rPr>
        <w:t>国标委发〔</w:t>
      </w:r>
      <w:r>
        <w:rPr>
          <w:rFonts w:hint="eastAsia"/>
          <w:szCs w:val="21"/>
          <w:lang w:val="en-US" w:eastAsia="zh-CN"/>
        </w:rPr>
        <w:t>2018</w:t>
      </w:r>
      <w:r>
        <w:rPr>
          <w:rFonts w:hint="eastAsia"/>
          <w:szCs w:val="21"/>
          <w:lang w:val="en-US" w:eastAsia="zh-CN"/>
        </w:rPr>
        <w:t>〕</w:t>
      </w:r>
      <w:r>
        <w:rPr>
          <w:rFonts w:hint="eastAsia"/>
          <w:szCs w:val="21"/>
          <w:lang w:val="en-US" w:eastAsia="zh-CN"/>
        </w:rPr>
        <w:t>60</w:t>
      </w:r>
      <w:r>
        <w:rPr>
          <w:rFonts w:hint="eastAsia"/>
          <w:szCs w:val="21"/>
          <w:lang w:val="en-US" w:eastAsia="zh-CN"/>
        </w:rPr>
        <w:t>号</w:t>
      </w:r>
      <w:r>
        <w:rPr>
          <w:szCs w:val="21"/>
          <w:lang w:val="en-US" w:eastAsia="zh-CN"/>
        </w:rPr>
        <w:t>），</w:t>
      </w:r>
      <w:r>
        <w:rPr>
          <w:szCs w:val="21"/>
          <w:lang w:val="en-US" w:eastAsia="zh-CN"/>
        </w:rPr>
        <w:t>“</w:t>
      </w:r>
      <w:r>
        <w:rPr>
          <w:szCs w:val="21"/>
          <w:lang w:val="en-US" w:eastAsia="zh-CN"/>
        </w:rPr>
        <w:t>国标委</w:t>
      </w:r>
      <w:r>
        <w:rPr>
          <w:szCs w:val="21"/>
          <w:lang w:val="en-US" w:eastAsia="zh-CN"/>
        </w:rPr>
        <w:t>”</w:t>
      </w:r>
      <w:r>
        <w:rPr>
          <w:szCs w:val="21"/>
          <w:lang w:val="en-US" w:eastAsia="zh-CN"/>
        </w:rPr>
        <w:t>《</w:t>
      </w:r>
      <w:r>
        <w:rPr>
          <w:rFonts w:hint="eastAsia"/>
          <w:szCs w:val="21"/>
          <w:lang w:val="en-US" w:eastAsia="zh-CN"/>
        </w:rPr>
        <w:t>镧铈金属</w:t>
      </w:r>
      <w:r>
        <w:rPr>
          <w:szCs w:val="21"/>
          <w:lang w:val="en-US" w:eastAsia="zh-CN"/>
        </w:rPr>
        <w:t>》国家标准</w:t>
      </w:r>
      <w:r>
        <w:rPr>
          <w:rFonts w:hint="eastAsia"/>
          <w:szCs w:val="21"/>
          <w:lang w:val="en-US" w:eastAsia="zh-CN"/>
        </w:rPr>
        <w:t>制定</w:t>
      </w:r>
      <w:r>
        <w:rPr>
          <w:szCs w:val="21"/>
          <w:lang w:val="en-US" w:eastAsia="zh-CN"/>
        </w:rPr>
        <w:t>计划正式下达，项目</w:t>
      </w:r>
      <w:r>
        <w:rPr>
          <w:rFonts w:hint="eastAsia"/>
          <w:szCs w:val="21"/>
          <w:lang w:val="en-US" w:eastAsia="zh-CN"/>
        </w:rPr>
        <w:t>计划</w:t>
      </w:r>
      <w:r>
        <w:rPr>
          <w:szCs w:val="21"/>
          <w:lang w:val="en-US" w:eastAsia="zh-CN"/>
        </w:rPr>
        <w:t>编号为</w:t>
      </w:r>
      <w:r>
        <w:rPr>
          <w:szCs w:val="21"/>
          <w:lang w:val="en-US" w:eastAsia="zh-CN"/>
        </w:rPr>
        <w:t>20182093-T-469</w:t>
      </w:r>
      <w:r>
        <w:rPr>
          <w:szCs w:val="21"/>
          <w:lang w:val="en-US" w:eastAsia="zh-CN"/>
        </w:rPr>
        <w:t>，完成年限为</w:t>
      </w:r>
      <w:r>
        <w:rPr>
          <w:szCs w:val="21"/>
          <w:lang w:val="en-US" w:eastAsia="zh-CN"/>
        </w:rPr>
        <w:t>201</w:t>
      </w:r>
      <w:r>
        <w:rPr>
          <w:rFonts w:hint="eastAsia"/>
          <w:szCs w:val="21"/>
          <w:lang w:val="en-US" w:eastAsia="zh-CN"/>
        </w:rPr>
        <w:t>9</w:t>
      </w:r>
      <w:r>
        <w:rPr>
          <w:szCs w:val="21"/>
          <w:lang w:val="en-US" w:eastAsia="zh-CN"/>
        </w:rPr>
        <w:t>年。</w:t>
      </w:r>
      <w:r>
        <w:rPr>
          <w:szCs w:val="21"/>
        </w:rPr>
        <w:t>全国稀土标准化技术委员会</w:t>
      </w:r>
      <w:r>
        <w:rPr>
          <w:szCs w:val="21"/>
          <w:lang w:val="en-US" w:eastAsia="zh-CN"/>
        </w:rPr>
        <w:t>于</w:t>
      </w:r>
      <w:r>
        <w:rPr>
          <w:szCs w:val="21"/>
        </w:rPr>
        <w:t>201</w:t>
      </w:r>
      <w:r>
        <w:rPr>
          <w:rFonts w:hint="eastAsia"/>
          <w:szCs w:val="21"/>
        </w:rPr>
        <w:t>8</w:t>
      </w:r>
      <w:r>
        <w:rPr>
          <w:szCs w:val="21"/>
        </w:rPr>
        <w:t>年</w:t>
      </w:r>
      <w:r>
        <w:rPr>
          <w:rFonts w:hint="eastAsia"/>
          <w:szCs w:val="21"/>
        </w:rPr>
        <w:t>12</w:t>
      </w:r>
      <w:r>
        <w:rPr>
          <w:szCs w:val="21"/>
        </w:rPr>
        <w:t>月</w:t>
      </w:r>
      <w:r>
        <w:rPr>
          <w:rFonts w:hint="eastAsia"/>
          <w:szCs w:val="21"/>
        </w:rPr>
        <w:t>4</w:t>
      </w:r>
      <w:r>
        <w:rPr>
          <w:szCs w:val="21"/>
        </w:rPr>
        <w:t>日在</w:t>
      </w:r>
      <w:r>
        <w:rPr>
          <w:rFonts w:hint="eastAsia"/>
          <w:szCs w:val="21"/>
        </w:rPr>
        <w:t>福建</w:t>
      </w:r>
      <w:r>
        <w:rPr>
          <w:szCs w:val="21"/>
        </w:rPr>
        <w:t>省</w:t>
      </w:r>
      <w:r>
        <w:rPr>
          <w:rFonts w:hint="eastAsia"/>
          <w:szCs w:val="21"/>
        </w:rPr>
        <w:t>福州</w:t>
      </w:r>
      <w:r>
        <w:rPr>
          <w:szCs w:val="21"/>
        </w:rPr>
        <w:t>市召开的《</w:t>
      </w:r>
      <w:r>
        <w:rPr>
          <w:szCs w:val="21"/>
        </w:rPr>
        <w:t>201</w:t>
      </w:r>
      <w:r>
        <w:rPr>
          <w:rFonts w:hint="eastAsia"/>
          <w:szCs w:val="21"/>
        </w:rPr>
        <w:t>8</w:t>
      </w:r>
      <w:r>
        <w:rPr>
          <w:szCs w:val="21"/>
        </w:rPr>
        <w:t>年度第</w:t>
      </w:r>
      <w:r>
        <w:rPr>
          <w:rFonts w:hint="eastAsia"/>
          <w:szCs w:val="21"/>
        </w:rPr>
        <w:t>六</w:t>
      </w:r>
      <w:r>
        <w:rPr>
          <w:szCs w:val="21"/>
        </w:rPr>
        <w:t>次稀土标准工作会议》上完成了《</w:t>
      </w:r>
      <w:r>
        <w:rPr>
          <w:rFonts w:hint="eastAsia"/>
          <w:szCs w:val="21"/>
        </w:rPr>
        <w:t>镧铈金属</w:t>
      </w:r>
      <w:r>
        <w:rPr>
          <w:szCs w:val="21"/>
        </w:rPr>
        <w:t>》国家标准的任务进度、具体的时间节点安排及参与单位等具体问题的落实。《</w:t>
      </w:r>
      <w:r>
        <w:rPr>
          <w:rFonts w:hint="eastAsia"/>
          <w:szCs w:val="21"/>
        </w:rPr>
        <w:t>镧铈金属</w:t>
      </w:r>
      <w:r>
        <w:rPr>
          <w:szCs w:val="21"/>
        </w:rPr>
        <w:t>》国家标准</w:t>
      </w:r>
      <w:r>
        <w:rPr>
          <w:szCs w:val="21"/>
          <w:lang w:val="en-US" w:eastAsia="zh-CN"/>
        </w:rPr>
        <w:t>由</w:t>
      </w:r>
      <w:r>
        <w:rPr>
          <w:rFonts w:hint="eastAsia"/>
          <w:szCs w:val="21"/>
          <w:lang w:val="en-US" w:eastAsia="zh-CN"/>
        </w:rPr>
        <w:t>乐山有</w:t>
      </w:r>
      <w:proofErr w:type="gramStart"/>
      <w:r>
        <w:rPr>
          <w:rFonts w:hint="eastAsia"/>
          <w:szCs w:val="21"/>
          <w:lang w:val="en-US" w:eastAsia="zh-CN"/>
        </w:rPr>
        <w:t>研</w:t>
      </w:r>
      <w:proofErr w:type="gramEnd"/>
      <w:r>
        <w:rPr>
          <w:rFonts w:hint="eastAsia"/>
          <w:szCs w:val="21"/>
          <w:lang w:val="en-US" w:eastAsia="zh-CN"/>
        </w:rPr>
        <w:t>稀土新材料有限公司</w:t>
      </w:r>
      <w:r>
        <w:rPr>
          <w:szCs w:val="21"/>
          <w:lang w:val="en-US" w:eastAsia="zh-CN"/>
        </w:rPr>
        <w:t>牵头负责标准制订，报名参加起草单位有：</w:t>
      </w:r>
      <w:r>
        <w:rPr>
          <w:szCs w:val="21"/>
        </w:rPr>
        <w:t>包头稀土研究院</w:t>
      </w:r>
      <w:r>
        <w:rPr>
          <w:szCs w:val="21"/>
        </w:rPr>
        <w:t xml:space="preserve"> </w:t>
      </w:r>
      <w:r>
        <w:rPr>
          <w:szCs w:val="21"/>
        </w:rPr>
        <w:t>、有</w:t>
      </w:r>
      <w:proofErr w:type="gramStart"/>
      <w:r>
        <w:rPr>
          <w:szCs w:val="21"/>
        </w:rPr>
        <w:t>研</w:t>
      </w:r>
      <w:proofErr w:type="gramEnd"/>
      <w:r>
        <w:rPr>
          <w:szCs w:val="21"/>
        </w:rPr>
        <w:t>稀土新材料股份有限公司</w:t>
      </w:r>
      <w:r>
        <w:rPr>
          <w:rFonts w:hint="eastAsia"/>
          <w:szCs w:val="21"/>
        </w:rPr>
        <w:t>、赣州晨光稀土新材料资源股份有限公司、中国北方稀土（集团）高科技股份有限公司、湖南稀土金属材料研究院、中国有色桂林矿产地质研究院有限公司、</w:t>
      </w:r>
      <w:proofErr w:type="gramStart"/>
      <w:r>
        <w:rPr>
          <w:rFonts w:hint="eastAsia"/>
          <w:szCs w:val="21"/>
        </w:rPr>
        <w:t>虔</w:t>
      </w:r>
      <w:proofErr w:type="gramEnd"/>
      <w:r>
        <w:rPr>
          <w:rFonts w:hint="eastAsia"/>
          <w:szCs w:val="21"/>
        </w:rPr>
        <w:t>东稀土</w:t>
      </w:r>
      <w:r>
        <w:rPr>
          <w:rFonts w:hint="eastAsia"/>
          <w:szCs w:val="21"/>
        </w:rPr>
        <w:lastRenderedPageBreak/>
        <w:t>集团股份有限公司、四川江铜稀土有限责任公司、宁波复能新材料股份有限公司、</w:t>
      </w:r>
      <w:proofErr w:type="gramStart"/>
      <w:r>
        <w:rPr>
          <w:rFonts w:hint="eastAsia"/>
          <w:szCs w:val="21"/>
        </w:rPr>
        <w:t>内蒙古稀奥科</w:t>
      </w:r>
      <w:proofErr w:type="gramEnd"/>
      <w:r>
        <w:rPr>
          <w:rFonts w:hint="eastAsia"/>
          <w:szCs w:val="21"/>
        </w:rPr>
        <w:t>贮氢合金有限公司</w:t>
      </w:r>
      <w:r>
        <w:rPr>
          <w:szCs w:val="21"/>
          <w:lang w:val="en-US" w:eastAsia="zh-CN"/>
        </w:rPr>
        <w:t>等，同时确定标准制定工作进度，</w:t>
      </w:r>
      <w:r>
        <w:rPr>
          <w:szCs w:val="21"/>
          <w:lang w:val="en-US" w:eastAsia="zh-CN"/>
        </w:rPr>
        <w:t>201</w:t>
      </w:r>
      <w:r>
        <w:rPr>
          <w:rFonts w:hint="eastAsia"/>
          <w:szCs w:val="21"/>
          <w:lang w:val="en-US" w:eastAsia="zh-CN"/>
        </w:rPr>
        <w:t>9</w:t>
      </w:r>
      <w:r>
        <w:rPr>
          <w:szCs w:val="21"/>
          <w:lang w:val="en-US" w:eastAsia="zh-CN"/>
        </w:rPr>
        <w:t>年</w:t>
      </w:r>
      <w:r>
        <w:rPr>
          <w:rFonts w:hint="eastAsia"/>
          <w:szCs w:val="21"/>
          <w:lang w:val="en-US" w:eastAsia="zh-CN"/>
        </w:rPr>
        <w:t>4</w:t>
      </w:r>
      <w:r>
        <w:rPr>
          <w:szCs w:val="21"/>
          <w:lang w:val="en-US" w:eastAsia="zh-CN"/>
        </w:rPr>
        <w:t>月</w:t>
      </w:r>
      <w:r>
        <w:rPr>
          <w:rFonts w:hint="eastAsia"/>
          <w:szCs w:val="21"/>
          <w:lang w:val="en-US" w:eastAsia="zh-CN"/>
        </w:rPr>
        <w:t>15</w:t>
      </w:r>
      <w:r>
        <w:rPr>
          <w:szCs w:val="21"/>
          <w:lang w:val="en-US" w:eastAsia="zh-CN"/>
        </w:rPr>
        <w:t>日前起草单位提出标准意见稿发至各有关单位及稀土标委会秘书处征求意见；于</w:t>
      </w:r>
      <w:r>
        <w:rPr>
          <w:szCs w:val="21"/>
          <w:lang w:val="en-US" w:eastAsia="zh-CN"/>
        </w:rPr>
        <w:t>201</w:t>
      </w:r>
      <w:r>
        <w:rPr>
          <w:rFonts w:hint="eastAsia"/>
          <w:szCs w:val="21"/>
          <w:lang w:val="en-US" w:eastAsia="zh-CN"/>
        </w:rPr>
        <w:t>9</w:t>
      </w:r>
      <w:r>
        <w:rPr>
          <w:szCs w:val="21"/>
          <w:lang w:val="en-US" w:eastAsia="zh-CN"/>
        </w:rPr>
        <w:t>年</w:t>
      </w:r>
      <w:r>
        <w:rPr>
          <w:rFonts w:hint="eastAsia"/>
          <w:szCs w:val="21"/>
          <w:lang w:val="en-US" w:eastAsia="zh-CN"/>
        </w:rPr>
        <w:t>5</w:t>
      </w:r>
      <w:r>
        <w:rPr>
          <w:szCs w:val="21"/>
          <w:lang w:val="en-US" w:eastAsia="zh-CN"/>
        </w:rPr>
        <w:t>月</w:t>
      </w:r>
      <w:r>
        <w:rPr>
          <w:rFonts w:hint="eastAsia"/>
          <w:szCs w:val="21"/>
          <w:lang w:val="en-US" w:eastAsia="zh-CN"/>
        </w:rPr>
        <w:t>31</w:t>
      </w:r>
      <w:r>
        <w:rPr>
          <w:szCs w:val="21"/>
          <w:lang w:val="en-US" w:eastAsia="zh-CN"/>
        </w:rPr>
        <w:t>日前起草单位完成意见汇总，</w:t>
      </w:r>
      <w:r>
        <w:rPr>
          <w:szCs w:val="21"/>
          <w:lang w:val="en-US" w:eastAsia="zh-CN"/>
        </w:rPr>
        <w:t xml:space="preserve"> 201</w:t>
      </w:r>
      <w:r>
        <w:rPr>
          <w:rFonts w:hint="eastAsia"/>
          <w:szCs w:val="21"/>
          <w:lang w:val="en-US" w:eastAsia="zh-CN"/>
        </w:rPr>
        <w:t>9</w:t>
      </w:r>
      <w:r>
        <w:rPr>
          <w:szCs w:val="21"/>
          <w:lang w:val="en-US" w:eastAsia="zh-CN"/>
        </w:rPr>
        <w:t>年</w:t>
      </w:r>
      <w:r>
        <w:rPr>
          <w:rFonts w:hint="eastAsia"/>
          <w:szCs w:val="21"/>
          <w:lang w:val="en-US" w:eastAsia="zh-CN"/>
        </w:rPr>
        <w:t>7</w:t>
      </w:r>
      <w:r>
        <w:rPr>
          <w:szCs w:val="21"/>
          <w:lang w:val="en-US" w:eastAsia="zh-CN"/>
        </w:rPr>
        <w:t>月</w:t>
      </w:r>
      <w:r>
        <w:rPr>
          <w:rFonts w:hint="eastAsia"/>
          <w:szCs w:val="21"/>
          <w:lang w:val="en-US" w:eastAsia="zh-CN"/>
        </w:rPr>
        <w:t>31</w:t>
      </w:r>
      <w:r>
        <w:rPr>
          <w:szCs w:val="21"/>
          <w:lang w:val="en-US" w:eastAsia="zh-CN"/>
        </w:rPr>
        <w:t>日完成预审，</w:t>
      </w:r>
      <w:r>
        <w:rPr>
          <w:szCs w:val="21"/>
          <w:lang w:val="en-US" w:eastAsia="zh-CN"/>
        </w:rPr>
        <w:t>201</w:t>
      </w:r>
      <w:r>
        <w:rPr>
          <w:rFonts w:hint="eastAsia"/>
          <w:szCs w:val="21"/>
          <w:lang w:val="en-US" w:eastAsia="zh-CN"/>
        </w:rPr>
        <w:t>9</w:t>
      </w:r>
      <w:r>
        <w:rPr>
          <w:szCs w:val="21"/>
          <w:lang w:val="en-US" w:eastAsia="zh-CN"/>
        </w:rPr>
        <w:t>年</w:t>
      </w:r>
      <w:r>
        <w:rPr>
          <w:szCs w:val="21"/>
          <w:lang w:val="en-US" w:eastAsia="zh-CN"/>
        </w:rPr>
        <w:t>10</w:t>
      </w:r>
      <w:r>
        <w:rPr>
          <w:szCs w:val="21"/>
          <w:lang w:val="en-US" w:eastAsia="zh-CN"/>
        </w:rPr>
        <w:t>月</w:t>
      </w:r>
      <w:r>
        <w:rPr>
          <w:szCs w:val="21"/>
          <w:lang w:val="en-US" w:eastAsia="zh-CN"/>
        </w:rPr>
        <w:t>30</w:t>
      </w:r>
      <w:r>
        <w:rPr>
          <w:szCs w:val="21"/>
          <w:lang w:val="en-US" w:eastAsia="zh-CN"/>
        </w:rPr>
        <w:t>日前完成预审会上所提出的意见修改，</w:t>
      </w:r>
      <w:r>
        <w:rPr>
          <w:szCs w:val="21"/>
          <w:lang w:val="en-US" w:eastAsia="zh-CN"/>
        </w:rPr>
        <w:t>201</w:t>
      </w:r>
      <w:r>
        <w:rPr>
          <w:rFonts w:hint="eastAsia"/>
          <w:szCs w:val="21"/>
          <w:lang w:val="en-US" w:eastAsia="zh-CN"/>
        </w:rPr>
        <w:t>9</w:t>
      </w:r>
      <w:r>
        <w:rPr>
          <w:szCs w:val="21"/>
          <w:lang w:val="en-US" w:eastAsia="zh-CN"/>
        </w:rPr>
        <w:t>年</w:t>
      </w:r>
      <w:r>
        <w:rPr>
          <w:szCs w:val="21"/>
          <w:lang w:val="en-US" w:eastAsia="zh-CN"/>
        </w:rPr>
        <w:t>11</w:t>
      </w:r>
      <w:r>
        <w:rPr>
          <w:szCs w:val="21"/>
          <w:lang w:val="en-US" w:eastAsia="zh-CN"/>
        </w:rPr>
        <w:t>月进行审定。</w:t>
      </w:r>
    </w:p>
    <w:p w:rsidR="000A7884" w:rsidRDefault="000A7884">
      <w:pPr>
        <w:adjustRightInd w:val="0"/>
        <w:snapToGrid w:val="0"/>
        <w:spacing w:line="360" w:lineRule="auto"/>
        <w:ind w:firstLineChars="200" w:firstLine="420"/>
        <w:rPr>
          <w:szCs w:val="21"/>
          <w:highlight w:val="yellow"/>
        </w:rPr>
      </w:pPr>
    </w:p>
    <w:p w:rsidR="000A7884" w:rsidRDefault="000A7884">
      <w:pPr>
        <w:tabs>
          <w:tab w:val="left" w:pos="522"/>
        </w:tabs>
        <w:adjustRightInd w:val="0"/>
        <w:snapToGrid w:val="0"/>
        <w:spacing w:beforeLines="50" w:line="360" w:lineRule="auto"/>
        <w:jc w:val="left"/>
        <w:rPr>
          <w:rFonts w:ascii="黑体" w:eastAsia="黑体" w:hAnsi="黑体"/>
          <w:szCs w:val="21"/>
        </w:rPr>
      </w:pPr>
      <w:r>
        <w:rPr>
          <w:rFonts w:ascii="黑体" w:eastAsia="黑体" w:hAnsi="黑体"/>
          <w:szCs w:val="21"/>
        </w:rPr>
        <w:t>1.3起草单位</w:t>
      </w:r>
    </w:p>
    <w:p w:rsidR="000A7884" w:rsidRDefault="000A7884">
      <w:pPr>
        <w:adjustRightInd w:val="0"/>
        <w:snapToGrid w:val="0"/>
        <w:spacing w:line="360" w:lineRule="auto"/>
        <w:ind w:firstLineChars="200" w:firstLine="420"/>
        <w:rPr>
          <w:szCs w:val="21"/>
        </w:rPr>
      </w:pPr>
      <w:r>
        <w:rPr>
          <w:szCs w:val="21"/>
        </w:rPr>
        <w:t>项目承担单位</w:t>
      </w:r>
      <w:r>
        <w:rPr>
          <w:rFonts w:hint="eastAsia"/>
          <w:szCs w:val="21"/>
        </w:rPr>
        <w:t>乐山有</w:t>
      </w:r>
      <w:proofErr w:type="gramStart"/>
      <w:r>
        <w:rPr>
          <w:rFonts w:hint="eastAsia"/>
          <w:szCs w:val="21"/>
        </w:rPr>
        <w:t>研</w:t>
      </w:r>
      <w:proofErr w:type="gramEnd"/>
      <w:r>
        <w:rPr>
          <w:rFonts w:hint="eastAsia"/>
          <w:szCs w:val="21"/>
        </w:rPr>
        <w:t>稀土新材料有限公司（以下简称“乐山有研”）位于乐山市峨边彝族自治县，是有</w:t>
      </w:r>
      <w:proofErr w:type="gramStart"/>
      <w:r>
        <w:rPr>
          <w:rFonts w:hint="eastAsia"/>
          <w:szCs w:val="21"/>
        </w:rPr>
        <w:t>研</w:t>
      </w:r>
      <w:proofErr w:type="gramEnd"/>
      <w:r>
        <w:rPr>
          <w:rFonts w:hint="eastAsia"/>
          <w:szCs w:val="21"/>
        </w:rPr>
        <w:t>稀土新材料股份有限公司独资的国有企业，</w:t>
      </w:r>
      <w:r>
        <w:rPr>
          <w:szCs w:val="21"/>
        </w:rPr>
        <w:t>2006</w:t>
      </w:r>
      <w:r>
        <w:rPr>
          <w:rFonts w:hint="eastAsia"/>
          <w:szCs w:val="21"/>
        </w:rPr>
        <w:t>年</w:t>
      </w:r>
      <w:r>
        <w:rPr>
          <w:szCs w:val="21"/>
        </w:rPr>
        <w:t>8</w:t>
      </w:r>
      <w:r>
        <w:rPr>
          <w:rFonts w:hint="eastAsia"/>
          <w:szCs w:val="21"/>
        </w:rPr>
        <w:t>月</w:t>
      </w:r>
      <w:r>
        <w:rPr>
          <w:szCs w:val="21"/>
        </w:rPr>
        <w:t>28</w:t>
      </w:r>
      <w:r>
        <w:rPr>
          <w:rFonts w:hint="eastAsia"/>
          <w:szCs w:val="21"/>
        </w:rPr>
        <w:t>日成立。</w:t>
      </w:r>
    </w:p>
    <w:p w:rsidR="000A7884" w:rsidRDefault="000A7884">
      <w:pPr>
        <w:adjustRightInd w:val="0"/>
        <w:snapToGrid w:val="0"/>
        <w:spacing w:line="360" w:lineRule="auto"/>
        <w:ind w:firstLineChars="200" w:firstLine="420"/>
        <w:rPr>
          <w:szCs w:val="21"/>
        </w:rPr>
      </w:pPr>
      <w:r>
        <w:rPr>
          <w:rFonts w:hint="eastAsia"/>
          <w:szCs w:val="21"/>
        </w:rPr>
        <w:t>乐山有</w:t>
      </w:r>
      <w:proofErr w:type="gramStart"/>
      <w:r>
        <w:rPr>
          <w:rFonts w:hint="eastAsia"/>
          <w:szCs w:val="21"/>
        </w:rPr>
        <w:t>研</w:t>
      </w:r>
      <w:proofErr w:type="gramEnd"/>
      <w:r>
        <w:rPr>
          <w:rFonts w:hint="eastAsia"/>
          <w:szCs w:val="21"/>
        </w:rPr>
        <w:t>主要从事稀土金属及合金制备生产，生产能力</w:t>
      </w:r>
      <w:r>
        <w:rPr>
          <w:szCs w:val="21"/>
        </w:rPr>
        <w:t>3000t/a</w:t>
      </w:r>
      <w:r>
        <w:rPr>
          <w:rFonts w:hint="eastAsia"/>
          <w:szCs w:val="21"/>
        </w:rPr>
        <w:t>，产能位居全国前十位，是西南地区最大的稀土金属及合金生产企业之一，项目采用绿色、环保的氧化物电解工艺，主要产品有金属</w:t>
      </w:r>
      <w:proofErr w:type="gramStart"/>
      <w:r>
        <w:rPr>
          <w:rFonts w:hint="eastAsia"/>
          <w:szCs w:val="21"/>
        </w:rPr>
        <w:t>镧</w:t>
      </w:r>
      <w:proofErr w:type="gramEnd"/>
      <w:r>
        <w:rPr>
          <w:rFonts w:hint="eastAsia"/>
          <w:szCs w:val="21"/>
        </w:rPr>
        <w:t>、金属</w:t>
      </w:r>
      <w:proofErr w:type="gramStart"/>
      <w:r>
        <w:rPr>
          <w:rFonts w:hint="eastAsia"/>
          <w:szCs w:val="21"/>
        </w:rPr>
        <w:t>铈</w:t>
      </w:r>
      <w:proofErr w:type="gramEnd"/>
      <w:r>
        <w:rPr>
          <w:rFonts w:hint="eastAsia"/>
          <w:szCs w:val="21"/>
        </w:rPr>
        <w:t>、金属</w:t>
      </w:r>
      <w:proofErr w:type="gramStart"/>
      <w:r>
        <w:rPr>
          <w:rFonts w:hint="eastAsia"/>
          <w:szCs w:val="21"/>
        </w:rPr>
        <w:t>镨</w:t>
      </w:r>
      <w:proofErr w:type="gramEnd"/>
      <w:r>
        <w:rPr>
          <w:rFonts w:hint="eastAsia"/>
          <w:szCs w:val="21"/>
        </w:rPr>
        <w:t>、金属钕和</w:t>
      </w:r>
      <w:proofErr w:type="gramStart"/>
      <w:r>
        <w:rPr>
          <w:rFonts w:hint="eastAsia"/>
          <w:szCs w:val="21"/>
        </w:rPr>
        <w:t>镨</w:t>
      </w:r>
      <w:proofErr w:type="gramEnd"/>
      <w:r>
        <w:rPr>
          <w:rFonts w:hint="eastAsia"/>
          <w:szCs w:val="21"/>
        </w:rPr>
        <w:t>钕合金等。</w:t>
      </w:r>
    </w:p>
    <w:p w:rsidR="000A7884" w:rsidRDefault="000A7884">
      <w:pPr>
        <w:adjustRightInd w:val="0"/>
        <w:snapToGrid w:val="0"/>
        <w:spacing w:line="360" w:lineRule="auto"/>
        <w:ind w:firstLineChars="200" w:firstLine="420"/>
        <w:rPr>
          <w:rFonts w:hint="eastAsia"/>
          <w:szCs w:val="21"/>
        </w:rPr>
      </w:pPr>
      <w:r>
        <w:rPr>
          <w:rFonts w:hint="eastAsia"/>
          <w:szCs w:val="21"/>
        </w:rPr>
        <w:t>近年来，乐山有</w:t>
      </w:r>
      <w:proofErr w:type="gramStart"/>
      <w:r>
        <w:rPr>
          <w:rFonts w:hint="eastAsia"/>
          <w:szCs w:val="21"/>
        </w:rPr>
        <w:t>研</w:t>
      </w:r>
      <w:proofErr w:type="gramEnd"/>
      <w:r>
        <w:rPr>
          <w:rFonts w:hint="eastAsia"/>
          <w:szCs w:val="21"/>
        </w:rPr>
        <w:t>抓住稀土产业淘汰落后产能的政策导向，初步实现了产业升级调整，在技术水平、产品品质等方面达到了国内较高水平，一举实现在国内市场的快速扩张，并得到国内外客户的高度认可，形成了国内外市场良性发展的可喜局面。</w:t>
      </w:r>
    </w:p>
    <w:p w:rsidR="000A7884" w:rsidRDefault="000A7884">
      <w:pPr>
        <w:adjustRightInd w:val="0"/>
        <w:snapToGrid w:val="0"/>
        <w:spacing w:line="360" w:lineRule="auto"/>
        <w:ind w:firstLineChars="200" w:firstLine="420"/>
        <w:rPr>
          <w:szCs w:val="21"/>
          <w:highlight w:val="yellow"/>
        </w:rPr>
      </w:pPr>
      <w:r>
        <w:rPr>
          <w:szCs w:val="21"/>
        </w:rPr>
        <w:t>作为长期从事稀土材料开发应用单位，</w:t>
      </w:r>
      <w:r>
        <w:rPr>
          <w:rFonts w:hint="eastAsia"/>
          <w:szCs w:val="21"/>
        </w:rPr>
        <w:t>乐山有</w:t>
      </w:r>
      <w:proofErr w:type="gramStart"/>
      <w:r>
        <w:rPr>
          <w:rFonts w:hint="eastAsia"/>
          <w:szCs w:val="21"/>
        </w:rPr>
        <w:t>研</w:t>
      </w:r>
      <w:proofErr w:type="gramEnd"/>
      <w:r>
        <w:rPr>
          <w:szCs w:val="21"/>
        </w:rPr>
        <w:t>先后参与了《金属</w:t>
      </w:r>
      <w:r>
        <w:rPr>
          <w:rFonts w:hint="eastAsia"/>
          <w:szCs w:val="21"/>
        </w:rPr>
        <w:t>铈</w:t>
      </w:r>
      <w:r>
        <w:rPr>
          <w:szCs w:val="21"/>
        </w:rPr>
        <w:t>》、《金属钪》、《金属</w:t>
      </w:r>
      <w:r>
        <w:rPr>
          <w:rFonts w:hint="eastAsia"/>
          <w:szCs w:val="21"/>
        </w:rPr>
        <w:t>镱</w:t>
      </w:r>
      <w:r>
        <w:rPr>
          <w:szCs w:val="21"/>
        </w:rPr>
        <w:t>》、《氧化钪》、《</w:t>
      </w:r>
      <w:r>
        <w:rPr>
          <w:rFonts w:hint="eastAsia"/>
          <w:szCs w:val="21"/>
        </w:rPr>
        <w:t>镧铈金属</w:t>
      </w:r>
      <w:r>
        <w:rPr>
          <w:szCs w:val="21"/>
        </w:rPr>
        <w:t>》、《</w:t>
      </w:r>
      <w:r>
        <w:rPr>
          <w:rFonts w:hint="eastAsia"/>
          <w:szCs w:val="21"/>
        </w:rPr>
        <w:t>氟化铈</w:t>
      </w:r>
      <w:r>
        <w:rPr>
          <w:szCs w:val="21"/>
        </w:rPr>
        <w:t>》、《</w:t>
      </w:r>
      <w:r>
        <w:rPr>
          <w:rFonts w:hint="eastAsia"/>
          <w:szCs w:val="21"/>
        </w:rPr>
        <w:t>高纯金属镝</w:t>
      </w:r>
      <w:r>
        <w:rPr>
          <w:szCs w:val="21"/>
        </w:rPr>
        <w:t>》、《</w:t>
      </w:r>
      <w:r>
        <w:rPr>
          <w:rFonts w:hint="eastAsia"/>
          <w:szCs w:val="21"/>
        </w:rPr>
        <w:t>高纯金属铽</w:t>
      </w:r>
      <w:r>
        <w:rPr>
          <w:szCs w:val="21"/>
        </w:rPr>
        <w:t>》、等</w:t>
      </w:r>
      <w:r>
        <w:rPr>
          <w:rFonts w:hint="eastAsia"/>
          <w:szCs w:val="21"/>
        </w:rPr>
        <w:t>7</w:t>
      </w:r>
      <w:r>
        <w:rPr>
          <w:szCs w:val="21"/>
        </w:rPr>
        <w:t>项稀土标准的制订工作。</w:t>
      </w:r>
      <w:r>
        <w:rPr>
          <w:rFonts w:hint="eastAsia"/>
          <w:szCs w:val="21"/>
        </w:rPr>
        <w:t>拥有多名经验丰富的标准制修订专家。</w:t>
      </w:r>
    </w:p>
    <w:p w:rsidR="000A7884" w:rsidRDefault="000A7884">
      <w:pPr>
        <w:adjustRightInd w:val="0"/>
        <w:snapToGrid w:val="0"/>
        <w:spacing w:line="360" w:lineRule="auto"/>
        <w:ind w:firstLineChars="200" w:firstLine="420"/>
        <w:rPr>
          <w:rFonts w:hint="eastAsia"/>
          <w:szCs w:val="21"/>
        </w:rPr>
      </w:pPr>
      <w:r>
        <w:rPr>
          <w:rFonts w:hint="eastAsia"/>
          <w:szCs w:val="21"/>
        </w:rPr>
        <w:t>乐山有</w:t>
      </w:r>
      <w:proofErr w:type="gramStart"/>
      <w:r>
        <w:rPr>
          <w:rFonts w:hint="eastAsia"/>
          <w:szCs w:val="21"/>
        </w:rPr>
        <w:t>研</w:t>
      </w:r>
      <w:proofErr w:type="gramEnd"/>
      <w:r>
        <w:rPr>
          <w:rFonts w:hint="eastAsia"/>
          <w:szCs w:val="21"/>
        </w:rPr>
        <w:t>的技术依托来自母公司有</w:t>
      </w:r>
      <w:proofErr w:type="gramStart"/>
      <w:r>
        <w:rPr>
          <w:rFonts w:hint="eastAsia"/>
          <w:szCs w:val="21"/>
        </w:rPr>
        <w:t>研</w:t>
      </w:r>
      <w:proofErr w:type="gramEnd"/>
      <w:r>
        <w:rPr>
          <w:rFonts w:hint="eastAsia"/>
          <w:szCs w:val="21"/>
        </w:rPr>
        <w:t>稀土，母公司现有员工</w:t>
      </w:r>
      <w:r>
        <w:rPr>
          <w:rFonts w:hint="eastAsia"/>
          <w:szCs w:val="21"/>
        </w:rPr>
        <w:t>500</w:t>
      </w:r>
      <w:r>
        <w:rPr>
          <w:rFonts w:hint="eastAsia"/>
          <w:szCs w:val="21"/>
        </w:rPr>
        <w:t>余人，博士、硕士等研究生学历以上员工超过</w:t>
      </w:r>
      <w:r>
        <w:rPr>
          <w:rFonts w:hint="eastAsia"/>
          <w:szCs w:val="21"/>
        </w:rPr>
        <w:t>20%</w:t>
      </w:r>
      <w:r>
        <w:rPr>
          <w:rFonts w:hint="eastAsia"/>
          <w:szCs w:val="21"/>
        </w:rPr>
        <w:t>。拥有稀土冶金与材料著名专家张国成、黄小卫院士，国家杰出工程师、稀土冶金材料著名专家李红卫教授，同时还拥有享受政府特贴专家、科技部中青年科技创新领军人才、新世纪百千万人才国家级人选等高层次科技人才</w:t>
      </w:r>
      <w:r>
        <w:rPr>
          <w:rFonts w:hint="eastAsia"/>
          <w:szCs w:val="21"/>
        </w:rPr>
        <w:t>10</w:t>
      </w:r>
      <w:r>
        <w:rPr>
          <w:rFonts w:hint="eastAsia"/>
          <w:szCs w:val="21"/>
        </w:rPr>
        <w:t>余人次，</w:t>
      </w:r>
      <w:r>
        <w:rPr>
          <w:rFonts w:hint="eastAsia"/>
          <w:szCs w:val="21"/>
        </w:rPr>
        <w:t>2014</w:t>
      </w:r>
      <w:r>
        <w:rPr>
          <w:rFonts w:hint="eastAsia"/>
          <w:szCs w:val="21"/>
        </w:rPr>
        <w:t>年被中组部、中宣部、科技部</w:t>
      </w:r>
      <w:proofErr w:type="gramStart"/>
      <w:r>
        <w:rPr>
          <w:rFonts w:hint="eastAsia"/>
          <w:szCs w:val="21"/>
        </w:rPr>
        <w:t>和人社部</w:t>
      </w:r>
      <w:proofErr w:type="gramEnd"/>
      <w:r>
        <w:rPr>
          <w:rFonts w:hint="eastAsia"/>
          <w:szCs w:val="21"/>
        </w:rPr>
        <w:t>联合授予“全国专业技术人才先进集体”荣誉称号。</w:t>
      </w:r>
    </w:p>
    <w:p w:rsidR="000A7884" w:rsidRDefault="000A7884">
      <w:pPr>
        <w:adjustRightInd w:val="0"/>
        <w:snapToGrid w:val="0"/>
        <w:spacing w:line="360" w:lineRule="auto"/>
        <w:ind w:left="1" w:firstLineChars="200" w:firstLine="420"/>
        <w:rPr>
          <w:szCs w:val="21"/>
        </w:rPr>
      </w:pPr>
      <w:r>
        <w:rPr>
          <w:szCs w:val="21"/>
        </w:rPr>
        <w:t>因此，</w:t>
      </w:r>
      <w:r>
        <w:rPr>
          <w:rFonts w:hint="eastAsia"/>
          <w:szCs w:val="21"/>
        </w:rPr>
        <w:t>乐山有</w:t>
      </w:r>
      <w:proofErr w:type="gramStart"/>
      <w:r>
        <w:rPr>
          <w:rFonts w:hint="eastAsia"/>
          <w:szCs w:val="21"/>
        </w:rPr>
        <w:t>研</w:t>
      </w:r>
      <w:proofErr w:type="gramEnd"/>
      <w:r>
        <w:rPr>
          <w:szCs w:val="21"/>
        </w:rPr>
        <w:t>完全具备了承担此次制订</w:t>
      </w:r>
      <w:proofErr w:type="gramStart"/>
      <w:r>
        <w:rPr>
          <w:rFonts w:hint="eastAsia"/>
          <w:szCs w:val="21"/>
        </w:rPr>
        <w:t>镧铈</w:t>
      </w:r>
      <w:proofErr w:type="gramEnd"/>
      <w:r>
        <w:rPr>
          <w:rFonts w:hint="eastAsia"/>
          <w:szCs w:val="21"/>
        </w:rPr>
        <w:t>金属</w:t>
      </w:r>
      <w:r>
        <w:rPr>
          <w:szCs w:val="21"/>
        </w:rPr>
        <w:t>标准的能力。迄今为止，国外还没有与</w:t>
      </w:r>
      <w:proofErr w:type="gramStart"/>
      <w:r>
        <w:rPr>
          <w:rFonts w:hint="eastAsia"/>
          <w:szCs w:val="21"/>
        </w:rPr>
        <w:t>镧铈</w:t>
      </w:r>
      <w:proofErr w:type="gramEnd"/>
      <w:r>
        <w:rPr>
          <w:rFonts w:hint="eastAsia"/>
          <w:szCs w:val="21"/>
        </w:rPr>
        <w:t>金属</w:t>
      </w:r>
      <w:r>
        <w:rPr>
          <w:szCs w:val="21"/>
        </w:rPr>
        <w:t>产品相对应的标准，这次制订后的标准将充分反映了当前国内各</w:t>
      </w:r>
      <w:proofErr w:type="gramStart"/>
      <w:r>
        <w:rPr>
          <w:rFonts w:hint="eastAsia"/>
          <w:szCs w:val="21"/>
        </w:rPr>
        <w:t>镧铈</w:t>
      </w:r>
      <w:proofErr w:type="gramEnd"/>
      <w:r>
        <w:rPr>
          <w:rFonts w:hint="eastAsia"/>
          <w:szCs w:val="21"/>
        </w:rPr>
        <w:t>金属</w:t>
      </w:r>
      <w:r>
        <w:rPr>
          <w:szCs w:val="21"/>
        </w:rPr>
        <w:t>生产企业的技术水平，便于生产，宜于应用。</w:t>
      </w:r>
    </w:p>
    <w:p w:rsidR="000A7884" w:rsidRDefault="000A7884">
      <w:pPr>
        <w:tabs>
          <w:tab w:val="left" w:pos="522"/>
        </w:tabs>
        <w:adjustRightInd w:val="0"/>
        <w:snapToGrid w:val="0"/>
        <w:spacing w:beforeLines="50" w:line="360" w:lineRule="auto"/>
        <w:jc w:val="left"/>
        <w:rPr>
          <w:rFonts w:ascii="黑体" w:eastAsia="黑体" w:hAnsi="黑体"/>
          <w:szCs w:val="21"/>
        </w:rPr>
      </w:pPr>
      <w:r>
        <w:rPr>
          <w:rFonts w:ascii="黑体" w:eastAsia="黑体" w:hAnsi="黑体"/>
          <w:szCs w:val="21"/>
        </w:rPr>
        <w:t>1.4工作进度安排</w:t>
      </w:r>
    </w:p>
    <w:p w:rsidR="000A7884" w:rsidRDefault="000A7884">
      <w:pPr>
        <w:tabs>
          <w:tab w:val="left" w:pos="522"/>
        </w:tabs>
        <w:adjustRightInd w:val="0"/>
        <w:snapToGrid w:val="0"/>
        <w:spacing w:line="360" w:lineRule="auto"/>
        <w:ind w:firstLine="482"/>
        <w:rPr>
          <w:szCs w:val="21"/>
        </w:rPr>
      </w:pPr>
      <w:r>
        <w:rPr>
          <w:szCs w:val="21"/>
        </w:rPr>
        <w:t>具体时间计划如下：</w:t>
      </w:r>
    </w:p>
    <w:p w:rsidR="000A7884" w:rsidRDefault="000A7884">
      <w:pPr>
        <w:numPr>
          <w:ilvl w:val="0"/>
          <w:numId w:val="2"/>
        </w:numPr>
        <w:tabs>
          <w:tab w:val="left" w:pos="522"/>
        </w:tabs>
        <w:adjustRightInd w:val="0"/>
        <w:snapToGrid w:val="0"/>
        <w:spacing w:line="360" w:lineRule="auto"/>
        <w:rPr>
          <w:rFonts w:hint="eastAsia"/>
          <w:szCs w:val="21"/>
        </w:rPr>
      </w:pPr>
      <w:r>
        <w:rPr>
          <w:szCs w:val="21"/>
        </w:rPr>
        <w:t>标准编制前的查询、调研、论证：</w:t>
      </w:r>
      <w:r>
        <w:rPr>
          <w:szCs w:val="21"/>
        </w:rPr>
        <w:t>201</w:t>
      </w:r>
      <w:r>
        <w:rPr>
          <w:rFonts w:hint="eastAsia"/>
          <w:szCs w:val="21"/>
        </w:rPr>
        <w:t>8</w:t>
      </w:r>
      <w:r>
        <w:rPr>
          <w:szCs w:val="21"/>
        </w:rPr>
        <w:t>年</w:t>
      </w:r>
      <w:r>
        <w:rPr>
          <w:szCs w:val="21"/>
        </w:rPr>
        <w:t>11</w:t>
      </w:r>
      <w:r>
        <w:rPr>
          <w:szCs w:val="21"/>
        </w:rPr>
        <w:t>月～</w:t>
      </w:r>
      <w:r>
        <w:rPr>
          <w:szCs w:val="21"/>
        </w:rPr>
        <w:t>201</w:t>
      </w:r>
      <w:r>
        <w:rPr>
          <w:rFonts w:hint="eastAsia"/>
          <w:szCs w:val="21"/>
        </w:rPr>
        <w:t>9</w:t>
      </w:r>
      <w:r>
        <w:rPr>
          <w:szCs w:val="21"/>
        </w:rPr>
        <w:t>年</w:t>
      </w:r>
      <w:r>
        <w:rPr>
          <w:rFonts w:hint="eastAsia"/>
          <w:szCs w:val="21"/>
        </w:rPr>
        <w:t>1</w:t>
      </w:r>
      <w:r>
        <w:rPr>
          <w:szCs w:val="21"/>
        </w:rPr>
        <w:t>月；</w:t>
      </w:r>
    </w:p>
    <w:p w:rsidR="000A7884" w:rsidRDefault="000A7884">
      <w:pPr>
        <w:numPr>
          <w:ilvl w:val="0"/>
          <w:numId w:val="2"/>
        </w:numPr>
        <w:tabs>
          <w:tab w:val="left" w:pos="522"/>
        </w:tabs>
        <w:adjustRightInd w:val="0"/>
        <w:snapToGrid w:val="0"/>
        <w:spacing w:line="360" w:lineRule="auto"/>
        <w:rPr>
          <w:szCs w:val="21"/>
        </w:rPr>
      </w:pPr>
      <w:r>
        <w:rPr>
          <w:rFonts w:hint="eastAsia"/>
          <w:szCs w:val="21"/>
        </w:rPr>
        <w:t>向</w:t>
      </w:r>
      <w:r>
        <w:rPr>
          <w:szCs w:val="21"/>
        </w:rPr>
        <w:t>标准</w:t>
      </w:r>
      <w:r>
        <w:rPr>
          <w:rFonts w:hint="eastAsia"/>
          <w:szCs w:val="21"/>
        </w:rPr>
        <w:t>参与单位采集基础数据：</w:t>
      </w:r>
      <w:r>
        <w:rPr>
          <w:szCs w:val="21"/>
        </w:rPr>
        <w:t>201</w:t>
      </w:r>
      <w:r>
        <w:rPr>
          <w:rFonts w:hint="eastAsia"/>
          <w:szCs w:val="21"/>
        </w:rPr>
        <w:t>9</w:t>
      </w:r>
      <w:r>
        <w:rPr>
          <w:szCs w:val="21"/>
        </w:rPr>
        <w:t>年</w:t>
      </w:r>
      <w:r>
        <w:rPr>
          <w:rFonts w:hint="eastAsia"/>
          <w:szCs w:val="21"/>
        </w:rPr>
        <w:t>2</w:t>
      </w:r>
      <w:r>
        <w:rPr>
          <w:szCs w:val="21"/>
        </w:rPr>
        <w:t>月～</w:t>
      </w:r>
      <w:r>
        <w:rPr>
          <w:rFonts w:hint="eastAsia"/>
          <w:szCs w:val="21"/>
        </w:rPr>
        <w:t>3</w:t>
      </w:r>
      <w:r>
        <w:rPr>
          <w:rFonts w:hint="eastAsia"/>
          <w:szCs w:val="21"/>
        </w:rPr>
        <w:t>月</w:t>
      </w:r>
    </w:p>
    <w:p w:rsidR="000A7884" w:rsidRDefault="000A7884">
      <w:pPr>
        <w:numPr>
          <w:ilvl w:val="0"/>
          <w:numId w:val="2"/>
        </w:numPr>
        <w:tabs>
          <w:tab w:val="left" w:pos="522"/>
        </w:tabs>
        <w:adjustRightInd w:val="0"/>
        <w:snapToGrid w:val="0"/>
        <w:spacing w:line="360" w:lineRule="auto"/>
        <w:rPr>
          <w:szCs w:val="21"/>
        </w:rPr>
      </w:pPr>
      <w:r>
        <w:rPr>
          <w:szCs w:val="21"/>
        </w:rPr>
        <w:t>将标准征求意见稿发送各稀土单位广泛征求意见：</w:t>
      </w:r>
      <w:r>
        <w:rPr>
          <w:szCs w:val="21"/>
        </w:rPr>
        <w:t xml:space="preserve"> 201</w:t>
      </w:r>
      <w:r>
        <w:rPr>
          <w:rFonts w:hint="eastAsia"/>
          <w:szCs w:val="21"/>
        </w:rPr>
        <w:t>9</w:t>
      </w:r>
      <w:r>
        <w:rPr>
          <w:szCs w:val="21"/>
        </w:rPr>
        <w:t>年</w:t>
      </w:r>
      <w:r>
        <w:rPr>
          <w:rFonts w:hint="eastAsia"/>
          <w:szCs w:val="21"/>
        </w:rPr>
        <w:t>4</w:t>
      </w:r>
      <w:r>
        <w:rPr>
          <w:szCs w:val="21"/>
        </w:rPr>
        <w:t>～</w:t>
      </w:r>
      <w:r>
        <w:rPr>
          <w:rFonts w:hint="eastAsia"/>
          <w:szCs w:val="21"/>
        </w:rPr>
        <w:t>5</w:t>
      </w:r>
      <w:r>
        <w:rPr>
          <w:szCs w:val="21"/>
        </w:rPr>
        <w:t>月；</w:t>
      </w:r>
      <w:r>
        <w:rPr>
          <w:szCs w:val="21"/>
        </w:rPr>
        <w:t xml:space="preserve"> </w:t>
      </w:r>
    </w:p>
    <w:p w:rsidR="000A7884" w:rsidRDefault="000A7884">
      <w:pPr>
        <w:numPr>
          <w:ilvl w:val="0"/>
          <w:numId w:val="2"/>
        </w:numPr>
        <w:tabs>
          <w:tab w:val="left" w:pos="522"/>
        </w:tabs>
        <w:adjustRightInd w:val="0"/>
        <w:snapToGrid w:val="0"/>
        <w:spacing w:line="360" w:lineRule="auto"/>
        <w:rPr>
          <w:szCs w:val="21"/>
        </w:rPr>
      </w:pPr>
      <w:r>
        <w:rPr>
          <w:szCs w:val="21"/>
        </w:rPr>
        <w:t>意见汇总形成预审稿：</w:t>
      </w:r>
      <w:r>
        <w:rPr>
          <w:szCs w:val="21"/>
        </w:rPr>
        <w:t xml:space="preserve">        201</w:t>
      </w:r>
      <w:r>
        <w:rPr>
          <w:rFonts w:hint="eastAsia"/>
          <w:szCs w:val="21"/>
        </w:rPr>
        <w:t>9</w:t>
      </w:r>
      <w:r>
        <w:rPr>
          <w:szCs w:val="21"/>
        </w:rPr>
        <w:t>年</w:t>
      </w:r>
      <w:r>
        <w:rPr>
          <w:rFonts w:hint="eastAsia"/>
          <w:szCs w:val="21"/>
        </w:rPr>
        <w:t>6</w:t>
      </w:r>
      <w:r>
        <w:rPr>
          <w:szCs w:val="21"/>
        </w:rPr>
        <w:t>月；</w:t>
      </w:r>
    </w:p>
    <w:p w:rsidR="000A7884" w:rsidRDefault="000A7884">
      <w:pPr>
        <w:numPr>
          <w:ilvl w:val="0"/>
          <w:numId w:val="2"/>
        </w:numPr>
        <w:tabs>
          <w:tab w:val="left" w:pos="522"/>
        </w:tabs>
        <w:adjustRightInd w:val="0"/>
        <w:snapToGrid w:val="0"/>
        <w:spacing w:line="360" w:lineRule="auto"/>
        <w:rPr>
          <w:szCs w:val="21"/>
        </w:rPr>
      </w:pPr>
      <w:r>
        <w:rPr>
          <w:szCs w:val="21"/>
        </w:rPr>
        <w:t>预审时间：</w:t>
      </w:r>
      <w:r>
        <w:rPr>
          <w:szCs w:val="21"/>
        </w:rPr>
        <w:t xml:space="preserve">                  201</w:t>
      </w:r>
      <w:r>
        <w:rPr>
          <w:rFonts w:hint="eastAsia"/>
          <w:szCs w:val="21"/>
        </w:rPr>
        <w:t>9</w:t>
      </w:r>
      <w:r>
        <w:rPr>
          <w:szCs w:val="21"/>
        </w:rPr>
        <w:t>年</w:t>
      </w:r>
      <w:r>
        <w:rPr>
          <w:rFonts w:hint="eastAsia"/>
          <w:szCs w:val="21"/>
        </w:rPr>
        <w:t>7</w:t>
      </w:r>
      <w:r>
        <w:rPr>
          <w:szCs w:val="21"/>
        </w:rPr>
        <w:t>月；</w:t>
      </w:r>
    </w:p>
    <w:p w:rsidR="000A7884" w:rsidRDefault="000A7884">
      <w:pPr>
        <w:numPr>
          <w:ilvl w:val="0"/>
          <w:numId w:val="2"/>
        </w:numPr>
        <w:tabs>
          <w:tab w:val="left" w:pos="522"/>
        </w:tabs>
        <w:adjustRightInd w:val="0"/>
        <w:snapToGrid w:val="0"/>
        <w:spacing w:line="360" w:lineRule="auto"/>
        <w:rPr>
          <w:szCs w:val="21"/>
        </w:rPr>
      </w:pPr>
      <w:r>
        <w:rPr>
          <w:szCs w:val="21"/>
        </w:rPr>
        <w:lastRenderedPageBreak/>
        <w:t>审定时间：</w:t>
      </w:r>
      <w:r>
        <w:rPr>
          <w:szCs w:val="21"/>
        </w:rPr>
        <w:t xml:space="preserve">                  201</w:t>
      </w:r>
      <w:r>
        <w:rPr>
          <w:rFonts w:hint="eastAsia"/>
          <w:szCs w:val="21"/>
        </w:rPr>
        <w:t>9</w:t>
      </w:r>
      <w:r>
        <w:rPr>
          <w:szCs w:val="21"/>
        </w:rPr>
        <w:t>年</w:t>
      </w:r>
      <w:r>
        <w:rPr>
          <w:szCs w:val="21"/>
        </w:rPr>
        <w:t>11</w:t>
      </w:r>
      <w:r>
        <w:rPr>
          <w:szCs w:val="21"/>
        </w:rPr>
        <w:t>月。</w:t>
      </w:r>
    </w:p>
    <w:p w:rsidR="000A7884" w:rsidRDefault="000A7884">
      <w:pPr>
        <w:numPr>
          <w:ilvl w:val="0"/>
          <w:numId w:val="2"/>
        </w:numPr>
        <w:tabs>
          <w:tab w:val="left" w:pos="522"/>
        </w:tabs>
        <w:adjustRightInd w:val="0"/>
        <w:snapToGrid w:val="0"/>
        <w:spacing w:line="360" w:lineRule="auto"/>
        <w:rPr>
          <w:szCs w:val="21"/>
        </w:rPr>
      </w:pPr>
      <w:r>
        <w:rPr>
          <w:szCs w:val="21"/>
        </w:rPr>
        <w:t>报批时间</w:t>
      </w:r>
      <w:r>
        <w:rPr>
          <w:szCs w:val="21"/>
        </w:rPr>
        <w:t xml:space="preserve">                    201</w:t>
      </w:r>
      <w:r>
        <w:rPr>
          <w:rFonts w:hint="eastAsia"/>
          <w:szCs w:val="21"/>
        </w:rPr>
        <w:t>9</w:t>
      </w:r>
      <w:r>
        <w:rPr>
          <w:szCs w:val="21"/>
        </w:rPr>
        <w:t>年</w:t>
      </w:r>
      <w:r>
        <w:rPr>
          <w:szCs w:val="21"/>
        </w:rPr>
        <w:t>12</w:t>
      </w:r>
      <w:r>
        <w:rPr>
          <w:szCs w:val="21"/>
        </w:rPr>
        <w:t>月</w:t>
      </w:r>
    </w:p>
    <w:p w:rsidR="000A7884" w:rsidRDefault="000A7884">
      <w:pPr>
        <w:tabs>
          <w:tab w:val="left" w:pos="522"/>
        </w:tabs>
        <w:adjustRightInd w:val="0"/>
        <w:snapToGrid w:val="0"/>
        <w:spacing w:line="360" w:lineRule="auto"/>
        <w:ind w:firstLine="482"/>
        <w:rPr>
          <w:szCs w:val="21"/>
          <w:highlight w:val="yellow"/>
        </w:rPr>
      </w:pP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二、编制原则和依据及标准主要内容</w:t>
      </w:r>
    </w:p>
    <w:p w:rsidR="000A7884" w:rsidRDefault="000A7884">
      <w:pPr>
        <w:tabs>
          <w:tab w:val="left" w:pos="522"/>
        </w:tabs>
        <w:adjustRightInd w:val="0"/>
        <w:snapToGrid w:val="0"/>
        <w:spacing w:line="360" w:lineRule="auto"/>
        <w:jc w:val="left"/>
        <w:rPr>
          <w:rFonts w:ascii="黑体" w:eastAsia="黑体" w:hAnsi="黑体"/>
          <w:szCs w:val="21"/>
        </w:rPr>
      </w:pPr>
      <w:r>
        <w:rPr>
          <w:rFonts w:ascii="黑体" w:eastAsia="黑体" w:hAnsi="黑体"/>
          <w:szCs w:val="21"/>
        </w:rPr>
        <w:t>2.1 编制原则和依据</w:t>
      </w:r>
    </w:p>
    <w:p w:rsidR="000A7884" w:rsidRDefault="000A7884">
      <w:pPr>
        <w:adjustRightInd w:val="0"/>
        <w:snapToGrid w:val="0"/>
        <w:spacing w:line="360" w:lineRule="auto"/>
        <w:ind w:firstLineChars="200" w:firstLine="420"/>
        <w:rPr>
          <w:szCs w:val="21"/>
        </w:rPr>
      </w:pPr>
      <w:r>
        <w:rPr>
          <w:szCs w:val="21"/>
        </w:rPr>
        <w:t>标准负责起草单位在任务落实会上广泛地征求了与会专家和代表的意见，确定了制订的方案；确定了标准起草原则、主要内容框架和依据：</w:t>
      </w:r>
    </w:p>
    <w:p w:rsidR="000A7884" w:rsidRDefault="000A7884">
      <w:pPr>
        <w:pStyle w:val="af4"/>
        <w:numPr>
          <w:ilvl w:val="0"/>
          <w:numId w:val="3"/>
        </w:numPr>
        <w:adjustRightInd w:val="0"/>
        <w:snapToGrid w:val="0"/>
        <w:spacing w:line="360" w:lineRule="auto"/>
        <w:ind w:firstLineChars="0"/>
        <w:rPr>
          <w:rFonts w:ascii="Times New Roman" w:hAnsi="Times New Roman"/>
          <w:szCs w:val="21"/>
        </w:rPr>
      </w:pPr>
      <w:r>
        <w:rPr>
          <w:rFonts w:ascii="Times New Roman" w:hAnsi="Times New Roman"/>
          <w:szCs w:val="21"/>
        </w:rPr>
        <w:t>依据国家相关的法律、法规；</w:t>
      </w:r>
    </w:p>
    <w:p w:rsidR="000A7884" w:rsidRDefault="000A7884">
      <w:pPr>
        <w:pStyle w:val="af4"/>
        <w:numPr>
          <w:ilvl w:val="0"/>
          <w:numId w:val="3"/>
        </w:numPr>
        <w:adjustRightInd w:val="0"/>
        <w:snapToGrid w:val="0"/>
        <w:spacing w:line="360" w:lineRule="auto"/>
        <w:ind w:firstLineChars="0"/>
        <w:rPr>
          <w:rFonts w:ascii="Times New Roman" w:hAnsi="Times New Roman"/>
          <w:szCs w:val="21"/>
        </w:rPr>
      </w:pPr>
      <w:r>
        <w:rPr>
          <w:rFonts w:ascii="Times New Roman" w:hAnsi="Times New Roman"/>
          <w:szCs w:val="21"/>
        </w:rPr>
        <w:t>查询相关标准和收集国内外客户的相关技术要求，积极向相关国际标准、世界领头企业的技术标准要求靠拢，做到标准的先进性；</w:t>
      </w:r>
    </w:p>
    <w:p w:rsidR="000A7884" w:rsidRDefault="000A7884">
      <w:pPr>
        <w:pStyle w:val="af4"/>
        <w:numPr>
          <w:ilvl w:val="0"/>
          <w:numId w:val="3"/>
        </w:numPr>
        <w:adjustRightInd w:val="0"/>
        <w:snapToGrid w:val="0"/>
        <w:spacing w:line="360" w:lineRule="auto"/>
        <w:ind w:firstLineChars="0"/>
        <w:rPr>
          <w:rFonts w:ascii="Times New Roman" w:hAnsi="Times New Roman"/>
          <w:szCs w:val="21"/>
        </w:rPr>
      </w:pPr>
      <w:r>
        <w:rPr>
          <w:rFonts w:ascii="Times New Roman" w:hAnsi="Times New Roman"/>
          <w:szCs w:val="21"/>
        </w:rPr>
        <w:t>根据目前国内</w:t>
      </w:r>
      <w:proofErr w:type="gramStart"/>
      <w:r>
        <w:rPr>
          <w:rFonts w:ascii="Times New Roman" w:hAnsi="Times New Roman" w:hint="eastAsia"/>
          <w:szCs w:val="21"/>
        </w:rPr>
        <w:t>镧铈</w:t>
      </w:r>
      <w:proofErr w:type="gramEnd"/>
      <w:r>
        <w:rPr>
          <w:rFonts w:ascii="Times New Roman" w:hAnsi="Times New Roman" w:hint="eastAsia"/>
          <w:szCs w:val="21"/>
        </w:rPr>
        <w:t>金属</w:t>
      </w:r>
      <w:r>
        <w:rPr>
          <w:rFonts w:ascii="Times New Roman" w:hAnsi="Times New Roman"/>
          <w:szCs w:val="21"/>
        </w:rPr>
        <w:t>生产企业的具体情况及技术水平，结合用户的要求及</w:t>
      </w:r>
      <w:proofErr w:type="gramStart"/>
      <w:r>
        <w:rPr>
          <w:rFonts w:ascii="Times New Roman" w:hAnsi="Times New Roman" w:hint="eastAsia"/>
          <w:szCs w:val="21"/>
        </w:rPr>
        <w:t>镧铈</w:t>
      </w:r>
      <w:proofErr w:type="gramEnd"/>
      <w:r>
        <w:rPr>
          <w:rFonts w:ascii="Times New Roman" w:hAnsi="Times New Roman" w:hint="eastAsia"/>
          <w:szCs w:val="21"/>
        </w:rPr>
        <w:t>金属</w:t>
      </w:r>
      <w:r>
        <w:rPr>
          <w:rFonts w:ascii="Times New Roman" w:hAnsi="Times New Roman"/>
          <w:szCs w:val="21"/>
        </w:rPr>
        <w:t>应用技术的发展趋势，确定技术指标，力求做到标准的合理性、实用性，与时俱进；</w:t>
      </w:r>
    </w:p>
    <w:p w:rsidR="000A7884" w:rsidRDefault="000A7884">
      <w:pPr>
        <w:pStyle w:val="af4"/>
        <w:numPr>
          <w:ilvl w:val="0"/>
          <w:numId w:val="3"/>
        </w:numPr>
        <w:adjustRightInd w:val="0"/>
        <w:snapToGrid w:val="0"/>
        <w:spacing w:line="360" w:lineRule="auto"/>
        <w:ind w:firstLineChars="0"/>
        <w:rPr>
          <w:rFonts w:ascii="Times New Roman" w:hAnsi="Times New Roman"/>
          <w:szCs w:val="21"/>
        </w:rPr>
      </w:pPr>
      <w:r>
        <w:rPr>
          <w:rFonts w:ascii="Times New Roman" w:hAnsi="Times New Roman"/>
          <w:szCs w:val="21"/>
        </w:rPr>
        <w:t>按照</w:t>
      </w:r>
      <w:r>
        <w:rPr>
          <w:rFonts w:ascii="Times New Roman" w:hAnsi="Times New Roman"/>
          <w:szCs w:val="21"/>
        </w:rPr>
        <w:t>GB/T 1.1</w:t>
      </w:r>
      <w:r>
        <w:rPr>
          <w:rFonts w:ascii="Times New Roman" w:hAnsi="Times New Roman"/>
          <w:szCs w:val="21"/>
        </w:rPr>
        <w:t>，稀土标准和国家标准编写示例的要求进行格式和结构编写。</w:t>
      </w:r>
    </w:p>
    <w:p w:rsidR="000A7884" w:rsidRDefault="000A7884">
      <w:pPr>
        <w:tabs>
          <w:tab w:val="left" w:pos="522"/>
        </w:tabs>
        <w:adjustRightInd w:val="0"/>
        <w:snapToGrid w:val="0"/>
        <w:spacing w:line="360" w:lineRule="auto"/>
        <w:jc w:val="left"/>
        <w:rPr>
          <w:rFonts w:ascii="黑体" w:eastAsia="黑体" w:hAnsi="黑体"/>
          <w:szCs w:val="21"/>
        </w:rPr>
      </w:pPr>
      <w:r>
        <w:rPr>
          <w:rFonts w:ascii="黑体" w:eastAsia="黑体" w:hAnsi="黑体"/>
          <w:szCs w:val="21"/>
        </w:rPr>
        <w:t>2.2 标准主要内容</w:t>
      </w:r>
    </w:p>
    <w:p w:rsidR="000A7884" w:rsidRDefault="000A7884">
      <w:pPr>
        <w:adjustRightInd w:val="0"/>
        <w:snapToGrid w:val="0"/>
        <w:spacing w:line="360" w:lineRule="auto"/>
        <w:ind w:firstLineChars="200" w:firstLine="420"/>
        <w:rPr>
          <w:szCs w:val="21"/>
        </w:rPr>
      </w:pPr>
      <w:r>
        <w:rPr>
          <w:szCs w:val="21"/>
        </w:rPr>
        <w:t>本标准规定了</w:t>
      </w:r>
      <w:proofErr w:type="gramStart"/>
      <w:r>
        <w:rPr>
          <w:rFonts w:hint="eastAsia"/>
          <w:szCs w:val="21"/>
        </w:rPr>
        <w:t>镧铈</w:t>
      </w:r>
      <w:proofErr w:type="gramEnd"/>
      <w:r>
        <w:rPr>
          <w:rFonts w:hint="eastAsia"/>
          <w:szCs w:val="21"/>
        </w:rPr>
        <w:t>金属</w:t>
      </w:r>
      <w:r>
        <w:rPr>
          <w:szCs w:val="21"/>
        </w:rPr>
        <w:t>产品的要求、试验方法、检验规则与标志、包装、运输、贮存及质量证明书。本标准适用于电解法、熔配法生产的</w:t>
      </w:r>
      <w:r>
        <w:t>、供制作</w:t>
      </w:r>
      <w:r>
        <w:rPr>
          <w:rFonts w:hint="eastAsia"/>
        </w:rPr>
        <w:t>储</w:t>
      </w:r>
      <w:r>
        <w:t>氢合金</w:t>
      </w:r>
      <w:r>
        <w:rPr>
          <w:rFonts w:hint="eastAsia"/>
        </w:rPr>
        <w:t>及有色金属合金等</w:t>
      </w:r>
      <w:r>
        <w:t>用的</w:t>
      </w:r>
      <w:proofErr w:type="gramStart"/>
      <w:r>
        <w:rPr>
          <w:rFonts w:hint="eastAsia"/>
        </w:rPr>
        <w:t>镧铈</w:t>
      </w:r>
      <w:proofErr w:type="gramEnd"/>
      <w:r>
        <w:rPr>
          <w:rFonts w:hint="eastAsia"/>
        </w:rPr>
        <w:t>金属</w:t>
      </w:r>
      <w:r>
        <w:t>。</w:t>
      </w:r>
    </w:p>
    <w:p w:rsidR="000A7884" w:rsidRDefault="000A7884">
      <w:pPr>
        <w:adjustRightInd w:val="0"/>
        <w:snapToGrid w:val="0"/>
        <w:spacing w:line="360" w:lineRule="auto"/>
        <w:ind w:firstLineChars="200" w:firstLine="420"/>
        <w:rPr>
          <w:szCs w:val="21"/>
        </w:rPr>
      </w:pPr>
      <w:r>
        <w:t>产品按照化学成分分为</w:t>
      </w:r>
      <w:proofErr w:type="spellStart"/>
      <w:r>
        <w:t>LaCe-</w:t>
      </w:r>
      <w:r>
        <w:rPr>
          <w:rFonts w:hint="eastAsia"/>
        </w:rPr>
        <w:t>n</w:t>
      </w:r>
      <w:r>
        <w:t>Ce</w:t>
      </w:r>
      <w:r>
        <w:rPr>
          <w:rFonts w:hint="eastAsia"/>
        </w:rPr>
        <w:t>A</w:t>
      </w:r>
      <w:proofErr w:type="spellEnd"/>
      <w:r>
        <w:rPr>
          <w:rFonts w:hint="eastAsia"/>
        </w:rPr>
        <w:t>、</w:t>
      </w:r>
      <w:proofErr w:type="spellStart"/>
      <w:r>
        <w:t>LaCe-</w:t>
      </w:r>
      <w:r>
        <w:rPr>
          <w:rFonts w:hint="eastAsia"/>
        </w:rPr>
        <w:t>n</w:t>
      </w:r>
      <w:r>
        <w:t>Ce</w:t>
      </w:r>
      <w:r>
        <w:rPr>
          <w:rFonts w:hint="eastAsia"/>
        </w:rPr>
        <w:t>B</w:t>
      </w:r>
      <w:proofErr w:type="spellEnd"/>
      <w:r>
        <w:rPr>
          <w:rFonts w:hint="eastAsia"/>
          <w:szCs w:val="21"/>
        </w:rPr>
        <w:t>两</w:t>
      </w:r>
      <w:r>
        <w:rPr>
          <w:szCs w:val="21"/>
        </w:rPr>
        <w:t>个牌号</w:t>
      </w:r>
      <w:r>
        <w:rPr>
          <w:rFonts w:hint="eastAsia"/>
          <w:szCs w:val="21"/>
        </w:rPr>
        <w:t>，</w:t>
      </w:r>
      <w:r>
        <w:rPr>
          <w:rFonts w:hint="eastAsia"/>
          <w:szCs w:val="21"/>
        </w:rPr>
        <w:t>n</w:t>
      </w:r>
      <w:r>
        <w:rPr>
          <w:rFonts w:hint="eastAsia"/>
          <w:szCs w:val="21"/>
        </w:rPr>
        <w:t>为</w:t>
      </w:r>
      <w:r>
        <w:rPr>
          <w:rFonts w:hint="eastAsia"/>
          <w:szCs w:val="21"/>
        </w:rPr>
        <w:t>60</w:t>
      </w:r>
      <w:r>
        <w:rPr>
          <w:rFonts w:hint="eastAsia"/>
          <w:szCs w:val="21"/>
        </w:rPr>
        <w:t>至</w:t>
      </w:r>
      <w:r>
        <w:rPr>
          <w:rFonts w:hint="eastAsia"/>
          <w:szCs w:val="21"/>
        </w:rPr>
        <w:t>70</w:t>
      </w:r>
      <w:r>
        <w:rPr>
          <w:rFonts w:hint="eastAsia"/>
          <w:szCs w:val="21"/>
        </w:rPr>
        <w:t>之间的整数</w:t>
      </w:r>
      <w:r>
        <w:rPr>
          <w:szCs w:val="21"/>
        </w:rPr>
        <w:t>。稀土产品牌号表示方法应符合</w:t>
      </w:r>
      <w:r>
        <w:rPr>
          <w:szCs w:val="21"/>
        </w:rPr>
        <w:t>GB/T 17803</w:t>
      </w:r>
      <w:r>
        <w:rPr>
          <w:szCs w:val="21"/>
        </w:rPr>
        <w:t>的规定。</w:t>
      </w:r>
    </w:p>
    <w:p w:rsidR="000A7884" w:rsidRDefault="000A7884">
      <w:pPr>
        <w:pStyle w:val="a6"/>
        <w:adjustRightInd w:val="0"/>
        <w:snapToGrid w:val="0"/>
        <w:spacing w:line="360" w:lineRule="auto"/>
        <w:ind w:firstLineChars="171" w:firstLine="359"/>
        <w:rPr>
          <w:rFonts w:ascii="Times New Roman"/>
          <w:kern w:val="2"/>
          <w:szCs w:val="21"/>
        </w:rPr>
      </w:pPr>
      <w:r>
        <w:rPr>
          <w:rFonts w:ascii="Times New Roman"/>
          <w:kern w:val="2"/>
          <w:szCs w:val="21"/>
        </w:rPr>
        <w:t>根据市场的要求，化学成分表中除了对</w:t>
      </w:r>
      <w:r>
        <w:rPr>
          <w:rFonts w:ascii="Times New Roman"/>
          <w:kern w:val="2"/>
          <w:szCs w:val="21"/>
        </w:rPr>
        <w:t>RE</w:t>
      </w:r>
      <w:r>
        <w:rPr>
          <w:rFonts w:ascii="Times New Roman"/>
          <w:kern w:val="2"/>
          <w:szCs w:val="21"/>
        </w:rPr>
        <w:t>、</w:t>
      </w:r>
      <w:r>
        <w:rPr>
          <w:rFonts w:ascii="Times New Roman" w:hint="eastAsia"/>
          <w:kern w:val="2"/>
          <w:szCs w:val="21"/>
        </w:rPr>
        <w:t>La</w:t>
      </w:r>
      <w:r>
        <w:rPr>
          <w:rFonts w:ascii="Times New Roman"/>
          <w:kern w:val="2"/>
          <w:szCs w:val="21"/>
        </w:rPr>
        <w:t>、</w:t>
      </w:r>
      <w:proofErr w:type="spellStart"/>
      <w:r>
        <w:rPr>
          <w:rFonts w:ascii="Times New Roman" w:hint="eastAsia"/>
          <w:kern w:val="2"/>
          <w:szCs w:val="21"/>
        </w:rPr>
        <w:t>Ce</w:t>
      </w:r>
      <w:proofErr w:type="spellEnd"/>
      <w:r>
        <w:rPr>
          <w:rFonts w:ascii="Times New Roman" w:hint="eastAsia"/>
          <w:kern w:val="2"/>
          <w:szCs w:val="21"/>
        </w:rPr>
        <w:t>、</w:t>
      </w:r>
      <w:r>
        <w:rPr>
          <w:rFonts w:ascii="Times New Roman"/>
          <w:kern w:val="2"/>
          <w:szCs w:val="21"/>
        </w:rPr>
        <w:t>稀土杂质的指标作了规定，还对非稀土杂质</w:t>
      </w:r>
      <w:r>
        <w:rPr>
          <w:rFonts w:ascii="Times New Roman"/>
          <w:kern w:val="2"/>
          <w:szCs w:val="21"/>
        </w:rPr>
        <w:t>Fe</w:t>
      </w:r>
      <w:r>
        <w:rPr>
          <w:rFonts w:ascii="Times New Roman"/>
          <w:kern w:val="2"/>
          <w:szCs w:val="21"/>
        </w:rPr>
        <w:t>、</w:t>
      </w:r>
      <w:r>
        <w:rPr>
          <w:rFonts w:ascii="Times New Roman"/>
          <w:kern w:val="2"/>
          <w:szCs w:val="21"/>
        </w:rPr>
        <w:t>Si</w:t>
      </w:r>
      <w:r>
        <w:rPr>
          <w:rFonts w:ascii="Times New Roman"/>
          <w:kern w:val="2"/>
          <w:szCs w:val="21"/>
        </w:rPr>
        <w:t>、</w:t>
      </w:r>
      <w:r>
        <w:rPr>
          <w:rFonts w:ascii="Times New Roman" w:hint="eastAsia"/>
          <w:kern w:val="2"/>
          <w:szCs w:val="21"/>
        </w:rPr>
        <w:t>Al</w:t>
      </w:r>
      <w:r>
        <w:rPr>
          <w:rFonts w:ascii="Times New Roman" w:hint="eastAsia"/>
          <w:kern w:val="2"/>
          <w:szCs w:val="21"/>
        </w:rPr>
        <w:t>、</w:t>
      </w:r>
      <w:proofErr w:type="spellStart"/>
      <w:r>
        <w:rPr>
          <w:rFonts w:ascii="Times New Roman"/>
          <w:kern w:val="2"/>
          <w:szCs w:val="21"/>
        </w:rPr>
        <w:t>Mn</w:t>
      </w:r>
      <w:proofErr w:type="spellEnd"/>
      <w:r>
        <w:rPr>
          <w:rFonts w:ascii="Times New Roman"/>
          <w:kern w:val="2"/>
          <w:szCs w:val="21"/>
        </w:rPr>
        <w:t>、</w:t>
      </w:r>
      <w:r>
        <w:rPr>
          <w:rFonts w:ascii="Times New Roman" w:hint="eastAsia"/>
          <w:kern w:val="2"/>
          <w:szCs w:val="21"/>
        </w:rPr>
        <w:t>Ti</w:t>
      </w:r>
      <w:r>
        <w:rPr>
          <w:rFonts w:ascii="Times New Roman"/>
          <w:kern w:val="2"/>
          <w:szCs w:val="21"/>
        </w:rPr>
        <w:t>、</w:t>
      </w:r>
      <w:r>
        <w:rPr>
          <w:rFonts w:ascii="Times New Roman" w:hint="eastAsia"/>
          <w:kern w:val="2"/>
          <w:szCs w:val="21"/>
        </w:rPr>
        <w:t>Ca</w:t>
      </w:r>
      <w:r>
        <w:rPr>
          <w:rFonts w:ascii="Times New Roman"/>
          <w:kern w:val="2"/>
          <w:szCs w:val="21"/>
        </w:rPr>
        <w:t>、</w:t>
      </w:r>
      <w:r>
        <w:rPr>
          <w:rFonts w:ascii="Times New Roman" w:hint="eastAsia"/>
          <w:kern w:val="2"/>
          <w:szCs w:val="21"/>
        </w:rPr>
        <w:t>Mg</w:t>
      </w:r>
      <w:r>
        <w:rPr>
          <w:rFonts w:ascii="Times New Roman" w:hint="eastAsia"/>
          <w:kern w:val="2"/>
          <w:szCs w:val="21"/>
        </w:rPr>
        <w:t>、</w:t>
      </w:r>
      <w:r>
        <w:rPr>
          <w:rFonts w:ascii="Times New Roman"/>
          <w:kern w:val="2"/>
          <w:szCs w:val="21"/>
        </w:rPr>
        <w:t>C</w:t>
      </w:r>
      <w:r>
        <w:rPr>
          <w:rFonts w:ascii="Times New Roman" w:hint="eastAsia"/>
          <w:kern w:val="2"/>
          <w:szCs w:val="21"/>
        </w:rPr>
        <w:t>、</w:t>
      </w:r>
      <w:r>
        <w:rPr>
          <w:rFonts w:ascii="Times New Roman" w:hint="eastAsia"/>
          <w:kern w:val="2"/>
          <w:szCs w:val="21"/>
        </w:rPr>
        <w:t>S</w:t>
      </w:r>
      <w:r>
        <w:rPr>
          <w:rFonts w:ascii="Times New Roman"/>
          <w:kern w:val="2"/>
          <w:szCs w:val="21"/>
        </w:rPr>
        <w:t>等</w:t>
      </w:r>
      <w:r>
        <w:rPr>
          <w:rFonts w:ascii="Times New Roman" w:hint="eastAsia"/>
          <w:kern w:val="2"/>
          <w:szCs w:val="21"/>
        </w:rPr>
        <w:t>几个</w:t>
      </w:r>
      <w:r>
        <w:rPr>
          <w:rFonts w:ascii="Times New Roman"/>
          <w:kern w:val="2"/>
          <w:szCs w:val="21"/>
        </w:rPr>
        <w:t>常见杂质做了规定；</w:t>
      </w:r>
    </w:p>
    <w:p w:rsidR="000A7884" w:rsidRDefault="000A7884">
      <w:pPr>
        <w:adjustRightInd w:val="0"/>
        <w:snapToGrid w:val="0"/>
        <w:spacing w:line="360" w:lineRule="auto"/>
        <w:ind w:firstLineChars="200" w:firstLine="420"/>
        <w:rPr>
          <w:szCs w:val="21"/>
        </w:rPr>
      </w:pPr>
      <w:bookmarkStart w:id="0" w:name="_Hlk499828977"/>
      <w:bookmarkStart w:id="1" w:name="_Hlk496473699"/>
      <w:r>
        <w:rPr>
          <w:szCs w:val="21"/>
        </w:rPr>
        <w:t>产品中稀土总量的分析方法参照</w:t>
      </w:r>
      <w:r>
        <w:rPr>
          <w:szCs w:val="21"/>
        </w:rPr>
        <w:t>GB/T 1</w:t>
      </w:r>
      <w:r>
        <w:rPr>
          <w:rFonts w:hint="eastAsia"/>
          <w:szCs w:val="21"/>
        </w:rPr>
        <w:t>4635</w:t>
      </w:r>
      <w:r>
        <w:rPr>
          <w:szCs w:val="21"/>
        </w:rPr>
        <w:t>的规定进行。</w:t>
      </w:r>
      <w:bookmarkEnd w:id="0"/>
    </w:p>
    <w:bookmarkEnd w:id="1"/>
    <w:p w:rsidR="000A7884" w:rsidRDefault="000A7884">
      <w:pPr>
        <w:adjustRightInd w:val="0"/>
        <w:snapToGrid w:val="0"/>
        <w:spacing w:line="360" w:lineRule="auto"/>
        <w:ind w:firstLineChars="200" w:firstLine="420"/>
        <w:rPr>
          <w:rFonts w:hint="eastAsia"/>
          <w:szCs w:val="21"/>
        </w:rPr>
      </w:pPr>
      <w:r>
        <w:rPr>
          <w:rFonts w:hAnsi="宋体" w:hint="eastAsia"/>
        </w:rPr>
        <w:t>产品中</w:t>
      </w:r>
      <w:proofErr w:type="gramStart"/>
      <w:r>
        <w:rPr>
          <w:rFonts w:hAnsi="宋体" w:hint="eastAsia"/>
        </w:rPr>
        <w:t>铈</w:t>
      </w:r>
      <w:proofErr w:type="gramEnd"/>
      <w:r>
        <w:rPr>
          <w:rFonts w:hAnsi="宋体" w:hint="eastAsia"/>
        </w:rPr>
        <w:t>（</w:t>
      </w:r>
      <w:proofErr w:type="spellStart"/>
      <w:r>
        <w:rPr>
          <w:rFonts w:hAnsi="宋体" w:hint="eastAsia"/>
        </w:rPr>
        <w:t>Ce</w:t>
      </w:r>
      <w:proofErr w:type="spellEnd"/>
      <w:r>
        <w:rPr>
          <w:rFonts w:hAnsi="宋体" w:hint="eastAsia"/>
        </w:rPr>
        <w:t>）</w:t>
      </w:r>
      <w:r>
        <w:rPr>
          <w:rFonts w:hAnsi="宋体"/>
        </w:rPr>
        <w:t>的分析方法按照</w:t>
      </w:r>
      <w:r>
        <w:rPr>
          <w:rFonts w:hAnsi="宋体"/>
        </w:rPr>
        <w:t>GB/</w:t>
      </w:r>
      <w:r>
        <w:rPr>
          <w:rFonts w:hAnsi="宋体" w:hint="eastAsia"/>
        </w:rPr>
        <w:t xml:space="preserve">T XXXX </w:t>
      </w:r>
      <w:r>
        <w:rPr>
          <w:rFonts w:hAnsi="宋体" w:hint="eastAsia"/>
        </w:rPr>
        <w:t>《镧铈金属及其化合物化学分析方法</w:t>
      </w:r>
      <w:r>
        <w:rPr>
          <w:rFonts w:hAnsi="宋体" w:hint="eastAsia"/>
        </w:rPr>
        <w:t xml:space="preserve"> </w:t>
      </w:r>
      <w:r>
        <w:rPr>
          <w:rFonts w:hAnsi="宋体" w:hint="eastAsia"/>
        </w:rPr>
        <w:t>第</w:t>
      </w:r>
      <w:r>
        <w:rPr>
          <w:rFonts w:hAnsi="宋体" w:hint="eastAsia"/>
        </w:rPr>
        <w:t>1</w:t>
      </w:r>
      <w:r>
        <w:rPr>
          <w:rFonts w:hAnsi="宋体" w:hint="eastAsia"/>
        </w:rPr>
        <w:t>部分：铈量的测定》</w:t>
      </w:r>
      <w:r>
        <w:rPr>
          <w:rFonts w:hAnsi="宋体"/>
        </w:rPr>
        <w:t>规定的方法进行。</w:t>
      </w:r>
    </w:p>
    <w:p w:rsidR="000A7884" w:rsidRDefault="000A7884">
      <w:pPr>
        <w:adjustRightInd w:val="0"/>
        <w:snapToGrid w:val="0"/>
        <w:spacing w:line="360" w:lineRule="auto"/>
        <w:ind w:firstLineChars="200" w:firstLine="420"/>
        <w:rPr>
          <w:rFonts w:hAnsi="宋体" w:hint="eastAsia"/>
        </w:rPr>
      </w:pPr>
      <w:r>
        <w:rPr>
          <w:szCs w:val="21"/>
        </w:rPr>
        <w:t>产品中其他稀土杂质的分析方法</w:t>
      </w:r>
      <w:r>
        <w:rPr>
          <w:rFonts w:hAnsi="宋体"/>
        </w:rPr>
        <w:t>按照</w:t>
      </w:r>
      <w:r>
        <w:rPr>
          <w:rFonts w:hAnsi="宋体"/>
        </w:rPr>
        <w:t>GB/</w:t>
      </w:r>
      <w:r>
        <w:rPr>
          <w:rFonts w:hAnsi="宋体" w:hint="eastAsia"/>
        </w:rPr>
        <w:t xml:space="preserve">T XXXX </w:t>
      </w:r>
      <w:r>
        <w:rPr>
          <w:rFonts w:hAnsi="宋体" w:hint="eastAsia"/>
        </w:rPr>
        <w:t>《镧铈金属及其化合物化学分析方法第</w:t>
      </w:r>
      <w:r>
        <w:rPr>
          <w:rFonts w:hAnsi="宋体" w:hint="eastAsia"/>
        </w:rPr>
        <w:t xml:space="preserve"> 2 </w:t>
      </w:r>
      <w:r>
        <w:rPr>
          <w:rFonts w:hAnsi="宋体" w:hint="eastAsia"/>
        </w:rPr>
        <w:t>部分：稀土量的测定》</w:t>
      </w:r>
      <w:r>
        <w:rPr>
          <w:rFonts w:hAnsi="宋体"/>
        </w:rPr>
        <w:t>规定的方法进行。</w:t>
      </w:r>
    </w:p>
    <w:p w:rsidR="000A7884" w:rsidRDefault="000A7884">
      <w:pPr>
        <w:adjustRightInd w:val="0"/>
        <w:snapToGrid w:val="0"/>
        <w:spacing w:line="360" w:lineRule="auto"/>
        <w:ind w:firstLineChars="200" w:firstLine="420"/>
        <w:rPr>
          <w:szCs w:val="21"/>
        </w:rPr>
      </w:pPr>
      <w:r>
        <w:rPr>
          <w:szCs w:val="21"/>
        </w:rPr>
        <w:t>产品中</w:t>
      </w:r>
      <w:r>
        <w:rPr>
          <w:rFonts w:hAnsi="宋体"/>
        </w:rPr>
        <w:t>非稀土杂质的分析方法按</w:t>
      </w:r>
      <w:r>
        <w:t>GB/T 12690</w:t>
      </w:r>
      <w:r>
        <w:rPr>
          <w:rFonts w:hAnsi="宋体"/>
        </w:rPr>
        <w:t>规定的方法进行。</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三、主要技术内容说明</w:t>
      </w:r>
    </w:p>
    <w:p w:rsidR="000A7884" w:rsidRDefault="000A7884">
      <w:pPr>
        <w:adjustRightInd w:val="0"/>
        <w:snapToGrid w:val="0"/>
        <w:spacing w:line="360" w:lineRule="auto"/>
        <w:rPr>
          <w:rFonts w:ascii="黑体" w:eastAsia="黑体" w:hAnsi="黑体" w:hint="eastAsia"/>
          <w:szCs w:val="21"/>
        </w:rPr>
      </w:pPr>
      <w:r>
        <w:rPr>
          <w:rFonts w:ascii="黑体" w:eastAsia="黑体" w:hAnsi="黑体" w:hint="eastAsia"/>
          <w:szCs w:val="21"/>
        </w:rPr>
        <w:t>3.1数据收集情况</w:t>
      </w:r>
      <w:r w:rsidR="007513B9">
        <w:rPr>
          <w:rFonts w:ascii="黑体" w:eastAsia="黑体" w:hAnsi="黑体" w:hint="eastAsia"/>
          <w:szCs w:val="21"/>
        </w:rPr>
        <w:t>及标准制定过程</w:t>
      </w:r>
    </w:p>
    <w:p w:rsidR="000A7884" w:rsidRDefault="000A7884">
      <w:pPr>
        <w:tabs>
          <w:tab w:val="left" w:pos="522"/>
        </w:tabs>
        <w:adjustRightInd w:val="0"/>
        <w:snapToGrid w:val="0"/>
        <w:spacing w:line="360" w:lineRule="auto"/>
        <w:ind w:firstLine="482"/>
        <w:rPr>
          <w:rFonts w:hint="eastAsia"/>
          <w:szCs w:val="21"/>
        </w:rPr>
      </w:pPr>
      <w:r>
        <w:rPr>
          <w:rFonts w:hint="eastAsia"/>
          <w:szCs w:val="21"/>
          <w:lang w:val="en-US" w:eastAsia="zh-CN"/>
        </w:rPr>
        <w:t>根据工作计划乐山有</w:t>
      </w:r>
      <w:proofErr w:type="gramStart"/>
      <w:r>
        <w:rPr>
          <w:rFonts w:hint="eastAsia"/>
          <w:szCs w:val="21"/>
          <w:lang w:val="en-US" w:eastAsia="zh-CN"/>
        </w:rPr>
        <w:t>研</w:t>
      </w:r>
      <w:proofErr w:type="gramEnd"/>
      <w:r>
        <w:rPr>
          <w:szCs w:val="21"/>
        </w:rPr>
        <w:t>通过广泛调研、了解市场生产情况和用户应用情况。走访了国内主要生产企业，</w:t>
      </w:r>
      <w:r>
        <w:rPr>
          <w:rFonts w:hint="eastAsia"/>
          <w:szCs w:val="21"/>
          <w:lang w:val="en-US" w:eastAsia="zh-CN"/>
        </w:rPr>
        <w:t>于</w:t>
      </w:r>
      <w:r>
        <w:rPr>
          <w:rFonts w:hint="eastAsia"/>
          <w:szCs w:val="21"/>
          <w:lang w:val="en-US" w:eastAsia="zh-CN"/>
        </w:rPr>
        <w:t>2019</w:t>
      </w:r>
      <w:r>
        <w:rPr>
          <w:rFonts w:hint="eastAsia"/>
          <w:szCs w:val="21"/>
          <w:lang w:val="en-US" w:eastAsia="zh-CN"/>
        </w:rPr>
        <w:t>年</w:t>
      </w:r>
      <w:r>
        <w:rPr>
          <w:rFonts w:hint="eastAsia"/>
          <w:szCs w:val="21"/>
          <w:lang w:val="en-US" w:eastAsia="zh-CN"/>
        </w:rPr>
        <w:t>2</w:t>
      </w:r>
      <w:r>
        <w:rPr>
          <w:rFonts w:hint="eastAsia"/>
          <w:szCs w:val="21"/>
          <w:lang w:val="en-US" w:eastAsia="zh-CN"/>
        </w:rPr>
        <w:t>月</w:t>
      </w:r>
      <w:r>
        <w:rPr>
          <w:rFonts w:hint="eastAsia"/>
          <w:szCs w:val="21"/>
          <w:lang w:val="en-US" w:eastAsia="zh-CN"/>
        </w:rPr>
        <w:t>22</w:t>
      </w:r>
      <w:r>
        <w:rPr>
          <w:rFonts w:hint="eastAsia"/>
          <w:szCs w:val="21"/>
          <w:lang w:val="en-US" w:eastAsia="zh-CN"/>
        </w:rPr>
        <w:t>日向报名参加起草单位发邮件采集基础数据，采集格式见表</w:t>
      </w:r>
      <w:proofErr w:type="gramStart"/>
      <w:r>
        <w:rPr>
          <w:rFonts w:hint="eastAsia"/>
          <w:szCs w:val="21"/>
          <w:lang w:val="en-US" w:eastAsia="zh-CN"/>
        </w:rPr>
        <w:t>一</w:t>
      </w:r>
      <w:proofErr w:type="gramEnd"/>
      <w:r>
        <w:rPr>
          <w:rFonts w:hint="eastAsia"/>
          <w:szCs w:val="21"/>
          <w:lang w:val="en-US" w:eastAsia="zh-CN"/>
        </w:rPr>
        <w:t>。截止到</w:t>
      </w:r>
      <w:r>
        <w:rPr>
          <w:rFonts w:hint="eastAsia"/>
          <w:szCs w:val="21"/>
          <w:lang w:val="en-US" w:eastAsia="zh-CN"/>
        </w:rPr>
        <w:t>2019</w:t>
      </w:r>
      <w:r>
        <w:rPr>
          <w:rFonts w:hint="eastAsia"/>
          <w:szCs w:val="21"/>
          <w:lang w:val="en-US" w:eastAsia="zh-CN"/>
        </w:rPr>
        <w:t>年</w:t>
      </w:r>
      <w:r>
        <w:rPr>
          <w:rFonts w:hint="eastAsia"/>
          <w:szCs w:val="21"/>
          <w:lang w:val="en-US" w:eastAsia="zh-CN"/>
        </w:rPr>
        <w:t>4</w:t>
      </w:r>
      <w:r>
        <w:rPr>
          <w:rFonts w:hint="eastAsia"/>
          <w:szCs w:val="21"/>
          <w:lang w:val="en-US" w:eastAsia="zh-CN"/>
        </w:rPr>
        <w:t>月</w:t>
      </w:r>
      <w:r>
        <w:rPr>
          <w:rFonts w:hint="eastAsia"/>
          <w:szCs w:val="21"/>
          <w:lang w:val="en-US" w:eastAsia="zh-CN"/>
        </w:rPr>
        <w:t>10</w:t>
      </w:r>
      <w:r>
        <w:rPr>
          <w:rFonts w:hint="eastAsia"/>
          <w:szCs w:val="21"/>
          <w:lang w:val="en-US" w:eastAsia="zh-CN"/>
        </w:rPr>
        <w:t>日，共收集到</w:t>
      </w:r>
      <w:r>
        <w:rPr>
          <w:rFonts w:hint="eastAsia"/>
          <w:szCs w:val="21"/>
          <w:lang w:val="en-US" w:eastAsia="zh-CN"/>
        </w:rPr>
        <w:t>5</w:t>
      </w:r>
      <w:r>
        <w:rPr>
          <w:rFonts w:hint="eastAsia"/>
          <w:szCs w:val="21"/>
          <w:lang w:val="en-US" w:eastAsia="zh-CN"/>
        </w:rPr>
        <w:t>家回复意见，具体回复内容见表二、表三、</w:t>
      </w:r>
      <w:r>
        <w:rPr>
          <w:rFonts w:hint="eastAsia"/>
          <w:szCs w:val="21"/>
          <w:lang w:val="en-US" w:eastAsia="zh-CN"/>
        </w:rPr>
        <w:lastRenderedPageBreak/>
        <w:t>表四。</w:t>
      </w:r>
      <w:r>
        <w:rPr>
          <w:szCs w:val="21"/>
        </w:rPr>
        <w:t>根据各企业所生产的</w:t>
      </w:r>
      <w:proofErr w:type="gramStart"/>
      <w:r>
        <w:rPr>
          <w:rFonts w:hint="eastAsia"/>
          <w:szCs w:val="21"/>
        </w:rPr>
        <w:t>镧铈</w:t>
      </w:r>
      <w:proofErr w:type="gramEnd"/>
      <w:r>
        <w:rPr>
          <w:rFonts w:hint="eastAsia"/>
          <w:szCs w:val="21"/>
        </w:rPr>
        <w:t>金属</w:t>
      </w:r>
      <w:r>
        <w:rPr>
          <w:szCs w:val="21"/>
        </w:rPr>
        <w:t>产品的实际情况</w:t>
      </w:r>
      <w:r>
        <w:rPr>
          <w:rFonts w:hint="eastAsia"/>
          <w:szCs w:val="21"/>
        </w:rPr>
        <w:t>和用户的需求</w:t>
      </w:r>
      <w:r>
        <w:rPr>
          <w:szCs w:val="21"/>
        </w:rPr>
        <w:t>，对产品标准做出</w:t>
      </w:r>
      <w:r>
        <w:rPr>
          <w:rFonts w:hint="eastAsia"/>
          <w:szCs w:val="21"/>
        </w:rPr>
        <w:t>初步</w:t>
      </w:r>
      <w:r>
        <w:rPr>
          <w:szCs w:val="21"/>
        </w:rPr>
        <w:t>的规定。</w:t>
      </w:r>
    </w:p>
    <w:p w:rsidR="000A7884" w:rsidRDefault="000A7884">
      <w:pPr>
        <w:tabs>
          <w:tab w:val="left" w:pos="522"/>
        </w:tabs>
        <w:adjustRightInd w:val="0"/>
        <w:snapToGrid w:val="0"/>
        <w:spacing w:line="360" w:lineRule="auto"/>
        <w:ind w:firstLine="482"/>
        <w:jc w:val="center"/>
        <w:rPr>
          <w:rFonts w:hint="eastAsia"/>
          <w:szCs w:val="21"/>
        </w:rPr>
      </w:pPr>
      <w:r>
        <w:rPr>
          <w:rFonts w:hint="eastAsia"/>
          <w:szCs w:val="21"/>
        </w:rPr>
        <w:t>表</w:t>
      </w:r>
      <w:proofErr w:type="gramStart"/>
      <w:r>
        <w:rPr>
          <w:rFonts w:hint="eastAsia"/>
          <w:szCs w:val="21"/>
        </w:rPr>
        <w:t>一</w:t>
      </w:r>
      <w:proofErr w:type="gramEnd"/>
      <w:r>
        <w:rPr>
          <w:rFonts w:hint="eastAsia"/>
          <w:szCs w:val="21"/>
        </w:rPr>
        <w:t xml:space="preserve"> </w:t>
      </w:r>
      <w:proofErr w:type="gramStart"/>
      <w:r>
        <w:rPr>
          <w:rFonts w:hint="eastAsia"/>
          <w:szCs w:val="21"/>
        </w:rPr>
        <w:t>镧铈</w:t>
      </w:r>
      <w:proofErr w:type="gramEnd"/>
      <w:r>
        <w:rPr>
          <w:rFonts w:hint="eastAsia"/>
          <w:szCs w:val="21"/>
        </w:rPr>
        <w:t>金属数据收集表</w:t>
      </w:r>
    </w:p>
    <w:tbl>
      <w:tblPr>
        <w:tblW w:w="0" w:type="auto"/>
        <w:jc w:val="center"/>
        <w:tblInd w:w="0" w:type="dxa"/>
        <w:tblLayout w:type="fixed"/>
        <w:tblLook w:val="0000"/>
      </w:tblPr>
      <w:tblGrid>
        <w:gridCol w:w="1762"/>
        <w:gridCol w:w="700"/>
        <w:gridCol w:w="700"/>
        <w:gridCol w:w="700"/>
        <w:gridCol w:w="700"/>
        <w:gridCol w:w="700"/>
        <w:gridCol w:w="700"/>
        <w:gridCol w:w="700"/>
        <w:gridCol w:w="700"/>
        <w:gridCol w:w="700"/>
        <w:gridCol w:w="700"/>
        <w:gridCol w:w="1445"/>
      </w:tblGrid>
      <w:tr w:rsidR="000A7884">
        <w:trPr>
          <w:trHeight w:val="405"/>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Fe</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Al</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Si</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Mo</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W</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Ti</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Ca</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Mg</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445"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稀土杂质</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厂家检验标准</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45"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客户要求</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45"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厂家检测数据</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45" w:type="dxa"/>
            <w:tcBorders>
              <w:top w:val="nil"/>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0A7884" w:rsidRDefault="000A7884">
      <w:pPr>
        <w:tabs>
          <w:tab w:val="left" w:pos="522"/>
        </w:tabs>
        <w:adjustRightInd w:val="0"/>
        <w:snapToGrid w:val="0"/>
        <w:spacing w:line="360" w:lineRule="auto"/>
        <w:ind w:firstLine="482"/>
        <w:rPr>
          <w:rFonts w:hint="eastAsia"/>
          <w:szCs w:val="21"/>
          <w:highlight w:val="yellow"/>
        </w:rPr>
      </w:pPr>
    </w:p>
    <w:p w:rsidR="000A7884" w:rsidRDefault="000A7884">
      <w:pPr>
        <w:tabs>
          <w:tab w:val="left" w:pos="522"/>
        </w:tabs>
        <w:adjustRightInd w:val="0"/>
        <w:snapToGrid w:val="0"/>
        <w:spacing w:line="360" w:lineRule="auto"/>
        <w:ind w:firstLine="482"/>
        <w:jc w:val="center"/>
        <w:rPr>
          <w:rFonts w:hint="eastAsia"/>
          <w:szCs w:val="21"/>
        </w:rPr>
      </w:pPr>
      <w:r>
        <w:rPr>
          <w:rFonts w:hint="eastAsia"/>
          <w:szCs w:val="21"/>
        </w:rPr>
        <w:t>表二</w:t>
      </w:r>
      <w:r>
        <w:rPr>
          <w:rFonts w:hint="eastAsia"/>
          <w:szCs w:val="21"/>
        </w:rPr>
        <w:t xml:space="preserve"> </w:t>
      </w:r>
      <w:proofErr w:type="gramStart"/>
      <w:r>
        <w:rPr>
          <w:rFonts w:hint="eastAsia"/>
          <w:szCs w:val="21"/>
        </w:rPr>
        <w:t>镧铈</w:t>
      </w:r>
      <w:proofErr w:type="gramEnd"/>
      <w:r>
        <w:rPr>
          <w:rFonts w:hint="eastAsia"/>
          <w:szCs w:val="21"/>
        </w:rPr>
        <w:t>金属厂家检验标准</w:t>
      </w:r>
    </w:p>
    <w:tbl>
      <w:tblPr>
        <w:tblW w:w="0" w:type="auto"/>
        <w:jc w:val="center"/>
        <w:tblInd w:w="0" w:type="dxa"/>
        <w:tblLayout w:type="fixed"/>
        <w:tblLook w:val="0000"/>
      </w:tblPr>
      <w:tblGrid>
        <w:gridCol w:w="1762"/>
        <w:gridCol w:w="700"/>
        <w:gridCol w:w="710"/>
        <w:gridCol w:w="710"/>
        <w:gridCol w:w="710"/>
        <w:gridCol w:w="700"/>
        <w:gridCol w:w="710"/>
        <w:gridCol w:w="710"/>
        <w:gridCol w:w="710"/>
        <w:gridCol w:w="710"/>
        <w:gridCol w:w="700"/>
        <w:gridCol w:w="1445"/>
      </w:tblGrid>
      <w:tr w:rsidR="000A7884">
        <w:trPr>
          <w:trHeight w:val="405"/>
          <w:jc w:val="center"/>
        </w:trPr>
        <w:tc>
          <w:tcPr>
            <w:tcW w:w="1762" w:type="dxa"/>
            <w:vMerge w:val="restart"/>
            <w:tcBorders>
              <w:top w:val="single" w:sz="4" w:space="0" w:color="auto"/>
              <w:left w:val="single" w:sz="4" w:space="0" w:color="auto"/>
              <w:right w:val="single" w:sz="4" w:space="0" w:color="auto"/>
            </w:tcBorders>
            <w:noWrap/>
            <w:vAlign w:val="center"/>
          </w:tcPr>
          <w:p w:rsidR="000A7884" w:rsidRDefault="000A7884">
            <w:pPr>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单位名称</w:t>
            </w:r>
          </w:p>
        </w:tc>
        <w:tc>
          <w:tcPr>
            <w:tcW w:w="8515" w:type="dxa"/>
            <w:gridSpan w:val="11"/>
            <w:tcBorders>
              <w:top w:val="single" w:sz="4" w:space="0" w:color="auto"/>
              <w:left w:val="nil"/>
              <w:bottom w:val="single" w:sz="4" w:space="0" w:color="auto"/>
              <w:right w:val="single" w:sz="4" w:space="0" w:color="auto"/>
            </w:tcBorders>
            <w:noWrap/>
            <w:vAlign w:val="center"/>
          </w:tcPr>
          <w:p w:rsidR="000A7884" w:rsidRDefault="000A788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杂质含量/%，不大于</w:t>
            </w:r>
          </w:p>
        </w:tc>
      </w:tr>
      <w:tr w:rsidR="000A7884">
        <w:trPr>
          <w:trHeight w:val="405"/>
          <w:jc w:val="center"/>
        </w:trPr>
        <w:tc>
          <w:tcPr>
            <w:tcW w:w="1762" w:type="dxa"/>
            <w:vMerge/>
            <w:tcBorders>
              <w:left w:val="single" w:sz="4" w:space="0" w:color="auto"/>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Fe</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Al</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Si</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Mo</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W</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Ti</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Ca</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Mg</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445"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稀土杂质</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四川江铜</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0.3</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1445"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各</w:t>
            </w:r>
            <w:r>
              <w:rPr>
                <w:color w:val="000000"/>
                <w:sz w:val="18"/>
                <w:szCs w:val="18"/>
              </w:rPr>
              <w:t>0.1</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有</w:t>
            </w:r>
            <w:proofErr w:type="gramStart"/>
            <w:r>
              <w:rPr>
                <w:rFonts w:hint="eastAsia"/>
                <w:color w:val="000000"/>
                <w:sz w:val="18"/>
                <w:szCs w:val="18"/>
              </w:rPr>
              <w:t>研</w:t>
            </w:r>
            <w:proofErr w:type="gramEnd"/>
            <w:r>
              <w:rPr>
                <w:rFonts w:hint="eastAsia"/>
                <w:color w:val="000000"/>
                <w:sz w:val="18"/>
                <w:szCs w:val="18"/>
              </w:rPr>
              <w:t>稀土</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0.2</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0.02</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1445"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各</w:t>
            </w:r>
            <w:r>
              <w:rPr>
                <w:color w:val="000000"/>
                <w:sz w:val="18"/>
                <w:szCs w:val="18"/>
              </w:rPr>
              <w:t>0.1</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赣州晨光</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0.10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0.030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0.020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0.050</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0.020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0.010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0.010</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0.03</w:t>
            </w:r>
          </w:p>
        </w:tc>
        <w:tc>
          <w:tcPr>
            <w:tcW w:w="1445"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各</w:t>
            </w:r>
            <w:r>
              <w:rPr>
                <w:rFonts w:hint="eastAsia"/>
                <w:color w:val="000000"/>
                <w:sz w:val="18"/>
                <w:szCs w:val="18"/>
              </w:rPr>
              <w:t>0.10</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包头稀土院</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0.2</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0.03</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0.02</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0.03</w:t>
            </w:r>
          </w:p>
        </w:tc>
        <w:tc>
          <w:tcPr>
            <w:tcW w:w="1445"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合量</w:t>
            </w:r>
            <w:r>
              <w:rPr>
                <w:rFonts w:hint="eastAsia"/>
                <w:color w:val="000000"/>
                <w:sz w:val="18"/>
                <w:szCs w:val="18"/>
              </w:rPr>
              <w:t>0.5</w:t>
            </w:r>
          </w:p>
        </w:tc>
      </w:tr>
    </w:tbl>
    <w:p w:rsidR="000A7884" w:rsidRDefault="000A7884">
      <w:pPr>
        <w:tabs>
          <w:tab w:val="left" w:pos="522"/>
        </w:tabs>
        <w:adjustRightInd w:val="0"/>
        <w:snapToGrid w:val="0"/>
        <w:spacing w:line="360" w:lineRule="auto"/>
        <w:ind w:firstLine="482"/>
        <w:rPr>
          <w:rFonts w:hint="eastAsia"/>
          <w:szCs w:val="21"/>
        </w:rPr>
      </w:pPr>
    </w:p>
    <w:p w:rsidR="000A7884" w:rsidRDefault="000A7884">
      <w:pPr>
        <w:tabs>
          <w:tab w:val="left" w:pos="522"/>
        </w:tabs>
        <w:adjustRightInd w:val="0"/>
        <w:snapToGrid w:val="0"/>
        <w:spacing w:line="360" w:lineRule="auto"/>
        <w:ind w:firstLine="482"/>
        <w:jc w:val="center"/>
        <w:rPr>
          <w:rFonts w:hint="eastAsia"/>
          <w:szCs w:val="21"/>
        </w:rPr>
      </w:pPr>
      <w:r>
        <w:rPr>
          <w:rFonts w:hint="eastAsia"/>
          <w:szCs w:val="21"/>
        </w:rPr>
        <w:t>表三</w:t>
      </w:r>
      <w:r>
        <w:rPr>
          <w:rFonts w:hint="eastAsia"/>
          <w:szCs w:val="21"/>
        </w:rPr>
        <w:t xml:space="preserve"> </w:t>
      </w:r>
      <w:proofErr w:type="gramStart"/>
      <w:r>
        <w:rPr>
          <w:rFonts w:hint="eastAsia"/>
          <w:szCs w:val="21"/>
        </w:rPr>
        <w:t>镧铈</w:t>
      </w:r>
      <w:proofErr w:type="gramEnd"/>
      <w:r>
        <w:rPr>
          <w:rFonts w:hint="eastAsia"/>
          <w:szCs w:val="21"/>
        </w:rPr>
        <w:t>金属客户要求</w:t>
      </w:r>
    </w:p>
    <w:tbl>
      <w:tblPr>
        <w:tblW w:w="0" w:type="auto"/>
        <w:jc w:val="center"/>
        <w:tblInd w:w="0" w:type="dxa"/>
        <w:tblLayout w:type="fixed"/>
        <w:tblLook w:val="0000"/>
      </w:tblPr>
      <w:tblGrid>
        <w:gridCol w:w="1762"/>
        <w:gridCol w:w="700"/>
        <w:gridCol w:w="710"/>
        <w:gridCol w:w="710"/>
        <w:gridCol w:w="710"/>
        <w:gridCol w:w="700"/>
        <w:gridCol w:w="710"/>
        <w:gridCol w:w="710"/>
        <w:gridCol w:w="710"/>
        <w:gridCol w:w="710"/>
        <w:gridCol w:w="700"/>
        <w:gridCol w:w="1445"/>
      </w:tblGrid>
      <w:tr w:rsidR="000A7884">
        <w:trPr>
          <w:trHeight w:val="405"/>
          <w:jc w:val="center"/>
        </w:trPr>
        <w:tc>
          <w:tcPr>
            <w:tcW w:w="1762" w:type="dxa"/>
            <w:vMerge w:val="restart"/>
            <w:tcBorders>
              <w:top w:val="single" w:sz="4" w:space="0" w:color="auto"/>
              <w:left w:val="single" w:sz="4" w:space="0" w:color="auto"/>
              <w:right w:val="single" w:sz="4" w:space="0" w:color="auto"/>
            </w:tcBorders>
            <w:noWrap/>
            <w:vAlign w:val="center"/>
          </w:tcPr>
          <w:p w:rsidR="000A7884" w:rsidRDefault="000A7884">
            <w:pPr>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单位名称</w:t>
            </w:r>
          </w:p>
        </w:tc>
        <w:tc>
          <w:tcPr>
            <w:tcW w:w="8515" w:type="dxa"/>
            <w:gridSpan w:val="11"/>
            <w:tcBorders>
              <w:top w:val="single" w:sz="4" w:space="0" w:color="auto"/>
              <w:left w:val="nil"/>
              <w:bottom w:val="single" w:sz="4" w:space="0" w:color="auto"/>
              <w:right w:val="single" w:sz="4" w:space="0" w:color="auto"/>
            </w:tcBorders>
            <w:noWrap/>
            <w:vAlign w:val="center"/>
          </w:tcPr>
          <w:p w:rsidR="000A7884" w:rsidRDefault="000A788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杂质含量/%，不大于</w:t>
            </w:r>
          </w:p>
        </w:tc>
      </w:tr>
      <w:tr w:rsidR="000A7884">
        <w:trPr>
          <w:trHeight w:val="405"/>
          <w:jc w:val="center"/>
        </w:trPr>
        <w:tc>
          <w:tcPr>
            <w:tcW w:w="1762" w:type="dxa"/>
            <w:vMerge/>
            <w:tcBorders>
              <w:left w:val="single" w:sz="4" w:space="0" w:color="auto"/>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Fe</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Al</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Si</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Mo</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W</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Ti</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Ca</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Mg</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445"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稀土杂质</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四川江铜</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0.3</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1445"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有</w:t>
            </w:r>
            <w:proofErr w:type="gramStart"/>
            <w:r>
              <w:rPr>
                <w:rFonts w:hint="eastAsia"/>
                <w:color w:val="000000"/>
                <w:sz w:val="18"/>
                <w:szCs w:val="18"/>
              </w:rPr>
              <w:t>研</w:t>
            </w:r>
            <w:proofErr w:type="gramEnd"/>
            <w:r>
              <w:rPr>
                <w:rFonts w:hint="eastAsia"/>
                <w:color w:val="000000"/>
                <w:sz w:val="18"/>
                <w:szCs w:val="18"/>
              </w:rPr>
              <w:t>稀土</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0.15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0.02</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0.03</w:t>
            </w:r>
          </w:p>
        </w:tc>
        <w:tc>
          <w:tcPr>
            <w:tcW w:w="1445"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各</w:t>
            </w:r>
            <w:r>
              <w:rPr>
                <w:color w:val="000000"/>
                <w:sz w:val="18"/>
                <w:szCs w:val="18"/>
              </w:rPr>
              <w:t>0.1</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赣州晨光</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0.10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0.050</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0.020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0.020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0.010</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w:t>
            </w:r>
          </w:p>
        </w:tc>
        <w:tc>
          <w:tcPr>
            <w:tcW w:w="1445"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各</w:t>
            </w:r>
            <w:r>
              <w:rPr>
                <w:rFonts w:hint="eastAsia"/>
                <w:color w:val="000000"/>
                <w:sz w:val="18"/>
                <w:szCs w:val="18"/>
              </w:rPr>
              <w:t>0.10</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包头稀土院</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0.2</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0.03</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0.02</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0.03</w:t>
            </w:r>
          </w:p>
        </w:tc>
        <w:tc>
          <w:tcPr>
            <w:tcW w:w="1445"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合量</w:t>
            </w:r>
            <w:r>
              <w:rPr>
                <w:rFonts w:hint="eastAsia"/>
                <w:color w:val="000000"/>
                <w:sz w:val="18"/>
                <w:szCs w:val="18"/>
              </w:rPr>
              <w:t>1</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proofErr w:type="gramStart"/>
            <w:r>
              <w:rPr>
                <w:rFonts w:hint="eastAsia"/>
                <w:color w:val="000000"/>
                <w:sz w:val="18"/>
                <w:szCs w:val="18"/>
              </w:rPr>
              <w:t>内蒙古稀奥科</w:t>
            </w:r>
            <w:proofErr w:type="gramEnd"/>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0.15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0.03</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8"/>
                <w:szCs w:val="18"/>
              </w:rPr>
            </w:pPr>
            <w:r>
              <w:rPr>
                <w:color w:val="000000"/>
                <w:sz w:val="18"/>
                <w:szCs w:val="18"/>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0.03</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0.02</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8"/>
                <w:szCs w:val="18"/>
              </w:rPr>
            </w:pPr>
            <w:r>
              <w:rPr>
                <w:rFonts w:hint="eastAsia"/>
                <w:sz w:val="18"/>
                <w:szCs w:val="18"/>
              </w:rPr>
              <w:t>0.05</w:t>
            </w:r>
          </w:p>
        </w:tc>
        <w:tc>
          <w:tcPr>
            <w:tcW w:w="1445"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合量</w:t>
            </w:r>
            <w:r>
              <w:rPr>
                <w:rFonts w:hint="eastAsia"/>
                <w:color w:val="000000"/>
                <w:sz w:val="18"/>
                <w:szCs w:val="18"/>
              </w:rPr>
              <w:t>1.5</w:t>
            </w:r>
          </w:p>
        </w:tc>
      </w:tr>
    </w:tbl>
    <w:p w:rsidR="000A7884" w:rsidRDefault="000A7884">
      <w:pPr>
        <w:tabs>
          <w:tab w:val="left" w:pos="522"/>
        </w:tabs>
        <w:adjustRightInd w:val="0"/>
        <w:snapToGrid w:val="0"/>
        <w:spacing w:line="360" w:lineRule="auto"/>
        <w:ind w:firstLine="482"/>
        <w:rPr>
          <w:rFonts w:hint="eastAsia"/>
          <w:szCs w:val="21"/>
        </w:rPr>
      </w:pPr>
    </w:p>
    <w:p w:rsidR="000A7884" w:rsidRDefault="000A7884">
      <w:pPr>
        <w:tabs>
          <w:tab w:val="left" w:pos="522"/>
        </w:tabs>
        <w:adjustRightInd w:val="0"/>
        <w:snapToGrid w:val="0"/>
        <w:spacing w:line="360" w:lineRule="auto"/>
        <w:ind w:firstLine="482"/>
        <w:jc w:val="center"/>
        <w:rPr>
          <w:rFonts w:hint="eastAsia"/>
          <w:szCs w:val="21"/>
        </w:rPr>
      </w:pPr>
      <w:r>
        <w:rPr>
          <w:rFonts w:hint="eastAsia"/>
          <w:szCs w:val="21"/>
        </w:rPr>
        <w:t>表四</w:t>
      </w:r>
      <w:r>
        <w:rPr>
          <w:rFonts w:hint="eastAsia"/>
          <w:szCs w:val="21"/>
        </w:rPr>
        <w:t xml:space="preserve"> </w:t>
      </w:r>
      <w:proofErr w:type="gramStart"/>
      <w:r>
        <w:rPr>
          <w:rFonts w:hint="eastAsia"/>
          <w:szCs w:val="21"/>
        </w:rPr>
        <w:t>镧铈</w:t>
      </w:r>
      <w:proofErr w:type="gramEnd"/>
      <w:r>
        <w:rPr>
          <w:rFonts w:hint="eastAsia"/>
          <w:szCs w:val="21"/>
        </w:rPr>
        <w:t>金属厂家检验数据</w:t>
      </w:r>
    </w:p>
    <w:tbl>
      <w:tblPr>
        <w:tblW w:w="0" w:type="auto"/>
        <w:jc w:val="center"/>
        <w:tblInd w:w="0" w:type="dxa"/>
        <w:tblLayout w:type="fixed"/>
        <w:tblLook w:val="0000"/>
      </w:tblPr>
      <w:tblGrid>
        <w:gridCol w:w="1762"/>
        <w:gridCol w:w="700"/>
        <w:gridCol w:w="710"/>
        <w:gridCol w:w="710"/>
        <w:gridCol w:w="710"/>
        <w:gridCol w:w="700"/>
        <w:gridCol w:w="710"/>
        <w:gridCol w:w="710"/>
        <w:gridCol w:w="710"/>
        <w:gridCol w:w="710"/>
        <w:gridCol w:w="700"/>
        <w:gridCol w:w="1445"/>
      </w:tblGrid>
      <w:tr w:rsidR="000A7884">
        <w:trPr>
          <w:trHeight w:val="405"/>
          <w:jc w:val="center"/>
        </w:trPr>
        <w:tc>
          <w:tcPr>
            <w:tcW w:w="1762" w:type="dxa"/>
            <w:vMerge w:val="restart"/>
            <w:tcBorders>
              <w:top w:val="single" w:sz="4" w:space="0" w:color="auto"/>
              <w:left w:val="single" w:sz="4" w:space="0" w:color="auto"/>
              <w:right w:val="single" w:sz="4" w:space="0" w:color="auto"/>
            </w:tcBorders>
            <w:noWrap/>
            <w:vAlign w:val="center"/>
          </w:tcPr>
          <w:p w:rsidR="000A7884" w:rsidRDefault="000A7884">
            <w:pPr>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单位名称</w:t>
            </w:r>
          </w:p>
        </w:tc>
        <w:tc>
          <w:tcPr>
            <w:tcW w:w="8515" w:type="dxa"/>
            <w:gridSpan w:val="11"/>
            <w:tcBorders>
              <w:top w:val="single" w:sz="4" w:space="0" w:color="auto"/>
              <w:left w:val="nil"/>
              <w:bottom w:val="single" w:sz="4" w:space="0" w:color="auto"/>
              <w:right w:val="single" w:sz="4" w:space="0" w:color="auto"/>
            </w:tcBorders>
            <w:noWrap/>
            <w:vAlign w:val="center"/>
          </w:tcPr>
          <w:p w:rsidR="000A7884" w:rsidRDefault="000A788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杂质含量/% </w:t>
            </w:r>
          </w:p>
        </w:tc>
      </w:tr>
      <w:tr w:rsidR="000A7884">
        <w:trPr>
          <w:trHeight w:val="405"/>
          <w:jc w:val="center"/>
        </w:trPr>
        <w:tc>
          <w:tcPr>
            <w:tcW w:w="1762" w:type="dxa"/>
            <w:vMerge/>
            <w:tcBorders>
              <w:left w:val="single" w:sz="4" w:space="0" w:color="auto"/>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Fe</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Al</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Si</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Mo</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W</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Ti</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Ca</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Mg</w:t>
            </w:r>
          </w:p>
        </w:tc>
        <w:tc>
          <w:tcPr>
            <w:tcW w:w="71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S</w:t>
            </w:r>
          </w:p>
        </w:tc>
        <w:tc>
          <w:tcPr>
            <w:tcW w:w="700"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C</w:t>
            </w:r>
          </w:p>
        </w:tc>
        <w:tc>
          <w:tcPr>
            <w:tcW w:w="1445" w:type="dxa"/>
            <w:tcBorders>
              <w:top w:val="single" w:sz="4" w:space="0" w:color="auto"/>
              <w:left w:val="nil"/>
              <w:bottom w:val="single" w:sz="4" w:space="0" w:color="auto"/>
              <w:right w:val="single" w:sz="4" w:space="0" w:color="auto"/>
            </w:tcBorders>
            <w:noWrap/>
            <w:vAlign w:val="center"/>
          </w:tcPr>
          <w:p w:rsidR="000A7884" w:rsidRDefault="000A7884">
            <w:pPr>
              <w:widowControl/>
              <w:jc w:val="left"/>
              <w:rPr>
                <w:rFonts w:ascii="宋体" w:hAnsi="宋体" w:cs="宋体"/>
                <w:color w:val="000000"/>
                <w:kern w:val="0"/>
                <w:sz w:val="18"/>
                <w:szCs w:val="18"/>
              </w:rPr>
            </w:pPr>
            <w:r>
              <w:rPr>
                <w:rFonts w:ascii="宋体" w:hAnsi="宋体" w:cs="宋体" w:hint="eastAsia"/>
                <w:color w:val="000000"/>
                <w:kern w:val="0"/>
                <w:sz w:val="18"/>
                <w:szCs w:val="18"/>
              </w:rPr>
              <w:t>稀土杂质</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四川江铜</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0.20</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0.017</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&lt;0.01%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&lt;0.01%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0.012</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0.044</w:t>
            </w:r>
          </w:p>
        </w:tc>
        <w:tc>
          <w:tcPr>
            <w:tcW w:w="1445"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各</w:t>
            </w:r>
            <w:r>
              <w:rPr>
                <w:color w:val="000000"/>
                <w:sz w:val="15"/>
                <w:szCs w:val="32"/>
              </w:rPr>
              <w:t>0.05</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有</w:t>
            </w:r>
            <w:proofErr w:type="gramStart"/>
            <w:r>
              <w:rPr>
                <w:rFonts w:hint="eastAsia"/>
                <w:color w:val="000000"/>
                <w:sz w:val="18"/>
                <w:szCs w:val="18"/>
              </w:rPr>
              <w:t>研</w:t>
            </w:r>
            <w:proofErr w:type="gramEnd"/>
            <w:r>
              <w:rPr>
                <w:rFonts w:hint="eastAsia"/>
                <w:color w:val="000000"/>
                <w:sz w:val="18"/>
                <w:szCs w:val="18"/>
              </w:rPr>
              <w:t>稀土</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0.12</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0.03</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0.018</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rFonts w:hint="eastAsia"/>
                <w:color w:val="000000"/>
                <w:sz w:val="15"/>
                <w:szCs w:val="32"/>
              </w:rPr>
              <w:t>≤</w:t>
            </w:r>
            <w:r>
              <w:rPr>
                <w:color w:val="000000"/>
                <w:sz w:val="15"/>
                <w:szCs w:val="32"/>
              </w:rPr>
              <w:t>0.05</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rFonts w:hint="eastAsia"/>
                <w:color w:val="000000"/>
                <w:sz w:val="15"/>
                <w:szCs w:val="32"/>
              </w:rPr>
              <w:t>≤</w:t>
            </w:r>
            <w:r>
              <w:rPr>
                <w:color w:val="000000"/>
                <w:sz w:val="15"/>
                <w:szCs w:val="32"/>
              </w:rPr>
              <w:t>0.05</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rFonts w:hint="eastAsia"/>
                <w:color w:val="000000"/>
                <w:sz w:val="15"/>
                <w:szCs w:val="32"/>
              </w:rPr>
              <w:t>≤</w:t>
            </w:r>
            <w:r>
              <w:rPr>
                <w:color w:val="000000"/>
                <w:sz w:val="15"/>
                <w:szCs w:val="32"/>
              </w:rPr>
              <w:t>0.02</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&lt;0.01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&lt;0.01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w:t>
            </w:r>
            <w:r>
              <w:rPr>
                <w:rFonts w:hint="eastAsia"/>
                <w:color w:val="000000"/>
                <w:sz w:val="15"/>
                <w:szCs w:val="32"/>
              </w:rPr>
              <w:t>0.02</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0.026</w:t>
            </w:r>
          </w:p>
        </w:tc>
        <w:tc>
          <w:tcPr>
            <w:tcW w:w="1445"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rFonts w:hint="eastAsia"/>
                <w:color w:val="000000"/>
                <w:sz w:val="15"/>
                <w:szCs w:val="32"/>
              </w:rPr>
              <w:t>各≤</w:t>
            </w:r>
            <w:r>
              <w:rPr>
                <w:color w:val="000000"/>
                <w:sz w:val="15"/>
                <w:szCs w:val="32"/>
              </w:rPr>
              <w:t>0.1</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赣州晨光</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24"/>
              </w:rPr>
            </w:pPr>
            <w:r>
              <w:rPr>
                <w:rFonts w:hint="eastAsia"/>
                <w:color w:val="000000"/>
                <w:sz w:val="15"/>
              </w:rPr>
              <w:t>＜</w:t>
            </w:r>
            <w:r>
              <w:rPr>
                <w:rFonts w:hint="eastAsia"/>
                <w:color w:val="000000"/>
                <w:sz w:val="15"/>
              </w:rPr>
              <w:t>0.10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0.030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0.020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0.050</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0.050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0.020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0.010</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0.010</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sz w:val="15"/>
                <w:szCs w:val="24"/>
              </w:rPr>
            </w:pPr>
            <w:r>
              <w:rPr>
                <w:rFonts w:hint="eastAsia"/>
                <w:sz w:val="15"/>
              </w:rPr>
              <w:t>＜</w:t>
            </w:r>
            <w:r>
              <w:rPr>
                <w:rFonts w:hint="eastAsia"/>
                <w:sz w:val="15"/>
              </w:rPr>
              <w:t>0.03</w:t>
            </w:r>
          </w:p>
        </w:tc>
        <w:tc>
          <w:tcPr>
            <w:tcW w:w="1445"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24"/>
              </w:rPr>
            </w:pPr>
            <w:r>
              <w:rPr>
                <w:rFonts w:hint="eastAsia"/>
                <w:color w:val="000000"/>
                <w:sz w:val="15"/>
              </w:rPr>
              <w:t>各≤</w:t>
            </w:r>
            <w:r>
              <w:rPr>
                <w:rFonts w:hint="eastAsia"/>
                <w:color w:val="000000"/>
                <w:sz w:val="15"/>
              </w:rPr>
              <w:t>0.10</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包头稀土院</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0.12</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0.03</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0.02</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w:t>
            </w:r>
            <w:r>
              <w:rPr>
                <w:rFonts w:hint="eastAsia"/>
                <w:color w:val="000000"/>
                <w:sz w:val="15"/>
                <w:szCs w:val="32"/>
              </w:rPr>
              <w:t>0.01</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w:t>
            </w:r>
            <w:r>
              <w:rPr>
                <w:rFonts w:hint="eastAsia"/>
                <w:color w:val="000000"/>
                <w:sz w:val="15"/>
                <w:szCs w:val="32"/>
              </w:rPr>
              <w: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w:t>
            </w:r>
            <w:r>
              <w:rPr>
                <w:rFonts w:hint="eastAsia"/>
                <w:color w:val="000000"/>
                <w:sz w:val="15"/>
                <w:szCs w:val="32"/>
              </w:rPr>
              <w:t>0.02</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w:t>
            </w:r>
            <w:r>
              <w:rPr>
                <w:rFonts w:hint="eastAsia"/>
                <w:color w:val="000000"/>
                <w:sz w:val="15"/>
                <w:szCs w:val="32"/>
              </w:rPr>
              <w: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w:t>
            </w:r>
            <w:r>
              <w:rPr>
                <w:rFonts w:hint="eastAsia"/>
                <w:color w:val="000000"/>
                <w:sz w:val="15"/>
                <w:szCs w:val="32"/>
              </w:rPr>
              <w:t>0.01</w:t>
            </w:r>
          </w:p>
        </w:tc>
        <w:tc>
          <w:tcPr>
            <w:tcW w:w="71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w:t>
            </w:r>
            <w:r>
              <w:rPr>
                <w:rFonts w:hint="eastAsia"/>
                <w:color w:val="000000"/>
                <w:sz w:val="15"/>
                <w:szCs w:val="32"/>
              </w:rPr>
              <w:t>0.02</w:t>
            </w:r>
          </w:p>
        </w:tc>
        <w:tc>
          <w:tcPr>
            <w:tcW w:w="700"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0.14</w:t>
            </w:r>
          </w:p>
        </w:tc>
        <w:tc>
          <w:tcPr>
            <w:tcW w:w="1445" w:type="dxa"/>
            <w:tcBorders>
              <w:top w:val="nil"/>
              <w:left w:val="nil"/>
              <w:bottom w:val="single" w:sz="4" w:space="0" w:color="auto"/>
              <w:right w:val="single" w:sz="4" w:space="0" w:color="auto"/>
            </w:tcBorders>
            <w:noWrap/>
            <w:vAlign w:val="center"/>
          </w:tcPr>
          <w:p w:rsidR="000A7884" w:rsidRDefault="000A7884">
            <w:pPr>
              <w:jc w:val="center"/>
              <w:rPr>
                <w:rFonts w:ascii="宋体" w:hAnsi="宋体" w:cs="宋体"/>
                <w:color w:val="000000"/>
                <w:sz w:val="15"/>
                <w:szCs w:val="32"/>
              </w:rPr>
            </w:pPr>
            <w:r>
              <w:rPr>
                <w:rFonts w:hint="eastAsia"/>
                <w:color w:val="000000"/>
                <w:sz w:val="15"/>
                <w:szCs w:val="32"/>
              </w:rPr>
              <w:t>合量≤</w:t>
            </w:r>
            <w:r>
              <w:rPr>
                <w:rFonts w:hint="eastAsia"/>
                <w:color w:val="000000"/>
                <w:sz w:val="15"/>
                <w:szCs w:val="32"/>
              </w:rPr>
              <w:t>0.5</w:t>
            </w:r>
          </w:p>
        </w:tc>
      </w:tr>
      <w:tr w:rsidR="000A7884">
        <w:trPr>
          <w:trHeight w:val="227"/>
          <w:jc w:val="center"/>
        </w:trPr>
        <w:tc>
          <w:tcPr>
            <w:tcW w:w="1762" w:type="dxa"/>
            <w:tcBorders>
              <w:top w:val="nil"/>
              <w:left w:val="single" w:sz="4" w:space="0" w:color="auto"/>
              <w:bottom w:val="single" w:sz="4" w:space="0" w:color="auto"/>
              <w:right w:val="single" w:sz="4" w:space="0" w:color="auto"/>
            </w:tcBorders>
            <w:noWrap/>
            <w:vAlign w:val="center"/>
          </w:tcPr>
          <w:p w:rsidR="000A7884" w:rsidRDefault="000A7884">
            <w:pPr>
              <w:jc w:val="center"/>
              <w:rPr>
                <w:rFonts w:ascii="宋体" w:hAnsi="宋体" w:cs="宋体"/>
                <w:color w:val="000000"/>
                <w:sz w:val="18"/>
                <w:szCs w:val="18"/>
              </w:rPr>
            </w:pPr>
            <w:r>
              <w:rPr>
                <w:rFonts w:hint="eastAsia"/>
                <w:color w:val="000000"/>
                <w:sz w:val="18"/>
                <w:szCs w:val="18"/>
              </w:rPr>
              <w:t>桂林矿产</w:t>
            </w: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1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700"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p>
        </w:tc>
        <w:tc>
          <w:tcPr>
            <w:tcW w:w="1445" w:type="dxa"/>
            <w:tcBorders>
              <w:top w:val="nil"/>
              <w:left w:val="nil"/>
              <w:bottom w:val="single" w:sz="4" w:space="0" w:color="auto"/>
              <w:right w:val="single" w:sz="4" w:space="0" w:color="auto"/>
            </w:tcBorders>
            <w:noWrap/>
            <w:vAlign w:val="center"/>
          </w:tcPr>
          <w:p w:rsidR="000A7884" w:rsidRDefault="000A7884">
            <w:pPr>
              <w:jc w:val="center"/>
              <w:rPr>
                <w:color w:val="000000"/>
                <w:sz w:val="15"/>
                <w:szCs w:val="32"/>
              </w:rPr>
            </w:pPr>
            <w:r>
              <w:rPr>
                <w:color w:val="000000"/>
                <w:sz w:val="15"/>
                <w:szCs w:val="32"/>
              </w:rPr>
              <w:t>合量</w:t>
            </w:r>
            <w:r>
              <w:rPr>
                <w:color w:val="000000"/>
                <w:sz w:val="15"/>
                <w:szCs w:val="32"/>
              </w:rPr>
              <w:t>0.35%</w:t>
            </w:r>
          </w:p>
        </w:tc>
      </w:tr>
    </w:tbl>
    <w:p w:rsidR="000A7884" w:rsidRDefault="000A7884">
      <w:pPr>
        <w:tabs>
          <w:tab w:val="left" w:pos="522"/>
        </w:tabs>
        <w:adjustRightInd w:val="0"/>
        <w:snapToGrid w:val="0"/>
        <w:spacing w:line="360" w:lineRule="auto"/>
        <w:ind w:firstLine="482"/>
        <w:rPr>
          <w:rFonts w:hint="eastAsia"/>
          <w:szCs w:val="21"/>
        </w:rPr>
      </w:pPr>
    </w:p>
    <w:p w:rsidR="000A7884" w:rsidRDefault="000A7884">
      <w:pPr>
        <w:tabs>
          <w:tab w:val="left" w:pos="522"/>
        </w:tabs>
        <w:adjustRightInd w:val="0"/>
        <w:snapToGrid w:val="0"/>
        <w:spacing w:line="360" w:lineRule="auto"/>
        <w:ind w:firstLine="482"/>
        <w:rPr>
          <w:szCs w:val="21"/>
          <w:highlight w:val="yellow"/>
        </w:rPr>
      </w:pPr>
    </w:p>
    <w:p w:rsidR="000A7884" w:rsidRDefault="000A7884">
      <w:pPr>
        <w:adjustRightInd w:val="0"/>
        <w:snapToGrid w:val="0"/>
        <w:spacing w:line="360" w:lineRule="auto"/>
        <w:rPr>
          <w:rFonts w:hint="eastAsia"/>
          <w:szCs w:val="21"/>
        </w:rPr>
      </w:pPr>
      <w:r>
        <w:rPr>
          <w:szCs w:val="21"/>
        </w:rPr>
        <w:t>经过市场的充分论证，并</w:t>
      </w:r>
      <w:proofErr w:type="gramStart"/>
      <w:r>
        <w:rPr>
          <w:szCs w:val="21"/>
        </w:rPr>
        <w:t>征求稀标委</w:t>
      </w:r>
      <w:proofErr w:type="gramEnd"/>
      <w:r>
        <w:rPr>
          <w:szCs w:val="21"/>
        </w:rPr>
        <w:t>意见，形成了标准征求意见稿。在</w:t>
      </w:r>
      <w:r>
        <w:rPr>
          <w:szCs w:val="21"/>
        </w:rPr>
        <w:t>201</w:t>
      </w:r>
      <w:r>
        <w:rPr>
          <w:rFonts w:hint="eastAsia"/>
          <w:szCs w:val="21"/>
        </w:rPr>
        <w:t>9</w:t>
      </w:r>
      <w:r>
        <w:rPr>
          <w:szCs w:val="21"/>
        </w:rPr>
        <w:t>年</w:t>
      </w:r>
      <w:r>
        <w:rPr>
          <w:rFonts w:hint="eastAsia"/>
          <w:szCs w:val="21"/>
        </w:rPr>
        <w:t>4</w:t>
      </w:r>
      <w:r>
        <w:rPr>
          <w:szCs w:val="21"/>
        </w:rPr>
        <w:t>月</w:t>
      </w:r>
      <w:r>
        <w:rPr>
          <w:rFonts w:hint="eastAsia"/>
          <w:szCs w:val="21"/>
        </w:rPr>
        <w:t>10</w:t>
      </w:r>
      <w:r>
        <w:rPr>
          <w:szCs w:val="21"/>
        </w:rPr>
        <w:t>日，将《</w:t>
      </w:r>
      <w:r>
        <w:rPr>
          <w:rFonts w:hint="eastAsia"/>
          <w:szCs w:val="21"/>
        </w:rPr>
        <w:t>镧铈金属</w:t>
      </w:r>
      <w:r>
        <w:rPr>
          <w:szCs w:val="21"/>
        </w:rPr>
        <w:t>》标准征求意见稿发至包头稀土研究院、</w:t>
      </w:r>
      <w:r>
        <w:rPr>
          <w:rFonts w:ascii="宋体" w:hAnsi="宋体"/>
          <w:color w:val="000000"/>
          <w:szCs w:val="21"/>
        </w:rPr>
        <w:t>四川江铜稀土有限责任公司、</w:t>
      </w:r>
      <w:proofErr w:type="gramStart"/>
      <w:r>
        <w:rPr>
          <w:rFonts w:ascii="宋体" w:hAnsi="宋体"/>
          <w:color w:val="000000"/>
          <w:szCs w:val="21"/>
        </w:rPr>
        <w:t>虔</w:t>
      </w:r>
      <w:proofErr w:type="gramEnd"/>
      <w:r>
        <w:rPr>
          <w:rFonts w:ascii="宋体" w:hAnsi="宋体"/>
          <w:color w:val="000000"/>
          <w:szCs w:val="21"/>
        </w:rPr>
        <w:t>东稀土集团股份有限公司、江西南方稀土高技术股份有限公司</w:t>
      </w:r>
      <w:r>
        <w:rPr>
          <w:szCs w:val="21"/>
        </w:rPr>
        <w:t>、</w:t>
      </w:r>
      <w:proofErr w:type="gramStart"/>
      <w:r>
        <w:rPr>
          <w:szCs w:val="21"/>
        </w:rPr>
        <w:t>稀标委</w:t>
      </w:r>
      <w:proofErr w:type="gramEnd"/>
      <w:r>
        <w:rPr>
          <w:szCs w:val="21"/>
        </w:rPr>
        <w:t>等</w:t>
      </w:r>
      <w:r>
        <w:rPr>
          <w:rFonts w:hint="eastAsia"/>
          <w:szCs w:val="21"/>
        </w:rPr>
        <w:t>44</w:t>
      </w:r>
      <w:r>
        <w:rPr>
          <w:szCs w:val="21"/>
        </w:rPr>
        <w:t>家单位进行意见收</w:t>
      </w:r>
      <w:r>
        <w:rPr>
          <w:szCs w:val="21"/>
        </w:rPr>
        <w:lastRenderedPageBreak/>
        <w:t>集，大部分单位对《</w:t>
      </w:r>
      <w:r>
        <w:rPr>
          <w:rFonts w:hint="eastAsia"/>
          <w:szCs w:val="21"/>
        </w:rPr>
        <w:t>镧铈金属</w:t>
      </w:r>
      <w:r>
        <w:rPr>
          <w:szCs w:val="21"/>
        </w:rPr>
        <w:t>》标准征求意见稿表示默认同意无回复。收到了</w:t>
      </w:r>
      <w:r>
        <w:rPr>
          <w:rFonts w:hint="eastAsia"/>
          <w:szCs w:val="21"/>
        </w:rPr>
        <w:t>5</w:t>
      </w:r>
      <w:r>
        <w:rPr>
          <w:szCs w:val="21"/>
        </w:rPr>
        <w:t>家单位的回复意见，</w:t>
      </w:r>
      <w:r>
        <w:rPr>
          <w:rFonts w:hint="eastAsia"/>
          <w:szCs w:val="21"/>
        </w:rPr>
        <w:t>分别</w:t>
      </w:r>
      <w:r>
        <w:rPr>
          <w:szCs w:val="21"/>
        </w:rPr>
        <w:t>是</w:t>
      </w:r>
      <w:r>
        <w:rPr>
          <w:rFonts w:ascii="宋体" w:hAnsi="宋体" w:hint="eastAsia"/>
          <w:color w:val="000000"/>
          <w:szCs w:val="21"/>
        </w:rPr>
        <w:t>包头稀土研究院、</w:t>
      </w:r>
      <w:r>
        <w:rPr>
          <w:rFonts w:ascii="宋体" w:hAnsi="宋体"/>
          <w:color w:val="000000"/>
          <w:szCs w:val="21"/>
        </w:rPr>
        <w:t>四川江铜稀土有限责任公司、</w:t>
      </w:r>
      <w:proofErr w:type="gramStart"/>
      <w:r>
        <w:rPr>
          <w:rFonts w:ascii="宋体" w:hAnsi="宋体"/>
          <w:color w:val="000000"/>
          <w:szCs w:val="21"/>
        </w:rPr>
        <w:t>虔</w:t>
      </w:r>
      <w:proofErr w:type="gramEnd"/>
      <w:r>
        <w:rPr>
          <w:rFonts w:ascii="宋体" w:hAnsi="宋体"/>
          <w:color w:val="000000"/>
          <w:szCs w:val="21"/>
        </w:rPr>
        <w:t>东稀土集团股份有限公司、江西南方稀土高技术股份有限公司和</w:t>
      </w:r>
      <w:proofErr w:type="gramStart"/>
      <w:r>
        <w:rPr>
          <w:rFonts w:ascii="宋体" w:hAnsi="宋体"/>
          <w:color w:val="000000"/>
          <w:szCs w:val="21"/>
        </w:rPr>
        <w:t>内蒙古稀奥科</w:t>
      </w:r>
      <w:proofErr w:type="gramEnd"/>
      <w:r>
        <w:rPr>
          <w:rFonts w:ascii="宋体" w:hAnsi="宋体"/>
          <w:color w:val="000000"/>
          <w:szCs w:val="21"/>
        </w:rPr>
        <w:t>贮氢合金有限公司，</w:t>
      </w:r>
      <w:r>
        <w:rPr>
          <w:rFonts w:hint="eastAsia"/>
          <w:szCs w:val="21"/>
        </w:rPr>
        <w:t>他们</w:t>
      </w:r>
      <w:r>
        <w:rPr>
          <w:szCs w:val="21"/>
        </w:rPr>
        <w:t>都对《</w:t>
      </w:r>
      <w:r>
        <w:rPr>
          <w:rFonts w:hint="eastAsia"/>
          <w:szCs w:val="21"/>
        </w:rPr>
        <w:t>镧铈金属</w:t>
      </w:r>
      <w:r>
        <w:rPr>
          <w:szCs w:val="21"/>
        </w:rPr>
        <w:t>》标准征求意见稿提出了具体修改意见。</w:t>
      </w:r>
      <w:r>
        <w:rPr>
          <w:rFonts w:hint="eastAsia"/>
          <w:szCs w:val="21"/>
        </w:rPr>
        <w:t>在汇总各参与单位的意见后，形成</w:t>
      </w:r>
      <w:r w:rsidR="00E07F5E">
        <w:rPr>
          <w:rFonts w:hint="eastAsia"/>
          <w:szCs w:val="21"/>
        </w:rPr>
        <w:t>了</w:t>
      </w:r>
      <w:r>
        <w:rPr>
          <w:rFonts w:hint="eastAsia"/>
          <w:szCs w:val="21"/>
        </w:rPr>
        <w:t>预审稿。</w:t>
      </w:r>
    </w:p>
    <w:p w:rsidR="00F9025C" w:rsidRDefault="007513B9" w:rsidP="00F9025C">
      <w:pPr>
        <w:adjustRightInd w:val="0"/>
        <w:snapToGrid w:val="0"/>
        <w:spacing w:line="360" w:lineRule="auto"/>
        <w:ind w:firstLine="435"/>
        <w:rPr>
          <w:rFonts w:hint="eastAsia"/>
          <w:szCs w:val="21"/>
        </w:rPr>
      </w:pPr>
      <w:r>
        <w:rPr>
          <w:rFonts w:hint="eastAsia"/>
          <w:szCs w:val="21"/>
        </w:rPr>
        <w:t>在预审会上，评审专家对</w:t>
      </w:r>
      <w:proofErr w:type="gramStart"/>
      <w:r>
        <w:rPr>
          <w:rFonts w:hint="eastAsia"/>
          <w:szCs w:val="21"/>
        </w:rPr>
        <w:t>镧铈</w:t>
      </w:r>
      <w:proofErr w:type="gramEnd"/>
      <w:r>
        <w:rPr>
          <w:rFonts w:hint="eastAsia"/>
          <w:szCs w:val="21"/>
        </w:rPr>
        <w:t>金属的牌号表示方法产生了分歧，有些专家认为，针对产品中</w:t>
      </w:r>
      <w:proofErr w:type="gramStart"/>
      <w:r>
        <w:rPr>
          <w:rFonts w:hint="eastAsia"/>
          <w:szCs w:val="21"/>
        </w:rPr>
        <w:t>铈</w:t>
      </w:r>
      <w:proofErr w:type="gramEnd"/>
      <w:r>
        <w:rPr>
          <w:rFonts w:hint="eastAsia"/>
          <w:szCs w:val="21"/>
        </w:rPr>
        <w:t>的含量，应当设置固定的、连续的牌号，根据产品的检测结果，判定属于哪个牌号的产品；有些专家则认为，既然</w:t>
      </w:r>
      <w:proofErr w:type="gramStart"/>
      <w:r>
        <w:rPr>
          <w:rFonts w:hint="eastAsia"/>
          <w:szCs w:val="21"/>
        </w:rPr>
        <w:t>铈</w:t>
      </w:r>
      <w:proofErr w:type="gramEnd"/>
      <w:r>
        <w:rPr>
          <w:rFonts w:hint="eastAsia"/>
          <w:szCs w:val="21"/>
        </w:rPr>
        <w:t>的含量在</w:t>
      </w:r>
      <w:r>
        <w:rPr>
          <w:rFonts w:hint="eastAsia"/>
          <w:szCs w:val="21"/>
        </w:rPr>
        <w:t>60%</w:t>
      </w:r>
      <w:r>
        <w:rPr>
          <w:rFonts w:hint="eastAsia"/>
          <w:szCs w:val="21"/>
        </w:rPr>
        <w:t>至</w:t>
      </w:r>
      <w:r>
        <w:rPr>
          <w:rFonts w:hint="eastAsia"/>
          <w:szCs w:val="21"/>
        </w:rPr>
        <w:t>70%</w:t>
      </w:r>
      <w:r>
        <w:rPr>
          <w:rFonts w:hint="eastAsia"/>
          <w:szCs w:val="21"/>
        </w:rPr>
        <w:t>之间都是合格产品，没必要人为设置固定牌号，</w:t>
      </w:r>
      <w:r w:rsidR="00973D10">
        <w:rPr>
          <w:rFonts w:hint="eastAsia"/>
          <w:szCs w:val="21"/>
        </w:rPr>
        <w:t>可以根据产品的检测结果，直接用对应的整数表示产品的牌号。针对以上两种主要意见，会议决定再次向厂家和用户征求一次意见，以决定采用何种牌号的表示形式。会后，乐山有</w:t>
      </w:r>
      <w:proofErr w:type="gramStart"/>
      <w:r w:rsidR="00973D10">
        <w:rPr>
          <w:rFonts w:hint="eastAsia"/>
          <w:szCs w:val="21"/>
        </w:rPr>
        <w:t>研</w:t>
      </w:r>
      <w:proofErr w:type="gramEnd"/>
      <w:r w:rsidR="00973D10">
        <w:rPr>
          <w:rFonts w:hint="eastAsia"/>
          <w:szCs w:val="21"/>
        </w:rPr>
        <w:t>编写了牌号征求意见函，并于</w:t>
      </w:r>
      <w:r w:rsidR="00973D10">
        <w:rPr>
          <w:rFonts w:hint="eastAsia"/>
          <w:szCs w:val="21"/>
        </w:rPr>
        <w:t>2019</w:t>
      </w:r>
      <w:r w:rsidR="00973D10">
        <w:rPr>
          <w:rFonts w:hint="eastAsia"/>
          <w:szCs w:val="21"/>
        </w:rPr>
        <w:t>年</w:t>
      </w:r>
      <w:r w:rsidR="00973D10">
        <w:rPr>
          <w:rFonts w:hint="eastAsia"/>
          <w:szCs w:val="21"/>
        </w:rPr>
        <w:t>7</w:t>
      </w:r>
      <w:r w:rsidR="00973D10">
        <w:rPr>
          <w:rFonts w:hint="eastAsia"/>
          <w:szCs w:val="21"/>
        </w:rPr>
        <w:t>月</w:t>
      </w:r>
      <w:r w:rsidR="00973D10">
        <w:rPr>
          <w:rFonts w:hint="eastAsia"/>
          <w:szCs w:val="21"/>
        </w:rPr>
        <w:t>31</w:t>
      </w:r>
      <w:r w:rsidR="00973D10">
        <w:rPr>
          <w:rFonts w:hint="eastAsia"/>
          <w:szCs w:val="21"/>
        </w:rPr>
        <w:t>日向</w:t>
      </w:r>
      <w:r w:rsidR="00973D10">
        <w:rPr>
          <w:rFonts w:hint="eastAsia"/>
          <w:szCs w:val="21"/>
        </w:rPr>
        <w:t>44</w:t>
      </w:r>
      <w:r w:rsidR="00973D10">
        <w:rPr>
          <w:rFonts w:hint="eastAsia"/>
          <w:szCs w:val="21"/>
        </w:rPr>
        <w:t>家会员单位征求意见</w:t>
      </w:r>
      <w:r w:rsidR="00F9025C">
        <w:rPr>
          <w:rFonts w:hint="eastAsia"/>
          <w:szCs w:val="21"/>
        </w:rPr>
        <w:t>。征求意见函的内容如下：</w:t>
      </w:r>
    </w:p>
    <w:p w:rsidR="00F9025C" w:rsidRDefault="00F9025C" w:rsidP="00F9025C">
      <w:r>
        <w:rPr>
          <w:rFonts w:hint="eastAsia"/>
        </w:rPr>
        <w:t>“各位专家、老师，大家好！</w:t>
      </w:r>
    </w:p>
    <w:p w:rsidR="00F9025C" w:rsidRDefault="00F9025C" w:rsidP="00F9025C">
      <w:pPr>
        <w:ind w:firstLineChars="200" w:firstLine="420"/>
        <w:rPr>
          <w:szCs w:val="21"/>
        </w:rPr>
      </w:pPr>
      <w:r>
        <w:rPr>
          <w:rFonts w:hint="eastAsia"/>
        </w:rPr>
        <w:t>《镧铈金属》国家标准于</w:t>
      </w:r>
      <w:r>
        <w:rPr>
          <w:rFonts w:hint="eastAsia"/>
        </w:rPr>
        <w:t>2019</w:t>
      </w:r>
      <w:r>
        <w:rPr>
          <w:rFonts w:hint="eastAsia"/>
        </w:rPr>
        <w:t>年</w:t>
      </w:r>
      <w:r>
        <w:rPr>
          <w:rFonts w:hint="eastAsia"/>
        </w:rPr>
        <w:t>7</w:t>
      </w:r>
      <w:r>
        <w:rPr>
          <w:rFonts w:hint="eastAsia"/>
        </w:rPr>
        <w:t>月</w:t>
      </w:r>
      <w:r>
        <w:rPr>
          <w:rFonts w:hint="eastAsia"/>
        </w:rPr>
        <w:t>24</w:t>
      </w:r>
      <w:r>
        <w:rPr>
          <w:rFonts w:hint="eastAsia"/>
        </w:rPr>
        <w:t>日在大理召开了预审会，</w:t>
      </w:r>
      <w:r>
        <w:rPr>
          <w:rFonts w:hint="eastAsia"/>
          <w:szCs w:val="21"/>
        </w:rPr>
        <w:t>会上评审专家对</w:t>
      </w:r>
      <w:proofErr w:type="gramStart"/>
      <w:r>
        <w:rPr>
          <w:rFonts w:hint="eastAsia"/>
          <w:szCs w:val="21"/>
        </w:rPr>
        <w:t>镧铈</w:t>
      </w:r>
      <w:proofErr w:type="gramEnd"/>
      <w:r>
        <w:rPr>
          <w:rFonts w:hint="eastAsia"/>
          <w:szCs w:val="21"/>
        </w:rPr>
        <w:t>金属的牌号表示方法产生了意见分歧，主要有两种观点。</w:t>
      </w:r>
    </w:p>
    <w:p w:rsidR="00F9025C" w:rsidRDefault="00F9025C" w:rsidP="00F9025C">
      <w:pPr>
        <w:rPr>
          <w:szCs w:val="21"/>
        </w:rPr>
      </w:pPr>
      <w:r>
        <w:rPr>
          <w:rFonts w:hint="eastAsia"/>
          <w:szCs w:val="21"/>
        </w:rPr>
        <w:t>第一种观点：</w:t>
      </w:r>
    </w:p>
    <w:p w:rsidR="00F9025C" w:rsidRDefault="00F9025C" w:rsidP="00F9025C">
      <w:pPr>
        <w:pStyle w:val="af4"/>
        <w:numPr>
          <w:ilvl w:val="0"/>
          <w:numId w:val="7"/>
        </w:numPr>
        <w:ind w:firstLineChars="0"/>
        <w:rPr>
          <w:szCs w:val="21"/>
        </w:rPr>
      </w:pPr>
      <w:r w:rsidRPr="004B76DF">
        <w:rPr>
          <w:rFonts w:hint="eastAsia"/>
          <w:szCs w:val="21"/>
        </w:rPr>
        <w:t>参照《混合稀土金属》标准的表诉，根据产品中</w:t>
      </w:r>
      <w:proofErr w:type="gramStart"/>
      <w:r w:rsidRPr="004B76DF">
        <w:rPr>
          <w:rFonts w:hint="eastAsia"/>
          <w:szCs w:val="21"/>
        </w:rPr>
        <w:t>铈</w:t>
      </w:r>
      <w:proofErr w:type="gramEnd"/>
      <w:r w:rsidRPr="004B76DF">
        <w:rPr>
          <w:rFonts w:hint="eastAsia"/>
          <w:szCs w:val="21"/>
        </w:rPr>
        <w:t>的含量不同，设置几个固定的牌号，再根据产品的检测结果，判定属于哪个牌号的产品；</w:t>
      </w:r>
      <w:r>
        <w:rPr>
          <w:rFonts w:hint="eastAsia"/>
          <w:szCs w:val="21"/>
        </w:rPr>
        <w:t>具体牌号见表</w:t>
      </w:r>
      <w:proofErr w:type="gramStart"/>
      <w:r>
        <w:rPr>
          <w:rFonts w:hint="eastAsia"/>
          <w:szCs w:val="21"/>
        </w:rPr>
        <w:t>一</w:t>
      </w:r>
      <w:proofErr w:type="gramEnd"/>
      <w:r>
        <w:rPr>
          <w:rFonts w:hint="eastAsia"/>
          <w:szCs w:val="21"/>
        </w:rPr>
        <w:t>。</w:t>
      </w:r>
    </w:p>
    <w:p w:rsidR="00F9025C" w:rsidRPr="004B76DF" w:rsidRDefault="00F9025C" w:rsidP="00F9025C">
      <w:pPr>
        <w:pStyle w:val="af4"/>
        <w:ind w:left="360" w:firstLineChars="0" w:firstLine="0"/>
        <w:rPr>
          <w:szCs w:val="21"/>
        </w:rPr>
      </w:pPr>
    </w:p>
    <w:p w:rsidR="00F9025C" w:rsidRDefault="00F9025C" w:rsidP="00F9025C">
      <w:pPr>
        <w:jc w:val="center"/>
      </w:pPr>
      <w:r>
        <w:rPr>
          <w:rFonts w:hint="eastAsia"/>
        </w:rPr>
        <w:t>表一</w:t>
      </w:r>
    </w:p>
    <w:tbl>
      <w:tblPr>
        <w:tblW w:w="3998" w:type="pct"/>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88"/>
        <w:gridCol w:w="1708"/>
        <w:gridCol w:w="1708"/>
        <w:gridCol w:w="1710"/>
      </w:tblGrid>
      <w:tr w:rsidR="00F9025C" w:rsidRPr="00BB555D" w:rsidTr="00F9025C">
        <w:trPr>
          <w:trHeight w:val="312"/>
          <w:jc w:val="center"/>
        </w:trPr>
        <w:tc>
          <w:tcPr>
            <w:tcW w:w="1239" w:type="pct"/>
            <w:tcBorders>
              <w:top w:val="single" w:sz="12" w:space="0" w:color="000000"/>
              <w:bottom w:val="single" w:sz="6" w:space="0" w:color="000000"/>
              <w:right w:val="single" w:sz="12" w:space="0" w:color="000000"/>
            </w:tcBorders>
          </w:tcPr>
          <w:p w:rsidR="00F9025C" w:rsidRPr="00F9025C" w:rsidRDefault="00F9025C" w:rsidP="00F9025C">
            <w:pPr>
              <w:pStyle w:val="a6"/>
              <w:ind w:firstLineChars="0" w:firstLine="0"/>
              <w:jc w:val="center"/>
              <w:rPr>
                <w:rFonts w:ascii="Times New Roman"/>
                <w:sz w:val="18"/>
                <w:szCs w:val="18"/>
              </w:rPr>
            </w:pPr>
            <w:r w:rsidRPr="00F9025C">
              <w:rPr>
                <w:rFonts w:ascii="Times New Roman"/>
                <w:sz w:val="18"/>
                <w:szCs w:val="18"/>
              </w:rPr>
              <w:t>牌号</w:t>
            </w:r>
          </w:p>
        </w:tc>
        <w:tc>
          <w:tcPr>
            <w:tcW w:w="1253" w:type="pct"/>
          </w:tcPr>
          <w:p w:rsidR="00F9025C" w:rsidRPr="00F9025C" w:rsidRDefault="00F9025C" w:rsidP="00F9025C">
            <w:pPr>
              <w:pStyle w:val="a6"/>
              <w:ind w:firstLineChars="0" w:firstLine="0"/>
              <w:jc w:val="center"/>
              <w:rPr>
                <w:rFonts w:ascii="Times New Roman"/>
                <w:sz w:val="18"/>
                <w:szCs w:val="18"/>
              </w:rPr>
            </w:pPr>
            <w:r w:rsidRPr="00F9025C">
              <w:rPr>
                <w:rFonts w:ascii="Times New Roman"/>
                <w:sz w:val="18"/>
                <w:szCs w:val="18"/>
              </w:rPr>
              <w:t>LaCe-6</w:t>
            </w:r>
            <w:r w:rsidRPr="00F9025C">
              <w:rPr>
                <w:rFonts w:ascii="Times New Roman" w:hint="eastAsia"/>
                <w:sz w:val="18"/>
                <w:szCs w:val="18"/>
              </w:rPr>
              <w:t>1</w:t>
            </w:r>
            <w:r w:rsidRPr="00F9025C">
              <w:rPr>
                <w:rFonts w:ascii="Times New Roman"/>
                <w:sz w:val="18"/>
                <w:szCs w:val="18"/>
              </w:rPr>
              <w:t>Ce</w:t>
            </w:r>
          </w:p>
        </w:tc>
        <w:tc>
          <w:tcPr>
            <w:tcW w:w="1253" w:type="pct"/>
          </w:tcPr>
          <w:p w:rsidR="00F9025C" w:rsidRPr="00F9025C" w:rsidRDefault="00F9025C" w:rsidP="00F9025C">
            <w:pPr>
              <w:pStyle w:val="a6"/>
              <w:ind w:firstLineChars="0" w:firstLine="0"/>
              <w:jc w:val="center"/>
              <w:rPr>
                <w:rFonts w:ascii="Times New Roman"/>
                <w:sz w:val="18"/>
                <w:szCs w:val="18"/>
              </w:rPr>
            </w:pPr>
            <w:r w:rsidRPr="00F9025C">
              <w:rPr>
                <w:rFonts w:ascii="Times New Roman"/>
                <w:sz w:val="18"/>
                <w:szCs w:val="18"/>
              </w:rPr>
              <w:t>LaCe-65Ce</w:t>
            </w:r>
          </w:p>
        </w:tc>
        <w:tc>
          <w:tcPr>
            <w:tcW w:w="1255" w:type="pct"/>
            <w:vAlign w:val="center"/>
          </w:tcPr>
          <w:p w:rsidR="00F9025C" w:rsidRPr="00F9025C" w:rsidRDefault="00F9025C" w:rsidP="00F9025C">
            <w:pPr>
              <w:pStyle w:val="a6"/>
              <w:ind w:firstLineChars="0" w:firstLine="0"/>
              <w:jc w:val="center"/>
              <w:rPr>
                <w:rFonts w:ascii="Times New Roman"/>
                <w:sz w:val="18"/>
                <w:szCs w:val="18"/>
              </w:rPr>
            </w:pPr>
            <w:r w:rsidRPr="00F9025C">
              <w:rPr>
                <w:rFonts w:ascii="Times New Roman"/>
                <w:sz w:val="18"/>
                <w:szCs w:val="18"/>
              </w:rPr>
              <w:t>LaCe-</w:t>
            </w:r>
            <w:r w:rsidRPr="00F9025C">
              <w:rPr>
                <w:rFonts w:ascii="Times New Roman" w:hint="eastAsia"/>
                <w:sz w:val="18"/>
                <w:szCs w:val="18"/>
              </w:rPr>
              <w:t>69</w:t>
            </w:r>
            <w:r w:rsidRPr="00F9025C">
              <w:rPr>
                <w:rFonts w:ascii="Times New Roman"/>
                <w:sz w:val="18"/>
                <w:szCs w:val="18"/>
              </w:rPr>
              <w:t>Ce</w:t>
            </w:r>
          </w:p>
        </w:tc>
      </w:tr>
      <w:tr w:rsidR="00F9025C" w:rsidRPr="00BB555D" w:rsidTr="00F9025C">
        <w:trPr>
          <w:trHeight w:val="312"/>
          <w:jc w:val="center"/>
        </w:trPr>
        <w:tc>
          <w:tcPr>
            <w:tcW w:w="1239" w:type="pct"/>
            <w:tcBorders>
              <w:top w:val="single" w:sz="6" w:space="0" w:color="000000"/>
              <w:bottom w:val="single" w:sz="6" w:space="0" w:color="000000"/>
              <w:right w:val="single" w:sz="12" w:space="0" w:color="000000"/>
            </w:tcBorders>
            <w:vAlign w:val="center"/>
          </w:tcPr>
          <w:p w:rsidR="00F9025C" w:rsidRPr="00F9025C" w:rsidRDefault="00F9025C" w:rsidP="00F9025C">
            <w:pPr>
              <w:pStyle w:val="ac"/>
              <w:jc w:val="center"/>
              <w:rPr>
                <w:rFonts w:ascii="Times New Roman" w:eastAsia="宋体"/>
                <w:sz w:val="18"/>
                <w:szCs w:val="18"/>
              </w:rPr>
            </w:pPr>
            <w:r w:rsidRPr="00F9025C">
              <w:rPr>
                <w:rFonts w:ascii="Times New Roman" w:eastAsia="宋体"/>
                <w:sz w:val="18"/>
                <w:szCs w:val="18"/>
              </w:rPr>
              <w:t>La</w:t>
            </w:r>
            <w:r w:rsidRPr="00F9025C">
              <w:rPr>
                <w:rFonts w:ascii="Times New Roman" w:eastAsia="宋体"/>
                <w:sz w:val="18"/>
                <w:szCs w:val="18"/>
              </w:rPr>
              <w:t>含量</w:t>
            </w:r>
            <w:r w:rsidRPr="00F9025C">
              <w:rPr>
                <w:rFonts w:ascii="Times New Roman" w:eastAsia="宋体" w:hint="eastAsia"/>
                <w:sz w:val="18"/>
                <w:szCs w:val="18"/>
              </w:rPr>
              <w:t>/%</w:t>
            </w:r>
          </w:p>
        </w:tc>
        <w:tc>
          <w:tcPr>
            <w:tcW w:w="1253" w:type="pct"/>
          </w:tcPr>
          <w:p w:rsidR="00F9025C" w:rsidRPr="00F9025C" w:rsidRDefault="00F9025C" w:rsidP="00F9025C">
            <w:pPr>
              <w:pStyle w:val="a6"/>
              <w:ind w:firstLineChars="0" w:firstLine="0"/>
              <w:jc w:val="center"/>
              <w:rPr>
                <w:rFonts w:ascii="Times New Roman"/>
                <w:sz w:val="18"/>
                <w:szCs w:val="18"/>
              </w:rPr>
            </w:pPr>
            <w:r w:rsidRPr="00F9025C">
              <w:rPr>
                <w:rFonts w:ascii="Times New Roman" w:hint="eastAsia"/>
                <w:sz w:val="18"/>
                <w:szCs w:val="18"/>
              </w:rPr>
              <w:t>37</w:t>
            </w:r>
            <w:r w:rsidRPr="00F9025C">
              <w:rPr>
                <w:rFonts w:ascii="Times New Roman"/>
                <w:sz w:val="18"/>
                <w:szCs w:val="18"/>
              </w:rPr>
              <w:t>~</w:t>
            </w:r>
            <w:r w:rsidRPr="00F9025C">
              <w:rPr>
                <w:rFonts w:ascii="Times New Roman" w:hint="eastAsia"/>
                <w:sz w:val="18"/>
                <w:szCs w:val="18"/>
              </w:rPr>
              <w:t>41</w:t>
            </w:r>
          </w:p>
        </w:tc>
        <w:tc>
          <w:tcPr>
            <w:tcW w:w="1253" w:type="pct"/>
          </w:tcPr>
          <w:p w:rsidR="00F9025C" w:rsidRPr="00F9025C" w:rsidRDefault="00F9025C" w:rsidP="00F9025C">
            <w:pPr>
              <w:pStyle w:val="a6"/>
              <w:ind w:firstLineChars="0" w:firstLine="0"/>
              <w:jc w:val="center"/>
              <w:rPr>
                <w:rFonts w:ascii="Times New Roman"/>
                <w:sz w:val="18"/>
                <w:szCs w:val="18"/>
              </w:rPr>
            </w:pPr>
            <w:r w:rsidRPr="00F9025C">
              <w:rPr>
                <w:rFonts w:ascii="Times New Roman" w:hint="eastAsia"/>
                <w:sz w:val="18"/>
                <w:szCs w:val="18"/>
              </w:rPr>
              <w:t>33</w:t>
            </w:r>
            <w:r w:rsidRPr="00F9025C">
              <w:rPr>
                <w:rFonts w:ascii="Times New Roman"/>
                <w:sz w:val="18"/>
                <w:szCs w:val="18"/>
              </w:rPr>
              <w:t>~</w:t>
            </w:r>
            <w:r w:rsidRPr="00F9025C">
              <w:rPr>
                <w:rFonts w:ascii="Times New Roman" w:hint="eastAsia"/>
                <w:sz w:val="18"/>
                <w:szCs w:val="18"/>
              </w:rPr>
              <w:t>37</w:t>
            </w:r>
          </w:p>
        </w:tc>
        <w:tc>
          <w:tcPr>
            <w:tcW w:w="1255" w:type="pct"/>
            <w:vAlign w:val="center"/>
          </w:tcPr>
          <w:p w:rsidR="00F9025C" w:rsidRPr="00F9025C" w:rsidRDefault="00F9025C" w:rsidP="00F9025C">
            <w:pPr>
              <w:pStyle w:val="a6"/>
              <w:ind w:firstLineChars="0" w:firstLine="0"/>
              <w:jc w:val="center"/>
              <w:rPr>
                <w:rFonts w:ascii="Times New Roman"/>
                <w:sz w:val="18"/>
                <w:szCs w:val="18"/>
              </w:rPr>
            </w:pPr>
            <w:r w:rsidRPr="00F9025C">
              <w:rPr>
                <w:rFonts w:ascii="Times New Roman" w:hint="eastAsia"/>
                <w:sz w:val="18"/>
                <w:szCs w:val="18"/>
              </w:rPr>
              <w:t>29</w:t>
            </w:r>
            <w:r w:rsidRPr="00F9025C">
              <w:rPr>
                <w:rFonts w:ascii="Times New Roman"/>
                <w:sz w:val="18"/>
                <w:szCs w:val="18"/>
              </w:rPr>
              <w:t>~</w:t>
            </w:r>
            <w:r w:rsidRPr="00F9025C">
              <w:rPr>
                <w:rFonts w:ascii="Times New Roman" w:hint="eastAsia"/>
                <w:sz w:val="18"/>
                <w:szCs w:val="18"/>
              </w:rPr>
              <w:t>33</w:t>
            </w:r>
          </w:p>
        </w:tc>
      </w:tr>
      <w:tr w:rsidR="00F9025C" w:rsidRPr="00BB555D" w:rsidTr="00F9025C">
        <w:trPr>
          <w:trHeight w:val="312"/>
          <w:jc w:val="center"/>
        </w:trPr>
        <w:tc>
          <w:tcPr>
            <w:tcW w:w="1239" w:type="pct"/>
            <w:tcBorders>
              <w:top w:val="single" w:sz="6" w:space="0" w:color="000000"/>
              <w:bottom w:val="single" w:sz="6" w:space="0" w:color="000000"/>
              <w:right w:val="single" w:sz="12" w:space="0" w:color="000000"/>
            </w:tcBorders>
            <w:vAlign w:val="center"/>
          </w:tcPr>
          <w:p w:rsidR="00F9025C" w:rsidRPr="00F9025C" w:rsidRDefault="00F9025C" w:rsidP="00F9025C">
            <w:pPr>
              <w:pStyle w:val="ac"/>
              <w:jc w:val="center"/>
              <w:rPr>
                <w:rFonts w:ascii="Times New Roman" w:eastAsia="宋体"/>
                <w:sz w:val="18"/>
                <w:szCs w:val="18"/>
              </w:rPr>
            </w:pPr>
            <w:proofErr w:type="spellStart"/>
            <w:r w:rsidRPr="00F9025C">
              <w:rPr>
                <w:rFonts w:ascii="Times New Roman" w:eastAsia="宋体"/>
                <w:sz w:val="18"/>
                <w:szCs w:val="18"/>
              </w:rPr>
              <w:t>Ce</w:t>
            </w:r>
            <w:proofErr w:type="spellEnd"/>
            <w:r w:rsidRPr="00F9025C">
              <w:rPr>
                <w:rFonts w:ascii="Times New Roman" w:eastAsia="宋体"/>
                <w:sz w:val="18"/>
                <w:szCs w:val="18"/>
              </w:rPr>
              <w:t>含量</w:t>
            </w:r>
            <w:r w:rsidRPr="00F9025C">
              <w:rPr>
                <w:rFonts w:ascii="Times New Roman" w:eastAsia="宋体" w:hint="eastAsia"/>
                <w:sz w:val="18"/>
                <w:szCs w:val="18"/>
              </w:rPr>
              <w:t>/%</w:t>
            </w:r>
          </w:p>
        </w:tc>
        <w:tc>
          <w:tcPr>
            <w:tcW w:w="1253" w:type="pct"/>
          </w:tcPr>
          <w:p w:rsidR="00F9025C" w:rsidRPr="00F9025C" w:rsidRDefault="00F9025C" w:rsidP="00F9025C">
            <w:pPr>
              <w:pStyle w:val="a6"/>
              <w:ind w:firstLineChars="0" w:firstLine="0"/>
              <w:jc w:val="center"/>
              <w:rPr>
                <w:rFonts w:ascii="Times New Roman"/>
                <w:sz w:val="18"/>
                <w:szCs w:val="18"/>
              </w:rPr>
            </w:pPr>
            <w:r w:rsidRPr="00F9025C">
              <w:rPr>
                <w:rFonts w:ascii="Times New Roman" w:hint="eastAsia"/>
                <w:sz w:val="18"/>
                <w:szCs w:val="18"/>
              </w:rPr>
              <w:t>59</w:t>
            </w:r>
            <w:r w:rsidRPr="00F9025C">
              <w:rPr>
                <w:rFonts w:ascii="Times New Roman"/>
                <w:sz w:val="18"/>
                <w:szCs w:val="18"/>
              </w:rPr>
              <w:t>~</w:t>
            </w:r>
            <w:r w:rsidRPr="00F9025C">
              <w:rPr>
                <w:rFonts w:ascii="Times New Roman" w:hint="eastAsia"/>
                <w:sz w:val="18"/>
                <w:szCs w:val="18"/>
              </w:rPr>
              <w:t>63</w:t>
            </w:r>
          </w:p>
        </w:tc>
        <w:tc>
          <w:tcPr>
            <w:tcW w:w="1253" w:type="pct"/>
          </w:tcPr>
          <w:p w:rsidR="00F9025C" w:rsidRPr="00F9025C" w:rsidRDefault="00F9025C" w:rsidP="00F9025C">
            <w:pPr>
              <w:pStyle w:val="a6"/>
              <w:ind w:firstLineChars="0" w:firstLine="0"/>
              <w:jc w:val="center"/>
              <w:rPr>
                <w:rFonts w:ascii="Times New Roman"/>
                <w:sz w:val="18"/>
                <w:szCs w:val="18"/>
              </w:rPr>
            </w:pPr>
            <w:r w:rsidRPr="00F9025C">
              <w:rPr>
                <w:rFonts w:ascii="Times New Roman" w:hint="eastAsia"/>
                <w:sz w:val="18"/>
                <w:szCs w:val="18"/>
              </w:rPr>
              <w:t>63</w:t>
            </w:r>
            <w:r w:rsidRPr="00F9025C">
              <w:rPr>
                <w:rFonts w:ascii="Times New Roman"/>
                <w:sz w:val="18"/>
                <w:szCs w:val="18"/>
              </w:rPr>
              <w:t>~</w:t>
            </w:r>
            <w:r w:rsidRPr="00F9025C">
              <w:rPr>
                <w:rFonts w:ascii="Times New Roman" w:hint="eastAsia"/>
                <w:sz w:val="18"/>
                <w:szCs w:val="18"/>
              </w:rPr>
              <w:t>67</w:t>
            </w:r>
          </w:p>
        </w:tc>
        <w:tc>
          <w:tcPr>
            <w:tcW w:w="1255" w:type="pct"/>
            <w:vAlign w:val="center"/>
          </w:tcPr>
          <w:p w:rsidR="00F9025C" w:rsidRPr="00F9025C" w:rsidRDefault="00F9025C" w:rsidP="00F9025C">
            <w:pPr>
              <w:pStyle w:val="a6"/>
              <w:ind w:firstLineChars="0" w:firstLine="0"/>
              <w:jc w:val="center"/>
              <w:rPr>
                <w:rFonts w:ascii="Times New Roman"/>
                <w:sz w:val="18"/>
                <w:szCs w:val="18"/>
              </w:rPr>
            </w:pPr>
            <w:r w:rsidRPr="00F9025C">
              <w:rPr>
                <w:rFonts w:ascii="Times New Roman"/>
                <w:sz w:val="18"/>
                <w:szCs w:val="18"/>
              </w:rPr>
              <w:t>6</w:t>
            </w:r>
            <w:r w:rsidRPr="00F9025C">
              <w:rPr>
                <w:rFonts w:ascii="Times New Roman" w:hint="eastAsia"/>
                <w:sz w:val="18"/>
                <w:szCs w:val="18"/>
              </w:rPr>
              <w:t>7</w:t>
            </w:r>
            <w:r w:rsidRPr="00F9025C">
              <w:rPr>
                <w:rFonts w:ascii="Times New Roman"/>
                <w:sz w:val="18"/>
                <w:szCs w:val="18"/>
              </w:rPr>
              <w:t>~</w:t>
            </w:r>
            <w:r w:rsidRPr="00F9025C">
              <w:rPr>
                <w:rFonts w:ascii="Times New Roman" w:hint="eastAsia"/>
                <w:sz w:val="18"/>
                <w:szCs w:val="18"/>
              </w:rPr>
              <w:t>71</w:t>
            </w:r>
          </w:p>
        </w:tc>
      </w:tr>
    </w:tbl>
    <w:p w:rsidR="00F9025C" w:rsidRDefault="00F9025C" w:rsidP="00F9025C"/>
    <w:p w:rsidR="00F9025C" w:rsidRDefault="00F9025C" w:rsidP="00F9025C">
      <w:pPr>
        <w:rPr>
          <w:sz w:val="18"/>
          <w:szCs w:val="18"/>
        </w:rPr>
      </w:pPr>
      <w:r>
        <w:rPr>
          <w:rFonts w:hint="eastAsia"/>
        </w:rPr>
        <w:t>如果一批产品</w:t>
      </w:r>
      <w:proofErr w:type="gramStart"/>
      <w:r>
        <w:rPr>
          <w:rFonts w:hint="eastAsia"/>
        </w:rPr>
        <w:t>铈</w:t>
      </w:r>
      <w:proofErr w:type="gramEnd"/>
      <w:r>
        <w:rPr>
          <w:rFonts w:hint="eastAsia"/>
        </w:rPr>
        <w:t>含量的平均值为</w:t>
      </w:r>
      <w:r>
        <w:rPr>
          <w:rFonts w:hint="eastAsia"/>
        </w:rPr>
        <w:t>63.1%</w:t>
      </w:r>
      <w:r>
        <w:rPr>
          <w:rFonts w:hint="eastAsia"/>
        </w:rPr>
        <w:t>，则该批产品的牌号为</w:t>
      </w:r>
      <w:r w:rsidRPr="00BB555D">
        <w:rPr>
          <w:sz w:val="18"/>
          <w:szCs w:val="18"/>
        </w:rPr>
        <w:t>LaCe-65Ce</w:t>
      </w:r>
      <w:r>
        <w:rPr>
          <w:sz w:val="18"/>
          <w:szCs w:val="18"/>
        </w:rPr>
        <w:t>；</w:t>
      </w:r>
      <w:r>
        <w:rPr>
          <w:rFonts w:hint="eastAsia"/>
        </w:rPr>
        <w:t>如果一批产品</w:t>
      </w:r>
      <w:proofErr w:type="gramStart"/>
      <w:r>
        <w:rPr>
          <w:rFonts w:hint="eastAsia"/>
        </w:rPr>
        <w:t>铈</w:t>
      </w:r>
      <w:proofErr w:type="gramEnd"/>
      <w:r>
        <w:rPr>
          <w:rFonts w:hint="eastAsia"/>
        </w:rPr>
        <w:t>含量的平均值刚好为</w:t>
      </w:r>
      <w:r>
        <w:rPr>
          <w:rFonts w:hint="eastAsia"/>
        </w:rPr>
        <w:t>63%</w:t>
      </w:r>
      <w:r>
        <w:rPr>
          <w:rFonts w:hint="eastAsia"/>
        </w:rPr>
        <w:t>，则该批产品的牌号为</w:t>
      </w:r>
      <w:r w:rsidRPr="00BB555D">
        <w:rPr>
          <w:sz w:val="18"/>
          <w:szCs w:val="18"/>
        </w:rPr>
        <w:t>LaCe-6</w:t>
      </w:r>
      <w:r>
        <w:rPr>
          <w:rFonts w:hint="eastAsia"/>
          <w:sz w:val="18"/>
          <w:szCs w:val="18"/>
        </w:rPr>
        <w:t>1</w:t>
      </w:r>
      <w:r w:rsidRPr="00BB555D">
        <w:rPr>
          <w:sz w:val="18"/>
          <w:szCs w:val="18"/>
        </w:rPr>
        <w:t>Ce</w:t>
      </w:r>
      <w:r>
        <w:rPr>
          <w:sz w:val="18"/>
          <w:szCs w:val="18"/>
        </w:rPr>
        <w:t>或者</w:t>
      </w:r>
      <w:r w:rsidRPr="00BB555D">
        <w:rPr>
          <w:sz w:val="18"/>
          <w:szCs w:val="18"/>
        </w:rPr>
        <w:t>LaCe-65Ce</w:t>
      </w:r>
      <w:r>
        <w:rPr>
          <w:sz w:val="18"/>
          <w:szCs w:val="18"/>
        </w:rPr>
        <w:t>；</w:t>
      </w:r>
    </w:p>
    <w:p w:rsidR="00F9025C" w:rsidRDefault="00F9025C" w:rsidP="00F9025C">
      <w:pPr>
        <w:rPr>
          <w:sz w:val="18"/>
          <w:szCs w:val="18"/>
        </w:rPr>
      </w:pPr>
    </w:p>
    <w:p w:rsidR="00F9025C" w:rsidRDefault="00F9025C" w:rsidP="00F9025C">
      <w:pPr>
        <w:rPr>
          <w:szCs w:val="21"/>
        </w:rPr>
      </w:pPr>
      <w:r>
        <w:rPr>
          <w:rFonts w:hint="eastAsia"/>
          <w:szCs w:val="21"/>
        </w:rPr>
        <w:t>第二种观点：</w:t>
      </w:r>
    </w:p>
    <w:p w:rsidR="00F9025C" w:rsidRDefault="00F9025C" w:rsidP="00F9025C">
      <w:pPr>
        <w:pStyle w:val="af4"/>
        <w:numPr>
          <w:ilvl w:val="0"/>
          <w:numId w:val="7"/>
        </w:numPr>
        <w:ind w:firstLineChars="0"/>
        <w:rPr>
          <w:szCs w:val="21"/>
        </w:rPr>
      </w:pPr>
      <w:r>
        <w:rPr>
          <w:rFonts w:hint="eastAsia"/>
          <w:szCs w:val="21"/>
        </w:rPr>
        <w:t>既然</w:t>
      </w:r>
      <w:proofErr w:type="gramStart"/>
      <w:r>
        <w:rPr>
          <w:rFonts w:hint="eastAsia"/>
          <w:szCs w:val="21"/>
        </w:rPr>
        <w:t>铈</w:t>
      </w:r>
      <w:proofErr w:type="gramEnd"/>
      <w:r>
        <w:rPr>
          <w:rFonts w:hint="eastAsia"/>
          <w:szCs w:val="21"/>
        </w:rPr>
        <w:t>的含量在</w:t>
      </w:r>
      <w:r>
        <w:rPr>
          <w:rFonts w:hint="eastAsia"/>
          <w:szCs w:val="21"/>
        </w:rPr>
        <w:t>60%</w:t>
      </w:r>
      <w:r>
        <w:rPr>
          <w:rFonts w:hint="eastAsia"/>
          <w:szCs w:val="21"/>
        </w:rPr>
        <w:t>至</w:t>
      </w:r>
      <w:r>
        <w:rPr>
          <w:rFonts w:hint="eastAsia"/>
          <w:szCs w:val="21"/>
        </w:rPr>
        <w:t>70%</w:t>
      </w:r>
      <w:r>
        <w:rPr>
          <w:rFonts w:hint="eastAsia"/>
          <w:szCs w:val="21"/>
        </w:rPr>
        <w:t>之间都是合格产品，没必要人为设置固定牌号，可以根据产品的检测结果，直接用对应的取整整数表示产品的牌号。具体牌号见表二。</w:t>
      </w:r>
    </w:p>
    <w:p w:rsidR="00F9025C" w:rsidRPr="004B76DF" w:rsidRDefault="00F9025C" w:rsidP="00F9025C">
      <w:pPr>
        <w:pStyle w:val="af4"/>
        <w:ind w:left="360" w:firstLineChars="0" w:firstLine="0"/>
        <w:rPr>
          <w:szCs w:val="21"/>
        </w:rPr>
      </w:pPr>
    </w:p>
    <w:p w:rsidR="00F9025C" w:rsidRDefault="00F9025C" w:rsidP="00F9025C">
      <w:pPr>
        <w:jc w:val="center"/>
      </w:pPr>
      <w:r>
        <w:rPr>
          <w:rFonts w:hint="eastAsia"/>
        </w:rPr>
        <w:t>表二</w:t>
      </w:r>
    </w:p>
    <w:tbl>
      <w:tblPr>
        <w:tblW w:w="1994" w:type="pct"/>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89"/>
        <w:gridCol w:w="1710"/>
      </w:tblGrid>
      <w:tr w:rsidR="00F9025C" w:rsidRPr="00BB555D" w:rsidTr="00F9025C">
        <w:trPr>
          <w:trHeight w:val="312"/>
          <w:jc w:val="center"/>
        </w:trPr>
        <w:tc>
          <w:tcPr>
            <w:tcW w:w="2484" w:type="pct"/>
            <w:tcBorders>
              <w:top w:val="single" w:sz="12" w:space="0" w:color="000000"/>
              <w:bottom w:val="single" w:sz="6" w:space="0" w:color="000000"/>
              <w:right w:val="single" w:sz="12" w:space="0" w:color="000000"/>
            </w:tcBorders>
          </w:tcPr>
          <w:p w:rsidR="00F9025C" w:rsidRPr="00F9025C" w:rsidRDefault="00F9025C" w:rsidP="00F9025C">
            <w:pPr>
              <w:pStyle w:val="a6"/>
              <w:ind w:firstLineChars="0" w:firstLine="0"/>
              <w:jc w:val="center"/>
              <w:rPr>
                <w:rFonts w:ascii="Times New Roman"/>
                <w:sz w:val="18"/>
                <w:szCs w:val="18"/>
              </w:rPr>
            </w:pPr>
            <w:r w:rsidRPr="00F9025C">
              <w:rPr>
                <w:rFonts w:ascii="Times New Roman"/>
                <w:sz w:val="18"/>
                <w:szCs w:val="18"/>
              </w:rPr>
              <w:t>牌号</w:t>
            </w:r>
          </w:p>
        </w:tc>
        <w:tc>
          <w:tcPr>
            <w:tcW w:w="2516" w:type="pct"/>
            <w:vAlign w:val="center"/>
          </w:tcPr>
          <w:p w:rsidR="00F9025C" w:rsidRPr="00F9025C" w:rsidRDefault="00F9025C" w:rsidP="00F9025C">
            <w:pPr>
              <w:pStyle w:val="a6"/>
              <w:ind w:firstLineChars="0" w:firstLine="0"/>
              <w:jc w:val="center"/>
              <w:rPr>
                <w:rFonts w:ascii="Times New Roman"/>
                <w:sz w:val="18"/>
                <w:szCs w:val="18"/>
              </w:rPr>
            </w:pPr>
            <w:proofErr w:type="spellStart"/>
            <w:r w:rsidRPr="00F9025C">
              <w:rPr>
                <w:rFonts w:ascii="Times New Roman"/>
                <w:sz w:val="18"/>
                <w:szCs w:val="18"/>
              </w:rPr>
              <w:t>LaCe-</w:t>
            </w:r>
            <w:r w:rsidRPr="00F9025C">
              <w:rPr>
                <w:rFonts w:ascii="Times New Roman" w:hint="eastAsia"/>
                <w:sz w:val="18"/>
                <w:szCs w:val="18"/>
              </w:rPr>
              <w:t>n</w:t>
            </w:r>
            <w:r w:rsidRPr="00F9025C">
              <w:rPr>
                <w:rFonts w:ascii="Times New Roman"/>
                <w:sz w:val="18"/>
                <w:szCs w:val="18"/>
              </w:rPr>
              <w:t>Ce</w:t>
            </w:r>
            <w:proofErr w:type="spellEnd"/>
          </w:p>
        </w:tc>
      </w:tr>
      <w:tr w:rsidR="00F9025C" w:rsidRPr="00BB555D" w:rsidTr="00F9025C">
        <w:trPr>
          <w:trHeight w:val="312"/>
          <w:jc w:val="center"/>
        </w:trPr>
        <w:tc>
          <w:tcPr>
            <w:tcW w:w="2484" w:type="pct"/>
            <w:tcBorders>
              <w:top w:val="single" w:sz="6" w:space="0" w:color="000000"/>
              <w:bottom w:val="single" w:sz="6" w:space="0" w:color="000000"/>
              <w:right w:val="single" w:sz="12" w:space="0" w:color="000000"/>
            </w:tcBorders>
            <w:vAlign w:val="center"/>
          </w:tcPr>
          <w:p w:rsidR="00F9025C" w:rsidRPr="00F9025C" w:rsidRDefault="00F9025C" w:rsidP="00F9025C">
            <w:pPr>
              <w:pStyle w:val="ac"/>
              <w:jc w:val="center"/>
              <w:rPr>
                <w:rFonts w:ascii="Times New Roman" w:eastAsia="宋体"/>
                <w:sz w:val="18"/>
                <w:szCs w:val="18"/>
              </w:rPr>
            </w:pPr>
            <w:r w:rsidRPr="00F9025C">
              <w:rPr>
                <w:rFonts w:ascii="Times New Roman" w:eastAsia="宋体"/>
                <w:sz w:val="18"/>
                <w:szCs w:val="18"/>
              </w:rPr>
              <w:t>La</w:t>
            </w:r>
            <w:r w:rsidRPr="00F9025C">
              <w:rPr>
                <w:rFonts w:ascii="Times New Roman" w:eastAsia="宋体"/>
                <w:sz w:val="18"/>
                <w:szCs w:val="18"/>
              </w:rPr>
              <w:t>含量</w:t>
            </w:r>
            <w:r w:rsidRPr="00F9025C">
              <w:rPr>
                <w:rFonts w:ascii="Times New Roman" w:eastAsia="宋体" w:hint="eastAsia"/>
                <w:sz w:val="18"/>
                <w:szCs w:val="18"/>
              </w:rPr>
              <w:t>/%</w:t>
            </w:r>
          </w:p>
        </w:tc>
        <w:tc>
          <w:tcPr>
            <w:tcW w:w="2516" w:type="pct"/>
            <w:vAlign w:val="center"/>
          </w:tcPr>
          <w:p w:rsidR="00F9025C" w:rsidRPr="00F9025C" w:rsidRDefault="00F9025C" w:rsidP="00F9025C">
            <w:pPr>
              <w:pStyle w:val="a6"/>
              <w:ind w:firstLineChars="0" w:firstLine="0"/>
              <w:jc w:val="center"/>
              <w:rPr>
                <w:rFonts w:ascii="Times New Roman"/>
                <w:sz w:val="18"/>
                <w:szCs w:val="18"/>
              </w:rPr>
            </w:pPr>
            <w:r w:rsidRPr="00F9025C">
              <w:rPr>
                <w:rFonts w:ascii="Times New Roman" w:hint="eastAsia"/>
                <w:sz w:val="18"/>
                <w:szCs w:val="18"/>
              </w:rPr>
              <w:t>余量</w:t>
            </w:r>
          </w:p>
        </w:tc>
      </w:tr>
      <w:tr w:rsidR="00F9025C" w:rsidRPr="00BB555D" w:rsidTr="00F9025C">
        <w:trPr>
          <w:trHeight w:val="312"/>
          <w:jc w:val="center"/>
        </w:trPr>
        <w:tc>
          <w:tcPr>
            <w:tcW w:w="2484" w:type="pct"/>
            <w:tcBorders>
              <w:top w:val="single" w:sz="6" w:space="0" w:color="000000"/>
              <w:bottom w:val="single" w:sz="6" w:space="0" w:color="000000"/>
              <w:right w:val="single" w:sz="12" w:space="0" w:color="000000"/>
            </w:tcBorders>
            <w:vAlign w:val="center"/>
          </w:tcPr>
          <w:p w:rsidR="00F9025C" w:rsidRPr="00F9025C" w:rsidRDefault="00F9025C" w:rsidP="00F9025C">
            <w:pPr>
              <w:pStyle w:val="ac"/>
              <w:jc w:val="center"/>
              <w:rPr>
                <w:rFonts w:ascii="Times New Roman" w:eastAsia="宋体"/>
                <w:sz w:val="18"/>
                <w:szCs w:val="18"/>
              </w:rPr>
            </w:pPr>
            <w:proofErr w:type="spellStart"/>
            <w:r w:rsidRPr="00F9025C">
              <w:rPr>
                <w:rFonts w:ascii="Times New Roman" w:eastAsia="宋体"/>
                <w:sz w:val="18"/>
                <w:szCs w:val="18"/>
              </w:rPr>
              <w:t>Ce</w:t>
            </w:r>
            <w:proofErr w:type="spellEnd"/>
            <w:r w:rsidRPr="00F9025C">
              <w:rPr>
                <w:rFonts w:ascii="Times New Roman" w:eastAsia="宋体"/>
                <w:sz w:val="18"/>
                <w:szCs w:val="18"/>
              </w:rPr>
              <w:t>含量</w:t>
            </w:r>
            <w:r w:rsidRPr="00F9025C">
              <w:rPr>
                <w:rFonts w:ascii="Times New Roman" w:eastAsia="宋体" w:hint="eastAsia"/>
                <w:sz w:val="18"/>
                <w:szCs w:val="18"/>
              </w:rPr>
              <w:t>/%</w:t>
            </w:r>
          </w:p>
        </w:tc>
        <w:tc>
          <w:tcPr>
            <w:tcW w:w="2516" w:type="pct"/>
            <w:vAlign w:val="center"/>
          </w:tcPr>
          <w:p w:rsidR="00F9025C" w:rsidRPr="00F9025C" w:rsidRDefault="00F9025C" w:rsidP="00F9025C">
            <w:pPr>
              <w:pStyle w:val="a6"/>
              <w:ind w:firstLineChars="0" w:firstLine="0"/>
              <w:jc w:val="center"/>
              <w:rPr>
                <w:rFonts w:ascii="Times New Roman"/>
                <w:sz w:val="18"/>
                <w:szCs w:val="18"/>
              </w:rPr>
            </w:pPr>
            <w:r w:rsidRPr="00F9025C">
              <w:rPr>
                <w:color w:val="000000"/>
                <w:sz w:val="18"/>
                <w:szCs w:val="18"/>
              </w:rPr>
              <w:t>n</w:t>
            </w:r>
            <w:r w:rsidRPr="00F9025C">
              <w:rPr>
                <w:color w:val="000000"/>
                <w:sz w:val="18"/>
                <w:szCs w:val="18"/>
              </w:rPr>
              <w:t>±</w:t>
            </w:r>
            <w:r w:rsidRPr="00F9025C">
              <w:rPr>
                <w:color w:val="000000"/>
                <w:sz w:val="18"/>
                <w:szCs w:val="18"/>
              </w:rPr>
              <w:t>2</w:t>
            </w:r>
          </w:p>
        </w:tc>
      </w:tr>
    </w:tbl>
    <w:p w:rsidR="00F9025C" w:rsidRDefault="00F9025C" w:rsidP="00F9025C"/>
    <w:p w:rsidR="00F9025C" w:rsidRDefault="00F9025C" w:rsidP="00F9025C">
      <w:pPr>
        <w:rPr>
          <w:sz w:val="18"/>
          <w:szCs w:val="18"/>
        </w:rPr>
      </w:pPr>
      <w:r>
        <w:rPr>
          <w:rFonts w:hint="eastAsia"/>
          <w:szCs w:val="21"/>
        </w:rPr>
        <w:t>n</w:t>
      </w:r>
      <w:r>
        <w:rPr>
          <w:rFonts w:hint="eastAsia"/>
          <w:szCs w:val="21"/>
        </w:rPr>
        <w:t>为</w:t>
      </w:r>
      <w:r>
        <w:rPr>
          <w:rFonts w:hint="eastAsia"/>
          <w:szCs w:val="21"/>
        </w:rPr>
        <w:t>60</w:t>
      </w:r>
      <w:r>
        <w:rPr>
          <w:rFonts w:hint="eastAsia"/>
          <w:szCs w:val="21"/>
        </w:rPr>
        <w:t>至</w:t>
      </w:r>
      <w:r>
        <w:rPr>
          <w:rFonts w:hint="eastAsia"/>
          <w:szCs w:val="21"/>
        </w:rPr>
        <w:t>70</w:t>
      </w:r>
      <w:r>
        <w:rPr>
          <w:rFonts w:hint="eastAsia"/>
          <w:szCs w:val="21"/>
        </w:rPr>
        <w:t>之间的整数。</w:t>
      </w:r>
      <w:r>
        <w:rPr>
          <w:rFonts w:hint="eastAsia"/>
        </w:rPr>
        <w:t>如果一批产品</w:t>
      </w:r>
      <w:proofErr w:type="gramStart"/>
      <w:r>
        <w:rPr>
          <w:rFonts w:hint="eastAsia"/>
        </w:rPr>
        <w:t>铈</w:t>
      </w:r>
      <w:proofErr w:type="gramEnd"/>
      <w:r>
        <w:rPr>
          <w:rFonts w:hint="eastAsia"/>
        </w:rPr>
        <w:t>含量的平均值为</w:t>
      </w:r>
      <w:r>
        <w:rPr>
          <w:rFonts w:hint="eastAsia"/>
        </w:rPr>
        <w:t>63.1%</w:t>
      </w:r>
      <w:r>
        <w:rPr>
          <w:rFonts w:hint="eastAsia"/>
        </w:rPr>
        <w:t>或者</w:t>
      </w:r>
      <w:r>
        <w:rPr>
          <w:rFonts w:hint="eastAsia"/>
        </w:rPr>
        <w:t>63%</w:t>
      </w:r>
      <w:r>
        <w:rPr>
          <w:rFonts w:hint="eastAsia"/>
        </w:rPr>
        <w:t>，则该批产品的牌号为</w:t>
      </w:r>
      <w:r w:rsidRPr="00BB555D">
        <w:rPr>
          <w:sz w:val="18"/>
          <w:szCs w:val="18"/>
        </w:rPr>
        <w:t>LaCe-</w:t>
      </w:r>
      <w:r>
        <w:rPr>
          <w:rFonts w:hint="eastAsia"/>
          <w:sz w:val="18"/>
          <w:szCs w:val="18"/>
        </w:rPr>
        <w:t>63</w:t>
      </w:r>
      <w:r w:rsidRPr="00BB555D">
        <w:rPr>
          <w:sz w:val="18"/>
          <w:szCs w:val="18"/>
        </w:rPr>
        <w:t>Ce</w:t>
      </w:r>
      <w:r>
        <w:rPr>
          <w:sz w:val="18"/>
          <w:szCs w:val="18"/>
        </w:rPr>
        <w:t>；</w:t>
      </w:r>
      <w:r>
        <w:rPr>
          <w:rFonts w:hint="eastAsia"/>
        </w:rPr>
        <w:t>如果一批产品</w:t>
      </w:r>
      <w:proofErr w:type="gramStart"/>
      <w:r>
        <w:rPr>
          <w:rFonts w:hint="eastAsia"/>
        </w:rPr>
        <w:t>铈</w:t>
      </w:r>
      <w:proofErr w:type="gramEnd"/>
      <w:r>
        <w:rPr>
          <w:rFonts w:hint="eastAsia"/>
        </w:rPr>
        <w:t>含量的平均值为</w:t>
      </w:r>
      <w:r>
        <w:rPr>
          <w:rFonts w:hint="eastAsia"/>
        </w:rPr>
        <w:t>64.8%</w:t>
      </w:r>
      <w:r>
        <w:rPr>
          <w:rFonts w:hint="eastAsia"/>
        </w:rPr>
        <w:t>，则该批产品的牌号为</w:t>
      </w:r>
      <w:r w:rsidRPr="00BB555D">
        <w:rPr>
          <w:sz w:val="18"/>
          <w:szCs w:val="18"/>
        </w:rPr>
        <w:t>LaCe-6</w:t>
      </w:r>
      <w:r>
        <w:rPr>
          <w:rFonts w:hint="eastAsia"/>
          <w:sz w:val="18"/>
          <w:szCs w:val="18"/>
        </w:rPr>
        <w:t>5</w:t>
      </w:r>
      <w:r w:rsidRPr="00BB555D">
        <w:rPr>
          <w:sz w:val="18"/>
          <w:szCs w:val="18"/>
        </w:rPr>
        <w:t>Ce</w:t>
      </w:r>
      <w:r>
        <w:rPr>
          <w:sz w:val="18"/>
          <w:szCs w:val="18"/>
        </w:rPr>
        <w:t>。</w:t>
      </w:r>
    </w:p>
    <w:p w:rsidR="00F9025C" w:rsidRDefault="00F9025C" w:rsidP="00F9025C">
      <w:pPr>
        <w:rPr>
          <w:sz w:val="18"/>
          <w:szCs w:val="18"/>
        </w:rPr>
      </w:pPr>
    </w:p>
    <w:p w:rsidR="00F9025C" w:rsidRPr="008766AE" w:rsidRDefault="00F9025C" w:rsidP="00F9025C">
      <w:pPr>
        <w:rPr>
          <w:szCs w:val="18"/>
        </w:rPr>
      </w:pPr>
      <w:r w:rsidRPr="008766AE">
        <w:rPr>
          <w:rFonts w:hint="eastAsia"/>
          <w:szCs w:val="18"/>
        </w:rPr>
        <w:t>请根据以上两种意见，选择您认为合理的牌号表示方法（直接填到下面的横线上），谢谢！</w:t>
      </w:r>
    </w:p>
    <w:p w:rsidR="00F9025C" w:rsidRPr="008766AE" w:rsidRDefault="00F9025C" w:rsidP="00F9025C">
      <w:pPr>
        <w:rPr>
          <w:szCs w:val="18"/>
        </w:rPr>
      </w:pPr>
    </w:p>
    <w:p w:rsidR="00F9025C" w:rsidRDefault="00F9025C" w:rsidP="00F9025C">
      <w:pPr>
        <w:rPr>
          <w:szCs w:val="18"/>
        </w:rPr>
      </w:pPr>
      <w:r>
        <w:rPr>
          <w:rFonts w:hint="eastAsia"/>
          <w:szCs w:val="18"/>
        </w:rPr>
        <w:lastRenderedPageBreak/>
        <w:t>回复意见：</w:t>
      </w:r>
    </w:p>
    <w:p w:rsidR="00F9025C" w:rsidRPr="008766AE" w:rsidRDefault="00F9025C" w:rsidP="00F9025C">
      <w:pPr>
        <w:rPr>
          <w:sz w:val="24"/>
        </w:rPr>
      </w:pPr>
      <w:r w:rsidRPr="008766AE">
        <w:rPr>
          <w:rFonts w:hint="eastAsia"/>
          <w:szCs w:val="18"/>
        </w:rPr>
        <w:t>我们单位倾向于用方法</w:t>
      </w:r>
      <w:r w:rsidRPr="008766AE">
        <w:rPr>
          <w:rFonts w:hint="eastAsia"/>
          <w:szCs w:val="18"/>
          <w:u w:val="single"/>
        </w:rPr>
        <w:t xml:space="preserve">         </w:t>
      </w:r>
      <w:r w:rsidRPr="008766AE">
        <w:rPr>
          <w:rFonts w:hint="eastAsia"/>
          <w:szCs w:val="18"/>
        </w:rPr>
        <w:t>（选择</w:t>
      </w:r>
      <w:r w:rsidRPr="008766AE">
        <w:rPr>
          <w:rFonts w:hint="eastAsia"/>
          <w:szCs w:val="18"/>
        </w:rPr>
        <w:t>A</w:t>
      </w:r>
      <w:r w:rsidRPr="008766AE">
        <w:rPr>
          <w:rFonts w:hint="eastAsia"/>
          <w:szCs w:val="18"/>
        </w:rPr>
        <w:t>或</w:t>
      </w:r>
      <w:r w:rsidRPr="008766AE">
        <w:rPr>
          <w:rFonts w:hint="eastAsia"/>
          <w:szCs w:val="18"/>
        </w:rPr>
        <w:t>B</w:t>
      </w:r>
      <w:r w:rsidRPr="008766AE">
        <w:rPr>
          <w:rFonts w:hint="eastAsia"/>
          <w:szCs w:val="18"/>
        </w:rPr>
        <w:t>）</w:t>
      </w:r>
      <w:proofErr w:type="gramStart"/>
      <w:r w:rsidRPr="008766AE">
        <w:rPr>
          <w:rFonts w:hint="eastAsia"/>
          <w:szCs w:val="18"/>
        </w:rPr>
        <w:t>来表诉产品</w:t>
      </w:r>
      <w:proofErr w:type="gramEnd"/>
      <w:r w:rsidRPr="008766AE">
        <w:rPr>
          <w:rFonts w:hint="eastAsia"/>
          <w:szCs w:val="18"/>
        </w:rPr>
        <w:t>的牌号。</w:t>
      </w:r>
      <w:r>
        <w:rPr>
          <w:rFonts w:hint="eastAsia"/>
          <w:szCs w:val="18"/>
        </w:rPr>
        <w:t>”</w:t>
      </w:r>
    </w:p>
    <w:p w:rsidR="00F9025C" w:rsidRPr="00F9025C" w:rsidRDefault="00F9025C" w:rsidP="00F9025C">
      <w:pPr>
        <w:adjustRightInd w:val="0"/>
        <w:snapToGrid w:val="0"/>
        <w:spacing w:line="360" w:lineRule="auto"/>
        <w:ind w:firstLine="435"/>
        <w:rPr>
          <w:rFonts w:hint="eastAsia"/>
          <w:szCs w:val="21"/>
        </w:rPr>
      </w:pPr>
    </w:p>
    <w:p w:rsidR="007513B9" w:rsidRDefault="00F9025C" w:rsidP="00F9025C">
      <w:pPr>
        <w:adjustRightInd w:val="0"/>
        <w:snapToGrid w:val="0"/>
        <w:spacing w:line="360" w:lineRule="auto"/>
        <w:ind w:firstLine="435"/>
        <w:rPr>
          <w:rFonts w:hint="eastAsia"/>
          <w:szCs w:val="21"/>
        </w:rPr>
      </w:pPr>
      <w:r>
        <w:rPr>
          <w:szCs w:val="21"/>
        </w:rPr>
        <w:t>截止到</w:t>
      </w:r>
      <w:r>
        <w:rPr>
          <w:rFonts w:hint="eastAsia"/>
          <w:szCs w:val="21"/>
        </w:rPr>
        <w:t>2019</w:t>
      </w:r>
      <w:r>
        <w:rPr>
          <w:rFonts w:hint="eastAsia"/>
          <w:szCs w:val="21"/>
        </w:rPr>
        <w:t>年</w:t>
      </w:r>
      <w:r w:rsidR="000E4170">
        <w:rPr>
          <w:rFonts w:hint="eastAsia"/>
          <w:szCs w:val="21"/>
        </w:rPr>
        <w:t>9</w:t>
      </w:r>
      <w:r>
        <w:rPr>
          <w:rFonts w:hint="eastAsia"/>
          <w:szCs w:val="21"/>
        </w:rPr>
        <w:t>月</w:t>
      </w:r>
      <w:r w:rsidR="000E4170">
        <w:rPr>
          <w:rFonts w:hint="eastAsia"/>
          <w:szCs w:val="21"/>
        </w:rPr>
        <w:t>5</w:t>
      </w:r>
      <w:r>
        <w:rPr>
          <w:rFonts w:hint="eastAsia"/>
          <w:szCs w:val="21"/>
        </w:rPr>
        <w:t>日，共</w:t>
      </w:r>
      <w:r w:rsidR="00973D10">
        <w:rPr>
          <w:szCs w:val="21"/>
        </w:rPr>
        <w:t>收到了</w:t>
      </w:r>
      <w:r>
        <w:rPr>
          <w:rFonts w:hint="eastAsia"/>
          <w:szCs w:val="21"/>
        </w:rPr>
        <w:t>1</w:t>
      </w:r>
      <w:r w:rsidR="00350FEF">
        <w:rPr>
          <w:rFonts w:hint="eastAsia"/>
          <w:szCs w:val="21"/>
        </w:rPr>
        <w:t>7</w:t>
      </w:r>
      <w:r w:rsidR="00973D10">
        <w:rPr>
          <w:szCs w:val="21"/>
        </w:rPr>
        <w:t>家单位的回复，</w:t>
      </w:r>
      <w:r w:rsidR="00532AB1">
        <w:rPr>
          <w:rFonts w:hint="eastAsia"/>
          <w:szCs w:val="21"/>
        </w:rPr>
        <w:t>9</w:t>
      </w:r>
      <w:r w:rsidR="00973D10">
        <w:rPr>
          <w:szCs w:val="21"/>
        </w:rPr>
        <w:t>家单位选择</w:t>
      </w:r>
      <w:r w:rsidR="00532AB1">
        <w:rPr>
          <w:szCs w:val="21"/>
        </w:rPr>
        <w:t>非</w:t>
      </w:r>
      <w:r w:rsidR="00973D10">
        <w:rPr>
          <w:rFonts w:hint="eastAsia"/>
          <w:szCs w:val="21"/>
        </w:rPr>
        <w:t>固定牌号，</w:t>
      </w:r>
      <w:r w:rsidR="00350FEF">
        <w:rPr>
          <w:rFonts w:hint="eastAsia"/>
          <w:szCs w:val="21"/>
        </w:rPr>
        <w:t>6</w:t>
      </w:r>
      <w:r w:rsidR="00973D10">
        <w:rPr>
          <w:rFonts w:hint="eastAsia"/>
          <w:szCs w:val="21"/>
        </w:rPr>
        <w:t>家</w:t>
      </w:r>
      <w:r w:rsidR="00973D10">
        <w:rPr>
          <w:szCs w:val="21"/>
        </w:rPr>
        <w:t>单位选择</w:t>
      </w:r>
      <w:r w:rsidR="00973D10">
        <w:rPr>
          <w:rFonts w:hint="eastAsia"/>
          <w:szCs w:val="21"/>
        </w:rPr>
        <w:t>固定牌号，</w:t>
      </w:r>
      <w:r>
        <w:rPr>
          <w:rFonts w:hint="eastAsia"/>
          <w:szCs w:val="21"/>
        </w:rPr>
        <w:t>2</w:t>
      </w:r>
      <w:r>
        <w:rPr>
          <w:rFonts w:hint="eastAsia"/>
          <w:szCs w:val="21"/>
        </w:rPr>
        <w:t>家单位表示无意见。各单位的具体回复意见，见表五。</w:t>
      </w:r>
    </w:p>
    <w:p w:rsidR="00F9025C" w:rsidRDefault="00F9025C" w:rsidP="00F9025C">
      <w:pPr>
        <w:adjustRightInd w:val="0"/>
        <w:snapToGrid w:val="0"/>
        <w:spacing w:line="360" w:lineRule="auto"/>
        <w:ind w:firstLine="435"/>
        <w:jc w:val="center"/>
        <w:rPr>
          <w:rFonts w:hint="eastAsia"/>
          <w:szCs w:val="21"/>
        </w:rPr>
      </w:pPr>
      <w:r>
        <w:rPr>
          <w:rFonts w:hint="eastAsia"/>
          <w:szCs w:val="21"/>
        </w:rPr>
        <w:t>表五</w:t>
      </w:r>
      <w:r>
        <w:rPr>
          <w:rFonts w:hint="eastAsia"/>
          <w:szCs w:val="21"/>
        </w:rPr>
        <w:t xml:space="preserve"> </w:t>
      </w:r>
      <w:r>
        <w:rPr>
          <w:rFonts w:hint="eastAsia"/>
          <w:szCs w:val="21"/>
        </w:rPr>
        <w:t>牌号表示方法的回复意见</w:t>
      </w:r>
    </w:p>
    <w:tbl>
      <w:tblPr>
        <w:tblW w:w="6888" w:type="dxa"/>
        <w:tblInd w:w="712" w:type="dxa"/>
        <w:tblLook w:val="04A0"/>
      </w:tblPr>
      <w:tblGrid>
        <w:gridCol w:w="1080"/>
        <w:gridCol w:w="3528"/>
        <w:gridCol w:w="2280"/>
      </w:tblGrid>
      <w:tr w:rsidR="00F9025C" w:rsidRPr="00F9025C" w:rsidTr="00F9025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序号</w:t>
            </w:r>
          </w:p>
        </w:tc>
        <w:tc>
          <w:tcPr>
            <w:tcW w:w="3528" w:type="dxa"/>
            <w:tcBorders>
              <w:top w:val="single" w:sz="4" w:space="0" w:color="auto"/>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单位</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意见</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宁波科</w:t>
            </w:r>
            <w:proofErr w:type="gramStart"/>
            <w:r w:rsidRPr="00F9025C">
              <w:rPr>
                <w:rFonts w:ascii="宋体" w:hAnsi="宋体" w:cs="宋体" w:hint="eastAsia"/>
                <w:color w:val="000000"/>
                <w:kern w:val="0"/>
                <w:sz w:val="22"/>
                <w:szCs w:val="22"/>
              </w:rPr>
              <w:t>田磁业</w:t>
            </w:r>
            <w:proofErr w:type="gramEnd"/>
            <w:r w:rsidRPr="00F9025C">
              <w:rPr>
                <w:rFonts w:ascii="宋体" w:hAnsi="宋体" w:cs="宋体" w:hint="eastAsia"/>
                <w:color w:val="000000"/>
                <w:kern w:val="0"/>
                <w:sz w:val="22"/>
                <w:szCs w:val="22"/>
              </w:rPr>
              <w:t>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2</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FF"/>
                <w:kern w:val="0"/>
                <w:sz w:val="22"/>
                <w:szCs w:val="22"/>
                <w:u w:val="single"/>
              </w:rPr>
            </w:pPr>
            <w:hyperlink r:id="rId7" w:history="1">
              <w:r w:rsidRPr="00F9025C">
                <w:rPr>
                  <w:rFonts w:ascii="宋体" w:hAnsi="宋体" w:cs="宋体" w:hint="eastAsia"/>
                  <w:color w:val="0000FF"/>
                  <w:kern w:val="0"/>
                  <w:sz w:val="22"/>
                  <w:u w:val="single"/>
                </w:rPr>
                <w:t>sxd9805@163.com</w:t>
              </w:r>
            </w:hyperlink>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3</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proofErr w:type="gramStart"/>
            <w:r w:rsidRPr="00F9025C">
              <w:rPr>
                <w:rFonts w:ascii="宋体" w:hAnsi="宋体" w:cs="宋体" w:hint="eastAsia"/>
                <w:color w:val="000000"/>
                <w:kern w:val="0"/>
                <w:sz w:val="22"/>
                <w:szCs w:val="22"/>
              </w:rPr>
              <w:t>虔</w:t>
            </w:r>
            <w:proofErr w:type="gramEnd"/>
            <w:r w:rsidRPr="00F9025C">
              <w:rPr>
                <w:rFonts w:ascii="宋体" w:hAnsi="宋体" w:cs="宋体" w:hint="eastAsia"/>
                <w:color w:val="000000"/>
                <w:kern w:val="0"/>
                <w:sz w:val="22"/>
                <w:szCs w:val="22"/>
              </w:rPr>
              <w:t>东稀土</w:t>
            </w:r>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4</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江西赣县红金稀土有限公司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5</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安泰环境工程技术有限公司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6</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proofErr w:type="gramStart"/>
            <w:r w:rsidRPr="00F9025C">
              <w:rPr>
                <w:rFonts w:ascii="宋体" w:hAnsi="宋体" w:cs="宋体" w:hint="eastAsia"/>
                <w:color w:val="000000"/>
                <w:kern w:val="0"/>
                <w:sz w:val="22"/>
                <w:szCs w:val="22"/>
              </w:rPr>
              <w:t>四川锐丰</w:t>
            </w:r>
            <w:proofErr w:type="gramEnd"/>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7</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天津包钢稀土研究院有限责任公司</w:t>
            </w:r>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F9025C"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025C" w:rsidRPr="00F9025C" w:rsidRDefault="00F9025C" w:rsidP="00F9025C">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8</w:t>
            </w:r>
          </w:p>
        </w:tc>
        <w:tc>
          <w:tcPr>
            <w:tcW w:w="3528"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有</w:t>
            </w:r>
            <w:proofErr w:type="gramStart"/>
            <w:r w:rsidRPr="00F9025C">
              <w:rPr>
                <w:rFonts w:ascii="宋体" w:hAnsi="宋体" w:cs="宋体" w:hint="eastAsia"/>
                <w:color w:val="000000"/>
                <w:kern w:val="0"/>
                <w:sz w:val="22"/>
                <w:szCs w:val="22"/>
              </w:rPr>
              <w:t>研</w:t>
            </w:r>
            <w:proofErr w:type="gramEnd"/>
            <w:r w:rsidRPr="00F9025C">
              <w:rPr>
                <w:rFonts w:ascii="宋体" w:hAnsi="宋体" w:cs="宋体" w:hint="eastAsia"/>
                <w:color w:val="000000"/>
                <w:kern w:val="0"/>
                <w:sz w:val="22"/>
                <w:szCs w:val="22"/>
              </w:rPr>
              <w:t>稀土新材料股份有限公司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F9025C" w:rsidRPr="00F9025C" w:rsidRDefault="00F9025C"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532AB1"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2AB1" w:rsidRPr="00F9025C" w:rsidRDefault="00532AB1" w:rsidP="00186F2F">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9</w:t>
            </w:r>
          </w:p>
        </w:tc>
        <w:tc>
          <w:tcPr>
            <w:tcW w:w="3528" w:type="dxa"/>
            <w:tcBorders>
              <w:top w:val="nil"/>
              <w:left w:val="nil"/>
              <w:bottom w:val="single" w:sz="4" w:space="0" w:color="auto"/>
              <w:right w:val="single" w:sz="4" w:space="0" w:color="auto"/>
            </w:tcBorders>
            <w:shd w:val="clear" w:color="auto" w:fill="auto"/>
            <w:noWrap/>
            <w:vAlign w:val="center"/>
            <w:hideMark/>
          </w:tcPr>
          <w:p w:rsidR="00532AB1" w:rsidRPr="00F9025C" w:rsidRDefault="00532AB1" w:rsidP="00F9025C">
            <w:pPr>
              <w:widowControl/>
              <w:jc w:val="left"/>
              <w:rPr>
                <w:rFonts w:ascii="宋体" w:hAnsi="宋体" w:cs="宋体" w:hint="eastAsia"/>
                <w:color w:val="000000"/>
                <w:kern w:val="0"/>
                <w:sz w:val="22"/>
                <w:szCs w:val="22"/>
              </w:rPr>
            </w:pPr>
            <w:r w:rsidRPr="00532AB1">
              <w:rPr>
                <w:rFonts w:ascii="宋体" w:hAnsi="宋体" w:cs="宋体"/>
                <w:color w:val="000000"/>
                <w:kern w:val="0"/>
                <w:sz w:val="22"/>
                <w:szCs w:val="22"/>
              </w:rPr>
              <w:t>四川江铜稀土有限责任公司</w:t>
            </w:r>
          </w:p>
        </w:tc>
        <w:tc>
          <w:tcPr>
            <w:tcW w:w="2280" w:type="dxa"/>
            <w:tcBorders>
              <w:top w:val="nil"/>
              <w:left w:val="nil"/>
              <w:bottom w:val="single" w:sz="4" w:space="0" w:color="auto"/>
              <w:right w:val="single" w:sz="4" w:space="0" w:color="auto"/>
            </w:tcBorders>
            <w:shd w:val="clear" w:color="auto" w:fill="auto"/>
            <w:noWrap/>
            <w:vAlign w:val="center"/>
            <w:hideMark/>
          </w:tcPr>
          <w:p w:rsidR="00532AB1" w:rsidRPr="00F9025C" w:rsidRDefault="00532AB1" w:rsidP="00186F2F">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非固定牌号</w:t>
            </w:r>
          </w:p>
        </w:tc>
      </w:tr>
      <w:tr w:rsidR="00532AB1"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2AB1" w:rsidRPr="00F9025C" w:rsidRDefault="00532AB1" w:rsidP="00186F2F">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10</w:t>
            </w:r>
          </w:p>
        </w:tc>
        <w:tc>
          <w:tcPr>
            <w:tcW w:w="3528" w:type="dxa"/>
            <w:tcBorders>
              <w:top w:val="nil"/>
              <w:left w:val="nil"/>
              <w:bottom w:val="single" w:sz="4" w:space="0" w:color="auto"/>
              <w:right w:val="single" w:sz="4" w:space="0" w:color="auto"/>
            </w:tcBorders>
            <w:shd w:val="clear" w:color="auto" w:fill="auto"/>
            <w:noWrap/>
            <w:vAlign w:val="center"/>
            <w:hideMark/>
          </w:tcPr>
          <w:p w:rsidR="00532AB1" w:rsidRPr="00F9025C" w:rsidRDefault="00532AB1"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包头稀土研究院</w:t>
            </w:r>
          </w:p>
        </w:tc>
        <w:tc>
          <w:tcPr>
            <w:tcW w:w="2280" w:type="dxa"/>
            <w:tcBorders>
              <w:top w:val="nil"/>
              <w:left w:val="nil"/>
              <w:bottom w:val="single" w:sz="4" w:space="0" w:color="auto"/>
              <w:right w:val="single" w:sz="4" w:space="0" w:color="auto"/>
            </w:tcBorders>
            <w:shd w:val="clear" w:color="auto" w:fill="auto"/>
            <w:noWrap/>
            <w:vAlign w:val="center"/>
            <w:hideMark/>
          </w:tcPr>
          <w:p w:rsidR="00532AB1" w:rsidRPr="00F9025C" w:rsidRDefault="00532AB1"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固定牌号</w:t>
            </w:r>
          </w:p>
        </w:tc>
      </w:tr>
      <w:tr w:rsidR="00532AB1"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32AB1" w:rsidRPr="00F9025C" w:rsidRDefault="00532AB1" w:rsidP="00186F2F">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11</w:t>
            </w:r>
          </w:p>
        </w:tc>
        <w:tc>
          <w:tcPr>
            <w:tcW w:w="3528" w:type="dxa"/>
            <w:tcBorders>
              <w:top w:val="nil"/>
              <w:left w:val="nil"/>
              <w:bottom w:val="single" w:sz="4" w:space="0" w:color="auto"/>
              <w:right w:val="single" w:sz="4" w:space="0" w:color="auto"/>
            </w:tcBorders>
            <w:shd w:val="clear" w:color="auto" w:fill="auto"/>
            <w:noWrap/>
            <w:vAlign w:val="center"/>
            <w:hideMark/>
          </w:tcPr>
          <w:p w:rsidR="00532AB1" w:rsidRPr="00F9025C" w:rsidRDefault="00532AB1"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江西南方稀土高技术股份有限公司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532AB1" w:rsidRPr="00F9025C" w:rsidRDefault="00532AB1"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固定牌号</w:t>
            </w:r>
          </w:p>
        </w:tc>
      </w:tr>
      <w:tr w:rsidR="00350FEF"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50FEF" w:rsidRPr="00F9025C" w:rsidRDefault="00350FEF" w:rsidP="007B401E">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12</w:t>
            </w:r>
          </w:p>
        </w:tc>
        <w:tc>
          <w:tcPr>
            <w:tcW w:w="3528"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hint="eastAsia"/>
                <w:color w:val="000000"/>
                <w:kern w:val="0"/>
                <w:sz w:val="22"/>
                <w:szCs w:val="22"/>
              </w:rPr>
            </w:pPr>
            <w:r w:rsidRPr="00350FEF">
              <w:rPr>
                <w:rFonts w:ascii="宋体" w:hAnsi="宋体" w:cs="宋体" w:hint="eastAsia"/>
                <w:color w:val="000000"/>
                <w:kern w:val="0"/>
                <w:sz w:val="22"/>
                <w:szCs w:val="22"/>
              </w:rPr>
              <w:t>赣州晨光稀土新材料资源股份有限公司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hint="eastAsia"/>
                <w:color w:val="000000"/>
                <w:kern w:val="0"/>
                <w:sz w:val="22"/>
                <w:szCs w:val="22"/>
              </w:rPr>
            </w:pPr>
            <w:r w:rsidRPr="00F9025C">
              <w:rPr>
                <w:rFonts w:ascii="宋体" w:hAnsi="宋体" w:cs="宋体" w:hint="eastAsia"/>
                <w:color w:val="000000"/>
                <w:kern w:val="0"/>
                <w:sz w:val="22"/>
                <w:szCs w:val="22"/>
              </w:rPr>
              <w:t>固定牌号</w:t>
            </w:r>
          </w:p>
        </w:tc>
      </w:tr>
      <w:tr w:rsidR="00350FEF"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50FEF" w:rsidRPr="00F9025C" w:rsidRDefault="00350FEF" w:rsidP="007B401E">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13</w:t>
            </w:r>
          </w:p>
        </w:tc>
        <w:tc>
          <w:tcPr>
            <w:tcW w:w="3528"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222222"/>
                <w:kern w:val="0"/>
                <w:sz w:val="18"/>
                <w:szCs w:val="18"/>
              </w:rPr>
            </w:pPr>
            <w:r w:rsidRPr="00F9025C">
              <w:rPr>
                <w:rFonts w:ascii="宋体" w:hAnsi="宋体" w:cs="宋体" w:hint="eastAsia"/>
                <w:color w:val="000000"/>
                <w:kern w:val="0"/>
                <w:sz w:val="22"/>
                <w:szCs w:val="22"/>
              </w:rPr>
              <w:t>中国北方稀土（集团）高科技股份有</w:t>
            </w:r>
            <w:r w:rsidRPr="00F9025C">
              <w:rPr>
                <w:rFonts w:ascii="宋体" w:hAnsi="宋体" w:cs="宋体"/>
                <w:color w:val="000000"/>
                <w:kern w:val="0"/>
                <w:sz w:val="22"/>
                <w:szCs w:val="22"/>
              </w:rPr>
              <w:t xml:space="preserve"> </w:t>
            </w:r>
            <w:r w:rsidRPr="00F9025C">
              <w:rPr>
                <w:rFonts w:ascii="宋体" w:hAnsi="宋体" w:cs="宋体" w:hint="eastAsia"/>
                <w:color w:val="000000"/>
                <w:kern w:val="0"/>
                <w:sz w:val="22"/>
                <w:szCs w:val="22"/>
              </w:rPr>
              <w:t>限公司</w:t>
            </w:r>
          </w:p>
        </w:tc>
        <w:tc>
          <w:tcPr>
            <w:tcW w:w="2280"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固定牌号</w:t>
            </w:r>
          </w:p>
        </w:tc>
      </w:tr>
      <w:tr w:rsidR="00350FEF"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50FEF" w:rsidRPr="00F9025C" w:rsidRDefault="00350FEF" w:rsidP="007B401E">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14</w:t>
            </w:r>
          </w:p>
        </w:tc>
        <w:tc>
          <w:tcPr>
            <w:tcW w:w="3528"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福建省长</w:t>
            </w:r>
            <w:proofErr w:type="gramStart"/>
            <w:r w:rsidRPr="00F9025C">
              <w:rPr>
                <w:rFonts w:ascii="宋体" w:hAnsi="宋体" w:cs="宋体" w:hint="eastAsia"/>
                <w:color w:val="000000"/>
                <w:kern w:val="0"/>
                <w:sz w:val="22"/>
                <w:szCs w:val="22"/>
              </w:rPr>
              <w:t>汀</w:t>
            </w:r>
            <w:proofErr w:type="gramEnd"/>
            <w:r w:rsidRPr="00F9025C">
              <w:rPr>
                <w:rFonts w:ascii="宋体" w:hAnsi="宋体" w:cs="宋体" w:hint="eastAsia"/>
                <w:color w:val="000000"/>
                <w:kern w:val="0"/>
                <w:sz w:val="22"/>
                <w:szCs w:val="22"/>
              </w:rPr>
              <w:t>金龙稀土有限公司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固定牌号</w:t>
            </w:r>
          </w:p>
        </w:tc>
      </w:tr>
      <w:tr w:rsidR="00350FEF"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50FEF" w:rsidRPr="00F9025C" w:rsidRDefault="00350FEF" w:rsidP="007B401E">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15</w:t>
            </w:r>
          </w:p>
        </w:tc>
        <w:tc>
          <w:tcPr>
            <w:tcW w:w="3528"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信丰县包钢新利稀土有限责任公司</w:t>
            </w:r>
          </w:p>
        </w:tc>
        <w:tc>
          <w:tcPr>
            <w:tcW w:w="2280"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固定牌号</w:t>
            </w:r>
          </w:p>
        </w:tc>
      </w:tr>
      <w:tr w:rsidR="00350FEF"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50FEF" w:rsidRPr="00F9025C" w:rsidRDefault="00350FEF" w:rsidP="007B401E">
            <w:pPr>
              <w:widowControl/>
              <w:jc w:val="right"/>
              <w:rPr>
                <w:rFonts w:ascii="宋体" w:hAnsi="宋体" w:cs="宋体"/>
                <w:color w:val="000000"/>
                <w:kern w:val="0"/>
                <w:sz w:val="22"/>
                <w:szCs w:val="22"/>
              </w:rPr>
            </w:pPr>
            <w:r w:rsidRPr="00F9025C">
              <w:rPr>
                <w:rFonts w:ascii="宋体" w:hAnsi="宋体" w:cs="宋体" w:hint="eastAsia"/>
                <w:color w:val="000000"/>
                <w:kern w:val="0"/>
                <w:sz w:val="22"/>
                <w:szCs w:val="22"/>
              </w:rPr>
              <w:t>1</w:t>
            </w:r>
            <w:r>
              <w:rPr>
                <w:rFonts w:ascii="宋体" w:hAnsi="宋体" w:cs="宋体" w:hint="eastAsia"/>
                <w:color w:val="000000"/>
                <w:kern w:val="0"/>
                <w:sz w:val="22"/>
                <w:szCs w:val="22"/>
              </w:rPr>
              <w:t>6</w:t>
            </w:r>
          </w:p>
        </w:tc>
        <w:tc>
          <w:tcPr>
            <w:tcW w:w="3528"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安徽大地熊</w:t>
            </w:r>
          </w:p>
        </w:tc>
        <w:tc>
          <w:tcPr>
            <w:tcW w:w="2280"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无意见</w:t>
            </w:r>
          </w:p>
        </w:tc>
      </w:tr>
      <w:tr w:rsidR="00350FEF" w:rsidRPr="00F9025C" w:rsidTr="00F9025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50FEF" w:rsidRPr="00F9025C" w:rsidRDefault="00350FEF" w:rsidP="00532AB1">
            <w:pPr>
              <w:widowControl/>
              <w:jc w:val="right"/>
              <w:rPr>
                <w:rFonts w:ascii="宋体" w:hAnsi="宋体" w:cs="宋体"/>
                <w:color w:val="000000"/>
                <w:kern w:val="0"/>
                <w:sz w:val="22"/>
                <w:szCs w:val="22"/>
              </w:rPr>
            </w:pPr>
            <w:r>
              <w:rPr>
                <w:rFonts w:ascii="宋体" w:hAnsi="宋体" w:cs="宋体" w:hint="eastAsia"/>
                <w:color w:val="000000"/>
                <w:kern w:val="0"/>
                <w:sz w:val="22"/>
                <w:szCs w:val="22"/>
              </w:rPr>
              <w:t>17</w:t>
            </w:r>
          </w:p>
        </w:tc>
        <w:tc>
          <w:tcPr>
            <w:tcW w:w="3528"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北京中科三环高技术股份有限公司</w:t>
            </w:r>
          </w:p>
        </w:tc>
        <w:tc>
          <w:tcPr>
            <w:tcW w:w="2280" w:type="dxa"/>
            <w:tcBorders>
              <w:top w:val="nil"/>
              <w:left w:val="nil"/>
              <w:bottom w:val="single" w:sz="4" w:space="0" w:color="auto"/>
              <w:right w:val="single" w:sz="4" w:space="0" w:color="auto"/>
            </w:tcBorders>
            <w:shd w:val="clear" w:color="auto" w:fill="auto"/>
            <w:noWrap/>
            <w:vAlign w:val="center"/>
            <w:hideMark/>
          </w:tcPr>
          <w:p w:rsidR="00350FEF" w:rsidRPr="00F9025C" w:rsidRDefault="00350FEF" w:rsidP="00F9025C">
            <w:pPr>
              <w:widowControl/>
              <w:jc w:val="left"/>
              <w:rPr>
                <w:rFonts w:ascii="宋体" w:hAnsi="宋体" w:cs="宋体"/>
                <w:color w:val="000000"/>
                <w:kern w:val="0"/>
                <w:sz w:val="22"/>
                <w:szCs w:val="22"/>
              </w:rPr>
            </w:pPr>
            <w:r w:rsidRPr="00F9025C">
              <w:rPr>
                <w:rFonts w:ascii="宋体" w:hAnsi="宋体" w:cs="宋体" w:hint="eastAsia"/>
                <w:color w:val="000000"/>
                <w:kern w:val="0"/>
                <w:sz w:val="22"/>
                <w:szCs w:val="22"/>
              </w:rPr>
              <w:t>无意见</w:t>
            </w:r>
          </w:p>
        </w:tc>
      </w:tr>
    </w:tbl>
    <w:p w:rsidR="00350FEF" w:rsidRDefault="00350FEF" w:rsidP="00F9025C">
      <w:pPr>
        <w:adjustRightInd w:val="0"/>
        <w:snapToGrid w:val="0"/>
        <w:spacing w:line="360" w:lineRule="auto"/>
        <w:ind w:firstLine="435"/>
        <w:rPr>
          <w:rFonts w:hint="eastAsia"/>
          <w:szCs w:val="21"/>
        </w:rPr>
      </w:pPr>
    </w:p>
    <w:p w:rsidR="000A7884" w:rsidRDefault="00350FEF" w:rsidP="00D00F84">
      <w:pPr>
        <w:adjustRightInd w:val="0"/>
        <w:snapToGrid w:val="0"/>
        <w:spacing w:line="360" w:lineRule="auto"/>
        <w:ind w:firstLine="435"/>
        <w:rPr>
          <w:rFonts w:ascii="黑体" w:eastAsia="黑体" w:hAnsi="黑体" w:hint="eastAsia"/>
          <w:szCs w:val="21"/>
        </w:rPr>
      </w:pPr>
      <w:r w:rsidRPr="00350FEF">
        <w:rPr>
          <w:rFonts w:hint="eastAsia"/>
          <w:szCs w:val="21"/>
        </w:rPr>
        <w:t>尽管</w:t>
      </w:r>
      <w:r>
        <w:rPr>
          <w:szCs w:val="21"/>
        </w:rPr>
        <w:t>选择</w:t>
      </w:r>
      <w:r>
        <w:rPr>
          <w:rFonts w:hint="eastAsia"/>
          <w:szCs w:val="21"/>
        </w:rPr>
        <w:t>固定牌号的单位占回复意见单位的少数，课题组经过认真研究，送审稿还是选择了采用固定牌号的表示方法。如果采用非固定牌号</w:t>
      </w:r>
      <w:r>
        <w:rPr>
          <w:rFonts w:hint="eastAsia"/>
          <w:szCs w:val="21"/>
        </w:rPr>
        <w:t>n</w:t>
      </w:r>
      <w:r>
        <w:rPr>
          <w:rFonts w:hint="eastAsia"/>
          <w:szCs w:val="21"/>
        </w:rPr>
        <w:t>来表示产品牌号，</w:t>
      </w:r>
      <w:r>
        <w:rPr>
          <w:rFonts w:hint="eastAsia"/>
          <w:szCs w:val="21"/>
        </w:rPr>
        <w:t>n</w:t>
      </w:r>
      <w:r>
        <w:t>为</w:t>
      </w:r>
      <w:r>
        <w:rPr>
          <w:rFonts w:hint="eastAsia"/>
          <w:szCs w:val="21"/>
        </w:rPr>
        <w:t>60</w:t>
      </w:r>
      <w:r>
        <w:rPr>
          <w:rFonts w:hint="eastAsia"/>
          <w:szCs w:val="21"/>
        </w:rPr>
        <w:t>至</w:t>
      </w:r>
      <w:r>
        <w:rPr>
          <w:rFonts w:hint="eastAsia"/>
          <w:szCs w:val="21"/>
        </w:rPr>
        <w:t>70</w:t>
      </w:r>
      <w:r>
        <w:rPr>
          <w:rFonts w:hint="eastAsia"/>
          <w:szCs w:val="21"/>
        </w:rPr>
        <w:t>之间的整数，不同牌号之间的间隔为</w:t>
      </w:r>
      <w:r>
        <w:rPr>
          <w:rFonts w:hint="eastAsia"/>
          <w:szCs w:val="21"/>
        </w:rPr>
        <w:t>1%</w:t>
      </w:r>
      <w:r>
        <w:rPr>
          <w:rFonts w:hint="eastAsia"/>
          <w:szCs w:val="21"/>
        </w:rPr>
        <w:t>，与成分表中规定的“</w:t>
      </w:r>
      <w:r w:rsidRPr="00350FEF">
        <w:rPr>
          <w:szCs w:val="21"/>
        </w:rPr>
        <w:t>n±2”</w:t>
      </w:r>
      <w:r>
        <w:rPr>
          <w:szCs w:val="21"/>
        </w:rPr>
        <w:t>相矛盾，造成同一配分的产品分属不同牌号的情况，</w:t>
      </w:r>
      <w:proofErr w:type="gramStart"/>
      <w:r>
        <w:rPr>
          <w:szCs w:val="21"/>
        </w:rPr>
        <w:t>给标准</w:t>
      </w:r>
      <w:proofErr w:type="gramEnd"/>
      <w:r w:rsidR="0017252A">
        <w:rPr>
          <w:rFonts w:hint="eastAsia"/>
          <w:szCs w:val="21"/>
        </w:rPr>
        <w:t>使用</w:t>
      </w:r>
      <w:r>
        <w:rPr>
          <w:szCs w:val="21"/>
        </w:rPr>
        <w:t>造成混乱。如果</w:t>
      </w:r>
      <w:r w:rsidR="0017252A">
        <w:rPr>
          <w:szCs w:val="21"/>
        </w:rPr>
        <w:t>把</w:t>
      </w:r>
      <w:r>
        <w:rPr>
          <w:rFonts w:hint="eastAsia"/>
          <w:szCs w:val="21"/>
        </w:rPr>
        <w:t>“</w:t>
      </w:r>
      <w:r w:rsidRPr="00350FEF">
        <w:rPr>
          <w:szCs w:val="21"/>
        </w:rPr>
        <w:t>n±2”</w:t>
      </w:r>
      <w:r w:rsidR="0017252A">
        <w:rPr>
          <w:szCs w:val="21"/>
        </w:rPr>
        <w:t>理解成一批产品的成分波动范围，标准中并未见这种表述，而且在实际生产的质量控制中，这样的波动范围太大，无法满足客户的需要</w:t>
      </w:r>
      <w:r w:rsidR="008D3C67">
        <w:rPr>
          <w:szCs w:val="21"/>
        </w:rPr>
        <w:t>，容易造成贸易纠纷</w:t>
      </w:r>
      <w:r w:rsidR="0017252A">
        <w:rPr>
          <w:szCs w:val="21"/>
        </w:rPr>
        <w:t>。本科学严谨的态度，产品牌号表示方法还是采用固定牌号为宜。</w:t>
      </w:r>
    </w:p>
    <w:p w:rsidR="000A7884" w:rsidRDefault="000A7884">
      <w:pPr>
        <w:adjustRightInd w:val="0"/>
        <w:snapToGrid w:val="0"/>
        <w:spacing w:line="360" w:lineRule="auto"/>
        <w:rPr>
          <w:rFonts w:ascii="黑体" w:eastAsia="黑体" w:hAnsi="黑体"/>
          <w:szCs w:val="21"/>
        </w:rPr>
      </w:pPr>
      <w:r>
        <w:rPr>
          <w:rFonts w:ascii="黑体" w:eastAsia="黑体" w:hAnsi="黑体"/>
          <w:szCs w:val="21"/>
        </w:rPr>
        <w:t>3.</w:t>
      </w:r>
      <w:r>
        <w:rPr>
          <w:rFonts w:ascii="黑体" w:eastAsia="黑体" w:hAnsi="黑体" w:hint="eastAsia"/>
          <w:szCs w:val="21"/>
        </w:rPr>
        <w:t>2</w:t>
      </w:r>
      <w:r>
        <w:rPr>
          <w:rFonts w:ascii="黑体" w:eastAsia="黑体" w:hAnsi="黑体"/>
          <w:szCs w:val="21"/>
        </w:rPr>
        <w:t>会议上专家意见情况</w:t>
      </w:r>
    </w:p>
    <w:p w:rsidR="000A7884" w:rsidRDefault="000A7884">
      <w:pPr>
        <w:adjustRightInd w:val="0"/>
        <w:snapToGrid w:val="0"/>
        <w:spacing w:line="360" w:lineRule="auto"/>
        <w:rPr>
          <w:rFonts w:ascii="黑体" w:eastAsia="黑体" w:hAnsi="黑体"/>
          <w:szCs w:val="21"/>
        </w:rPr>
      </w:pPr>
      <w:r>
        <w:rPr>
          <w:rFonts w:ascii="黑体" w:eastAsia="黑体" w:hAnsi="黑体"/>
          <w:szCs w:val="21"/>
        </w:rPr>
        <w:t>任务落实会：</w:t>
      </w:r>
    </w:p>
    <w:p w:rsidR="000A7884" w:rsidRDefault="000A7884">
      <w:pPr>
        <w:adjustRightInd w:val="0"/>
        <w:snapToGrid w:val="0"/>
        <w:spacing w:line="360" w:lineRule="auto"/>
        <w:ind w:firstLineChars="200" w:firstLine="420"/>
        <w:rPr>
          <w:rFonts w:hint="eastAsia"/>
          <w:szCs w:val="21"/>
        </w:rPr>
      </w:pPr>
      <w:r>
        <w:rPr>
          <w:szCs w:val="21"/>
        </w:rPr>
        <w:t>全国稀土标准化技术委员会于</w:t>
      </w:r>
      <w:r>
        <w:rPr>
          <w:szCs w:val="21"/>
        </w:rPr>
        <w:t>201</w:t>
      </w:r>
      <w:r>
        <w:rPr>
          <w:rFonts w:hint="eastAsia"/>
          <w:szCs w:val="21"/>
        </w:rPr>
        <w:t>8</w:t>
      </w:r>
      <w:r>
        <w:rPr>
          <w:szCs w:val="21"/>
        </w:rPr>
        <w:t>年</w:t>
      </w:r>
      <w:r>
        <w:rPr>
          <w:rFonts w:hint="eastAsia"/>
          <w:szCs w:val="21"/>
        </w:rPr>
        <w:t>12</w:t>
      </w:r>
      <w:r>
        <w:rPr>
          <w:szCs w:val="21"/>
        </w:rPr>
        <w:t>月</w:t>
      </w:r>
      <w:r>
        <w:rPr>
          <w:rFonts w:hint="eastAsia"/>
          <w:szCs w:val="21"/>
        </w:rPr>
        <w:t>4</w:t>
      </w:r>
      <w:r>
        <w:rPr>
          <w:szCs w:val="21"/>
        </w:rPr>
        <w:t>日在</w:t>
      </w:r>
      <w:r>
        <w:rPr>
          <w:rFonts w:hint="eastAsia"/>
          <w:szCs w:val="21"/>
        </w:rPr>
        <w:t>福建</w:t>
      </w:r>
      <w:r>
        <w:rPr>
          <w:szCs w:val="21"/>
        </w:rPr>
        <w:t>省</w:t>
      </w:r>
      <w:r>
        <w:rPr>
          <w:rFonts w:hint="eastAsia"/>
          <w:szCs w:val="21"/>
        </w:rPr>
        <w:t>福州</w:t>
      </w:r>
      <w:r>
        <w:rPr>
          <w:szCs w:val="21"/>
        </w:rPr>
        <w:t>市召开了《</w:t>
      </w:r>
      <w:r>
        <w:rPr>
          <w:rFonts w:hint="eastAsia"/>
          <w:szCs w:val="21"/>
        </w:rPr>
        <w:t>镧铈金属</w:t>
      </w:r>
      <w:r>
        <w:rPr>
          <w:szCs w:val="21"/>
        </w:rPr>
        <w:t>》国家标准的任务落实会。本次会议参加会议的有</w:t>
      </w:r>
      <w:r>
        <w:rPr>
          <w:szCs w:val="21"/>
        </w:rPr>
        <w:t xml:space="preserve"> </w:t>
      </w:r>
      <w:r>
        <w:rPr>
          <w:rFonts w:hint="eastAsia"/>
          <w:szCs w:val="21"/>
        </w:rPr>
        <w:t>46</w:t>
      </w:r>
      <w:r>
        <w:rPr>
          <w:szCs w:val="21"/>
        </w:rPr>
        <w:t>家单位的</w:t>
      </w:r>
      <w:r>
        <w:rPr>
          <w:szCs w:val="21"/>
        </w:rPr>
        <w:t xml:space="preserve"> </w:t>
      </w:r>
      <w:r>
        <w:rPr>
          <w:rFonts w:hint="eastAsia"/>
          <w:szCs w:val="21"/>
        </w:rPr>
        <w:t>72</w:t>
      </w:r>
      <w:r>
        <w:rPr>
          <w:szCs w:val="21"/>
        </w:rPr>
        <w:t>名代表和专家参加。与会代表对</w:t>
      </w:r>
      <w:proofErr w:type="gramStart"/>
      <w:r>
        <w:rPr>
          <w:rFonts w:hint="eastAsia"/>
          <w:szCs w:val="21"/>
        </w:rPr>
        <w:t>镧铈</w:t>
      </w:r>
      <w:proofErr w:type="gramEnd"/>
      <w:r>
        <w:rPr>
          <w:rFonts w:hint="eastAsia"/>
          <w:szCs w:val="21"/>
        </w:rPr>
        <w:t>金属</w:t>
      </w:r>
      <w:r>
        <w:rPr>
          <w:szCs w:val="21"/>
        </w:rPr>
        <w:t>标准制订的方案进行了认真的讨论，确定了制订的进度。</w:t>
      </w:r>
    </w:p>
    <w:p w:rsidR="0022743F" w:rsidRDefault="0022743F" w:rsidP="0022743F">
      <w:pPr>
        <w:adjustRightInd w:val="0"/>
        <w:snapToGrid w:val="0"/>
        <w:spacing w:line="360" w:lineRule="auto"/>
        <w:rPr>
          <w:rFonts w:ascii="黑体" w:eastAsia="黑体" w:hAnsi="黑体" w:hint="eastAsia"/>
          <w:szCs w:val="21"/>
        </w:rPr>
      </w:pPr>
      <w:r>
        <w:rPr>
          <w:rFonts w:ascii="黑体" w:eastAsia="黑体" w:hAnsi="黑体" w:hint="eastAsia"/>
          <w:szCs w:val="21"/>
        </w:rPr>
        <w:lastRenderedPageBreak/>
        <w:t>预审会</w:t>
      </w:r>
      <w:r>
        <w:rPr>
          <w:rFonts w:ascii="黑体" w:eastAsia="黑体" w:hAnsi="黑体"/>
          <w:szCs w:val="21"/>
        </w:rPr>
        <w:t>：</w:t>
      </w:r>
    </w:p>
    <w:p w:rsidR="0022743F" w:rsidRDefault="0022743F" w:rsidP="0022743F">
      <w:pPr>
        <w:adjustRightInd w:val="0"/>
        <w:snapToGrid w:val="0"/>
        <w:spacing w:line="360" w:lineRule="auto"/>
        <w:ind w:firstLineChars="200" w:firstLine="420"/>
        <w:rPr>
          <w:rFonts w:hint="eastAsia"/>
          <w:szCs w:val="21"/>
        </w:rPr>
      </w:pPr>
      <w:r>
        <w:rPr>
          <w:szCs w:val="21"/>
        </w:rPr>
        <w:t>全国稀土标准化技术委员会于</w:t>
      </w:r>
      <w:r>
        <w:rPr>
          <w:szCs w:val="21"/>
        </w:rPr>
        <w:t>201</w:t>
      </w:r>
      <w:r>
        <w:rPr>
          <w:rFonts w:hint="eastAsia"/>
          <w:szCs w:val="21"/>
        </w:rPr>
        <w:t>9</w:t>
      </w:r>
      <w:r>
        <w:rPr>
          <w:szCs w:val="21"/>
        </w:rPr>
        <w:t>年</w:t>
      </w:r>
      <w:r>
        <w:rPr>
          <w:rFonts w:hint="eastAsia"/>
          <w:szCs w:val="21"/>
        </w:rPr>
        <w:t>7</w:t>
      </w:r>
      <w:r>
        <w:rPr>
          <w:szCs w:val="21"/>
        </w:rPr>
        <w:t>月</w:t>
      </w:r>
      <w:r>
        <w:rPr>
          <w:rFonts w:hint="eastAsia"/>
          <w:szCs w:val="21"/>
        </w:rPr>
        <w:t>24</w:t>
      </w:r>
      <w:r>
        <w:rPr>
          <w:szCs w:val="21"/>
        </w:rPr>
        <w:t>日在</w:t>
      </w:r>
      <w:r>
        <w:rPr>
          <w:rFonts w:hint="eastAsia"/>
          <w:szCs w:val="21"/>
        </w:rPr>
        <w:t>云南</w:t>
      </w:r>
      <w:r>
        <w:rPr>
          <w:szCs w:val="21"/>
        </w:rPr>
        <w:t>省</w:t>
      </w:r>
      <w:r>
        <w:rPr>
          <w:rFonts w:hint="eastAsia"/>
          <w:szCs w:val="21"/>
        </w:rPr>
        <w:t>大理</w:t>
      </w:r>
      <w:r>
        <w:rPr>
          <w:szCs w:val="21"/>
        </w:rPr>
        <w:t>市召开了《</w:t>
      </w:r>
      <w:r>
        <w:rPr>
          <w:rFonts w:hint="eastAsia"/>
          <w:szCs w:val="21"/>
        </w:rPr>
        <w:t>镧铈金属</w:t>
      </w:r>
      <w:r>
        <w:rPr>
          <w:szCs w:val="21"/>
        </w:rPr>
        <w:t>》国家标准的</w:t>
      </w:r>
      <w:r>
        <w:rPr>
          <w:rFonts w:hint="eastAsia"/>
          <w:szCs w:val="21"/>
        </w:rPr>
        <w:t>预审</w:t>
      </w:r>
      <w:r>
        <w:rPr>
          <w:szCs w:val="21"/>
        </w:rPr>
        <w:t>会。本次会议参加会议的有</w:t>
      </w:r>
      <w:r>
        <w:rPr>
          <w:szCs w:val="21"/>
        </w:rPr>
        <w:t xml:space="preserve"> </w:t>
      </w:r>
      <w:r w:rsidR="00EA41DC">
        <w:rPr>
          <w:rFonts w:hint="eastAsia"/>
          <w:szCs w:val="21"/>
        </w:rPr>
        <w:t>32</w:t>
      </w:r>
      <w:r>
        <w:rPr>
          <w:szCs w:val="21"/>
        </w:rPr>
        <w:t>家单位的</w:t>
      </w:r>
      <w:r>
        <w:rPr>
          <w:szCs w:val="21"/>
        </w:rPr>
        <w:t xml:space="preserve"> </w:t>
      </w:r>
      <w:r w:rsidR="00EA41DC">
        <w:rPr>
          <w:rFonts w:hint="eastAsia"/>
          <w:szCs w:val="21"/>
        </w:rPr>
        <w:t>52</w:t>
      </w:r>
      <w:r>
        <w:rPr>
          <w:szCs w:val="21"/>
        </w:rPr>
        <w:t>名代表和专家参加。</w:t>
      </w:r>
      <w:r w:rsidRPr="00830B5E">
        <w:rPr>
          <w:szCs w:val="21"/>
        </w:rPr>
        <w:t>会代表对</w:t>
      </w:r>
      <w:r>
        <w:rPr>
          <w:rFonts w:hint="eastAsia"/>
          <w:szCs w:val="21"/>
        </w:rPr>
        <w:t>《镧铈金属</w:t>
      </w:r>
      <w:r>
        <w:rPr>
          <w:szCs w:val="21"/>
        </w:rPr>
        <w:t>》</w:t>
      </w:r>
      <w:r w:rsidRPr="00830B5E">
        <w:rPr>
          <w:szCs w:val="21"/>
        </w:rPr>
        <w:t>标准的预审稿进行了认真的讨论，对不足之处提出了具体修改意见，规范了标准文本。各专家的具体意见如下：</w:t>
      </w:r>
    </w:p>
    <w:p w:rsidR="0022743F" w:rsidRPr="0022743F" w:rsidRDefault="0022743F" w:rsidP="0022743F">
      <w:pPr>
        <w:numPr>
          <w:ilvl w:val="0"/>
          <w:numId w:val="6"/>
        </w:numPr>
        <w:adjustRightInd w:val="0"/>
        <w:snapToGrid w:val="0"/>
        <w:spacing w:line="360" w:lineRule="auto"/>
        <w:rPr>
          <w:szCs w:val="21"/>
        </w:rPr>
      </w:pPr>
      <w:r w:rsidRPr="0022743F">
        <w:rPr>
          <w:rFonts w:hint="eastAsia"/>
          <w:szCs w:val="21"/>
        </w:rPr>
        <w:t>在</w:t>
      </w:r>
      <w:r w:rsidRPr="0022743F">
        <w:rPr>
          <w:rFonts w:hint="eastAsia"/>
          <w:szCs w:val="21"/>
        </w:rPr>
        <w:t>3.1</w:t>
      </w:r>
      <w:r w:rsidRPr="0022743F">
        <w:rPr>
          <w:rFonts w:hint="eastAsia"/>
          <w:szCs w:val="21"/>
        </w:rPr>
        <w:t>产品分类中的“</w:t>
      </w:r>
      <w:r w:rsidRPr="0022743F">
        <w:rPr>
          <w:szCs w:val="21"/>
        </w:rPr>
        <w:t>产品按照化学成分分为</w:t>
      </w:r>
      <w:proofErr w:type="spellStart"/>
      <w:r w:rsidRPr="0022743F">
        <w:rPr>
          <w:szCs w:val="21"/>
        </w:rPr>
        <w:t>LaCe-</w:t>
      </w:r>
      <w:r w:rsidRPr="0022743F">
        <w:rPr>
          <w:rFonts w:hint="eastAsia"/>
          <w:szCs w:val="21"/>
        </w:rPr>
        <w:t>n</w:t>
      </w:r>
      <w:r w:rsidRPr="0022743F">
        <w:rPr>
          <w:szCs w:val="21"/>
        </w:rPr>
        <w:t>Ce</w:t>
      </w:r>
      <w:r w:rsidRPr="0022743F">
        <w:rPr>
          <w:rFonts w:hint="eastAsia"/>
          <w:szCs w:val="21"/>
        </w:rPr>
        <w:t>A</w:t>
      </w:r>
      <w:proofErr w:type="spellEnd"/>
      <w:r w:rsidRPr="0022743F">
        <w:rPr>
          <w:rFonts w:hint="eastAsia"/>
          <w:szCs w:val="21"/>
        </w:rPr>
        <w:t>、</w:t>
      </w:r>
      <w:proofErr w:type="spellStart"/>
      <w:r w:rsidRPr="0022743F">
        <w:rPr>
          <w:szCs w:val="21"/>
        </w:rPr>
        <w:t>LaCe-</w:t>
      </w:r>
      <w:r w:rsidRPr="0022743F">
        <w:rPr>
          <w:rFonts w:hint="eastAsia"/>
          <w:szCs w:val="21"/>
        </w:rPr>
        <w:t>n</w:t>
      </w:r>
      <w:r w:rsidRPr="0022743F">
        <w:rPr>
          <w:szCs w:val="21"/>
        </w:rPr>
        <w:t>Ce</w:t>
      </w:r>
      <w:r w:rsidRPr="0022743F">
        <w:rPr>
          <w:rFonts w:hint="eastAsia"/>
          <w:szCs w:val="21"/>
        </w:rPr>
        <w:t>B</w:t>
      </w:r>
      <w:proofErr w:type="spellEnd"/>
      <w:r w:rsidRPr="0022743F">
        <w:rPr>
          <w:rFonts w:hint="eastAsia"/>
          <w:szCs w:val="21"/>
        </w:rPr>
        <w:t>两个牌号”修改为“</w:t>
      </w:r>
      <w:r w:rsidRPr="0022743F">
        <w:rPr>
          <w:szCs w:val="21"/>
        </w:rPr>
        <w:t>……</w:t>
      </w:r>
      <w:r w:rsidRPr="0022743F">
        <w:rPr>
          <w:rFonts w:hint="eastAsia"/>
          <w:szCs w:val="21"/>
        </w:rPr>
        <w:t>两类规格的牌号</w:t>
      </w:r>
      <w:r w:rsidRPr="0022743F">
        <w:rPr>
          <w:szCs w:val="21"/>
        </w:rPr>
        <w:t>……</w:t>
      </w:r>
      <w:r w:rsidRPr="0022743F">
        <w:rPr>
          <w:rFonts w:hint="eastAsia"/>
          <w:szCs w:val="21"/>
        </w:rPr>
        <w:t>”。</w:t>
      </w:r>
    </w:p>
    <w:p w:rsidR="0022743F" w:rsidRPr="0022743F" w:rsidRDefault="0022743F" w:rsidP="0022743F">
      <w:pPr>
        <w:numPr>
          <w:ilvl w:val="0"/>
          <w:numId w:val="6"/>
        </w:numPr>
        <w:adjustRightInd w:val="0"/>
        <w:snapToGrid w:val="0"/>
        <w:spacing w:line="360" w:lineRule="auto"/>
        <w:rPr>
          <w:szCs w:val="21"/>
        </w:rPr>
      </w:pPr>
      <w:r w:rsidRPr="0022743F">
        <w:rPr>
          <w:rFonts w:hint="eastAsia"/>
          <w:szCs w:val="21"/>
        </w:rPr>
        <w:t>对于自然数</w:t>
      </w:r>
      <w:r w:rsidRPr="0022743F">
        <w:rPr>
          <w:rFonts w:hint="eastAsia"/>
          <w:szCs w:val="21"/>
        </w:rPr>
        <w:t>n</w:t>
      </w:r>
      <w:r w:rsidRPr="0022743F">
        <w:rPr>
          <w:rFonts w:hint="eastAsia"/>
          <w:szCs w:val="21"/>
        </w:rPr>
        <w:t>的描述，增加一个示例。</w:t>
      </w:r>
    </w:p>
    <w:p w:rsidR="0022743F" w:rsidRPr="0022743F" w:rsidRDefault="0022743F" w:rsidP="0022743F">
      <w:pPr>
        <w:numPr>
          <w:ilvl w:val="0"/>
          <w:numId w:val="6"/>
        </w:numPr>
        <w:adjustRightInd w:val="0"/>
        <w:snapToGrid w:val="0"/>
        <w:spacing w:line="360" w:lineRule="auto"/>
        <w:rPr>
          <w:szCs w:val="21"/>
        </w:rPr>
      </w:pPr>
      <w:r w:rsidRPr="0022743F">
        <w:rPr>
          <w:szCs w:val="21"/>
        </w:rPr>
        <w:t>对于牌号的表示，是否使用</w:t>
      </w:r>
      <w:r w:rsidRPr="0022743F">
        <w:rPr>
          <w:szCs w:val="21"/>
        </w:rPr>
        <w:t>“n”</w:t>
      </w:r>
      <w:r w:rsidRPr="0022743F">
        <w:rPr>
          <w:szCs w:val="21"/>
        </w:rPr>
        <w:t>，还是用固定的整数表示，再征求一轮意见。</w:t>
      </w:r>
    </w:p>
    <w:p w:rsidR="0022743F" w:rsidRPr="0022743F" w:rsidRDefault="0022743F" w:rsidP="0022743F">
      <w:pPr>
        <w:numPr>
          <w:ilvl w:val="0"/>
          <w:numId w:val="6"/>
        </w:numPr>
        <w:adjustRightInd w:val="0"/>
        <w:snapToGrid w:val="0"/>
        <w:spacing w:line="360" w:lineRule="auto"/>
        <w:rPr>
          <w:szCs w:val="21"/>
        </w:rPr>
      </w:pPr>
      <w:r w:rsidRPr="0022743F">
        <w:rPr>
          <w:szCs w:val="21"/>
        </w:rPr>
        <w:t>标准中的表格要有表头。</w:t>
      </w:r>
    </w:p>
    <w:p w:rsidR="0022743F" w:rsidRPr="0022743F" w:rsidRDefault="0022743F" w:rsidP="0022743F">
      <w:pPr>
        <w:numPr>
          <w:ilvl w:val="0"/>
          <w:numId w:val="6"/>
        </w:numPr>
        <w:adjustRightInd w:val="0"/>
        <w:snapToGrid w:val="0"/>
        <w:spacing w:line="360" w:lineRule="auto"/>
        <w:rPr>
          <w:szCs w:val="21"/>
        </w:rPr>
      </w:pPr>
      <w:r w:rsidRPr="0022743F">
        <w:rPr>
          <w:szCs w:val="21"/>
        </w:rPr>
        <w:t>“</w:t>
      </w:r>
      <w:r w:rsidRPr="0022743F">
        <w:rPr>
          <w:rFonts w:hint="eastAsia"/>
          <w:szCs w:val="21"/>
        </w:rPr>
        <w:t>5.4</w:t>
      </w:r>
      <w:r w:rsidRPr="0022743F">
        <w:rPr>
          <w:szCs w:val="21"/>
        </w:rPr>
        <w:t>取样与制样</w:t>
      </w:r>
      <w:r w:rsidRPr="0022743F">
        <w:rPr>
          <w:szCs w:val="21"/>
        </w:rPr>
        <w:t>”</w:t>
      </w:r>
      <w:r w:rsidRPr="0022743F">
        <w:rPr>
          <w:szCs w:val="21"/>
        </w:rPr>
        <w:t>的取样件数为</w:t>
      </w:r>
      <w:r w:rsidRPr="0022743F">
        <w:rPr>
          <w:rFonts w:hint="eastAsia"/>
          <w:szCs w:val="21"/>
        </w:rPr>
        <w:t>5.4.1</w:t>
      </w:r>
      <w:r w:rsidRPr="0022743F">
        <w:rPr>
          <w:rFonts w:hint="eastAsia"/>
          <w:szCs w:val="21"/>
        </w:rPr>
        <w:t>，取样方法为</w:t>
      </w:r>
      <w:r w:rsidRPr="0022743F">
        <w:rPr>
          <w:rFonts w:hint="eastAsia"/>
          <w:szCs w:val="21"/>
        </w:rPr>
        <w:t>5.4.2</w:t>
      </w:r>
      <w:r w:rsidRPr="0022743F">
        <w:rPr>
          <w:rFonts w:hint="eastAsia"/>
          <w:szCs w:val="21"/>
        </w:rPr>
        <w:t>。</w:t>
      </w:r>
    </w:p>
    <w:p w:rsidR="0022743F" w:rsidRPr="0022743F" w:rsidRDefault="0022743F" w:rsidP="0022743F">
      <w:pPr>
        <w:numPr>
          <w:ilvl w:val="0"/>
          <w:numId w:val="6"/>
        </w:numPr>
        <w:adjustRightInd w:val="0"/>
        <w:snapToGrid w:val="0"/>
        <w:spacing w:line="360" w:lineRule="auto"/>
        <w:rPr>
          <w:szCs w:val="21"/>
        </w:rPr>
      </w:pPr>
      <w:r w:rsidRPr="0022743F">
        <w:rPr>
          <w:szCs w:val="21"/>
        </w:rPr>
        <w:t>对于取样件数的规定，再征求意见时，广泛听取专家合理的建议。</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四、标准水平分析</w:t>
      </w:r>
    </w:p>
    <w:p w:rsidR="000A7884" w:rsidRDefault="000A7884" w:rsidP="0022743F">
      <w:pPr>
        <w:adjustRightInd w:val="0"/>
        <w:snapToGrid w:val="0"/>
        <w:spacing w:line="360" w:lineRule="auto"/>
        <w:ind w:firstLineChars="199" w:firstLine="418"/>
        <w:rPr>
          <w:rFonts w:hint="eastAsia"/>
          <w:szCs w:val="21"/>
        </w:rPr>
      </w:pPr>
      <w:r>
        <w:rPr>
          <w:rFonts w:hint="eastAsia"/>
          <w:szCs w:val="21"/>
        </w:rPr>
        <w:t>本标准在制定过程中广泛收集数据，征求意见，对配分类的稀土产品首次</w:t>
      </w:r>
      <w:r w:rsidR="008D3C67">
        <w:rPr>
          <w:rFonts w:hint="eastAsia"/>
          <w:szCs w:val="21"/>
        </w:rPr>
        <w:t>尝试</w:t>
      </w:r>
      <w:r>
        <w:rPr>
          <w:rFonts w:hint="eastAsia"/>
          <w:szCs w:val="21"/>
        </w:rPr>
        <w:t>用连续变动的自然数</w:t>
      </w:r>
      <w:r>
        <w:rPr>
          <w:rFonts w:hint="eastAsia"/>
          <w:szCs w:val="21"/>
        </w:rPr>
        <w:t>n</w:t>
      </w:r>
      <w:r>
        <w:rPr>
          <w:rFonts w:hint="eastAsia"/>
          <w:szCs w:val="21"/>
        </w:rPr>
        <w:t>代替固定数字的配</w:t>
      </w:r>
      <w:proofErr w:type="gramStart"/>
      <w:r>
        <w:rPr>
          <w:rFonts w:hint="eastAsia"/>
          <w:szCs w:val="21"/>
        </w:rPr>
        <w:t>分表示</w:t>
      </w:r>
      <w:proofErr w:type="gramEnd"/>
      <w:r>
        <w:rPr>
          <w:rFonts w:hint="eastAsia"/>
          <w:szCs w:val="21"/>
        </w:rPr>
        <w:t>方法，</w:t>
      </w:r>
      <w:r w:rsidR="008D3C67">
        <w:rPr>
          <w:rFonts w:hint="eastAsia"/>
          <w:szCs w:val="21"/>
        </w:rPr>
        <w:t>虽然送审稿没有采用这种表示方法，但这一尝试</w:t>
      </w:r>
      <w:r>
        <w:rPr>
          <w:rFonts w:hint="eastAsia"/>
          <w:szCs w:val="21"/>
        </w:rPr>
        <w:t>对今后的此类产品牌号表示方法具有借鉴作用，是为开创性的工作。</w:t>
      </w:r>
    </w:p>
    <w:p w:rsidR="000A7884" w:rsidRDefault="000A7884" w:rsidP="0022743F">
      <w:pPr>
        <w:adjustRightInd w:val="0"/>
        <w:snapToGrid w:val="0"/>
        <w:spacing w:line="360" w:lineRule="auto"/>
        <w:ind w:firstLineChars="199" w:firstLine="418"/>
        <w:rPr>
          <w:szCs w:val="21"/>
        </w:rPr>
      </w:pPr>
      <w:r>
        <w:rPr>
          <w:szCs w:val="21"/>
        </w:rPr>
        <w:t>在本标准的基础之上促使生产方正确采用原材料，合理调整生产工艺，完善检测手段，为用户生产出更满意的产品来，让使用方合理、高效率低消耗地使用本产品。它将会带来技术进步、品种增多、性能提高的竞争局面；对国内生产企业及相关行业的技术进步将产生积极的推动作用；为</w:t>
      </w:r>
      <w:proofErr w:type="gramStart"/>
      <w:r>
        <w:rPr>
          <w:rFonts w:hint="eastAsia"/>
          <w:szCs w:val="21"/>
        </w:rPr>
        <w:t>镧铈</w:t>
      </w:r>
      <w:proofErr w:type="gramEnd"/>
      <w:r>
        <w:rPr>
          <w:rFonts w:hint="eastAsia"/>
          <w:szCs w:val="21"/>
        </w:rPr>
        <w:t>金属</w:t>
      </w:r>
      <w:r>
        <w:rPr>
          <w:szCs w:val="21"/>
        </w:rPr>
        <w:t>产品贸易提供仲裁的依据；为</w:t>
      </w:r>
      <w:proofErr w:type="gramStart"/>
      <w:r>
        <w:rPr>
          <w:rFonts w:hint="eastAsia"/>
          <w:szCs w:val="21"/>
        </w:rPr>
        <w:t>镧铈</w:t>
      </w:r>
      <w:proofErr w:type="gramEnd"/>
      <w:r>
        <w:rPr>
          <w:rFonts w:hint="eastAsia"/>
          <w:szCs w:val="21"/>
        </w:rPr>
        <w:t>金属</w:t>
      </w:r>
      <w:r>
        <w:rPr>
          <w:szCs w:val="21"/>
        </w:rPr>
        <w:t>产品的指标控制提供指导意义。到目前为止，尚未检索到国际上的关于《</w:t>
      </w:r>
      <w:r>
        <w:rPr>
          <w:rFonts w:hint="eastAsia"/>
          <w:szCs w:val="21"/>
        </w:rPr>
        <w:t>镧铈金属</w:t>
      </w:r>
      <w:r>
        <w:rPr>
          <w:szCs w:val="21"/>
        </w:rPr>
        <w:t>》的标准可以参照。制订的《</w:t>
      </w:r>
      <w:r>
        <w:rPr>
          <w:rFonts w:hint="eastAsia"/>
          <w:szCs w:val="21"/>
        </w:rPr>
        <w:t>镧铈金属</w:t>
      </w:r>
      <w:r>
        <w:rPr>
          <w:szCs w:val="21"/>
        </w:rPr>
        <w:t>》标准将达到国际先进水平。</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五、与现行相关法律、法规、规章及相关标准的协调性</w:t>
      </w:r>
    </w:p>
    <w:p w:rsidR="000A7884" w:rsidRDefault="000A7884">
      <w:pPr>
        <w:adjustRightInd w:val="0"/>
        <w:snapToGrid w:val="0"/>
        <w:spacing w:line="360" w:lineRule="auto"/>
        <w:ind w:firstLineChars="150" w:firstLine="315"/>
        <w:rPr>
          <w:szCs w:val="21"/>
          <w:lang w:val="en-US" w:eastAsia="zh-CN"/>
        </w:rPr>
      </w:pPr>
      <w:r>
        <w:rPr>
          <w:szCs w:val="21"/>
          <w:lang w:val="en-US" w:eastAsia="zh-CN"/>
        </w:rPr>
        <w:t>随着现代工业的发展，</w:t>
      </w:r>
      <w:proofErr w:type="gramStart"/>
      <w:r>
        <w:rPr>
          <w:szCs w:val="21"/>
        </w:rPr>
        <w:t>镧铈</w:t>
      </w:r>
      <w:proofErr w:type="gramEnd"/>
      <w:r>
        <w:rPr>
          <w:szCs w:val="21"/>
        </w:rPr>
        <w:t>金属</w:t>
      </w:r>
      <w:r>
        <w:rPr>
          <w:szCs w:val="21"/>
          <w:lang w:val="en-US" w:eastAsia="zh-CN"/>
        </w:rPr>
        <w:t>的应用前景将越来越广泛。制订后的</w:t>
      </w:r>
      <w:proofErr w:type="gramStart"/>
      <w:r>
        <w:rPr>
          <w:szCs w:val="21"/>
        </w:rPr>
        <w:t>镧铈</w:t>
      </w:r>
      <w:proofErr w:type="gramEnd"/>
      <w:r>
        <w:rPr>
          <w:szCs w:val="21"/>
        </w:rPr>
        <w:t>金属</w:t>
      </w:r>
      <w:r>
        <w:rPr>
          <w:szCs w:val="21"/>
          <w:lang w:val="en-US" w:eastAsia="zh-CN"/>
        </w:rPr>
        <w:t>标准将充分反映了当前国内各生产企业的技术水平，便于生产，宜于应用。制订后的标准可为</w:t>
      </w:r>
      <w:proofErr w:type="gramStart"/>
      <w:r>
        <w:rPr>
          <w:szCs w:val="21"/>
        </w:rPr>
        <w:t>镧铈</w:t>
      </w:r>
      <w:proofErr w:type="gramEnd"/>
      <w:r>
        <w:rPr>
          <w:szCs w:val="21"/>
        </w:rPr>
        <w:t>金属</w:t>
      </w:r>
      <w:r>
        <w:rPr>
          <w:szCs w:val="21"/>
          <w:lang w:val="en-US" w:eastAsia="zh-CN"/>
        </w:rPr>
        <w:t>产品贸易提供仲裁的依据；为</w:t>
      </w:r>
      <w:proofErr w:type="gramStart"/>
      <w:r>
        <w:rPr>
          <w:szCs w:val="21"/>
        </w:rPr>
        <w:t>镧铈</w:t>
      </w:r>
      <w:proofErr w:type="gramEnd"/>
      <w:r>
        <w:rPr>
          <w:szCs w:val="21"/>
        </w:rPr>
        <w:t>金属</w:t>
      </w:r>
      <w:r>
        <w:rPr>
          <w:szCs w:val="21"/>
          <w:lang w:val="en-US" w:eastAsia="zh-CN"/>
        </w:rPr>
        <w:t>产品的指标控制提供指导意义。制订的</w:t>
      </w:r>
      <w:proofErr w:type="gramStart"/>
      <w:r>
        <w:rPr>
          <w:szCs w:val="21"/>
        </w:rPr>
        <w:t>镧铈</w:t>
      </w:r>
      <w:proofErr w:type="gramEnd"/>
      <w:r>
        <w:rPr>
          <w:szCs w:val="21"/>
        </w:rPr>
        <w:t>金属</w:t>
      </w:r>
      <w:r>
        <w:rPr>
          <w:szCs w:val="21"/>
          <w:lang w:val="en-US" w:eastAsia="zh-CN"/>
        </w:rPr>
        <w:t>标准符合现有国家产业政策，对于解决稀土贸易纠纷发挥一定的作用。</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六、是否涉及专利及知识产权的说明</w:t>
      </w:r>
    </w:p>
    <w:p w:rsidR="000A7884" w:rsidRDefault="000A7884">
      <w:pPr>
        <w:adjustRightInd w:val="0"/>
        <w:snapToGrid w:val="0"/>
        <w:spacing w:afterLines="50" w:line="360" w:lineRule="auto"/>
        <w:ind w:firstLineChars="150" w:firstLine="315"/>
        <w:rPr>
          <w:szCs w:val="21"/>
        </w:rPr>
      </w:pPr>
      <w:r>
        <w:rPr>
          <w:szCs w:val="21"/>
        </w:rPr>
        <w:t>本文件制订过程中没有检索到专利和知识产权问题。</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七、重大分歧意见的处理过程</w:t>
      </w:r>
    </w:p>
    <w:p w:rsidR="000A7884" w:rsidRDefault="000A7884">
      <w:pPr>
        <w:adjustRightInd w:val="0"/>
        <w:snapToGrid w:val="0"/>
        <w:spacing w:afterLines="50" w:line="360" w:lineRule="auto"/>
        <w:ind w:firstLine="480"/>
        <w:rPr>
          <w:szCs w:val="21"/>
        </w:rPr>
      </w:pPr>
      <w:r>
        <w:rPr>
          <w:szCs w:val="21"/>
        </w:rPr>
        <w:t>本标准属于有色金属领域专业基础标准，编制组根据制订前确定的编制原则进行标准</w:t>
      </w:r>
      <w:r>
        <w:rPr>
          <w:szCs w:val="21"/>
        </w:rPr>
        <w:lastRenderedPageBreak/>
        <w:t>制订，在标准制订稿征求意见过程中未发生重大分歧意见。</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八、作为强制性、推荐性国家标准的建议</w:t>
      </w:r>
    </w:p>
    <w:p w:rsidR="000A7884" w:rsidRDefault="000A7884">
      <w:pPr>
        <w:adjustRightInd w:val="0"/>
        <w:snapToGrid w:val="0"/>
        <w:spacing w:afterLines="50" w:line="360" w:lineRule="auto"/>
        <w:ind w:firstLine="480"/>
        <w:rPr>
          <w:szCs w:val="21"/>
        </w:rPr>
      </w:pPr>
      <w:r>
        <w:rPr>
          <w:szCs w:val="21"/>
        </w:rPr>
        <w:t>制订后的《镧铈金属》标准非常适应市场的需求，因此，建议本标准作为推荐性国家标准发布实施。</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九、贯彻标准的要求和措施建议</w:t>
      </w:r>
    </w:p>
    <w:p w:rsidR="000A7884" w:rsidRDefault="000A7884">
      <w:pPr>
        <w:adjustRightInd w:val="0"/>
        <w:snapToGrid w:val="0"/>
        <w:spacing w:afterLines="50" w:line="360" w:lineRule="auto"/>
        <w:ind w:firstLine="480"/>
        <w:rPr>
          <w:szCs w:val="21"/>
        </w:rPr>
      </w:pPr>
      <w:r>
        <w:rPr>
          <w:szCs w:val="21"/>
        </w:rPr>
        <w:t>制订后的标准颁布实施后，需要国家有关部门组织大力宣传和贯彻，主办各种形式的培训班，才能让稀土企业及相关贸易单位充分认识和理解制订后的标准条款，进而加以应用。</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十、其他应予以说明的事项</w:t>
      </w:r>
    </w:p>
    <w:p w:rsidR="000A7884" w:rsidRDefault="000A7884">
      <w:pPr>
        <w:adjustRightInd w:val="0"/>
        <w:snapToGrid w:val="0"/>
        <w:spacing w:line="360" w:lineRule="auto"/>
        <w:ind w:firstLineChars="100" w:firstLine="210"/>
        <w:rPr>
          <w:szCs w:val="21"/>
        </w:rPr>
      </w:pPr>
      <w:r>
        <w:rPr>
          <w:szCs w:val="21"/>
        </w:rPr>
        <w:t>无其他应予以说明的事项</w:t>
      </w:r>
    </w:p>
    <w:p w:rsidR="000A7884" w:rsidRDefault="000A7884">
      <w:pPr>
        <w:adjustRightInd w:val="0"/>
        <w:snapToGrid w:val="0"/>
        <w:spacing w:beforeLines="50" w:afterLines="50" w:line="360" w:lineRule="auto"/>
        <w:rPr>
          <w:rFonts w:ascii="黑体" w:eastAsia="黑体" w:hAnsi="黑体"/>
          <w:szCs w:val="21"/>
        </w:rPr>
      </w:pPr>
      <w:r>
        <w:rPr>
          <w:rFonts w:ascii="黑体" w:eastAsia="黑体" w:hAnsi="黑体"/>
          <w:szCs w:val="21"/>
        </w:rPr>
        <w:t>十一、推广应用的预期效果</w:t>
      </w:r>
    </w:p>
    <w:p w:rsidR="000A7884" w:rsidRDefault="000A7884" w:rsidP="0022743F">
      <w:pPr>
        <w:adjustRightInd w:val="0"/>
        <w:snapToGrid w:val="0"/>
        <w:spacing w:line="360" w:lineRule="auto"/>
        <w:ind w:firstLineChars="199" w:firstLine="418"/>
        <w:rPr>
          <w:szCs w:val="21"/>
        </w:rPr>
      </w:pPr>
      <w:r>
        <w:rPr>
          <w:szCs w:val="21"/>
        </w:rPr>
        <w:t>推广应用该标准后，它将会带来技术进步、品种增多、性能提高的竞争局面；对国内生产企业及相关行业的技术进步将产生积极的推动作用；为</w:t>
      </w:r>
      <w:proofErr w:type="gramStart"/>
      <w:r>
        <w:rPr>
          <w:szCs w:val="21"/>
        </w:rPr>
        <w:t>镧铈</w:t>
      </w:r>
      <w:proofErr w:type="gramEnd"/>
      <w:r>
        <w:rPr>
          <w:szCs w:val="21"/>
        </w:rPr>
        <w:t>金属产品贸易提供仲裁的依据；为</w:t>
      </w:r>
      <w:proofErr w:type="gramStart"/>
      <w:r>
        <w:rPr>
          <w:szCs w:val="21"/>
        </w:rPr>
        <w:t>镧铈</w:t>
      </w:r>
      <w:proofErr w:type="gramEnd"/>
      <w:r>
        <w:rPr>
          <w:szCs w:val="21"/>
        </w:rPr>
        <w:t>金属的指标控制提供指导意义。</w:t>
      </w:r>
    </w:p>
    <w:p w:rsidR="000A7884" w:rsidRDefault="000A7884">
      <w:pPr>
        <w:tabs>
          <w:tab w:val="left" w:pos="522"/>
        </w:tabs>
        <w:adjustRightInd w:val="0"/>
        <w:snapToGrid w:val="0"/>
        <w:spacing w:line="360" w:lineRule="auto"/>
        <w:ind w:firstLine="482"/>
        <w:rPr>
          <w:rFonts w:hint="eastAsia"/>
          <w:szCs w:val="21"/>
        </w:rPr>
      </w:pPr>
      <w:r>
        <w:rPr>
          <w:szCs w:val="21"/>
        </w:rPr>
        <w:t xml:space="preserve">                                </w:t>
      </w:r>
    </w:p>
    <w:p w:rsidR="000A7884" w:rsidRDefault="000A7884">
      <w:pPr>
        <w:tabs>
          <w:tab w:val="left" w:pos="522"/>
        </w:tabs>
        <w:adjustRightInd w:val="0"/>
        <w:snapToGrid w:val="0"/>
        <w:spacing w:line="360" w:lineRule="auto"/>
        <w:ind w:firstLine="482"/>
        <w:rPr>
          <w:szCs w:val="21"/>
        </w:rPr>
      </w:pPr>
    </w:p>
    <w:p w:rsidR="000A7884" w:rsidRDefault="000A7884">
      <w:pPr>
        <w:tabs>
          <w:tab w:val="left" w:pos="522"/>
        </w:tabs>
        <w:adjustRightInd w:val="0"/>
        <w:snapToGrid w:val="0"/>
        <w:spacing w:line="360" w:lineRule="auto"/>
        <w:ind w:firstLineChars="2300" w:firstLine="4830"/>
        <w:rPr>
          <w:szCs w:val="21"/>
        </w:rPr>
      </w:pPr>
      <w:r>
        <w:rPr>
          <w:rFonts w:hint="eastAsia"/>
          <w:szCs w:val="21"/>
        </w:rPr>
        <w:t>乐山有</w:t>
      </w:r>
      <w:proofErr w:type="gramStart"/>
      <w:r>
        <w:rPr>
          <w:rFonts w:hint="eastAsia"/>
          <w:szCs w:val="21"/>
        </w:rPr>
        <w:t>研</w:t>
      </w:r>
      <w:proofErr w:type="gramEnd"/>
      <w:r>
        <w:rPr>
          <w:rFonts w:hint="eastAsia"/>
          <w:szCs w:val="21"/>
        </w:rPr>
        <w:t>稀土新材料有限公司</w:t>
      </w:r>
    </w:p>
    <w:p w:rsidR="000A7884" w:rsidRDefault="000A7884">
      <w:pPr>
        <w:tabs>
          <w:tab w:val="left" w:pos="522"/>
        </w:tabs>
        <w:adjustRightInd w:val="0"/>
        <w:snapToGrid w:val="0"/>
        <w:spacing w:line="360" w:lineRule="auto"/>
        <w:ind w:firstLine="482"/>
        <w:rPr>
          <w:szCs w:val="21"/>
        </w:rPr>
      </w:pPr>
      <w:r>
        <w:rPr>
          <w:szCs w:val="21"/>
        </w:rPr>
        <w:t xml:space="preserve">                                           </w:t>
      </w:r>
      <w:r>
        <w:rPr>
          <w:szCs w:val="21"/>
        </w:rPr>
        <w:t>二〇一</w:t>
      </w:r>
      <w:r>
        <w:rPr>
          <w:rFonts w:hint="eastAsia"/>
          <w:szCs w:val="21"/>
        </w:rPr>
        <w:t>九</w:t>
      </w:r>
      <w:r>
        <w:rPr>
          <w:szCs w:val="21"/>
        </w:rPr>
        <w:t>年</w:t>
      </w:r>
      <w:r w:rsidR="0014203F">
        <w:rPr>
          <w:rFonts w:hint="eastAsia"/>
          <w:szCs w:val="21"/>
        </w:rPr>
        <w:t>八</w:t>
      </w:r>
      <w:r>
        <w:rPr>
          <w:szCs w:val="21"/>
        </w:rPr>
        <w:t>月</w:t>
      </w:r>
      <w:r w:rsidR="0014203F">
        <w:rPr>
          <w:rFonts w:hint="eastAsia"/>
          <w:szCs w:val="21"/>
        </w:rPr>
        <w:t>二十八</w:t>
      </w:r>
      <w:r>
        <w:rPr>
          <w:szCs w:val="21"/>
        </w:rPr>
        <w:t>日</w:t>
      </w:r>
    </w:p>
    <w:sectPr w:rsidR="000A788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AC" w:rsidRDefault="00D54CAC" w:rsidP="0022743F">
      <w:r>
        <w:separator/>
      </w:r>
    </w:p>
  </w:endnote>
  <w:endnote w:type="continuationSeparator" w:id="0">
    <w:p w:rsidR="00D54CAC" w:rsidRDefault="00D54CAC" w:rsidP="00227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AC" w:rsidRDefault="00D54CAC" w:rsidP="0022743F">
      <w:r>
        <w:separator/>
      </w:r>
    </w:p>
  </w:footnote>
  <w:footnote w:type="continuationSeparator" w:id="0">
    <w:p w:rsidR="00D54CAC" w:rsidRDefault="00D54CAC" w:rsidP="00227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009"/>
    <w:multiLevelType w:val="hybridMultilevel"/>
    <w:tmpl w:val="DEF4FBA4"/>
    <w:lvl w:ilvl="0" w:tplc="DD9E9F1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120C19"/>
    <w:multiLevelType w:val="hybridMultilevel"/>
    <w:tmpl w:val="13621742"/>
    <w:lvl w:ilvl="0" w:tplc="B344BDA0">
      <w:start w:val="1"/>
      <w:numFmt w:val="decimal"/>
      <w:lvlText w:val="%1、"/>
      <w:lvlJc w:val="left"/>
      <w:pPr>
        <w:ind w:left="360" w:hanging="360"/>
      </w:pPr>
      <w:rPr>
        <w:rFonts w:ascii="Calibri" w:cs="Times New Roman"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F14FC8"/>
    <w:multiLevelType w:val="multilevel"/>
    <w:tmpl w:val="34F14FC8"/>
    <w:lvl w:ilvl="0">
      <w:start w:val="1"/>
      <w:numFmt w:val="decimal"/>
      <w:lvlText w:val="（%1）"/>
      <w:lvlJc w:val="left"/>
      <w:pPr>
        <w:ind w:left="840"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18E71A9"/>
    <w:multiLevelType w:val="hybridMultilevel"/>
    <w:tmpl w:val="54E2C4A2"/>
    <w:lvl w:ilvl="0">
      <w:start w:val="1"/>
      <w:numFmt w:val="decimal"/>
      <w:lvlText w:val="（%1）"/>
      <w:lvlJc w:val="left"/>
      <w:pPr>
        <w:ind w:left="840" w:hanging="420"/>
      </w:pPr>
      <w:rPr>
        <w:rFonts w:eastAsia="黑体" w:hint="eastAsia"/>
        <w:color w:val="auto"/>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59DC22EC"/>
    <w:multiLevelType w:val="multilevel"/>
    <w:tmpl w:val="59DC22EC"/>
    <w:lvl w:ilvl="0">
      <w:start w:val="1"/>
      <w:numFmt w:val="decimal"/>
      <w:lvlText w:val="（%1）"/>
      <w:lvlJc w:val="left"/>
      <w:pPr>
        <w:ind w:left="902" w:hanging="420"/>
      </w:pPr>
      <w:rPr>
        <w:rFonts w:eastAsia="黑体" w:hint="eastAsia"/>
        <w:color w:val="auto"/>
        <w:sz w:val="21"/>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5BFA4FF6"/>
    <w:multiLevelType w:val="hybridMultilevel"/>
    <w:tmpl w:val="9C12027C"/>
    <w:lvl w:ilvl="0">
      <w:start w:val="1"/>
      <w:numFmt w:val="decimal"/>
      <w:lvlText w:val="（%1）"/>
      <w:lvlJc w:val="left"/>
      <w:pPr>
        <w:ind w:left="840" w:hanging="420"/>
      </w:pPr>
      <w:rPr>
        <w:rFonts w:eastAsia="黑体" w:hint="eastAsia"/>
        <w:color w:val="auto"/>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C6F"/>
    <w:rsid w:val="000068F3"/>
    <w:rsid w:val="00016EEE"/>
    <w:rsid w:val="00053B98"/>
    <w:rsid w:val="00065819"/>
    <w:rsid w:val="00066E5B"/>
    <w:rsid w:val="00075BF5"/>
    <w:rsid w:val="000A7884"/>
    <w:rsid w:val="000D6FD2"/>
    <w:rsid w:val="000E3F8A"/>
    <w:rsid w:val="000E4170"/>
    <w:rsid w:val="00103FF7"/>
    <w:rsid w:val="00115BCC"/>
    <w:rsid w:val="00123CFA"/>
    <w:rsid w:val="00124315"/>
    <w:rsid w:val="00140586"/>
    <w:rsid w:val="001418DE"/>
    <w:rsid w:val="00141E18"/>
    <w:rsid w:val="0014203F"/>
    <w:rsid w:val="001469AF"/>
    <w:rsid w:val="00157861"/>
    <w:rsid w:val="0017252A"/>
    <w:rsid w:val="00186F2F"/>
    <w:rsid w:val="001B2C4C"/>
    <w:rsid w:val="001C654C"/>
    <w:rsid w:val="001D18A5"/>
    <w:rsid w:val="001D5293"/>
    <w:rsid w:val="001E25DF"/>
    <w:rsid w:val="001E2A76"/>
    <w:rsid w:val="001F671A"/>
    <w:rsid w:val="0020556A"/>
    <w:rsid w:val="0022261F"/>
    <w:rsid w:val="0022726D"/>
    <w:rsid w:val="0022743F"/>
    <w:rsid w:val="00237ED8"/>
    <w:rsid w:val="002440BC"/>
    <w:rsid w:val="00247C81"/>
    <w:rsid w:val="00261451"/>
    <w:rsid w:val="00295D0B"/>
    <w:rsid w:val="002A75EF"/>
    <w:rsid w:val="002A7752"/>
    <w:rsid w:val="002C59B0"/>
    <w:rsid w:val="002F77CE"/>
    <w:rsid w:val="00314468"/>
    <w:rsid w:val="0033038A"/>
    <w:rsid w:val="003321BB"/>
    <w:rsid w:val="003409AD"/>
    <w:rsid w:val="00350FEF"/>
    <w:rsid w:val="003525EB"/>
    <w:rsid w:val="00353127"/>
    <w:rsid w:val="0035450B"/>
    <w:rsid w:val="0036025C"/>
    <w:rsid w:val="00362F7C"/>
    <w:rsid w:val="003728BB"/>
    <w:rsid w:val="00377163"/>
    <w:rsid w:val="00384683"/>
    <w:rsid w:val="0038542F"/>
    <w:rsid w:val="00390D74"/>
    <w:rsid w:val="003A3874"/>
    <w:rsid w:val="003A584D"/>
    <w:rsid w:val="004351D3"/>
    <w:rsid w:val="00451802"/>
    <w:rsid w:val="00452B02"/>
    <w:rsid w:val="00477B4E"/>
    <w:rsid w:val="00490448"/>
    <w:rsid w:val="00496365"/>
    <w:rsid w:val="004A6879"/>
    <w:rsid w:val="004C3214"/>
    <w:rsid w:val="004D3884"/>
    <w:rsid w:val="004D3D19"/>
    <w:rsid w:val="004E192A"/>
    <w:rsid w:val="004F0280"/>
    <w:rsid w:val="005166D5"/>
    <w:rsid w:val="00527ECE"/>
    <w:rsid w:val="00532066"/>
    <w:rsid w:val="00532AB1"/>
    <w:rsid w:val="00534C42"/>
    <w:rsid w:val="00537B7A"/>
    <w:rsid w:val="00556C7E"/>
    <w:rsid w:val="005604BA"/>
    <w:rsid w:val="00560C82"/>
    <w:rsid w:val="0056115B"/>
    <w:rsid w:val="0056568A"/>
    <w:rsid w:val="005726B0"/>
    <w:rsid w:val="005817F5"/>
    <w:rsid w:val="005B23FE"/>
    <w:rsid w:val="005D1E94"/>
    <w:rsid w:val="005E636E"/>
    <w:rsid w:val="005E7093"/>
    <w:rsid w:val="005F72B2"/>
    <w:rsid w:val="00611B63"/>
    <w:rsid w:val="006178D8"/>
    <w:rsid w:val="0063717E"/>
    <w:rsid w:val="0064035D"/>
    <w:rsid w:val="00656B89"/>
    <w:rsid w:val="00671EE9"/>
    <w:rsid w:val="00687C23"/>
    <w:rsid w:val="006908B1"/>
    <w:rsid w:val="006A235A"/>
    <w:rsid w:val="006A3648"/>
    <w:rsid w:val="006B3521"/>
    <w:rsid w:val="006F401C"/>
    <w:rsid w:val="006F51D0"/>
    <w:rsid w:val="006F549D"/>
    <w:rsid w:val="006F6268"/>
    <w:rsid w:val="00725414"/>
    <w:rsid w:val="007443CD"/>
    <w:rsid w:val="007513B9"/>
    <w:rsid w:val="00755B61"/>
    <w:rsid w:val="00764A6A"/>
    <w:rsid w:val="00767622"/>
    <w:rsid w:val="00767E84"/>
    <w:rsid w:val="007745DB"/>
    <w:rsid w:val="00797517"/>
    <w:rsid w:val="007C421E"/>
    <w:rsid w:val="007C7CC5"/>
    <w:rsid w:val="007D0A97"/>
    <w:rsid w:val="007E5212"/>
    <w:rsid w:val="007E7B57"/>
    <w:rsid w:val="00801234"/>
    <w:rsid w:val="00813035"/>
    <w:rsid w:val="00813F49"/>
    <w:rsid w:val="00815092"/>
    <w:rsid w:val="00822776"/>
    <w:rsid w:val="00824167"/>
    <w:rsid w:val="00830B5E"/>
    <w:rsid w:val="00844021"/>
    <w:rsid w:val="008A09BF"/>
    <w:rsid w:val="008A0C50"/>
    <w:rsid w:val="008D3C67"/>
    <w:rsid w:val="008D61DA"/>
    <w:rsid w:val="008F6664"/>
    <w:rsid w:val="00901061"/>
    <w:rsid w:val="00915B9D"/>
    <w:rsid w:val="00916151"/>
    <w:rsid w:val="00931A4F"/>
    <w:rsid w:val="00935F8D"/>
    <w:rsid w:val="0095045B"/>
    <w:rsid w:val="00961680"/>
    <w:rsid w:val="009634DE"/>
    <w:rsid w:val="00963E94"/>
    <w:rsid w:val="00973D10"/>
    <w:rsid w:val="00990B04"/>
    <w:rsid w:val="00991415"/>
    <w:rsid w:val="009B4B05"/>
    <w:rsid w:val="009D1274"/>
    <w:rsid w:val="009E6074"/>
    <w:rsid w:val="009F4CA0"/>
    <w:rsid w:val="00A03671"/>
    <w:rsid w:val="00A2412F"/>
    <w:rsid w:val="00A24B7A"/>
    <w:rsid w:val="00A4565D"/>
    <w:rsid w:val="00A51643"/>
    <w:rsid w:val="00A74B86"/>
    <w:rsid w:val="00A82846"/>
    <w:rsid w:val="00A92C6B"/>
    <w:rsid w:val="00AD186B"/>
    <w:rsid w:val="00AD7376"/>
    <w:rsid w:val="00AF1C4E"/>
    <w:rsid w:val="00B05183"/>
    <w:rsid w:val="00B05889"/>
    <w:rsid w:val="00B302B0"/>
    <w:rsid w:val="00B43039"/>
    <w:rsid w:val="00B508EB"/>
    <w:rsid w:val="00B66189"/>
    <w:rsid w:val="00B700BA"/>
    <w:rsid w:val="00B749C6"/>
    <w:rsid w:val="00B804F5"/>
    <w:rsid w:val="00B86F8B"/>
    <w:rsid w:val="00B9261B"/>
    <w:rsid w:val="00BC7363"/>
    <w:rsid w:val="00BE0A74"/>
    <w:rsid w:val="00BE5FCE"/>
    <w:rsid w:val="00BF3F40"/>
    <w:rsid w:val="00C01AF9"/>
    <w:rsid w:val="00C26916"/>
    <w:rsid w:val="00C31C7D"/>
    <w:rsid w:val="00C34239"/>
    <w:rsid w:val="00C344DF"/>
    <w:rsid w:val="00C536B6"/>
    <w:rsid w:val="00C53B89"/>
    <w:rsid w:val="00C60338"/>
    <w:rsid w:val="00C72B93"/>
    <w:rsid w:val="00C76504"/>
    <w:rsid w:val="00C867F2"/>
    <w:rsid w:val="00CA27F8"/>
    <w:rsid w:val="00CC543F"/>
    <w:rsid w:val="00CC7696"/>
    <w:rsid w:val="00CF1DE2"/>
    <w:rsid w:val="00CF71BB"/>
    <w:rsid w:val="00D00F84"/>
    <w:rsid w:val="00D05424"/>
    <w:rsid w:val="00D10A26"/>
    <w:rsid w:val="00D2080F"/>
    <w:rsid w:val="00D25426"/>
    <w:rsid w:val="00D36C7B"/>
    <w:rsid w:val="00D41EAC"/>
    <w:rsid w:val="00D533AA"/>
    <w:rsid w:val="00D54CAC"/>
    <w:rsid w:val="00D611A7"/>
    <w:rsid w:val="00D65A7F"/>
    <w:rsid w:val="00D663D7"/>
    <w:rsid w:val="00D74675"/>
    <w:rsid w:val="00D763D2"/>
    <w:rsid w:val="00D802BF"/>
    <w:rsid w:val="00D95E16"/>
    <w:rsid w:val="00DC0CE4"/>
    <w:rsid w:val="00DD317B"/>
    <w:rsid w:val="00DE53B3"/>
    <w:rsid w:val="00E052EE"/>
    <w:rsid w:val="00E053D2"/>
    <w:rsid w:val="00E07F5E"/>
    <w:rsid w:val="00E164DA"/>
    <w:rsid w:val="00E21754"/>
    <w:rsid w:val="00E2792B"/>
    <w:rsid w:val="00E46280"/>
    <w:rsid w:val="00E54EDF"/>
    <w:rsid w:val="00E569B4"/>
    <w:rsid w:val="00E64339"/>
    <w:rsid w:val="00E83BB8"/>
    <w:rsid w:val="00E85126"/>
    <w:rsid w:val="00E94355"/>
    <w:rsid w:val="00E96B1A"/>
    <w:rsid w:val="00EA41DC"/>
    <w:rsid w:val="00EA70FA"/>
    <w:rsid w:val="00EB1F66"/>
    <w:rsid w:val="00ED06E0"/>
    <w:rsid w:val="00ED3977"/>
    <w:rsid w:val="00EE25DC"/>
    <w:rsid w:val="00EE4A34"/>
    <w:rsid w:val="00F05FE1"/>
    <w:rsid w:val="00F129EA"/>
    <w:rsid w:val="00F1346B"/>
    <w:rsid w:val="00F1415E"/>
    <w:rsid w:val="00F254CA"/>
    <w:rsid w:val="00F64AEB"/>
    <w:rsid w:val="00F7037E"/>
    <w:rsid w:val="00F7253A"/>
    <w:rsid w:val="00F75CB5"/>
    <w:rsid w:val="00F9025C"/>
    <w:rsid w:val="00FA1D47"/>
    <w:rsid w:val="00FC18A8"/>
    <w:rsid w:val="00FC4F70"/>
    <w:rsid w:val="00FD7A72"/>
    <w:rsid w:val="00FE026E"/>
    <w:rsid w:val="00FE3DB5"/>
    <w:rsid w:val="68F35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rPr>
  </w:style>
  <w:style w:type="character" w:customStyle="1" w:styleId="Char0">
    <w:name w:val="正文文本缩进 Char"/>
    <w:link w:val="a4"/>
    <w:locked/>
    <w:rPr>
      <w:rFonts w:ascii="宋体" w:eastAsia="宋体" w:hAnsi="宋体"/>
      <w:lang w:bidi="ar-SA"/>
    </w:rPr>
  </w:style>
  <w:style w:type="character" w:customStyle="1" w:styleId="Char1">
    <w:name w:val="页眉 Char"/>
    <w:link w:val="a5"/>
    <w:rPr>
      <w:kern w:val="2"/>
      <w:sz w:val="18"/>
    </w:rPr>
  </w:style>
  <w:style w:type="character" w:customStyle="1" w:styleId="Char2">
    <w:name w:val="段 Char"/>
    <w:link w:val="a6"/>
    <w:rPr>
      <w:rFonts w:ascii="宋体"/>
      <w:sz w:val="21"/>
      <w:lang w:val="en-US" w:eastAsia="zh-CN" w:bidi="ar-SA"/>
    </w:rPr>
  </w:style>
  <w:style w:type="paragraph" w:styleId="a7">
    <w:name w:val="Balloon Text"/>
    <w:basedOn w:val="a"/>
    <w:rPr>
      <w:sz w:val="18"/>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a9">
    <w:name w:val="前言、引言标题"/>
    <w:next w:val="a"/>
    <w:pPr>
      <w:shd w:val="clear" w:color="FFFFFF" w:fill="FFFFFF"/>
      <w:spacing w:before="640" w:after="560"/>
      <w:jc w:val="center"/>
      <w:outlineLvl w:val="0"/>
    </w:pPr>
    <w:rPr>
      <w:rFonts w:ascii="黑体" w:eastAsia="黑体"/>
      <w:sz w:val="32"/>
    </w:rPr>
  </w:style>
  <w:style w:type="paragraph" w:styleId="a3">
    <w:name w:val="footer"/>
    <w:basedOn w:val="a"/>
    <w:link w:val="Char"/>
    <w:pPr>
      <w:tabs>
        <w:tab w:val="center" w:pos="4153"/>
        <w:tab w:val="right" w:pos="8306"/>
      </w:tabs>
      <w:snapToGrid w:val="0"/>
      <w:jc w:val="left"/>
    </w:pPr>
    <w:rPr>
      <w:sz w:val="18"/>
      <w:lang/>
    </w:rPr>
  </w:style>
  <w:style w:type="paragraph" w:styleId="a5">
    <w:name w:val="header"/>
    <w:basedOn w:val="a"/>
    <w:link w:val="Char1"/>
    <w:pPr>
      <w:pBdr>
        <w:bottom w:val="single" w:sz="6" w:space="1" w:color="auto"/>
      </w:pBdr>
      <w:tabs>
        <w:tab w:val="center" w:pos="4153"/>
        <w:tab w:val="right" w:pos="8306"/>
      </w:tabs>
      <w:snapToGrid w:val="0"/>
      <w:jc w:val="center"/>
    </w:pPr>
    <w:rPr>
      <w:sz w:val="18"/>
      <w:lang/>
    </w:rPr>
  </w:style>
  <w:style w:type="paragraph" w:styleId="aa">
    <w:name w:val="Date"/>
    <w:basedOn w:val="a"/>
    <w:next w:val="a"/>
    <w:pPr>
      <w:ind w:leftChars="2500" w:left="100"/>
    </w:pPr>
    <w:rPr>
      <w:rFonts w:ascii="宋体" w:hAnsi="宋体"/>
      <w:sz w:val="28"/>
    </w:rPr>
  </w:style>
  <w:style w:type="paragraph" w:styleId="a4">
    <w:name w:val="Body Text Indent"/>
    <w:basedOn w:val="a"/>
    <w:link w:val="Char0"/>
    <w:pPr>
      <w:spacing w:after="120"/>
      <w:ind w:leftChars="200"/>
    </w:pPr>
    <w:rPr>
      <w:rFonts w:ascii="宋体" w:hAnsi="宋体"/>
      <w:kern w:val="0"/>
      <w:sz w:val="20"/>
      <w:lang/>
    </w:rPr>
  </w:style>
  <w:style w:type="paragraph" w:customStyle="1" w:styleId="ab">
    <w:name w:val="二级条标题"/>
    <w:basedOn w:val="ac"/>
    <w:next w:val="a6"/>
    <w:pPr>
      <w:tabs>
        <w:tab w:val="clear" w:pos="1418"/>
      </w:tabs>
      <w:outlineLvl w:val="3"/>
    </w:pPr>
  </w:style>
  <w:style w:type="paragraph" w:customStyle="1" w:styleId="ad">
    <w:name w:val="封面标准英文名称"/>
    <w:pPr>
      <w:widowControl w:val="0"/>
      <w:spacing w:before="370" w:line="400" w:lineRule="exact"/>
      <w:jc w:val="center"/>
    </w:pPr>
    <w:rPr>
      <w:sz w:val="28"/>
    </w:rPr>
  </w:style>
  <w:style w:type="paragraph" w:customStyle="1" w:styleId="ae">
    <w:name w:val="章标题"/>
    <w:next w:val="a6"/>
    <w:pPr>
      <w:spacing w:before="50" w:after="50"/>
      <w:jc w:val="both"/>
      <w:outlineLvl w:val="1"/>
    </w:pPr>
    <w:rPr>
      <w:rFonts w:ascii="黑体" w:eastAsia="黑体"/>
      <w:sz w:val="21"/>
    </w:rPr>
  </w:style>
  <w:style w:type="paragraph" w:customStyle="1" w:styleId="ac">
    <w:name w:val="一级条标题"/>
    <w:basedOn w:val="a"/>
    <w:next w:val="a6"/>
    <w:pPr>
      <w:widowControl/>
      <w:tabs>
        <w:tab w:val="left" w:pos="1418"/>
      </w:tabs>
      <w:outlineLvl w:val="2"/>
    </w:pPr>
    <w:rPr>
      <w:rFonts w:ascii="黑体" w:eastAsia="黑体"/>
      <w:kern w:val="0"/>
    </w:rPr>
  </w:style>
  <w:style w:type="paragraph" w:customStyle="1" w:styleId="a6">
    <w:name w:val="段"/>
    <w:link w:val="Char2"/>
    <w:pPr>
      <w:autoSpaceDE w:val="0"/>
      <w:autoSpaceDN w:val="0"/>
      <w:ind w:firstLineChars="200" w:firstLine="200"/>
      <w:jc w:val="both"/>
    </w:pPr>
    <w:rPr>
      <w:rFonts w:ascii="宋体"/>
      <w:sz w:val="21"/>
    </w:rPr>
  </w:style>
  <w:style w:type="paragraph" w:customStyle="1" w:styleId="af">
    <w:name w:val="五级条标题"/>
    <w:basedOn w:val="af0"/>
    <w:next w:val="a6"/>
    <w:pPr>
      <w:outlineLvl w:val="6"/>
    </w:pPr>
  </w:style>
  <w:style w:type="paragraph" w:customStyle="1" w:styleId="af0">
    <w:name w:val="四级条标题"/>
    <w:basedOn w:val="af1"/>
    <w:next w:val="a6"/>
    <w:pPr>
      <w:outlineLvl w:val="5"/>
    </w:pPr>
  </w:style>
  <w:style w:type="paragraph" w:customStyle="1" w:styleId="af1">
    <w:name w:val="三级条标题"/>
    <w:basedOn w:val="ab"/>
    <w:next w:val="a6"/>
    <w:pPr>
      <w:outlineLvl w:val="4"/>
    </w:pPr>
  </w:style>
  <w:style w:type="paragraph" w:customStyle="1" w:styleId="af2">
    <w:name w:val="封面标准文稿编辑信息"/>
    <w:pPr>
      <w:spacing w:before="180" w:line="180" w:lineRule="exact"/>
      <w:jc w:val="center"/>
    </w:pPr>
    <w:rPr>
      <w:rFonts w:ascii="宋体"/>
      <w:sz w:val="21"/>
    </w:rPr>
  </w:style>
  <w:style w:type="paragraph" w:customStyle="1" w:styleId="af3">
    <w:name w:val="发布部门"/>
    <w:next w:val="a"/>
    <w:pPr>
      <w:jc w:val="center"/>
    </w:pPr>
    <w:rPr>
      <w:rFonts w:ascii="宋体"/>
      <w:b/>
      <w:spacing w:val="20"/>
      <w:w w:val="135"/>
      <w:sz w:val="36"/>
    </w:rPr>
  </w:style>
  <w:style w:type="paragraph" w:customStyle="1" w:styleId="CharCharCharChar">
    <w:name w:val="Char Char Char Char"/>
    <w:basedOn w:val="a"/>
    <w:pPr>
      <w:widowControl/>
      <w:spacing w:after="160" w:line="240" w:lineRule="exact"/>
      <w:jc w:val="left"/>
    </w:pPr>
    <w:rPr>
      <w:rFonts w:ascii="Verdana" w:hAnsi="Verdana"/>
      <w:kern w:val="0"/>
      <w:sz w:val="18"/>
      <w:lang w:eastAsia="en-US"/>
    </w:rPr>
  </w:style>
  <w:style w:type="paragraph" w:styleId="af4">
    <w:name w:val="List Paragraph"/>
    <w:basedOn w:val="a"/>
    <w:uiPriority w:val="34"/>
    <w:qFormat/>
    <w:pPr>
      <w:ind w:firstLineChars="200" w:firstLine="420"/>
    </w:pPr>
    <w:rPr>
      <w:rFonts w:ascii="Calibri" w:hAnsi="Calibri"/>
      <w:szCs w:val="22"/>
    </w:rPr>
  </w:style>
  <w:style w:type="paragraph" w:customStyle="1" w:styleId="af5">
    <w:name w:val="标准"/>
    <w:basedOn w:val="a"/>
    <w:pPr>
      <w:adjustRightInd w:val="0"/>
      <w:spacing w:line="312" w:lineRule="atLeast"/>
      <w:jc w:val="center"/>
      <w:textAlignment w:val="baseline"/>
    </w:pPr>
    <w:rPr>
      <w:kern w:val="0"/>
    </w:rPr>
  </w:style>
  <w:style w:type="paragraph" w:customStyle="1" w:styleId="af6">
    <w:name w:val="正文表标题"/>
    <w:next w:val="a6"/>
    <w:pPr>
      <w:numPr>
        <w:numId w:val="1"/>
      </w:numPr>
      <w:jc w:val="center"/>
    </w:pPr>
    <w:rPr>
      <w:rFonts w:ascii="黑体" w:eastAsia="黑体"/>
      <w:sz w:val="21"/>
    </w:rPr>
  </w:style>
  <w:style w:type="paragraph" w:customStyle="1" w:styleId="CharCharCharChar0">
    <w:name w:val=" Char Char Char Char"/>
    <w:basedOn w:val="a"/>
    <w:pPr>
      <w:widowControl/>
      <w:spacing w:after="160" w:line="240" w:lineRule="exact"/>
      <w:jc w:val="left"/>
    </w:pPr>
    <w:rPr>
      <w:rFonts w:ascii="Verdana" w:hAnsi="Verdana"/>
      <w:kern w:val="0"/>
      <w:sz w:val="18"/>
      <w:lang w:eastAsia="en-US"/>
    </w:rPr>
  </w:style>
  <w:style w:type="character" w:styleId="af7">
    <w:name w:val="Hyperlink"/>
    <w:basedOn w:val="a0"/>
    <w:uiPriority w:val="99"/>
    <w:unhideWhenUsed/>
    <w:rsid w:val="00F9025C"/>
    <w:rPr>
      <w:color w:val="0000FF"/>
      <w:u w:val="single"/>
    </w:rPr>
  </w:style>
  <w:style w:type="table" w:styleId="af8">
    <w:name w:val="Table Grid"/>
    <w:basedOn w:val="a1"/>
    <w:uiPriority w:val="59"/>
    <w:rsid w:val="00F9025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4318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xd9805@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1154</Words>
  <Characters>6581</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7720</CharactersWithSpaces>
  <SharedDoc>false</SharedDoc>
  <HLinks>
    <vt:vector size="6" baseType="variant">
      <vt:variant>
        <vt:i4>7602188</vt:i4>
      </vt:variant>
      <vt:variant>
        <vt:i4>0</vt:i4>
      </vt:variant>
      <vt:variant>
        <vt:i4>0</vt:i4>
      </vt:variant>
      <vt:variant>
        <vt:i4>5</vt:i4>
      </vt:variant>
      <vt:variant>
        <vt:lpwstr>mailto:sxd9805@163.com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微软用户</dc:creator>
  <cp:lastModifiedBy>Luanwzh</cp:lastModifiedBy>
  <cp:revision>9</cp:revision>
  <cp:lastPrinted>2009-10-28T01:26:00Z</cp:lastPrinted>
  <dcterms:created xsi:type="dcterms:W3CDTF">2019-09-06T03:08:00Z</dcterms:created>
  <dcterms:modified xsi:type="dcterms:W3CDTF">2019-09-06T05:48:00Z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