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b/>
          <w:sz w:val="32"/>
          <w:szCs w:val="32"/>
        </w:rPr>
      </w:pPr>
      <w:r>
        <w:rPr>
          <w:rFonts w:hint="eastAsia" w:ascii="黑体" w:hAnsi="黑体" w:eastAsia="黑体"/>
          <w:b/>
          <w:sz w:val="32"/>
          <w:szCs w:val="32"/>
        </w:rPr>
        <w:t>国标《白光</w:t>
      </w:r>
      <w:r>
        <w:rPr>
          <w:rFonts w:ascii="黑体" w:hAnsi="黑体" w:eastAsia="黑体"/>
          <w:b/>
          <w:sz w:val="32"/>
          <w:szCs w:val="32"/>
        </w:rPr>
        <w:t>LED</w:t>
      </w:r>
      <w:r>
        <w:rPr>
          <w:rFonts w:hint="eastAsia" w:ascii="黑体" w:hAnsi="黑体" w:eastAsia="黑体"/>
          <w:b/>
          <w:sz w:val="32"/>
          <w:szCs w:val="32"/>
        </w:rPr>
        <w:t>用荧光粉量子效率测试方法》（</w:t>
      </w:r>
      <w:r>
        <w:rPr>
          <w:rFonts w:hint="eastAsia" w:ascii="黑体" w:hAnsi="黑体" w:eastAsia="黑体"/>
          <w:b/>
          <w:sz w:val="32"/>
          <w:szCs w:val="32"/>
          <w:lang w:eastAsia="zh-CN"/>
        </w:rPr>
        <w:t>送审</w:t>
      </w:r>
      <w:r>
        <w:rPr>
          <w:rFonts w:hint="eastAsia" w:ascii="黑体" w:hAnsi="黑体" w:eastAsia="黑体"/>
          <w:b/>
          <w:sz w:val="32"/>
          <w:szCs w:val="32"/>
        </w:rPr>
        <w:t>稿）</w:t>
      </w:r>
    </w:p>
    <w:p>
      <w:pPr>
        <w:jc w:val="center"/>
        <w:rPr>
          <w:rFonts w:ascii="黑体" w:hAnsi="黑体" w:eastAsia="黑体"/>
          <w:b/>
          <w:sz w:val="32"/>
          <w:szCs w:val="32"/>
        </w:rPr>
      </w:pPr>
      <w:r>
        <w:rPr>
          <w:rFonts w:hint="eastAsia" w:ascii="黑体" w:hAnsi="黑体" w:eastAsia="黑体"/>
          <w:b/>
          <w:sz w:val="32"/>
          <w:szCs w:val="32"/>
        </w:rPr>
        <w:t>编制说明</w:t>
      </w:r>
    </w:p>
    <w:p>
      <w:pPr>
        <w:adjustRightInd w:val="0"/>
        <w:snapToGrid w:val="0"/>
        <w:spacing w:line="360" w:lineRule="auto"/>
        <w:rPr>
          <w:rFonts w:eastAsia="黑体"/>
          <w:szCs w:val="21"/>
        </w:rPr>
      </w:pPr>
      <w:r>
        <w:rPr>
          <w:rFonts w:hint="eastAsia" w:hAnsi="黑体" w:eastAsia="黑体"/>
          <w:szCs w:val="21"/>
        </w:rPr>
        <w:t>一、工作简况</w:t>
      </w:r>
    </w:p>
    <w:p>
      <w:pPr>
        <w:tabs>
          <w:tab w:val="left" w:pos="522"/>
        </w:tabs>
        <w:adjustRightInd w:val="0"/>
        <w:snapToGrid w:val="0"/>
        <w:spacing w:before="156" w:beforeLines="50" w:line="360" w:lineRule="auto"/>
        <w:jc w:val="left"/>
        <w:rPr>
          <w:rFonts w:ascii="黑体" w:hAnsi="黑体" w:eastAsia="黑体"/>
          <w:szCs w:val="21"/>
        </w:rPr>
      </w:pPr>
      <w:r>
        <w:rPr>
          <w:rFonts w:ascii="黑体" w:hAnsi="黑体" w:eastAsia="黑体"/>
          <w:szCs w:val="21"/>
        </w:rPr>
        <w:t>1.1</w:t>
      </w:r>
      <w:r>
        <w:rPr>
          <w:rFonts w:hint="eastAsia" w:ascii="黑体" w:hAnsi="黑体" w:eastAsia="黑体"/>
          <w:szCs w:val="21"/>
        </w:rPr>
        <w:t>立项目的及意义</w:t>
      </w:r>
    </w:p>
    <w:p>
      <w:pPr>
        <w:tabs>
          <w:tab w:val="left" w:pos="522"/>
        </w:tabs>
        <w:adjustRightInd w:val="0"/>
        <w:snapToGrid w:val="0"/>
        <w:spacing w:before="156" w:beforeLines="50" w:line="360" w:lineRule="auto"/>
        <w:ind w:firstLine="420" w:firstLineChars="200"/>
        <w:jc w:val="left"/>
        <w:rPr>
          <w:szCs w:val="21"/>
        </w:rPr>
      </w:pPr>
      <w:r>
        <w:rPr>
          <w:rFonts w:hint="eastAsia"/>
          <w:szCs w:val="21"/>
        </w:rPr>
        <w:t>以</w:t>
      </w:r>
      <w:r>
        <w:rPr>
          <w:szCs w:val="21"/>
        </w:rPr>
        <w:t>LED</w:t>
      </w:r>
      <w:r>
        <w:rPr>
          <w:rFonts w:hint="eastAsia"/>
          <w:szCs w:val="21"/>
        </w:rPr>
        <w:t>（</w:t>
      </w:r>
      <w:r>
        <w:rPr>
          <w:szCs w:val="21"/>
        </w:rPr>
        <w:t>Light Emitting Diode</w:t>
      </w:r>
      <w:r>
        <w:rPr>
          <w:rFonts w:hint="eastAsia"/>
          <w:szCs w:val="21"/>
        </w:rPr>
        <w:t>，发光二极管）为代表的半导体照明技术因其具有节能、环保、体积小、全固态、使用寿命长等优点，是继白炽灯</w:t>
      </w:r>
      <w:bookmarkStart w:id="2" w:name="_GoBack"/>
      <w:bookmarkEnd w:id="2"/>
      <w:r>
        <w:rPr>
          <w:rFonts w:hint="eastAsia"/>
          <w:szCs w:val="21"/>
        </w:rPr>
        <w:t>、荧光灯、高强度气体放电灯之后的第四代光源。国际调研机构</w:t>
      </w:r>
      <w:r>
        <w:rPr>
          <w:szCs w:val="21"/>
        </w:rPr>
        <w:t>LED inside</w:t>
      </w:r>
      <w:r>
        <w:rPr>
          <w:rFonts w:hint="eastAsia"/>
          <w:szCs w:val="21"/>
        </w:rPr>
        <w:t>发布的《2017全球LED照明市场趋势》指出，</w:t>
      </w:r>
      <w:r>
        <w:rPr>
          <w:szCs w:val="21"/>
        </w:rPr>
        <w:t>2017</w:t>
      </w:r>
      <w:r>
        <w:rPr>
          <w:rFonts w:hint="eastAsia"/>
          <w:szCs w:val="21"/>
        </w:rPr>
        <w:t>年</w:t>
      </w:r>
      <w:r>
        <w:rPr>
          <w:szCs w:val="21"/>
        </w:rPr>
        <w:t>LED</w:t>
      </w:r>
      <w:r>
        <w:rPr>
          <w:rFonts w:hint="eastAsia"/>
          <w:szCs w:val="21"/>
        </w:rPr>
        <w:t>照明市场规模已经达到</w:t>
      </w:r>
      <w:r>
        <w:rPr>
          <w:szCs w:val="21"/>
        </w:rPr>
        <w:t>331</w:t>
      </w:r>
      <w:r>
        <w:rPr>
          <w:rFonts w:hint="eastAsia"/>
          <w:szCs w:val="21"/>
        </w:rPr>
        <w:t>亿美金。随着半导体照明应用层面的不断创新及新兴市场的崛起，</w:t>
      </w:r>
      <w:r>
        <w:rPr>
          <w:szCs w:val="21"/>
        </w:rPr>
        <w:t>LED</w:t>
      </w:r>
      <w:r>
        <w:rPr>
          <w:rFonts w:hint="eastAsia"/>
          <w:szCs w:val="21"/>
        </w:rPr>
        <w:t>市场将进一步扩大。</w:t>
      </w:r>
    </w:p>
    <w:p>
      <w:pPr>
        <w:tabs>
          <w:tab w:val="left" w:pos="522"/>
        </w:tabs>
        <w:adjustRightInd w:val="0"/>
        <w:snapToGrid w:val="0"/>
        <w:spacing w:before="156" w:beforeLines="50" w:line="360" w:lineRule="auto"/>
        <w:ind w:firstLine="420" w:firstLineChars="200"/>
        <w:rPr>
          <w:szCs w:val="21"/>
        </w:rPr>
      </w:pPr>
      <w:r>
        <w:rPr>
          <w:rFonts w:hint="eastAsia"/>
          <w:szCs w:val="21"/>
        </w:rPr>
        <w:t>常见的</w:t>
      </w:r>
      <w:r>
        <w:rPr>
          <w:szCs w:val="21"/>
        </w:rPr>
        <w:t>LED</w:t>
      </w:r>
      <w:r>
        <w:rPr>
          <w:rFonts w:hint="eastAsia"/>
          <w:szCs w:val="21"/>
        </w:rPr>
        <w:t>照明获取方式多采用“芯片</w:t>
      </w:r>
      <w:r>
        <w:rPr>
          <w:szCs w:val="21"/>
        </w:rPr>
        <w:t>+</w:t>
      </w:r>
      <w:r>
        <w:rPr>
          <w:rFonts w:hint="eastAsia"/>
          <w:szCs w:val="21"/>
        </w:rPr>
        <w:t>荧光粉”的组合，因而荧光粉的性能在很大程度上决定了</w:t>
      </w:r>
      <w:r>
        <w:rPr>
          <w:szCs w:val="21"/>
        </w:rPr>
        <w:t>LED</w:t>
      </w:r>
      <w:r>
        <w:rPr>
          <w:rFonts w:hint="eastAsia"/>
          <w:szCs w:val="21"/>
        </w:rPr>
        <w:t>器件的出光效率和照明效果。量子效率是衡量荧光粉性能的最重要指标，能够直接体现荧光粉的质量。目前，国际上已就荧光粉量子效率的测试方法和测试意义达成一致，国际知名</w:t>
      </w:r>
      <w:r>
        <w:rPr>
          <w:szCs w:val="21"/>
        </w:rPr>
        <w:t>LED</w:t>
      </w:r>
      <w:r>
        <w:rPr>
          <w:rFonts w:hint="eastAsia"/>
          <w:szCs w:val="21"/>
        </w:rPr>
        <w:t>荧光粉及器件厂商和研究机构均已采用该指标。关于荧光粉量子效率的测定，国内起步虽然相对较晚，但发展速度很快，已经有相关厂商推出了测试设备。不过由于尚未就量子效率的测试标准和方法做出统一标准，其测试数据偏差值较大且公信力较差，因此急需通过与国际研发先进水平接轨，制定相关标准，明确量子效率的测试方法和标准，为提升白光</w:t>
      </w:r>
      <w:r>
        <w:rPr>
          <w:szCs w:val="21"/>
        </w:rPr>
        <w:t>LED</w:t>
      </w:r>
      <w:r>
        <w:rPr>
          <w:rFonts w:hint="eastAsia"/>
          <w:szCs w:val="21"/>
        </w:rPr>
        <w:t>用荧光粉的研发水平和产品质量，增强国际市场竞争力，推进我国相关产业的快速健康发展做出贡献。</w:t>
      </w:r>
    </w:p>
    <w:p>
      <w:pPr>
        <w:tabs>
          <w:tab w:val="left" w:pos="522"/>
        </w:tabs>
        <w:adjustRightInd w:val="0"/>
        <w:snapToGrid w:val="0"/>
        <w:spacing w:before="156" w:beforeLines="50" w:line="360" w:lineRule="auto"/>
        <w:jc w:val="left"/>
        <w:rPr>
          <w:rFonts w:ascii="黑体" w:hAnsi="黑体" w:eastAsia="黑体"/>
          <w:szCs w:val="21"/>
        </w:rPr>
      </w:pPr>
      <w:r>
        <w:rPr>
          <w:rFonts w:ascii="黑体" w:hAnsi="黑体" w:eastAsia="黑体"/>
          <w:szCs w:val="21"/>
        </w:rPr>
        <w:t>1.2</w:t>
      </w:r>
      <w:r>
        <w:rPr>
          <w:rFonts w:hint="eastAsia" w:ascii="黑体" w:hAnsi="黑体" w:eastAsia="黑体"/>
          <w:szCs w:val="21"/>
        </w:rPr>
        <w:t>任务来源</w:t>
      </w:r>
    </w:p>
    <w:p>
      <w:pPr>
        <w:autoSpaceDE w:val="0"/>
        <w:autoSpaceDN w:val="0"/>
        <w:adjustRightInd w:val="0"/>
        <w:snapToGrid w:val="0"/>
        <w:spacing w:line="360" w:lineRule="auto"/>
        <w:ind w:firstLine="482"/>
        <w:rPr>
          <w:szCs w:val="21"/>
        </w:rPr>
      </w:pPr>
      <w:r>
        <w:rPr>
          <w:rFonts w:hint="eastAsia"/>
          <w:szCs w:val="21"/>
        </w:rPr>
        <w:t>根据稀土标委关于下达的</w:t>
      </w:r>
      <w:r>
        <w:rPr>
          <w:szCs w:val="21"/>
        </w:rPr>
        <w:t>11</w:t>
      </w:r>
      <w:r>
        <w:rPr>
          <w:rFonts w:hint="eastAsia"/>
          <w:szCs w:val="21"/>
        </w:rPr>
        <w:t>项稀土国家标准、</w:t>
      </w:r>
      <w:r>
        <w:rPr>
          <w:szCs w:val="21"/>
        </w:rPr>
        <w:t>14</w:t>
      </w:r>
      <w:r>
        <w:rPr>
          <w:rFonts w:hint="eastAsia"/>
          <w:szCs w:val="21"/>
        </w:rPr>
        <w:t>项稀土行业标准制修订计划的通知（稀土标委〔</w:t>
      </w:r>
      <w:r>
        <w:rPr>
          <w:szCs w:val="21"/>
        </w:rPr>
        <w:t>2018</w:t>
      </w:r>
      <w:r>
        <w:rPr>
          <w:rFonts w:hint="eastAsia"/>
          <w:szCs w:val="21"/>
        </w:rPr>
        <w:t>〕</w:t>
      </w:r>
      <w:r>
        <w:rPr>
          <w:szCs w:val="21"/>
        </w:rPr>
        <w:t>03</w:t>
      </w:r>
      <w:r>
        <w:rPr>
          <w:rFonts w:hint="eastAsia"/>
          <w:szCs w:val="21"/>
        </w:rPr>
        <w:t>号），《白光</w:t>
      </w:r>
      <w:r>
        <w:rPr>
          <w:szCs w:val="21"/>
        </w:rPr>
        <w:t>LED</w:t>
      </w:r>
      <w:r>
        <w:rPr>
          <w:rFonts w:hint="eastAsia"/>
          <w:szCs w:val="21"/>
        </w:rPr>
        <w:t>用荧光粉量子效率测试方法》国家标准制定计划正式下达，项目编号为</w:t>
      </w:r>
      <w:r>
        <w:rPr>
          <w:szCs w:val="21"/>
        </w:rPr>
        <w:t>20173581-T-469</w:t>
      </w:r>
      <w:r>
        <w:rPr>
          <w:rFonts w:hint="eastAsia"/>
          <w:szCs w:val="21"/>
        </w:rPr>
        <w:t>，完成年限为</w:t>
      </w:r>
      <w:r>
        <w:rPr>
          <w:szCs w:val="21"/>
        </w:rPr>
        <w:t>2019</w:t>
      </w:r>
      <w:r>
        <w:rPr>
          <w:rFonts w:hint="eastAsia"/>
          <w:szCs w:val="21"/>
        </w:rPr>
        <w:t>年。本标准制定任务由有研稀土新材料股份有限公司牵头起草，参与起草单位为厦门大学、天津东方科捷科技有限公司、广东稀有金属研究所、安徽芯瑞达电子科技有限公司、江门科恒实业股份有限公司和江苏博睿光电有限公司。</w:t>
      </w:r>
    </w:p>
    <w:p>
      <w:pPr>
        <w:tabs>
          <w:tab w:val="left" w:pos="522"/>
        </w:tabs>
        <w:adjustRightInd w:val="0"/>
        <w:snapToGrid w:val="0"/>
        <w:spacing w:before="156" w:beforeLines="50" w:line="360" w:lineRule="auto"/>
        <w:jc w:val="left"/>
        <w:rPr>
          <w:rFonts w:ascii="黑体" w:hAnsi="黑体" w:eastAsia="黑体"/>
          <w:szCs w:val="21"/>
        </w:rPr>
      </w:pPr>
      <w:r>
        <w:rPr>
          <w:rFonts w:ascii="黑体" w:hAnsi="黑体" w:eastAsia="黑体"/>
          <w:szCs w:val="21"/>
        </w:rPr>
        <w:t>1.3</w:t>
      </w:r>
      <w:r>
        <w:rPr>
          <w:rFonts w:hint="eastAsia" w:ascii="黑体" w:hAnsi="黑体" w:eastAsia="黑体"/>
          <w:szCs w:val="21"/>
        </w:rPr>
        <w:t>起草单位</w:t>
      </w:r>
    </w:p>
    <w:p>
      <w:pPr>
        <w:autoSpaceDE w:val="0"/>
        <w:autoSpaceDN w:val="0"/>
        <w:adjustRightInd w:val="0"/>
        <w:snapToGrid w:val="0"/>
        <w:spacing w:line="360" w:lineRule="auto"/>
        <w:ind w:firstLine="482"/>
        <w:rPr>
          <w:szCs w:val="21"/>
        </w:rPr>
      </w:pPr>
      <w:r>
        <w:rPr>
          <w:rFonts w:hint="eastAsia"/>
          <w:szCs w:val="21"/>
        </w:rPr>
        <w:t>有研稀土新材料股份有限公司（简称有研稀土）是</w:t>
      </w:r>
      <w:r>
        <w:rPr>
          <w:szCs w:val="21"/>
        </w:rPr>
        <w:t>2001</w:t>
      </w:r>
      <w:r>
        <w:rPr>
          <w:rFonts w:hint="eastAsia"/>
          <w:szCs w:val="21"/>
        </w:rPr>
        <w:t>年由北京有色金属研究总院作为发起人，对稀土材料国家工程研究中心进行整体改制而设立的股份公司，是我国最早从事稀土研究开发的单位之一。</w:t>
      </w:r>
      <w:r>
        <w:rPr>
          <w:szCs w:val="21"/>
        </w:rPr>
        <w:t>60</w:t>
      </w:r>
      <w:r>
        <w:rPr>
          <w:rFonts w:hint="eastAsia"/>
          <w:szCs w:val="21"/>
        </w:rPr>
        <w:t>年来共取得</w:t>
      </w:r>
      <w:r>
        <w:rPr>
          <w:szCs w:val="21"/>
        </w:rPr>
        <w:t>400</w:t>
      </w:r>
      <w:r>
        <w:rPr>
          <w:rFonts w:hint="eastAsia"/>
          <w:szCs w:val="21"/>
        </w:rPr>
        <w:t>多项稀土科技成果，获得省部以上科技奖励</w:t>
      </w:r>
      <w:r>
        <w:rPr>
          <w:szCs w:val="21"/>
        </w:rPr>
        <w:t>159</w:t>
      </w:r>
      <w:r>
        <w:rPr>
          <w:rFonts w:hint="eastAsia"/>
          <w:szCs w:val="21"/>
        </w:rPr>
        <w:t>项，其中国家级</w:t>
      </w:r>
      <w:r>
        <w:rPr>
          <w:szCs w:val="21"/>
        </w:rPr>
        <w:t>39</w:t>
      </w:r>
      <w:r>
        <w:rPr>
          <w:rFonts w:hint="eastAsia"/>
          <w:szCs w:val="21"/>
        </w:rPr>
        <w:t>项；研究成果</w:t>
      </w:r>
      <w:r>
        <w:rPr>
          <w:szCs w:val="21"/>
        </w:rPr>
        <w:t>50%</w:t>
      </w:r>
      <w:r>
        <w:rPr>
          <w:rFonts w:hint="eastAsia"/>
          <w:szCs w:val="21"/>
        </w:rPr>
        <w:t>以上应用于工业生产，全世界生产的</w:t>
      </w:r>
      <w:r>
        <w:rPr>
          <w:szCs w:val="21"/>
        </w:rPr>
        <w:t>60%</w:t>
      </w:r>
      <w:r>
        <w:rPr>
          <w:rFonts w:hint="eastAsia"/>
          <w:szCs w:val="21"/>
        </w:rPr>
        <w:t>以上的稀土产品均采用有研稀土的技术，行业影响力不断提升。</w:t>
      </w:r>
    </w:p>
    <w:p>
      <w:pPr>
        <w:adjustRightInd w:val="0"/>
        <w:snapToGrid w:val="0"/>
        <w:spacing w:line="360" w:lineRule="auto"/>
        <w:ind w:firstLine="420" w:firstLineChars="200"/>
        <w:rPr>
          <w:szCs w:val="21"/>
        </w:rPr>
      </w:pPr>
      <w:r>
        <w:rPr>
          <w:rFonts w:hint="eastAsia"/>
          <w:szCs w:val="21"/>
        </w:rPr>
        <w:t>近几年，公司利用新开发的技术成果开展科技成果转化</w:t>
      </w:r>
      <w:r>
        <w:rPr>
          <w:szCs w:val="21"/>
        </w:rPr>
        <w:t>27</w:t>
      </w:r>
      <w:r>
        <w:rPr>
          <w:rFonts w:hint="eastAsia"/>
          <w:szCs w:val="21"/>
        </w:rPr>
        <w:t>项，其中专利实施许可</w:t>
      </w:r>
      <w:r>
        <w:rPr>
          <w:szCs w:val="21"/>
        </w:rPr>
        <w:t>3</w:t>
      </w:r>
      <w:r>
        <w:rPr>
          <w:rFonts w:hint="eastAsia"/>
          <w:szCs w:val="21"/>
        </w:rPr>
        <w:t>项，对外技术转让</w:t>
      </w:r>
      <w:r>
        <w:rPr>
          <w:szCs w:val="21"/>
        </w:rPr>
        <w:t>15</w:t>
      </w:r>
      <w:r>
        <w:rPr>
          <w:rFonts w:hint="eastAsia"/>
          <w:szCs w:val="21"/>
        </w:rPr>
        <w:t>项，技术开发</w:t>
      </w:r>
      <w:r>
        <w:rPr>
          <w:szCs w:val="21"/>
        </w:rPr>
        <w:t>4</w:t>
      </w:r>
      <w:r>
        <w:rPr>
          <w:rFonts w:hint="eastAsia"/>
          <w:szCs w:val="21"/>
        </w:rPr>
        <w:t>项，技术服务</w:t>
      </w:r>
      <w:r>
        <w:rPr>
          <w:szCs w:val="21"/>
        </w:rPr>
        <w:t>5</w:t>
      </w:r>
      <w:r>
        <w:rPr>
          <w:rFonts w:hint="eastAsia"/>
          <w:szCs w:val="21"/>
        </w:rPr>
        <w:t>项，平均每年成果转化</w:t>
      </w:r>
      <w:r>
        <w:rPr>
          <w:szCs w:val="21"/>
        </w:rPr>
        <w:t>9</w:t>
      </w:r>
      <w:r>
        <w:rPr>
          <w:rFonts w:hint="eastAsia"/>
          <w:szCs w:val="21"/>
        </w:rPr>
        <w:t>项，向中铝广西有色稀土、甘肃稀土、江苏国盛、赣州天和、乐山有研等数家稀土骨干企业辐射，公司实现技术收入</w:t>
      </w:r>
      <w:r>
        <w:rPr>
          <w:szCs w:val="21"/>
        </w:rPr>
        <w:t>4055</w:t>
      </w:r>
      <w:r>
        <w:rPr>
          <w:rFonts w:hint="eastAsia"/>
          <w:szCs w:val="21"/>
        </w:rPr>
        <w:t>万元，同时带动相关企业建立多条高效、绿色、节能的生产线，促进了稀土行业技术进步，为我国稀土工业体系的建立和发展做出了重要贡献。</w:t>
      </w:r>
    </w:p>
    <w:p>
      <w:pPr>
        <w:adjustRightInd w:val="0"/>
        <w:snapToGrid w:val="0"/>
        <w:spacing w:line="360" w:lineRule="auto"/>
        <w:ind w:firstLine="420" w:firstLineChars="200"/>
        <w:rPr>
          <w:color w:val="000000"/>
          <w:szCs w:val="21"/>
        </w:rPr>
      </w:pPr>
      <w:r>
        <w:rPr>
          <w:rFonts w:hint="eastAsia"/>
          <w:szCs w:val="21"/>
        </w:rPr>
        <w:t>在稀土光功能材料领域，</w:t>
      </w:r>
      <w:r>
        <w:rPr>
          <w:rFonts w:hint="eastAsia" w:hAnsi="宋体"/>
          <w:color w:val="000000"/>
          <w:szCs w:val="21"/>
        </w:rPr>
        <w:t>有研稀土有</w:t>
      </w:r>
      <w:r>
        <w:rPr>
          <w:color w:val="000000"/>
          <w:szCs w:val="21"/>
        </w:rPr>
        <w:t>40</w:t>
      </w:r>
      <w:r>
        <w:rPr>
          <w:rFonts w:hint="eastAsia" w:hAnsi="宋体"/>
          <w:color w:val="000000"/>
          <w:szCs w:val="21"/>
        </w:rPr>
        <w:t>余年稀土发光材料研究历史，主要从事高端白光</w:t>
      </w:r>
      <w:r>
        <w:rPr>
          <w:color w:val="000000"/>
          <w:szCs w:val="21"/>
        </w:rPr>
        <w:t>LED</w:t>
      </w:r>
      <w:r>
        <w:rPr>
          <w:rFonts w:hint="eastAsia" w:hAnsi="宋体"/>
          <w:color w:val="000000"/>
          <w:szCs w:val="21"/>
        </w:rPr>
        <w:t>荧光粉及其产业化开发。近年来，相继在具有自主知识产权白光</w:t>
      </w:r>
      <w:r>
        <w:rPr>
          <w:color w:val="000000"/>
          <w:szCs w:val="21"/>
        </w:rPr>
        <w:t>LED</w:t>
      </w:r>
      <w:r>
        <w:rPr>
          <w:rFonts w:hint="eastAsia" w:hAnsi="宋体"/>
          <w:color w:val="000000"/>
          <w:szCs w:val="21"/>
        </w:rPr>
        <w:t>用铝酸盐荧光粉、氮化物荧光粉常压高温氮化技术、高稳定性氟化物荧光粉可控制备技术等领域取得突</w:t>
      </w:r>
      <w:r>
        <w:rPr>
          <w:rFonts w:hint="eastAsia" w:ascii="宋体" w:hAnsi="宋体"/>
          <w:color w:val="000000"/>
          <w:szCs w:val="21"/>
        </w:rPr>
        <w:t>破，连续两年获得</w:t>
      </w:r>
      <w:r>
        <w:rPr>
          <w:rFonts w:hint="eastAsia" w:ascii="宋体"/>
          <w:color w:val="000000"/>
          <w:szCs w:val="21"/>
        </w:rPr>
        <w:t>“</w:t>
      </w:r>
      <w:r>
        <w:rPr>
          <w:rFonts w:hint="eastAsia" w:ascii="宋体" w:hAnsi="宋体"/>
          <w:color w:val="000000"/>
          <w:szCs w:val="21"/>
        </w:rPr>
        <w:t>高工</w:t>
      </w:r>
      <w:r>
        <w:rPr>
          <w:rFonts w:ascii="宋体" w:hAnsi="宋体"/>
          <w:color w:val="000000"/>
          <w:szCs w:val="21"/>
        </w:rPr>
        <w:t>LED</w:t>
      </w:r>
      <w:r>
        <w:rPr>
          <w:rFonts w:hint="eastAsia" w:ascii="宋体" w:hAnsi="宋体"/>
          <w:color w:val="000000"/>
          <w:szCs w:val="21"/>
        </w:rPr>
        <w:t>金球奖</w:t>
      </w:r>
      <w:r>
        <w:rPr>
          <w:rFonts w:hint="eastAsia" w:ascii="宋体"/>
          <w:color w:val="000000"/>
          <w:szCs w:val="21"/>
        </w:rPr>
        <w:t>”</w:t>
      </w:r>
      <w:r>
        <w:rPr>
          <w:rFonts w:hint="eastAsia" w:ascii="宋体" w:hAnsi="宋体"/>
          <w:color w:val="000000"/>
          <w:szCs w:val="21"/>
        </w:rPr>
        <w:t>，</w:t>
      </w:r>
      <w:r>
        <w:rPr>
          <w:rFonts w:hint="eastAsia" w:hAnsi="宋体"/>
          <w:color w:val="000000"/>
          <w:szCs w:val="21"/>
        </w:rPr>
        <w:t>跻身全球知名白光</w:t>
      </w:r>
      <w:r>
        <w:rPr>
          <w:color w:val="000000"/>
          <w:szCs w:val="21"/>
        </w:rPr>
        <w:t>LED</w:t>
      </w:r>
      <w:r>
        <w:rPr>
          <w:rFonts w:hint="eastAsia" w:hAnsi="宋体"/>
          <w:color w:val="000000"/>
          <w:szCs w:val="21"/>
        </w:rPr>
        <w:t>荧光粉供应商行列。目前有研稀土已建成年产</w:t>
      </w:r>
      <w:r>
        <w:rPr>
          <w:color w:val="000000"/>
          <w:szCs w:val="21"/>
        </w:rPr>
        <w:t>50</w:t>
      </w:r>
      <w:r>
        <w:rPr>
          <w:rFonts w:hint="eastAsia" w:hAnsi="宋体"/>
          <w:color w:val="000000"/>
          <w:szCs w:val="21"/>
        </w:rPr>
        <w:t>吨</w:t>
      </w:r>
      <w:r>
        <w:rPr>
          <w:color w:val="000000"/>
          <w:szCs w:val="21"/>
        </w:rPr>
        <w:t>LED</w:t>
      </w:r>
      <w:r>
        <w:rPr>
          <w:rFonts w:hint="eastAsia"/>
          <w:color w:val="000000"/>
          <w:szCs w:val="21"/>
        </w:rPr>
        <w:t>荧光粉生产线，累计销售收入近</w:t>
      </w:r>
      <w:r>
        <w:rPr>
          <w:color w:val="000000"/>
          <w:szCs w:val="21"/>
        </w:rPr>
        <w:t>2</w:t>
      </w:r>
      <w:r>
        <w:rPr>
          <w:rFonts w:hint="eastAsia"/>
          <w:color w:val="000000"/>
          <w:szCs w:val="21"/>
        </w:rPr>
        <w:t>亿元，直接带动下游产业超过</w:t>
      </w:r>
      <w:r>
        <w:rPr>
          <w:color w:val="000000"/>
          <w:szCs w:val="21"/>
        </w:rPr>
        <w:t>50</w:t>
      </w:r>
      <w:r>
        <w:rPr>
          <w:rFonts w:hint="eastAsia"/>
          <w:color w:val="000000"/>
          <w:szCs w:val="21"/>
        </w:rPr>
        <w:t>亿元，国内中高端市场占有率约</w:t>
      </w:r>
      <w:r>
        <w:rPr>
          <w:color w:val="000000"/>
          <w:szCs w:val="21"/>
        </w:rPr>
        <w:t>20%</w:t>
      </w:r>
      <w:r>
        <w:rPr>
          <w:rFonts w:hint="eastAsia"/>
          <w:color w:val="000000"/>
          <w:szCs w:val="21"/>
        </w:rPr>
        <w:t>，铝酸盐系列荧光粉和氮化物红粉成功销往中国台湾和美国、韩国、日本等海外市场，所开发出的多种</w:t>
      </w:r>
      <w:r>
        <w:rPr>
          <w:color w:val="000000"/>
          <w:szCs w:val="21"/>
        </w:rPr>
        <w:t>LED</w:t>
      </w:r>
      <w:r>
        <w:rPr>
          <w:rFonts w:hint="eastAsia"/>
          <w:color w:val="000000"/>
          <w:szCs w:val="21"/>
        </w:rPr>
        <w:t>荧光粉打破了日美企业在中国市场的垄断，迫使国外产品价格下降</w:t>
      </w:r>
      <w:r>
        <w:rPr>
          <w:color w:val="000000"/>
          <w:szCs w:val="21"/>
        </w:rPr>
        <w:t>50-90%</w:t>
      </w:r>
      <w:r>
        <w:rPr>
          <w:rFonts w:hint="eastAsia"/>
          <w:color w:val="000000"/>
          <w:szCs w:val="21"/>
        </w:rPr>
        <w:t>，为</w:t>
      </w:r>
      <w:r>
        <w:rPr>
          <w:color w:val="000000"/>
          <w:szCs w:val="21"/>
        </w:rPr>
        <w:t>LED</w:t>
      </w:r>
      <w:r>
        <w:rPr>
          <w:rFonts w:hint="eastAsia"/>
          <w:color w:val="000000"/>
          <w:szCs w:val="21"/>
        </w:rPr>
        <w:t>荧光粉国产化及下游产业的发展做出重要贡献。</w:t>
      </w:r>
    </w:p>
    <w:p>
      <w:pPr>
        <w:adjustRightInd w:val="0"/>
        <w:snapToGrid w:val="0"/>
        <w:spacing w:line="360" w:lineRule="auto"/>
        <w:ind w:firstLine="420" w:firstLineChars="200"/>
        <w:rPr>
          <w:color w:val="000000"/>
          <w:szCs w:val="21"/>
        </w:rPr>
      </w:pPr>
      <w:r>
        <w:rPr>
          <w:rFonts w:hint="eastAsia"/>
          <w:color w:val="000000"/>
          <w:szCs w:val="21"/>
        </w:rPr>
        <w:t>有研稀土拥有诸多一流的实验和分析检测设备，如用于试验和产业化的多台高性能的高温炉、隧道窑、气氛窑、氮化炉和正压炉等</w:t>
      </w:r>
      <w:r>
        <w:rPr>
          <w:color w:val="000000"/>
          <w:szCs w:val="21"/>
        </w:rPr>
        <w:t>20</w:t>
      </w:r>
      <w:r>
        <w:rPr>
          <w:rFonts w:hint="eastAsia"/>
          <w:color w:val="000000"/>
          <w:szCs w:val="21"/>
        </w:rPr>
        <w:t>余套，试验室还配备有</w:t>
      </w:r>
      <w:r>
        <w:rPr>
          <w:color w:val="000000"/>
          <w:szCs w:val="21"/>
        </w:rPr>
        <w:t>HORIBA</w:t>
      </w:r>
      <w:r>
        <w:rPr>
          <w:rFonts w:hint="eastAsia"/>
          <w:color w:val="000000"/>
          <w:szCs w:val="21"/>
        </w:rPr>
        <w:t>公司的</w:t>
      </w:r>
      <w:r>
        <w:rPr>
          <w:color w:val="000000"/>
          <w:szCs w:val="21"/>
        </w:rPr>
        <w:t xml:space="preserve">FluoroMax-4 </w:t>
      </w:r>
      <w:r>
        <w:rPr>
          <w:rFonts w:hint="eastAsia"/>
          <w:color w:val="000000"/>
          <w:szCs w:val="21"/>
        </w:rPr>
        <w:t>荧光分光光度计、杭州远方光电信息有限公司的</w:t>
      </w:r>
      <w:r>
        <w:rPr>
          <w:color w:val="000000"/>
          <w:szCs w:val="21"/>
        </w:rPr>
        <w:t>HASS-2000</w:t>
      </w:r>
      <w:r>
        <w:rPr>
          <w:rFonts w:hint="eastAsia"/>
          <w:color w:val="000000"/>
          <w:szCs w:val="21"/>
        </w:rPr>
        <w:t>光谱辐射分析系统、日本大塚电子</w:t>
      </w:r>
      <w:r>
        <w:rPr>
          <w:color w:val="000000"/>
          <w:szCs w:val="21"/>
        </w:rPr>
        <w:t>photal</w:t>
      </w:r>
      <w:r>
        <w:rPr>
          <w:rFonts w:hint="eastAsia"/>
          <w:color w:val="000000"/>
          <w:szCs w:val="21"/>
        </w:rPr>
        <w:t>光致发光量子产率测试仪、双</w:t>
      </w:r>
      <w:r>
        <w:rPr>
          <w:color w:val="000000"/>
          <w:szCs w:val="21"/>
        </w:rPr>
        <w:t>85</w:t>
      </w:r>
      <w:r>
        <w:rPr>
          <w:rFonts w:hint="eastAsia"/>
          <w:color w:val="000000"/>
          <w:szCs w:val="21"/>
        </w:rPr>
        <w:t>老化系统、</w:t>
      </w:r>
      <w:r>
        <w:rPr>
          <w:color w:val="000000"/>
          <w:szCs w:val="21"/>
        </w:rPr>
        <w:t>PCT</w:t>
      </w:r>
      <w:r>
        <w:rPr>
          <w:rFonts w:hint="eastAsia"/>
          <w:color w:val="000000"/>
          <w:szCs w:val="21"/>
        </w:rPr>
        <w:t>高温高压高湿老化系统、</w:t>
      </w:r>
      <w:r>
        <w:rPr>
          <w:color w:val="000000"/>
          <w:szCs w:val="21"/>
        </w:rPr>
        <w:t>HORIBA LA-300</w:t>
      </w:r>
      <w:r>
        <w:rPr>
          <w:rFonts w:hint="eastAsia"/>
          <w:color w:val="000000"/>
          <w:szCs w:val="21"/>
        </w:rPr>
        <w:t>激光粒度分析仪、日立扫描电镜、日本理学</w:t>
      </w:r>
      <w:r>
        <w:rPr>
          <w:color w:val="000000"/>
          <w:szCs w:val="21"/>
        </w:rPr>
        <w:t>X</w:t>
      </w:r>
      <w:r>
        <w:rPr>
          <w:rFonts w:hint="eastAsia"/>
          <w:color w:val="000000"/>
          <w:szCs w:val="21"/>
        </w:rPr>
        <w:t>射线衍射仪、</w:t>
      </w:r>
      <w:r>
        <w:rPr>
          <w:color w:val="000000"/>
          <w:szCs w:val="21"/>
        </w:rPr>
        <w:t>X-</w:t>
      </w:r>
      <w:r>
        <w:rPr>
          <w:rFonts w:hint="eastAsia"/>
          <w:color w:val="000000"/>
          <w:szCs w:val="21"/>
        </w:rPr>
        <w:t>荧光分析仪、</w:t>
      </w:r>
      <w:r>
        <w:rPr>
          <w:color w:val="000000"/>
          <w:szCs w:val="21"/>
        </w:rPr>
        <w:t>O/N</w:t>
      </w:r>
      <w:r>
        <w:rPr>
          <w:rFonts w:hint="eastAsia"/>
          <w:color w:val="000000"/>
          <w:szCs w:val="21"/>
        </w:rPr>
        <w:t>分析仪等先进仪器。</w:t>
      </w:r>
    </w:p>
    <w:p>
      <w:pPr>
        <w:adjustRightInd w:val="0"/>
        <w:snapToGrid w:val="0"/>
        <w:spacing w:line="360" w:lineRule="auto"/>
        <w:ind w:firstLine="420" w:firstLineChars="200"/>
        <w:rPr>
          <w:color w:val="000000"/>
          <w:szCs w:val="21"/>
        </w:rPr>
      </w:pPr>
      <w:r>
        <w:rPr>
          <w:rFonts w:hint="eastAsia" w:hAnsi="宋体"/>
          <w:color w:val="000000"/>
          <w:szCs w:val="21"/>
        </w:rPr>
        <w:t>有研稀土白光</w:t>
      </w:r>
      <w:r>
        <w:rPr>
          <w:color w:val="000000"/>
          <w:szCs w:val="21"/>
        </w:rPr>
        <w:t>LED</w:t>
      </w:r>
      <w:r>
        <w:rPr>
          <w:rFonts w:hint="eastAsia" w:hAnsi="宋体"/>
          <w:color w:val="000000"/>
          <w:szCs w:val="21"/>
        </w:rPr>
        <w:t>用稀土发光材料研发团队负责人为刘荣辉博士，团队内有</w:t>
      </w:r>
      <w:r>
        <w:rPr>
          <w:color w:val="000000"/>
          <w:szCs w:val="21"/>
        </w:rPr>
        <w:t>17</w:t>
      </w:r>
      <w:r>
        <w:rPr>
          <w:rFonts w:hint="eastAsia" w:hAnsi="宋体"/>
          <w:color w:val="000000"/>
          <w:szCs w:val="21"/>
        </w:rPr>
        <w:t>名团队成员，其中</w:t>
      </w:r>
      <w:r>
        <w:rPr>
          <w:color w:val="000000"/>
          <w:szCs w:val="21"/>
        </w:rPr>
        <w:t>8</w:t>
      </w:r>
      <w:r>
        <w:rPr>
          <w:rFonts w:hint="eastAsia" w:hAnsi="宋体"/>
          <w:color w:val="000000"/>
          <w:szCs w:val="21"/>
        </w:rPr>
        <w:t>人具有博士学位、</w:t>
      </w:r>
      <w:r>
        <w:rPr>
          <w:color w:val="000000"/>
          <w:szCs w:val="21"/>
        </w:rPr>
        <w:t>8</w:t>
      </w:r>
      <w:r>
        <w:rPr>
          <w:rFonts w:hint="eastAsia" w:hAnsi="宋体"/>
          <w:color w:val="000000"/>
          <w:szCs w:val="21"/>
        </w:rPr>
        <w:t>人具有硕士学位、</w:t>
      </w:r>
      <w:r>
        <w:rPr>
          <w:color w:val="000000"/>
          <w:szCs w:val="21"/>
        </w:rPr>
        <w:t>3</w:t>
      </w:r>
      <w:r>
        <w:rPr>
          <w:rFonts w:hint="eastAsia" w:hAnsi="宋体"/>
          <w:color w:val="000000"/>
          <w:szCs w:val="21"/>
        </w:rPr>
        <w:t>人具有正高级职称、</w:t>
      </w:r>
      <w:r>
        <w:rPr>
          <w:color w:val="000000"/>
          <w:szCs w:val="21"/>
        </w:rPr>
        <w:t>3</w:t>
      </w:r>
      <w:r>
        <w:rPr>
          <w:rFonts w:hint="eastAsia" w:hAnsi="宋体"/>
          <w:color w:val="000000"/>
          <w:szCs w:val="21"/>
        </w:rPr>
        <w:t>人具有副高级职称，</w:t>
      </w:r>
      <w:r>
        <w:rPr>
          <w:color w:val="000000"/>
          <w:szCs w:val="21"/>
        </w:rPr>
        <w:t>2</w:t>
      </w:r>
      <w:r>
        <w:rPr>
          <w:rFonts w:hint="eastAsia" w:hAnsi="宋体"/>
          <w:color w:val="000000"/>
          <w:szCs w:val="21"/>
        </w:rPr>
        <w:t>人入选北京市西城区优秀人才。目前形成了</w:t>
      </w:r>
      <w:r>
        <w:rPr>
          <w:color w:val="000000"/>
          <w:szCs w:val="21"/>
        </w:rPr>
        <w:t>2</w:t>
      </w:r>
      <w:r>
        <w:rPr>
          <w:rFonts w:hint="eastAsia" w:hAnsi="宋体"/>
          <w:color w:val="000000"/>
          <w:szCs w:val="21"/>
        </w:rPr>
        <w:t>个高端稀土荧光粉产业化开发小组以及</w:t>
      </w:r>
      <w:r>
        <w:rPr>
          <w:color w:val="000000"/>
          <w:szCs w:val="21"/>
        </w:rPr>
        <w:t>5</w:t>
      </w:r>
      <w:r>
        <w:rPr>
          <w:rFonts w:hint="eastAsia" w:hAnsi="宋体"/>
          <w:color w:val="000000"/>
          <w:szCs w:val="21"/>
        </w:rPr>
        <w:t>个稀土发光材料基础研究小组。整个团队成员结构配置合理，拥有从理论指导、技术指导到研发执行等的标准梯队。团队成员稳定、分工明确，基础理论、技术开发和实践应用相互配合、互为补充、互补性强，同时科研及产业化经验可以得到很好的发展和继承，体现了一支优秀研发团队应有研究关联性和互补性。</w:t>
      </w:r>
      <w:bookmarkStart w:id="0" w:name="OLE_LINK1"/>
      <w:bookmarkStart w:id="1" w:name="OLE_LINK2"/>
    </w:p>
    <w:p>
      <w:pPr>
        <w:adjustRightInd w:val="0"/>
        <w:snapToGrid w:val="0"/>
        <w:spacing w:line="360" w:lineRule="auto"/>
        <w:ind w:firstLine="420" w:firstLineChars="200"/>
        <w:rPr>
          <w:szCs w:val="21"/>
        </w:rPr>
      </w:pPr>
      <w:r>
        <w:rPr>
          <w:rFonts w:hint="eastAsia"/>
          <w:szCs w:val="21"/>
        </w:rPr>
        <w:t>依托以上团队和设施，有研稀土起草或参与制定了数项稀土发光材料国家及行业标准</w:t>
      </w:r>
      <w:bookmarkEnd w:id="0"/>
      <w:bookmarkEnd w:id="1"/>
      <w:r>
        <w:rPr>
          <w:rFonts w:hint="eastAsia"/>
          <w:szCs w:val="21"/>
        </w:rPr>
        <w:t>，如表</w:t>
      </w:r>
      <w:r>
        <w:rPr>
          <w:szCs w:val="21"/>
        </w:rPr>
        <w:t>1</w:t>
      </w:r>
      <w:r>
        <w:rPr>
          <w:rFonts w:hint="eastAsia"/>
          <w:szCs w:val="21"/>
        </w:rPr>
        <w:t>所示。</w:t>
      </w:r>
    </w:p>
    <w:p>
      <w:pPr>
        <w:adjustRightInd w:val="0"/>
        <w:snapToGrid w:val="0"/>
        <w:spacing w:line="360" w:lineRule="auto"/>
        <w:ind w:firstLine="360" w:firstLineChars="200"/>
        <w:jc w:val="center"/>
        <w:rPr>
          <w:color w:val="000000"/>
          <w:sz w:val="18"/>
          <w:szCs w:val="18"/>
        </w:rPr>
      </w:pPr>
      <w:r>
        <w:rPr>
          <w:rFonts w:hint="eastAsia"/>
          <w:sz w:val="18"/>
          <w:szCs w:val="18"/>
        </w:rPr>
        <w:t>表</w:t>
      </w:r>
      <w:r>
        <w:rPr>
          <w:sz w:val="18"/>
          <w:szCs w:val="18"/>
        </w:rPr>
        <w:t xml:space="preserve">1 </w:t>
      </w:r>
      <w:r>
        <w:rPr>
          <w:rFonts w:hint="eastAsia"/>
          <w:sz w:val="18"/>
          <w:szCs w:val="18"/>
        </w:rPr>
        <w:t>有研稀土起草并参与制定的标准清单</w:t>
      </w:r>
    </w:p>
    <w:tbl>
      <w:tblPr>
        <w:tblStyle w:val="12"/>
        <w:tblW w:w="59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356"/>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vAlign w:val="center"/>
          </w:tcPr>
          <w:p>
            <w:pPr>
              <w:adjustRightInd w:val="0"/>
              <w:snapToGrid w:val="0"/>
              <w:spacing w:beforeAutospacing="1" w:afterAutospacing="1" w:line="360" w:lineRule="auto"/>
              <w:jc w:val="center"/>
              <w:rPr>
                <w:sz w:val="18"/>
                <w:szCs w:val="18"/>
              </w:rPr>
            </w:pPr>
            <w:r>
              <w:rPr>
                <w:rFonts w:hint="eastAsia"/>
                <w:sz w:val="18"/>
                <w:szCs w:val="18"/>
              </w:rPr>
              <w:t>性质</w:t>
            </w:r>
          </w:p>
        </w:tc>
        <w:tc>
          <w:tcPr>
            <w:tcW w:w="3356" w:type="dxa"/>
            <w:vAlign w:val="center"/>
          </w:tcPr>
          <w:p>
            <w:pPr>
              <w:adjustRightInd w:val="0"/>
              <w:snapToGrid w:val="0"/>
              <w:spacing w:beforeAutospacing="1" w:afterAutospacing="1" w:line="360" w:lineRule="auto"/>
              <w:jc w:val="center"/>
              <w:rPr>
                <w:sz w:val="18"/>
                <w:szCs w:val="18"/>
              </w:rPr>
            </w:pPr>
            <w:r>
              <w:rPr>
                <w:rFonts w:hint="eastAsia"/>
                <w:sz w:val="18"/>
                <w:szCs w:val="18"/>
              </w:rPr>
              <w:t>标准名称</w:t>
            </w:r>
          </w:p>
        </w:tc>
        <w:tc>
          <w:tcPr>
            <w:tcW w:w="1673" w:type="dxa"/>
            <w:vAlign w:val="center"/>
          </w:tcPr>
          <w:p>
            <w:pPr>
              <w:adjustRightInd w:val="0"/>
              <w:snapToGrid w:val="0"/>
              <w:spacing w:beforeAutospacing="1" w:afterAutospacing="1" w:line="360" w:lineRule="auto"/>
              <w:jc w:val="center"/>
              <w:rPr>
                <w:sz w:val="18"/>
                <w:szCs w:val="18"/>
              </w:rPr>
            </w:pPr>
            <w:r>
              <w:rPr>
                <w:rFonts w:hint="eastAsia"/>
                <w:sz w:val="18"/>
                <w:szCs w:val="18"/>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vAlign w:val="center"/>
          </w:tcPr>
          <w:p>
            <w:pPr>
              <w:adjustRightInd w:val="0"/>
              <w:snapToGrid w:val="0"/>
              <w:spacing w:beforeAutospacing="1" w:afterAutospacing="1" w:line="360" w:lineRule="auto"/>
              <w:jc w:val="center"/>
              <w:rPr>
                <w:sz w:val="18"/>
                <w:szCs w:val="18"/>
              </w:rPr>
            </w:pPr>
            <w:r>
              <w:rPr>
                <w:rFonts w:hint="eastAsia"/>
                <w:sz w:val="18"/>
                <w:szCs w:val="18"/>
              </w:rPr>
              <w:t>国家标准</w:t>
            </w:r>
          </w:p>
        </w:tc>
        <w:tc>
          <w:tcPr>
            <w:tcW w:w="3356" w:type="dxa"/>
            <w:vAlign w:val="center"/>
          </w:tcPr>
          <w:p>
            <w:pPr>
              <w:adjustRightInd w:val="0"/>
              <w:snapToGrid w:val="0"/>
              <w:spacing w:beforeAutospacing="1" w:afterAutospacing="1" w:line="360" w:lineRule="auto"/>
              <w:jc w:val="center"/>
              <w:rPr>
                <w:sz w:val="18"/>
                <w:szCs w:val="18"/>
              </w:rPr>
            </w:pPr>
            <w:r>
              <w:rPr>
                <w:rFonts w:hint="eastAsia"/>
                <w:sz w:val="18"/>
                <w:szCs w:val="18"/>
              </w:rPr>
              <w:t>白光</w:t>
            </w:r>
            <w:r>
              <w:rPr>
                <w:sz w:val="18"/>
                <w:szCs w:val="18"/>
              </w:rPr>
              <w:t>LED</w:t>
            </w:r>
            <w:r>
              <w:rPr>
                <w:rFonts w:hint="eastAsia"/>
                <w:sz w:val="18"/>
                <w:szCs w:val="18"/>
              </w:rPr>
              <w:t>灯用稀土黄色荧光粉试验方法</w:t>
            </w:r>
            <w:r>
              <w:rPr>
                <w:sz w:val="18"/>
                <w:szCs w:val="18"/>
              </w:rPr>
              <w:t xml:space="preserve"> </w:t>
            </w:r>
            <w:r>
              <w:rPr>
                <w:sz w:val="18"/>
                <w:szCs w:val="18"/>
              </w:rPr>
              <w:br w:type="textWrapping"/>
            </w:r>
            <w:r>
              <w:rPr>
                <w:rFonts w:hint="eastAsia"/>
                <w:sz w:val="18"/>
                <w:szCs w:val="18"/>
              </w:rPr>
              <w:t>第</w:t>
            </w:r>
            <w:r>
              <w:rPr>
                <w:sz w:val="18"/>
                <w:szCs w:val="18"/>
              </w:rPr>
              <w:t>1</w:t>
            </w:r>
            <w:r>
              <w:rPr>
                <w:rFonts w:hint="eastAsia"/>
                <w:sz w:val="18"/>
                <w:szCs w:val="18"/>
              </w:rPr>
              <w:t>部分：光谱性能的测定</w:t>
            </w:r>
          </w:p>
        </w:tc>
        <w:tc>
          <w:tcPr>
            <w:tcW w:w="1673" w:type="dxa"/>
            <w:vAlign w:val="center"/>
          </w:tcPr>
          <w:p>
            <w:pPr>
              <w:adjustRightInd w:val="0"/>
              <w:snapToGrid w:val="0"/>
              <w:spacing w:beforeAutospacing="1" w:afterAutospacing="1" w:line="360" w:lineRule="auto"/>
              <w:jc w:val="center"/>
              <w:rPr>
                <w:sz w:val="18"/>
                <w:szCs w:val="18"/>
              </w:rPr>
            </w:pPr>
            <w:r>
              <w:rPr>
                <w:sz w:val="18"/>
                <w:szCs w:val="18"/>
              </w:rPr>
              <w:t>GBT 23595.1-2009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vAlign w:val="center"/>
          </w:tcPr>
          <w:p>
            <w:pPr>
              <w:adjustRightInd w:val="0"/>
              <w:snapToGrid w:val="0"/>
              <w:spacing w:beforeAutospacing="1" w:afterAutospacing="1" w:line="360" w:lineRule="auto"/>
              <w:jc w:val="center"/>
              <w:rPr>
                <w:sz w:val="18"/>
                <w:szCs w:val="18"/>
              </w:rPr>
            </w:pPr>
            <w:r>
              <w:rPr>
                <w:rFonts w:hint="eastAsia"/>
                <w:sz w:val="18"/>
                <w:szCs w:val="18"/>
              </w:rPr>
              <w:t>国家标准</w:t>
            </w:r>
          </w:p>
        </w:tc>
        <w:tc>
          <w:tcPr>
            <w:tcW w:w="3356" w:type="dxa"/>
            <w:vAlign w:val="center"/>
          </w:tcPr>
          <w:p>
            <w:pPr>
              <w:adjustRightInd w:val="0"/>
              <w:snapToGrid w:val="0"/>
              <w:spacing w:beforeAutospacing="1" w:afterAutospacing="1" w:line="360" w:lineRule="auto"/>
              <w:jc w:val="center"/>
              <w:rPr>
                <w:sz w:val="18"/>
                <w:szCs w:val="18"/>
              </w:rPr>
            </w:pPr>
            <w:r>
              <w:rPr>
                <w:rFonts w:hint="eastAsia"/>
                <w:sz w:val="18"/>
                <w:szCs w:val="18"/>
              </w:rPr>
              <w:t>白光</w:t>
            </w:r>
            <w:r>
              <w:rPr>
                <w:sz w:val="18"/>
                <w:szCs w:val="18"/>
              </w:rPr>
              <w:t>LED</w:t>
            </w:r>
            <w:r>
              <w:rPr>
                <w:rFonts w:hint="eastAsia"/>
                <w:sz w:val="18"/>
                <w:szCs w:val="18"/>
              </w:rPr>
              <w:t>灯用稀土黄色荧光粉试验方法</w:t>
            </w:r>
            <w:r>
              <w:rPr>
                <w:sz w:val="18"/>
                <w:szCs w:val="18"/>
              </w:rPr>
              <w:br w:type="textWrapping"/>
            </w:r>
            <w:r>
              <w:rPr>
                <w:rFonts w:hint="eastAsia"/>
                <w:sz w:val="18"/>
                <w:szCs w:val="18"/>
              </w:rPr>
              <w:t>第</w:t>
            </w:r>
            <w:r>
              <w:rPr>
                <w:sz w:val="18"/>
                <w:szCs w:val="18"/>
              </w:rPr>
              <w:t>2</w:t>
            </w:r>
            <w:r>
              <w:rPr>
                <w:rFonts w:hint="eastAsia"/>
                <w:sz w:val="18"/>
                <w:szCs w:val="18"/>
              </w:rPr>
              <w:t>部分：相对亮度的测定</w:t>
            </w:r>
          </w:p>
        </w:tc>
        <w:tc>
          <w:tcPr>
            <w:tcW w:w="1673" w:type="dxa"/>
            <w:vAlign w:val="center"/>
          </w:tcPr>
          <w:p>
            <w:pPr>
              <w:adjustRightInd w:val="0"/>
              <w:snapToGrid w:val="0"/>
              <w:spacing w:beforeAutospacing="1" w:afterAutospacing="1" w:line="360" w:lineRule="auto"/>
              <w:jc w:val="center"/>
              <w:rPr>
                <w:sz w:val="18"/>
                <w:szCs w:val="18"/>
              </w:rPr>
            </w:pPr>
            <w:r>
              <w:rPr>
                <w:sz w:val="18"/>
                <w:szCs w:val="18"/>
              </w:rPr>
              <w:t>GB/T 23595.2-2009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vAlign w:val="center"/>
          </w:tcPr>
          <w:p>
            <w:pPr>
              <w:adjustRightInd w:val="0"/>
              <w:snapToGrid w:val="0"/>
              <w:spacing w:beforeAutospacing="1" w:afterAutospacing="1" w:line="360" w:lineRule="auto"/>
              <w:jc w:val="center"/>
              <w:rPr>
                <w:sz w:val="18"/>
                <w:szCs w:val="18"/>
              </w:rPr>
            </w:pPr>
            <w:r>
              <w:rPr>
                <w:rFonts w:hint="eastAsia"/>
                <w:sz w:val="18"/>
                <w:szCs w:val="18"/>
              </w:rPr>
              <w:t>国家标准</w:t>
            </w:r>
          </w:p>
        </w:tc>
        <w:tc>
          <w:tcPr>
            <w:tcW w:w="3356" w:type="dxa"/>
            <w:vAlign w:val="center"/>
          </w:tcPr>
          <w:p>
            <w:pPr>
              <w:adjustRightInd w:val="0"/>
              <w:snapToGrid w:val="0"/>
              <w:spacing w:beforeAutospacing="1" w:afterAutospacing="1" w:line="360" w:lineRule="auto"/>
              <w:jc w:val="center"/>
              <w:rPr>
                <w:sz w:val="18"/>
                <w:szCs w:val="18"/>
              </w:rPr>
            </w:pPr>
            <w:r>
              <w:rPr>
                <w:rFonts w:hint="eastAsia"/>
                <w:sz w:val="18"/>
                <w:szCs w:val="18"/>
              </w:rPr>
              <w:t>白光</w:t>
            </w:r>
            <w:r>
              <w:rPr>
                <w:sz w:val="18"/>
                <w:szCs w:val="18"/>
              </w:rPr>
              <w:t>LED</w:t>
            </w:r>
            <w:r>
              <w:rPr>
                <w:rFonts w:hint="eastAsia"/>
                <w:sz w:val="18"/>
                <w:szCs w:val="18"/>
              </w:rPr>
              <w:t>灯用稀土黄色荧光粉试验方法</w:t>
            </w:r>
            <w:r>
              <w:rPr>
                <w:sz w:val="18"/>
                <w:szCs w:val="18"/>
              </w:rPr>
              <w:br w:type="textWrapping"/>
            </w:r>
            <w:r>
              <w:rPr>
                <w:rFonts w:hint="eastAsia"/>
                <w:sz w:val="18"/>
                <w:szCs w:val="18"/>
              </w:rPr>
              <w:t>第</w:t>
            </w:r>
            <w:r>
              <w:rPr>
                <w:sz w:val="18"/>
                <w:szCs w:val="18"/>
              </w:rPr>
              <w:t>3</w:t>
            </w:r>
            <w:r>
              <w:rPr>
                <w:rFonts w:hint="eastAsia"/>
                <w:sz w:val="18"/>
                <w:szCs w:val="18"/>
              </w:rPr>
              <w:t>部分：色品坐标的测定</w:t>
            </w:r>
          </w:p>
        </w:tc>
        <w:tc>
          <w:tcPr>
            <w:tcW w:w="1673" w:type="dxa"/>
            <w:vAlign w:val="center"/>
          </w:tcPr>
          <w:p>
            <w:pPr>
              <w:adjustRightInd w:val="0"/>
              <w:snapToGrid w:val="0"/>
              <w:spacing w:beforeAutospacing="1" w:afterAutospacing="1" w:line="360" w:lineRule="auto"/>
              <w:jc w:val="center"/>
              <w:rPr>
                <w:sz w:val="18"/>
                <w:szCs w:val="18"/>
              </w:rPr>
            </w:pPr>
            <w:r>
              <w:rPr>
                <w:sz w:val="18"/>
                <w:szCs w:val="18"/>
              </w:rPr>
              <w:t>GB/T 23595.3-2009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vAlign w:val="center"/>
          </w:tcPr>
          <w:p>
            <w:pPr>
              <w:adjustRightInd w:val="0"/>
              <w:snapToGrid w:val="0"/>
              <w:spacing w:beforeAutospacing="1" w:afterAutospacing="1" w:line="360" w:lineRule="auto"/>
              <w:jc w:val="center"/>
              <w:rPr>
                <w:sz w:val="18"/>
                <w:szCs w:val="18"/>
              </w:rPr>
            </w:pPr>
            <w:r>
              <w:rPr>
                <w:rFonts w:hint="eastAsia"/>
                <w:sz w:val="18"/>
                <w:szCs w:val="18"/>
              </w:rPr>
              <w:t>国家标准</w:t>
            </w:r>
          </w:p>
        </w:tc>
        <w:tc>
          <w:tcPr>
            <w:tcW w:w="3356" w:type="dxa"/>
            <w:vAlign w:val="center"/>
          </w:tcPr>
          <w:p>
            <w:pPr>
              <w:adjustRightInd w:val="0"/>
              <w:snapToGrid w:val="0"/>
              <w:spacing w:beforeAutospacing="1" w:afterAutospacing="1" w:line="360" w:lineRule="auto"/>
              <w:jc w:val="center"/>
              <w:rPr>
                <w:sz w:val="18"/>
                <w:szCs w:val="18"/>
              </w:rPr>
            </w:pPr>
            <w:r>
              <w:rPr>
                <w:rFonts w:hint="eastAsia"/>
                <w:sz w:val="18"/>
                <w:szCs w:val="18"/>
              </w:rPr>
              <w:t>白光</w:t>
            </w:r>
            <w:r>
              <w:rPr>
                <w:sz w:val="18"/>
                <w:szCs w:val="18"/>
              </w:rPr>
              <w:t>LED</w:t>
            </w:r>
            <w:r>
              <w:rPr>
                <w:rFonts w:hint="eastAsia"/>
                <w:sz w:val="18"/>
                <w:szCs w:val="18"/>
              </w:rPr>
              <w:t>灯用稀土黄色荧光粉试验方法</w:t>
            </w:r>
            <w:r>
              <w:rPr>
                <w:sz w:val="18"/>
                <w:szCs w:val="18"/>
              </w:rPr>
              <w:br w:type="textWrapping"/>
            </w:r>
            <w:r>
              <w:rPr>
                <w:rFonts w:hint="eastAsia"/>
                <w:sz w:val="18"/>
                <w:szCs w:val="18"/>
              </w:rPr>
              <w:t>第</w:t>
            </w:r>
            <w:r>
              <w:rPr>
                <w:sz w:val="18"/>
                <w:szCs w:val="18"/>
              </w:rPr>
              <w:t>4</w:t>
            </w:r>
            <w:r>
              <w:rPr>
                <w:rFonts w:hint="eastAsia"/>
                <w:sz w:val="18"/>
                <w:szCs w:val="18"/>
              </w:rPr>
              <w:t>部分：热稳定性的测定</w:t>
            </w:r>
          </w:p>
        </w:tc>
        <w:tc>
          <w:tcPr>
            <w:tcW w:w="1673" w:type="dxa"/>
            <w:vAlign w:val="center"/>
          </w:tcPr>
          <w:p>
            <w:pPr>
              <w:adjustRightInd w:val="0"/>
              <w:snapToGrid w:val="0"/>
              <w:spacing w:beforeAutospacing="1" w:afterAutospacing="1" w:line="360" w:lineRule="auto"/>
              <w:jc w:val="center"/>
              <w:rPr>
                <w:sz w:val="18"/>
                <w:szCs w:val="18"/>
              </w:rPr>
            </w:pPr>
            <w:r>
              <w:rPr>
                <w:sz w:val="18"/>
                <w:szCs w:val="18"/>
              </w:rPr>
              <w:t>GB/T 23595.4-2009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vAlign w:val="center"/>
          </w:tcPr>
          <w:p>
            <w:pPr>
              <w:adjustRightInd w:val="0"/>
              <w:snapToGrid w:val="0"/>
              <w:spacing w:beforeAutospacing="1" w:afterAutospacing="1" w:line="360" w:lineRule="auto"/>
              <w:jc w:val="center"/>
              <w:rPr>
                <w:sz w:val="18"/>
                <w:szCs w:val="18"/>
              </w:rPr>
            </w:pPr>
            <w:r>
              <w:rPr>
                <w:rFonts w:hint="eastAsia"/>
                <w:sz w:val="18"/>
                <w:szCs w:val="18"/>
              </w:rPr>
              <w:t>国家标准</w:t>
            </w:r>
          </w:p>
        </w:tc>
        <w:tc>
          <w:tcPr>
            <w:tcW w:w="3356" w:type="dxa"/>
            <w:vAlign w:val="center"/>
          </w:tcPr>
          <w:p>
            <w:pPr>
              <w:adjustRightInd w:val="0"/>
              <w:snapToGrid w:val="0"/>
              <w:spacing w:beforeAutospacing="1" w:afterAutospacing="1" w:line="360" w:lineRule="auto"/>
              <w:jc w:val="center"/>
              <w:rPr>
                <w:sz w:val="18"/>
                <w:szCs w:val="18"/>
              </w:rPr>
            </w:pPr>
            <w:r>
              <w:rPr>
                <w:sz w:val="18"/>
                <w:szCs w:val="18"/>
              </w:rPr>
              <w:t>LED</w:t>
            </w:r>
            <w:r>
              <w:rPr>
                <w:rFonts w:hint="eastAsia"/>
                <w:sz w:val="18"/>
                <w:szCs w:val="18"/>
              </w:rPr>
              <w:t>用稀土氮化物红色荧光粉</w:t>
            </w:r>
          </w:p>
        </w:tc>
        <w:tc>
          <w:tcPr>
            <w:tcW w:w="1673" w:type="dxa"/>
            <w:vAlign w:val="center"/>
          </w:tcPr>
          <w:p>
            <w:pPr>
              <w:adjustRightInd w:val="0"/>
              <w:snapToGrid w:val="0"/>
              <w:spacing w:beforeAutospacing="1" w:afterAutospacing="1" w:line="360" w:lineRule="auto"/>
              <w:jc w:val="center"/>
              <w:rPr>
                <w:sz w:val="18"/>
                <w:szCs w:val="18"/>
              </w:rPr>
            </w:pPr>
            <w:r>
              <w:rPr>
                <w:sz w:val="18"/>
                <w:szCs w:val="18"/>
              </w:rPr>
              <w:t>GB/T30075-2013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vAlign w:val="center"/>
          </w:tcPr>
          <w:p>
            <w:pPr>
              <w:adjustRightInd w:val="0"/>
              <w:snapToGrid w:val="0"/>
              <w:spacing w:beforeAutospacing="1" w:afterAutospacing="1" w:line="360" w:lineRule="auto"/>
              <w:jc w:val="center"/>
              <w:rPr>
                <w:sz w:val="18"/>
                <w:szCs w:val="18"/>
              </w:rPr>
            </w:pPr>
            <w:r>
              <w:rPr>
                <w:rFonts w:hint="eastAsia"/>
                <w:sz w:val="18"/>
                <w:szCs w:val="18"/>
              </w:rPr>
              <w:t>行业标准</w:t>
            </w:r>
          </w:p>
        </w:tc>
        <w:tc>
          <w:tcPr>
            <w:tcW w:w="3356" w:type="dxa"/>
            <w:vAlign w:val="center"/>
          </w:tcPr>
          <w:p>
            <w:pPr>
              <w:adjustRightInd w:val="0"/>
              <w:snapToGrid w:val="0"/>
              <w:spacing w:beforeAutospacing="1" w:afterAutospacing="1" w:line="360" w:lineRule="auto"/>
              <w:jc w:val="center"/>
              <w:rPr>
                <w:sz w:val="18"/>
                <w:szCs w:val="18"/>
              </w:rPr>
            </w:pPr>
            <w:r>
              <w:rPr>
                <w:rFonts w:hint="eastAsia"/>
                <w:sz w:val="18"/>
                <w:szCs w:val="18"/>
              </w:rPr>
              <w:t>半导体发光二极管用荧光粉</w:t>
            </w:r>
          </w:p>
        </w:tc>
        <w:tc>
          <w:tcPr>
            <w:tcW w:w="1673" w:type="dxa"/>
            <w:vAlign w:val="center"/>
          </w:tcPr>
          <w:p>
            <w:pPr>
              <w:adjustRightInd w:val="0"/>
              <w:snapToGrid w:val="0"/>
              <w:spacing w:beforeAutospacing="1" w:afterAutospacing="1" w:line="360" w:lineRule="auto"/>
              <w:jc w:val="center"/>
              <w:rPr>
                <w:sz w:val="18"/>
                <w:szCs w:val="18"/>
              </w:rPr>
            </w:pPr>
            <w:r>
              <w:rPr>
                <w:sz w:val="18"/>
                <w:szCs w:val="18"/>
              </w:rPr>
              <w:t>SJ/T11397-2009</w:t>
            </w:r>
          </w:p>
        </w:tc>
      </w:tr>
    </w:tbl>
    <w:p>
      <w:pPr>
        <w:adjustRightInd w:val="0"/>
        <w:snapToGrid w:val="0"/>
        <w:spacing w:line="360" w:lineRule="auto"/>
        <w:ind w:firstLine="420" w:firstLineChars="200"/>
        <w:rPr>
          <w:color w:val="000000"/>
          <w:szCs w:val="21"/>
        </w:rPr>
      </w:pPr>
    </w:p>
    <w:p>
      <w:pPr>
        <w:adjustRightInd w:val="0"/>
        <w:snapToGrid w:val="0"/>
        <w:spacing w:line="360" w:lineRule="auto"/>
        <w:ind w:firstLine="420" w:firstLineChars="200"/>
        <w:rPr>
          <w:color w:val="000000"/>
          <w:szCs w:val="21"/>
        </w:rPr>
      </w:pPr>
      <w:r>
        <w:rPr>
          <w:rFonts w:hint="eastAsia"/>
          <w:color w:val="000000"/>
          <w:szCs w:val="21"/>
        </w:rPr>
        <w:t>在量子效率测试标准方面，有研稀土牵头编制的</w:t>
      </w:r>
      <w:r>
        <w:rPr>
          <w:rFonts w:hint="eastAsia"/>
          <w:szCs w:val="21"/>
        </w:rPr>
        <w:t>半导体发光二极管用荧光粉（</w:t>
      </w:r>
      <w:r>
        <w:rPr>
          <w:szCs w:val="21"/>
        </w:rPr>
        <w:t>SJ/T11397-2009</w:t>
      </w:r>
      <w:r>
        <w:rPr>
          <w:rFonts w:hint="eastAsia"/>
          <w:szCs w:val="21"/>
        </w:rPr>
        <w:t>）行标中涉及到量子效率测试方法。为进一步完善我国</w:t>
      </w:r>
      <w:r>
        <w:rPr>
          <w:szCs w:val="21"/>
        </w:rPr>
        <w:t>LED</w:t>
      </w:r>
      <w:r>
        <w:rPr>
          <w:rFonts w:hint="eastAsia"/>
          <w:szCs w:val="21"/>
        </w:rPr>
        <w:t>用荧光粉量子效率测试标准，</w:t>
      </w:r>
      <w:r>
        <w:rPr>
          <w:rFonts w:hint="eastAsia"/>
          <w:color w:val="000000"/>
          <w:szCs w:val="21"/>
        </w:rPr>
        <w:t>有研稀土于</w:t>
      </w:r>
      <w:r>
        <w:rPr>
          <w:color w:val="000000"/>
          <w:szCs w:val="21"/>
        </w:rPr>
        <w:t>2012</w:t>
      </w:r>
      <w:r>
        <w:rPr>
          <w:rFonts w:hint="eastAsia"/>
          <w:color w:val="000000"/>
          <w:szCs w:val="21"/>
        </w:rPr>
        <w:t>年在国内首家引进日本大</w:t>
      </w:r>
      <w:r>
        <w:rPr>
          <w:rFonts w:hint="eastAsia"/>
          <w:szCs w:val="21"/>
        </w:rPr>
        <w:t>塚</w:t>
      </w:r>
      <w:r>
        <w:rPr>
          <w:rFonts w:hint="eastAsia"/>
          <w:color w:val="000000"/>
          <w:szCs w:val="21"/>
        </w:rPr>
        <w:t>电子</w:t>
      </w:r>
      <w:r>
        <w:rPr>
          <w:color w:val="000000"/>
          <w:szCs w:val="21"/>
        </w:rPr>
        <w:t>photal</w:t>
      </w:r>
      <w:r>
        <w:rPr>
          <w:rFonts w:hint="eastAsia"/>
          <w:color w:val="000000"/>
          <w:szCs w:val="21"/>
        </w:rPr>
        <w:t>光致发光量子产率测试仪，并先后与</w:t>
      </w:r>
      <w:r>
        <w:rPr>
          <w:rFonts w:hint="eastAsia"/>
          <w:szCs w:val="21"/>
        </w:rPr>
        <w:t>大塚电子、</w:t>
      </w:r>
      <w:r>
        <w:rPr>
          <w:szCs w:val="21"/>
        </w:rPr>
        <w:t>NIMS</w:t>
      </w:r>
      <w:r>
        <w:rPr>
          <w:rFonts w:hint="eastAsia"/>
          <w:szCs w:val="21"/>
        </w:rPr>
        <w:t>、杭州远方、中为光电等国内外量子效率设备制造企业，三菱化学、韩国</w:t>
      </w:r>
      <w:r>
        <w:rPr>
          <w:szCs w:val="21"/>
        </w:rPr>
        <w:t>LG</w:t>
      </w:r>
      <w:r>
        <w:rPr>
          <w:rFonts w:hint="eastAsia"/>
          <w:szCs w:val="21"/>
        </w:rPr>
        <w:t>、瑞丰电子、聚飞光电等国内外荧光粉制造和应用巨头以及北京大学、厦门大学等科研高校多次交流探讨，目前已形成一套业界普遍认可的</w:t>
      </w:r>
      <w:r>
        <w:rPr>
          <w:szCs w:val="21"/>
        </w:rPr>
        <w:t>LED</w:t>
      </w:r>
      <w:r>
        <w:rPr>
          <w:rFonts w:hint="eastAsia"/>
          <w:szCs w:val="21"/>
        </w:rPr>
        <w:t>用荧光粉量子效率测试方法。</w:t>
      </w:r>
    </w:p>
    <w:p>
      <w:pPr>
        <w:tabs>
          <w:tab w:val="left" w:pos="522"/>
        </w:tabs>
        <w:adjustRightInd w:val="0"/>
        <w:snapToGrid w:val="0"/>
        <w:spacing w:before="156" w:beforeLines="50" w:line="360" w:lineRule="auto"/>
        <w:jc w:val="left"/>
        <w:rPr>
          <w:rFonts w:ascii="黑体" w:hAnsi="黑体" w:eastAsia="黑体"/>
          <w:szCs w:val="21"/>
        </w:rPr>
      </w:pPr>
      <w:r>
        <w:rPr>
          <w:rFonts w:ascii="黑体" w:hAnsi="黑体" w:eastAsia="黑体"/>
          <w:szCs w:val="21"/>
        </w:rPr>
        <w:t>1.4</w:t>
      </w:r>
      <w:r>
        <w:rPr>
          <w:rFonts w:hint="eastAsia" w:ascii="黑体" w:hAnsi="黑体" w:eastAsia="黑体"/>
          <w:szCs w:val="21"/>
        </w:rPr>
        <w:t>工作进度安排</w:t>
      </w:r>
    </w:p>
    <w:p>
      <w:pPr>
        <w:tabs>
          <w:tab w:val="left" w:pos="522"/>
        </w:tabs>
        <w:adjustRightInd w:val="0"/>
        <w:snapToGrid w:val="0"/>
        <w:spacing w:line="360" w:lineRule="auto"/>
        <w:ind w:firstLine="482"/>
        <w:rPr>
          <w:szCs w:val="21"/>
        </w:rPr>
      </w:pPr>
      <w:r>
        <w:rPr>
          <w:rFonts w:hint="eastAsia"/>
          <w:szCs w:val="21"/>
        </w:rPr>
        <w:t>根据任务落实会议精神，</w:t>
      </w:r>
      <w:r>
        <w:rPr>
          <w:rFonts w:hint="eastAsia"/>
          <w:color w:val="000000"/>
          <w:szCs w:val="21"/>
        </w:rPr>
        <w:t>有研稀土</w:t>
      </w:r>
      <w:r>
        <w:rPr>
          <w:rFonts w:hint="eastAsia"/>
          <w:szCs w:val="21"/>
        </w:rPr>
        <w:t>组建了白光</w:t>
      </w:r>
      <w:r>
        <w:rPr>
          <w:szCs w:val="21"/>
        </w:rPr>
        <w:t>LED</w:t>
      </w:r>
      <w:r>
        <w:rPr>
          <w:rFonts w:hint="eastAsia"/>
          <w:szCs w:val="21"/>
        </w:rPr>
        <w:t>用荧光粉量子效率测试方法制定小组，主要由</w:t>
      </w:r>
      <w:r>
        <w:rPr>
          <w:szCs w:val="21"/>
        </w:rPr>
        <w:t>LED</w:t>
      </w:r>
      <w:r>
        <w:rPr>
          <w:rFonts w:hint="eastAsia"/>
          <w:szCs w:val="21"/>
        </w:rPr>
        <w:t>荧光粉生产部门、研发部、质管办、市场部等相关人员组成。具体时间安排如下：</w:t>
      </w:r>
    </w:p>
    <w:p>
      <w:pPr>
        <w:tabs>
          <w:tab w:val="left" w:pos="522"/>
        </w:tabs>
        <w:adjustRightInd w:val="0"/>
        <w:snapToGrid w:val="0"/>
        <w:spacing w:line="360" w:lineRule="auto"/>
        <w:ind w:firstLine="482"/>
        <w:rPr>
          <w:szCs w:val="21"/>
        </w:rPr>
      </w:pPr>
      <w:r>
        <w:rPr>
          <w:rFonts w:hint="eastAsia"/>
          <w:szCs w:val="21"/>
        </w:rPr>
        <w:t>（</w:t>
      </w:r>
      <w:r>
        <w:rPr>
          <w:szCs w:val="21"/>
        </w:rPr>
        <w:t>1</w:t>
      </w:r>
      <w:r>
        <w:rPr>
          <w:rFonts w:hint="eastAsia"/>
          <w:szCs w:val="21"/>
        </w:rPr>
        <w:t>）征求意见稿：</w:t>
      </w:r>
      <w:r>
        <w:rPr>
          <w:szCs w:val="21"/>
        </w:rPr>
        <w:t xml:space="preserve"> 2019</w:t>
      </w:r>
      <w:r>
        <w:rPr>
          <w:rFonts w:hint="eastAsia"/>
          <w:szCs w:val="21"/>
        </w:rPr>
        <w:t>年</w:t>
      </w:r>
      <w:r>
        <w:rPr>
          <w:szCs w:val="21"/>
        </w:rPr>
        <w:t xml:space="preserve"> 03 </w:t>
      </w:r>
      <w:r>
        <w:rPr>
          <w:rFonts w:hint="eastAsia"/>
          <w:szCs w:val="21"/>
        </w:rPr>
        <w:t>月</w:t>
      </w:r>
      <w:r>
        <w:rPr>
          <w:szCs w:val="21"/>
        </w:rPr>
        <w:t xml:space="preserve"> 31 </w:t>
      </w:r>
      <w:r>
        <w:rPr>
          <w:rFonts w:hint="eastAsia"/>
          <w:szCs w:val="21"/>
        </w:rPr>
        <w:t>日</w:t>
      </w:r>
    </w:p>
    <w:p>
      <w:pPr>
        <w:tabs>
          <w:tab w:val="left" w:pos="522"/>
        </w:tabs>
        <w:adjustRightInd w:val="0"/>
        <w:snapToGrid w:val="0"/>
        <w:spacing w:line="360" w:lineRule="auto"/>
        <w:ind w:firstLine="482"/>
        <w:rPr>
          <w:szCs w:val="21"/>
        </w:rPr>
      </w:pPr>
      <w:r>
        <w:rPr>
          <w:rFonts w:hint="eastAsia"/>
          <w:szCs w:val="21"/>
        </w:rPr>
        <w:t>（</w:t>
      </w:r>
      <w:r>
        <w:rPr>
          <w:szCs w:val="21"/>
        </w:rPr>
        <w:t>2</w:t>
      </w:r>
      <w:r>
        <w:rPr>
          <w:rFonts w:hint="eastAsia"/>
          <w:szCs w:val="21"/>
        </w:rPr>
        <w:t>）预</w:t>
      </w:r>
      <w:r>
        <w:rPr>
          <w:szCs w:val="21"/>
        </w:rPr>
        <w:t xml:space="preserve">  </w:t>
      </w:r>
      <w:r>
        <w:rPr>
          <w:rFonts w:hint="eastAsia"/>
          <w:szCs w:val="21"/>
        </w:rPr>
        <w:t>审</w:t>
      </w:r>
      <w:r>
        <w:rPr>
          <w:szCs w:val="21"/>
        </w:rPr>
        <w:t xml:space="preserve">  </w:t>
      </w:r>
      <w:r>
        <w:rPr>
          <w:rFonts w:hint="eastAsia"/>
          <w:szCs w:val="21"/>
        </w:rPr>
        <w:t>稿：</w:t>
      </w:r>
      <w:r>
        <w:rPr>
          <w:szCs w:val="21"/>
        </w:rPr>
        <w:t xml:space="preserve"> 2019</w:t>
      </w:r>
      <w:r>
        <w:rPr>
          <w:rFonts w:hint="eastAsia"/>
          <w:szCs w:val="21"/>
        </w:rPr>
        <w:t>年</w:t>
      </w:r>
      <w:r>
        <w:rPr>
          <w:szCs w:val="21"/>
        </w:rPr>
        <w:t xml:space="preserve"> 04 </w:t>
      </w:r>
      <w:r>
        <w:rPr>
          <w:rFonts w:hint="eastAsia"/>
          <w:szCs w:val="21"/>
        </w:rPr>
        <w:t>月</w:t>
      </w:r>
      <w:r>
        <w:rPr>
          <w:szCs w:val="21"/>
        </w:rPr>
        <w:t xml:space="preserve"> 20 </w:t>
      </w:r>
      <w:r>
        <w:rPr>
          <w:rFonts w:hint="eastAsia"/>
          <w:szCs w:val="21"/>
        </w:rPr>
        <w:t>日</w:t>
      </w:r>
    </w:p>
    <w:p>
      <w:pPr>
        <w:tabs>
          <w:tab w:val="left" w:pos="522"/>
        </w:tabs>
        <w:adjustRightInd w:val="0"/>
        <w:snapToGrid w:val="0"/>
        <w:spacing w:line="360" w:lineRule="auto"/>
        <w:ind w:firstLine="482"/>
        <w:rPr>
          <w:szCs w:val="21"/>
        </w:rPr>
      </w:pPr>
      <w:r>
        <w:rPr>
          <w:rFonts w:hint="eastAsia"/>
          <w:szCs w:val="21"/>
        </w:rPr>
        <w:t>（</w:t>
      </w:r>
      <w:r>
        <w:rPr>
          <w:szCs w:val="21"/>
        </w:rPr>
        <w:t>3</w:t>
      </w:r>
      <w:r>
        <w:rPr>
          <w:rFonts w:hint="eastAsia"/>
          <w:szCs w:val="21"/>
        </w:rPr>
        <w:t>）送</w:t>
      </w:r>
      <w:r>
        <w:rPr>
          <w:szCs w:val="21"/>
        </w:rPr>
        <w:t xml:space="preserve">  </w:t>
      </w:r>
      <w:r>
        <w:rPr>
          <w:rFonts w:hint="eastAsia"/>
          <w:szCs w:val="21"/>
        </w:rPr>
        <w:t>审</w:t>
      </w:r>
      <w:r>
        <w:rPr>
          <w:szCs w:val="21"/>
        </w:rPr>
        <w:t xml:space="preserve">  </w:t>
      </w:r>
      <w:r>
        <w:rPr>
          <w:rFonts w:hint="eastAsia"/>
          <w:szCs w:val="21"/>
        </w:rPr>
        <w:t>稿：</w:t>
      </w:r>
      <w:r>
        <w:rPr>
          <w:szCs w:val="21"/>
        </w:rPr>
        <w:t xml:space="preserve"> 2019</w:t>
      </w:r>
      <w:r>
        <w:rPr>
          <w:rFonts w:hint="eastAsia"/>
          <w:szCs w:val="21"/>
        </w:rPr>
        <w:t>年</w:t>
      </w:r>
      <w:r>
        <w:rPr>
          <w:szCs w:val="21"/>
        </w:rPr>
        <w:t xml:space="preserve"> 06 </w:t>
      </w:r>
      <w:r>
        <w:rPr>
          <w:rFonts w:hint="eastAsia"/>
          <w:szCs w:val="21"/>
        </w:rPr>
        <w:t>月</w:t>
      </w:r>
      <w:r>
        <w:rPr>
          <w:szCs w:val="21"/>
        </w:rPr>
        <w:t xml:space="preserve"> 30 </w:t>
      </w:r>
      <w:r>
        <w:rPr>
          <w:rFonts w:hint="eastAsia"/>
          <w:szCs w:val="21"/>
        </w:rPr>
        <w:t>日</w:t>
      </w:r>
    </w:p>
    <w:p>
      <w:pPr>
        <w:tabs>
          <w:tab w:val="left" w:pos="522"/>
        </w:tabs>
        <w:adjustRightInd w:val="0"/>
        <w:snapToGrid w:val="0"/>
        <w:spacing w:line="360" w:lineRule="auto"/>
        <w:ind w:firstLine="482"/>
        <w:rPr>
          <w:szCs w:val="21"/>
        </w:rPr>
      </w:pPr>
      <w:r>
        <w:rPr>
          <w:rFonts w:hint="eastAsia"/>
          <w:szCs w:val="21"/>
        </w:rPr>
        <w:t>（</w:t>
      </w:r>
      <w:r>
        <w:rPr>
          <w:szCs w:val="21"/>
        </w:rPr>
        <w:t>4</w:t>
      </w:r>
      <w:r>
        <w:rPr>
          <w:rFonts w:hint="eastAsia"/>
          <w:szCs w:val="21"/>
        </w:rPr>
        <w:t>）审定会时间：</w:t>
      </w:r>
      <w:r>
        <w:rPr>
          <w:szCs w:val="21"/>
        </w:rPr>
        <w:t xml:space="preserve"> 2019</w:t>
      </w:r>
      <w:r>
        <w:rPr>
          <w:rFonts w:hint="eastAsia"/>
          <w:szCs w:val="21"/>
        </w:rPr>
        <w:t>年</w:t>
      </w:r>
      <w:r>
        <w:rPr>
          <w:szCs w:val="21"/>
        </w:rPr>
        <w:t xml:space="preserve"> 07 </w:t>
      </w:r>
      <w:r>
        <w:rPr>
          <w:rFonts w:hint="eastAsia"/>
          <w:szCs w:val="21"/>
        </w:rPr>
        <w:t>月</w:t>
      </w:r>
      <w:r>
        <w:rPr>
          <w:szCs w:val="21"/>
        </w:rPr>
        <w:t xml:space="preserve"> 31 </w:t>
      </w:r>
      <w:r>
        <w:rPr>
          <w:rFonts w:hint="eastAsia"/>
          <w:szCs w:val="21"/>
        </w:rPr>
        <w:t>日</w:t>
      </w:r>
    </w:p>
    <w:p>
      <w:pPr>
        <w:tabs>
          <w:tab w:val="left" w:pos="522"/>
        </w:tabs>
        <w:adjustRightInd w:val="0"/>
        <w:snapToGrid w:val="0"/>
        <w:spacing w:line="360" w:lineRule="auto"/>
        <w:ind w:firstLine="482"/>
        <w:rPr>
          <w:szCs w:val="21"/>
        </w:rPr>
      </w:pPr>
      <w:r>
        <w:rPr>
          <w:rFonts w:hint="eastAsia"/>
          <w:szCs w:val="21"/>
        </w:rPr>
        <w:t>接到任务后，通过广泛调研、深入了解了目前市售和在用</w:t>
      </w:r>
      <w:r>
        <w:rPr>
          <w:szCs w:val="21"/>
        </w:rPr>
        <w:t>LED</w:t>
      </w:r>
      <w:r>
        <w:rPr>
          <w:rFonts w:hint="eastAsia"/>
          <w:szCs w:val="21"/>
        </w:rPr>
        <w:t>荧光粉的量子效率测试方法情况。走访了国内</w:t>
      </w:r>
      <w:r>
        <w:rPr>
          <w:szCs w:val="21"/>
        </w:rPr>
        <w:t>LED</w:t>
      </w:r>
      <w:r>
        <w:rPr>
          <w:rFonts w:hint="eastAsia"/>
          <w:szCs w:val="21"/>
        </w:rPr>
        <w:t>荧光粉主要研制和生产的科研院所和大型企业，根据目前行业认可的</w:t>
      </w:r>
      <w:r>
        <w:rPr>
          <w:szCs w:val="21"/>
        </w:rPr>
        <w:t>LED</w:t>
      </w:r>
      <w:r>
        <w:rPr>
          <w:rFonts w:hint="eastAsia"/>
          <w:szCs w:val="21"/>
        </w:rPr>
        <w:t>荧光粉量子效率方法，起草了白光</w:t>
      </w:r>
      <w:r>
        <w:rPr>
          <w:szCs w:val="21"/>
        </w:rPr>
        <w:t>LED</w:t>
      </w:r>
      <w:r>
        <w:rPr>
          <w:rFonts w:hint="eastAsia"/>
          <w:szCs w:val="21"/>
        </w:rPr>
        <w:t>用荧光粉量子效率测试方法标准</w:t>
      </w:r>
      <w:r>
        <w:rPr>
          <w:szCs w:val="21"/>
        </w:rPr>
        <w:t>(</w:t>
      </w:r>
      <w:r>
        <w:rPr>
          <w:rFonts w:hint="eastAsia"/>
          <w:szCs w:val="21"/>
        </w:rPr>
        <w:t>草案</w:t>
      </w:r>
      <w:r>
        <w:rPr>
          <w:szCs w:val="21"/>
        </w:rPr>
        <w:t>)</w:t>
      </w:r>
      <w:r>
        <w:rPr>
          <w:rFonts w:hint="eastAsia"/>
          <w:szCs w:val="21"/>
        </w:rPr>
        <w:t>，形成了标准征求意见稿。</w:t>
      </w:r>
    </w:p>
    <w:p>
      <w:pPr>
        <w:adjustRightInd w:val="0"/>
        <w:snapToGrid w:val="0"/>
        <w:spacing w:line="360" w:lineRule="auto"/>
        <w:rPr>
          <w:rFonts w:ascii="黑体" w:hAnsi="黑体" w:eastAsia="黑体"/>
          <w:szCs w:val="21"/>
        </w:rPr>
      </w:pPr>
      <w:r>
        <w:rPr>
          <w:rFonts w:hint="eastAsia" w:ascii="黑体" w:hAnsi="黑体" w:eastAsia="黑体"/>
          <w:szCs w:val="21"/>
        </w:rPr>
        <w:t>二、编制原则和依据及标准主要内容</w:t>
      </w:r>
    </w:p>
    <w:p>
      <w:pPr>
        <w:adjustRightInd w:val="0"/>
        <w:snapToGrid w:val="0"/>
        <w:spacing w:line="360" w:lineRule="auto"/>
        <w:rPr>
          <w:rFonts w:ascii="黑体" w:hAnsi="黑体" w:eastAsia="黑体"/>
          <w:szCs w:val="21"/>
        </w:rPr>
      </w:pPr>
      <w:r>
        <w:rPr>
          <w:rFonts w:ascii="黑体" w:hAnsi="黑体" w:eastAsia="黑体"/>
          <w:szCs w:val="21"/>
        </w:rPr>
        <w:t xml:space="preserve">2.1 </w:t>
      </w:r>
      <w:r>
        <w:rPr>
          <w:rFonts w:hint="eastAsia" w:ascii="黑体" w:hAnsi="黑体" w:eastAsia="黑体"/>
          <w:szCs w:val="21"/>
        </w:rPr>
        <w:t>编制原则和依据</w:t>
      </w:r>
    </w:p>
    <w:p>
      <w:pPr>
        <w:adjustRightInd w:val="0"/>
        <w:snapToGrid w:val="0"/>
        <w:spacing w:line="360" w:lineRule="auto"/>
        <w:ind w:firstLine="420" w:firstLineChars="200"/>
        <w:rPr>
          <w:szCs w:val="21"/>
        </w:rPr>
      </w:pPr>
      <w:r>
        <w:rPr>
          <w:rFonts w:hint="eastAsia"/>
          <w:szCs w:val="21"/>
        </w:rPr>
        <w:t>标准负责起草单位在任务落实会上广泛地征求了与会专家和代表的意见，确定了制定方案；确定了标准起草原则、主要内容框架和依据：</w:t>
      </w:r>
    </w:p>
    <w:p>
      <w:pPr>
        <w:pStyle w:val="43"/>
        <w:numPr>
          <w:ilvl w:val="0"/>
          <w:numId w:val="2"/>
        </w:numPr>
        <w:adjustRightInd w:val="0"/>
        <w:snapToGrid w:val="0"/>
        <w:spacing w:line="360" w:lineRule="auto"/>
        <w:ind w:firstLineChars="0"/>
        <w:rPr>
          <w:rFonts w:ascii="Times New Roman" w:hAnsi="Times New Roman"/>
          <w:szCs w:val="21"/>
        </w:rPr>
      </w:pPr>
      <w:r>
        <w:rPr>
          <w:rFonts w:hint="eastAsia" w:ascii="Times New Roman" w:hAnsi="Times New Roman"/>
          <w:szCs w:val="21"/>
        </w:rPr>
        <w:t>依据国家相关的法律、法规；</w:t>
      </w:r>
    </w:p>
    <w:p>
      <w:pPr>
        <w:pStyle w:val="43"/>
        <w:numPr>
          <w:ilvl w:val="0"/>
          <w:numId w:val="2"/>
        </w:numPr>
        <w:adjustRightInd w:val="0"/>
        <w:snapToGrid w:val="0"/>
        <w:spacing w:line="360" w:lineRule="auto"/>
        <w:ind w:firstLineChars="0"/>
        <w:rPr>
          <w:rFonts w:ascii="Times New Roman" w:hAnsi="Times New Roman"/>
          <w:szCs w:val="21"/>
        </w:rPr>
      </w:pPr>
      <w:r>
        <w:rPr>
          <w:rFonts w:hint="eastAsia" w:ascii="Times New Roman" w:hAnsi="Times New Roman"/>
          <w:szCs w:val="21"/>
        </w:rPr>
        <w:t>查询相关标准和收集国内外客户的相关技术要求，积极向相关国际标准、世界领头企业的技术标准要求靠拢，做到标准的先进性；</w:t>
      </w:r>
    </w:p>
    <w:p>
      <w:pPr>
        <w:pStyle w:val="43"/>
        <w:numPr>
          <w:ilvl w:val="0"/>
          <w:numId w:val="2"/>
        </w:numPr>
        <w:adjustRightInd w:val="0"/>
        <w:snapToGrid w:val="0"/>
        <w:spacing w:line="360" w:lineRule="auto"/>
        <w:ind w:firstLineChars="0"/>
        <w:rPr>
          <w:rFonts w:ascii="Times New Roman" w:hAnsi="Times New Roman"/>
          <w:szCs w:val="21"/>
        </w:rPr>
      </w:pPr>
      <w:r>
        <w:rPr>
          <w:rFonts w:hint="eastAsia" w:ascii="Times New Roman" w:hAnsi="Times New Roman"/>
          <w:szCs w:val="21"/>
        </w:rPr>
        <w:t>根据目前国内白光</w:t>
      </w:r>
      <w:r>
        <w:rPr>
          <w:rFonts w:ascii="Times New Roman" w:hAnsi="Times New Roman"/>
          <w:szCs w:val="21"/>
        </w:rPr>
        <w:t>LED</w:t>
      </w:r>
      <w:r>
        <w:rPr>
          <w:rFonts w:hint="eastAsia" w:ascii="Times New Roman" w:hAnsi="Times New Roman"/>
          <w:szCs w:val="21"/>
        </w:rPr>
        <w:t>用荧光粉量子效率测试的具体情况，结合用户的要求及应用技术的发展趋势，力求做到标准的合理性、实用性，与时俱进；</w:t>
      </w:r>
    </w:p>
    <w:p>
      <w:pPr>
        <w:pStyle w:val="43"/>
        <w:numPr>
          <w:ilvl w:val="0"/>
          <w:numId w:val="2"/>
        </w:numPr>
        <w:adjustRightInd w:val="0"/>
        <w:snapToGrid w:val="0"/>
        <w:spacing w:line="360" w:lineRule="auto"/>
        <w:ind w:firstLineChars="0"/>
        <w:rPr>
          <w:rFonts w:ascii="Times New Roman" w:hAnsi="Times New Roman"/>
          <w:szCs w:val="21"/>
        </w:rPr>
      </w:pPr>
      <w:r>
        <w:rPr>
          <w:rFonts w:hint="eastAsia" w:ascii="Times New Roman" w:hAnsi="Times New Roman"/>
          <w:szCs w:val="21"/>
        </w:rPr>
        <w:t>按照</w:t>
      </w:r>
      <w:r>
        <w:rPr>
          <w:rFonts w:ascii="Times New Roman" w:hAnsi="Times New Roman"/>
          <w:szCs w:val="21"/>
        </w:rPr>
        <w:t>GB/T 1.1</w:t>
      </w:r>
      <w:r>
        <w:rPr>
          <w:rFonts w:hint="eastAsia" w:ascii="Times New Roman" w:hAnsi="Times New Roman"/>
          <w:szCs w:val="21"/>
        </w:rPr>
        <w:t>，稀土标准和国家标准编写示例的要求进行格式和结构编写。</w:t>
      </w:r>
    </w:p>
    <w:p>
      <w:pPr>
        <w:adjustRightInd w:val="0"/>
        <w:snapToGrid w:val="0"/>
        <w:spacing w:line="360" w:lineRule="auto"/>
        <w:rPr>
          <w:rFonts w:ascii="黑体" w:hAnsi="黑体" w:eastAsia="黑体"/>
          <w:szCs w:val="21"/>
        </w:rPr>
      </w:pPr>
      <w:r>
        <w:rPr>
          <w:rFonts w:ascii="黑体" w:hAnsi="黑体" w:eastAsia="黑体"/>
          <w:szCs w:val="21"/>
        </w:rPr>
        <w:t xml:space="preserve">2.2 </w:t>
      </w:r>
      <w:r>
        <w:rPr>
          <w:rFonts w:hint="eastAsia" w:ascii="黑体" w:hAnsi="黑体" w:eastAsia="黑体"/>
          <w:szCs w:val="21"/>
        </w:rPr>
        <w:t>标准主要内容</w:t>
      </w:r>
    </w:p>
    <w:p>
      <w:pPr>
        <w:spacing w:line="360" w:lineRule="auto"/>
        <w:ind w:firstLine="420" w:firstLineChars="200"/>
        <w:jc w:val="left"/>
        <w:rPr>
          <w:szCs w:val="21"/>
        </w:rPr>
      </w:pPr>
      <w:r>
        <w:rPr>
          <w:rFonts w:hint="eastAsia"/>
          <w:szCs w:val="21"/>
        </w:rPr>
        <w:t>本标准规定了白光LED用荧光粉量子效率的定义、测试方法及对测试设备的要求。本标准适用于白光LED用荧光粉外量子效率、内量子效率的定量测试。本标准适用于在LED芯片激发时发射400</w:t>
      </w:r>
      <w:r>
        <w:rPr>
          <w:szCs w:val="21"/>
        </w:rPr>
        <w:t xml:space="preserve"> nm</w:t>
      </w:r>
      <w:r>
        <w:rPr>
          <w:rFonts w:hint="eastAsia"/>
          <w:szCs w:val="21"/>
        </w:rPr>
        <w:t>-800</w:t>
      </w:r>
      <w:r>
        <w:rPr>
          <w:szCs w:val="21"/>
        </w:rPr>
        <w:t xml:space="preserve"> </w:t>
      </w:r>
      <w:r>
        <w:rPr>
          <w:rFonts w:hint="eastAsia"/>
          <w:szCs w:val="21"/>
        </w:rPr>
        <w:t>nm波段范围的荧光粉。</w:t>
      </w:r>
    </w:p>
    <w:p>
      <w:pPr>
        <w:spacing w:line="360" w:lineRule="auto"/>
        <w:ind w:firstLine="420" w:firstLineChars="200"/>
        <w:jc w:val="left"/>
        <w:rPr>
          <w:szCs w:val="21"/>
        </w:rPr>
      </w:pPr>
      <w:r>
        <w:rPr>
          <w:rFonts w:hint="eastAsia"/>
          <w:szCs w:val="21"/>
        </w:rPr>
        <w:t>本标准按照国内外生产和科研实际需求，根据市售量子效率测试仪器的类别，规定了量子效率测试装备的关键组成、仪器维护、测试方法步骤以及最终量子效率数据处理。</w:t>
      </w:r>
    </w:p>
    <w:p>
      <w:pPr>
        <w:tabs>
          <w:tab w:val="left" w:pos="522"/>
        </w:tabs>
        <w:adjustRightInd w:val="0"/>
        <w:snapToGrid w:val="0"/>
        <w:spacing w:before="156" w:beforeLines="50" w:after="156" w:afterLines="50" w:line="360" w:lineRule="auto"/>
        <w:jc w:val="left"/>
        <w:rPr>
          <w:rFonts w:eastAsia="黑体"/>
          <w:szCs w:val="21"/>
        </w:rPr>
      </w:pPr>
      <w:r>
        <w:rPr>
          <w:rFonts w:hint="eastAsia" w:eastAsia="黑体"/>
          <w:szCs w:val="21"/>
        </w:rPr>
        <w:t>三、主要技术内容说明</w:t>
      </w:r>
    </w:p>
    <w:p>
      <w:pPr>
        <w:tabs>
          <w:tab w:val="left" w:pos="522"/>
        </w:tabs>
        <w:adjustRightInd w:val="0"/>
        <w:snapToGrid w:val="0"/>
        <w:spacing w:before="156" w:beforeLines="50" w:after="156" w:afterLines="50" w:line="360" w:lineRule="auto"/>
        <w:jc w:val="left"/>
        <w:rPr>
          <w:rFonts w:ascii="黑体" w:hAnsi="黑体" w:eastAsia="黑体"/>
          <w:szCs w:val="21"/>
        </w:rPr>
      </w:pPr>
      <w:r>
        <w:rPr>
          <w:rFonts w:hint="eastAsia" w:ascii="黑体" w:hAnsi="黑体" w:eastAsia="黑体"/>
          <w:szCs w:val="21"/>
        </w:rPr>
        <w:t>1 、主要技术指标确定的依据</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根据目前我国市售量子效率测试装备的类别、关键组成、测试原理、测试方法步骤而制定了《白光LED用荧光粉量子效率测试方法》标准，其主要内容说明如下：</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——提供了术语外量子效率、内量子效率、参比样、样品池、白色扩散板的定义。</w:t>
      </w:r>
    </w:p>
    <w:p>
      <w:pPr>
        <w:spacing w:line="360" w:lineRule="auto"/>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规定了量子效率测试装置组成。常见量子效率测试装备由光源系统、样品系统、检测系统和信号处理系统组成。其中光源系统由激发光源和激发单色仪组成，样品系统由积分球和样品池组成，检测系统由入射光学系统、分光镜、检测器（光电倍增光和CCD）、放大器等组成，信号处理系统是分离测试所需的信号，实现光信号于电信号之间转换，并将每个测量波长的光强度转换为光子数，执行数据处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——规定了量子效率测试装置仪器溯源验证、校准和维护和测试环境温、湿度。</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——规定了量子效率测试方法、测试步骤、结果表述以及报告组成。其中测试步骤包括：</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——制样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将适量参比样或者待测粉装入样品池中，用平面玻璃压平，使表面光洁、平整。并将盖玻片和盖帽盖于样品盘上。要求每次装入样品后，样品的发光测试面平整而且高度统一。</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——激发光子数测试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将白色漫反射板或者参比样放入样品架上，用设定的激发光照射，测试获得激发源到达样品的总光量子数La和荧光波段的背景数据Ea。当使用白色漫反射板时需将相同的盖玻片盖在样品上，当使用样品池时，参比样和待测粉需用相同规格的样品池和盖帽。</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——吸收和发射光子数测试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将待测样品盘放入样品架上，设定一定波长的光激发，点击测试获得所测样品的吸收后的激发光总量Lc以及荧光波段Ec的数据，随后计算获得外量子效率、内量子效率、吸收率等结果。</w:t>
      </w:r>
    </w:p>
    <w:p>
      <w:pPr>
        <w:spacing w:line="360" w:lineRule="auto"/>
        <w:rPr>
          <w:rFonts w:ascii="黑体" w:hAnsi="黑体" w:eastAsia="黑体"/>
          <w:szCs w:val="21"/>
        </w:rPr>
      </w:pPr>
      <w:r>
        <w:rPr>
          <w:rFonts w:hint="eastAsia" w:ascii="黑体" w:hAnsi="黑体" w:eastAsia="黑体"/>
          <w:szCs w:val="21"/>
        </w:rPr>
        <w:t>2 、标准讨论会、预审会和审定会</w:t>
      </w:r>
    </w:p>
    <w:p>
      <w:pPr>
        <w:spacing w:line="360" w:lineRule="auto"/>
        <w:ind w:firstLine="420" w:firstLineChars="200"/>
        <w:rPr>
          <w:rFonts w:eastAsiaTheme="minorEastAsia"/>
          <w:szCs w:val="21"/>
        </w:rPr>
      </w:pPr>
      <w:r>
        <w:rPr>
          <w:rFonts w:hAnsiTheme="minorEastAsia" w:eastAsiaTheme="minorEastAsia"/>
          <w:szCs w:val="21"/>
        </w:rPr>
        <w:t>全国稀土标准化技术委员会于</w:t>
      </w:r>
      <w:r>
        <w:rPr>
          <w:rFonts w:eastAsiaTheme="minorEastAsia"/>
          <w:szCs w:val="21"/>
        </w:rPr>
        <w:t>2018</w:t>
      </w:r>
      <w:r>
        <w:rPr>
          <w:rFonts w:hAnsiTheme="minorEastAsia" w:eastAsiaTheme="minorEastAsia"/>
          <w:szCs w:val="21"/>
        </w:rPr>
        <w:t>年</w:t>
      </w:r>
      <w:r>
        <w:rPr>
          <w:rFonts w:eastAsiaTheme="minorEastAsia"/>
          <w:szCs w:val="21"/>
        </w:rPr>
        <w:t>1</w:t>
      </w:r>
      <w:r>
        <w:rPr>
          <w:rFonts w:hAnsiTheme="minorEastAsia" w:eastAsiaTheme="minorEastAsia"/>
          <w:szCs w:val="21"/>
        </w:rPr>
        <w:t>月</w:t>
      </w:r>
      <w:r>
        <w:rPr>
          <w:rFonts w:eastAsiaTheme="minorEastAsia"/>
          <w:szCs w:val="21"/>
        </w:rPr>
        <w:t>14-15</w:t>
      </w:r>
      <w:r>
        <w:rPr>
          <w:rFonts w:hAnsiTheme="minorEastAsia" w:eastAsiaTheme="minorEastAsia"/>
          <w:szCs w:val="21"/>
        </w:rPr>
        <w:t>日在浙江桐乡召开了关于《白光</w:t>
      </w:r>
      <w:r>
        <w:rPr>
          <w:rFonts w:eastAsiaTheme="minorEastAsia"/>
          <w:szCs w:val="21"/>
        </w:rPr>
        <w:t>LED</w:t>
      </w:r>
      <w:r>
        <w:rPr>
          <w:rFonts w:hAnsiTheme="minorEastAsia" w:eastAsiaTheme="minorEastAsia"/>
          <w:szCs w:val="21"/>
        </w:rPr>
        <w:t>用荧光粉</w:t>
      </w:r>
      <w:r>
        <w:rPr>
          <w:rFonts w:hint="eastAsia" w:hAnsiTheme="minorEastAsia" w:eastAsiaTheme="minorEastAsia"/>
          <w:szCs w:val="21"/>
        </w:rPr>
        <w:t>量子效率测试方法</w:t>
      </w:r>
      <w:r>
        <w:rPr>
          <w:rFonts w:hAnsiTheme="minorEastAsia" w:eastAsiaTheme="minorEastAsia"/>
          <w:szCs w:val="21"/>
        </w:rPr>
        <w:t>》等国家标准的落实会，来自国内</w:t>
      </w:r>
      <w:r>
        <w:rPr>
          <w:rFonts w:eastAsiaTheme="minorEastAsia"/>
          <w:szCs w:val="21"/>
        </w:rPr>
        <w:t>30</w:t>
      </w:r>
      <w:r>
        <w:rPr>
          <w:rFonts w:hAnsiTheme="minorEastAsia" w:eastAsiaTheme="minorEastAsia"/>
          <w:szCs w:val="21"/>
        </w:rPr>
        <w:t>余家稀土生产企业、科研院所共</w:t>
      </w:r>
      <w:r>
        <w:rPr>
          <w:rFonts w:eastAsiaTheme="minorEastAsia"/>
          <w:szCs w:val="21"/>
        </w:rPr>
        <w:t>50</w:t>
      </w:r>
      <w:r>
        <w:rPr>
          <w:rFonts w:hAnsiTheme="minorEastAsia" w:eastAsiaTheme="minorEastAsia"/>
          <w:szCs w:val="21"/>
        </w:rPr>
        <w:t>名代表，对原来的碳酸铈标准需修订的方案进行了认真的讨论，确定了修订的进度。</w:t>
      </w:r>
    </w:p>
    <w:p>
      <w:pPr>
        <w:spacing w:line="360" w:lineRule="auto"/>
        <w:ind w:firstLine="420" w:firstLineChars="200"/>
        <w:rPr>
          <w:rFonts w:hAnsiTheme="minorEastAsia" w:eastAsiaTheme="minorEastAsia"/>
          <w:szCs w:val="21"/>
        </w:rPr>
      </w:pPr>
      <w:r>
        <w:rPr>
          <w:rFonts w:eastAsiaTheme="minorEastAsia"/>
          <w:szCs w:val="21"/>
        </w:rPr>
        <w:t>2018</w:t>
      </w:r>
      <w:r>
        <w:rPr>
          <w:rFonts w:hAnsiTheme="minorEastAsia" w:eastAsiaTheme="minorEastAsia"/>
          <w:szCs w:val="21"/>
        </w:rPr>
        <w:t>年</w:t>
      </w:r>
      <w:r>
        <w:rPr>
          <w:rFonts w:eastAsiaTheme="minorEastAsia"/>
          <w:szCs w:val="21"/>
        </w:rPr>
        <w:t>4</w:t>
      </w:r>
      <w:r>
        <w:rPr>
          <w:rFonts w:hAnsiTheme="minorEastAsia" w:eastAsiaTheme="minorEastAsia"/>
          <w:szCs w:val="21"/>
        </w:rPr>
        <w:t>月</w:t>
      </w:r>
      <w:r>
        <w:rPr>
          <w:rFonts w:eastAsiaTheme="minorEastAsia"/>
          <w:szCs w:val="21"/>
        </w:rPr>
        <w:t>23-25</w:t>
      </w:r>
      <w:r>
        <w:rPr>
          <w:rFonts w:hAnsiTheme="minorEastAsia" w:eastAsiaTheme="minorEastAsia"/>
          <w:szCs w:val="21"/>
        </w:rPr>
        <w:t>日稀</w:t>
      </w:r>
      <w:r>
        <w:rPr>
          <w:rFonts w:hint="eastAsia" w:hAnsiTheme="minorEastAsia" w:eastAsiaTheme="minorEastAsia"/>
          <w:szCs w:val="21"/>
        </w:rPr>
        <w:t>土</w:t>
      </w:r>
      <w:r>
        <w:rPr>
          <w:rFonts w:hAnsiTheme="minorEastAsia" w:eastAsiaTheme="minorEastAsia"/>
          <w:szCs w:val="21"/>
        </w:rPr>
        <w:t>标委组织召开了</w:t>
      </w:r>
      <w:r>
        <w:rPr>
          <w:rFonts w:hint="eastAsia" w:eastAsiaTheme="minorEastAsia"/>
          <w:szCs w:val="21"/>
        </w:rPr>
        <w:t>“2018年第三次稀土标准工作会议”</w:t>
      </w:r>
      <w:r>
        <w:rPr>
          <w:rFonts w:hAnsiTheme="minorEastAsia" w:eastAsiaTheme="minorEastAsia"/>
          <w:szCs w:val="21"/>
        </w:rPr>
        <w:t>，与会专家对《白光</w:t>
      </w:r>
      <w:r>
        <w:rPr>
          <w:rFonts w:eastAsiaTheme="minorEastAsia"/>
          <w:szCs w:val="21"/>
        </w:rPr>
        <w:t>LED</w:t>
      </w:r>
      <w:r>
        <w:rPr>
          <w:rFonts w:hAnsiTheme="minorEastAsia" w:eastAsiaTheme="minorEastAsia"/>
          <w:szCs w:val="21"/>
        </w:rPr>
        <w:t>用荧光粉</w:t>
      </w:r>
      <w:r>
        <w:rPr>
          <w:rFonts w:hint="eastAsia" w:hAnsiTheme="minorEastAsia" w:eastAsiaTheme="minorEastAsia"/>
          <w:szCs w:val="21"/>
        </w:rPr>
        <w:t>量子效率测试方法</w:t>
      </w:r>
      <w:r>
        <w:rPr>
          <w:rFonts w:hAnsiTheme="minorEastAsia" w:eastAsiaTheme="minorEastAsia"/>
          <w:szCs w:val="21"/>
        </w:rPr>
        <w:t>》国家标准修订提出以下</w:t>
      </w:r>
      <w:r>
        <w:rPr>
          <w:rFonts w:hint="eastAsia" w:hAnsiTheme="minorEastAsia" w:eastAsiaTheme="minorEastAsia"/>
          <w:szCs w:val="21"/>
        </w:rPr>
        <w:t>建议</w:t>
      </w:r>
      <w:r>
        <w:rPr>
          <w:rFonts w:hAnsiTheme="minorEastAsia" w:eastAsiaTheme="minorEastAsia"/>
          <w:szCs w:val="21"/>
        </w:rPr>
        <w:t>：</w:t>
      </w:r>
      <w:r>
        <w:rPr>
          <w:rFonts w:hint="eastAsia" w:hAnsiTheme="minorEastAsia" w:eastAsiaTheme="minorEastAsia"/>
          <w:szCs w:val="21"/>
        </w:rPr>
        <w:t>1）本标注起草要参照红粉标准中提及的量子效率，并与国外相关标准对标，2）仪器限定必须采用外量子效率测试仪，可列出常用仪器厂家（如滨松、大塚、东方科捷等），但不限于这些厂家，3）标准内容需包括仪器的规范性使用操作及步骤，4）溯源样品及其测试过程确定需要进一步商量达成共识。</w:t>
      </w:r>
      <w:r>
        <w:rPr>
          <w:rFonts w:hAnsiTheme="minorEastAsia" w:eastAsiaTheme="minorEastAsia"/>
          <w:szCs w:val="21"/>
        </w:rPr>
        <w:t>会后起草单位根据会议纪要，认真落实，对报批稿做了相应修改，形成征求意见稿。</w:t>
      </w:r>
    </w:p>
    <w:p>
      <w:pPr>
        <w:spacing w:line="360" w:lineRule="auto"/>
        <w:ind w:firstLine="420" w:firstLineChars="200"/>
        <w:rPr>
          <w:rFonts w:eastAsiaTheme="minorEastAsia"/>
          <w:szCs w:val="21"/>
        </w:rPr>
      </w:pPr>
      <w:r>
        <w:rPr>
          <w:rFonts w:hint="eastAsia" w:eastAsiaTheme="minorEastAsia"/>
          <w:szCs w:val="21"/>
        </w:rPr>
        <w:t>2018年12月3-5日</w:t>
      </w:r>
      <w:r>
        <w:rPr>
          <w:rFonts w:eastAsiaTheme="minorEastAsia"/>
          <w:szCs w:val="21"/>
        </w:rPr>
        <w:t>稀</w:t>
      </w:r>
      <w:r>
        <w:rPr>
          <w:rFonts w:hint="eastAsia" w:eastAsiaTheme="minorEastAsia"/>
          <w:szCs w:val="21"/>
        </w:rPr>
        <w:t>土</w:t>
      </w:r>
      <w:r>
        <w:rPr>
          <w:rFonts w:eastAsiaTheme="minorEastAsia"/>
          <w:szCs w:val="21"/>
        </w:rPr>
        <w:t>标委组织召开了</w:t>
      </w:r>
      <w:r>
        <w:rPr>
          <w:rFonts w:hint="eastAsia" w:eastAsiaTheme="minorEastAsia"/>
          <w:szCs w:val="21"/>
        </w:rPr>
        <w:t>“2018年第四次稀土标准工作会议”。</w:t>
      </w:r>
      <w:r>
        <w:rPr>
          <w:rFonts w:eastAsiaTheme="minorEastAsia"/>
          <w:szCs w:val="21"/>
        </w:rPr>
        <w:t>与会专家对《白光LED用荧光粉</w:t>
      </w:r>
      <w:r>
        <w:rPr>
          <w:rFonts w:hint="eastAsia" w:eastAsiaTheme="minorEastAsia"/>
          <w:szCs w:val="21"/>
        </w:rPr>
        <w:t>量子效率测试方法</w:t>
      </w:r>
      <w:r>
        <w:rPr>
          <w:rFonts w:eastAsiaTheme="minorEastAsia"/>
          <w:szCs w:val="21"/>
        </w:rPr>
        <w:t>》国家标准修订提出以下</w:t>
      </w:r>
      <w:r>
        <w:rPr>
          <w:rFonts w:hint="eastAsia" w:eastAsiaTheme="minorEastAsia"/>
          <w:szCs w:val="21"/>
        </w:rPr>
        <w:t>建议</w:t>
      </w:r>
      <w:r>
        <w:rPr>
          <w:rFonts w:eastAsiaTheme="minorEastAsia"/>
          <w:szCs w:val="21"/>
        </w:rPr>
        <w:t>：</w:t>
      </w:r>
      <w:r>
        <w:rPr>
          <w:rFonts w:hint="eastAsia" w:eastAsiaTheme="minorEastAsia"/>
          <w:szCs w:val="21"/>
        </w:rPr>
        <w:t>1）标准草案中引用了日本工业标准，牵头单位落实我国国标是否具有引用国外标准引用权限，2）标准中所使用的盖玻片等玻璃器皿，需要明确其材质，3）设备工作运行环境建议更改为25±2℃，4）关于测试方法的合理性，会议讨论决定以江门科恒制备的标准粉为测试粉，分发给相关参与单位测试，验证方法的合理性。</w:t>
      </w:r>
      <w:r>
        <w:rPr>
          <w:rFonts w:eastAsiaTheme="minorEastAsia"/>
          <w:szCs w:val="21"/>
        </w:rPr>
        <w:t>会后起草单位根据会议纪要，认真落实，对报批稿做了相应修改，形成征求意见稿</w:t>
      </w:r>
      <w:r>
        <w:rPr>
          <w:rFonts w:hint="eastAsia" w:eastAsiaTheme="minorEastAsia"/>
          <w:szCs w:val="21"/>
        </w:rPr>
        <w:t>，并向相关企业单位和科研院所广泛征求意见，根据意见回函做了相应修改形成预审稿。</w:t>
      </w:r>
    </w:p>
    <w:p>
      <w:pPr>
        <w:pStyle w:val="43"/>
        <w:spacing w:line="360" w:lineRule="auto"/>
        <w:rPr>
          <w:szCs w:val="21"/>
        </w:rPr>
      </w:pPr>
      <w:r>
        <w:rPr>
          <w:rFonts w:hint="eastAsia"/>
          <w:szCs w:val="21"/>
        </w:rPr>
        <w:t>2019年05月29-31日在新疆乌鲁木齐市参加了由全国稀土标准技术委员会举办的“2019年第三次稀土标准工作会议”。稀土标委会副主任委员</w:t>
      </w:r>
      <w:r>
        <w:rPr>
          <w:rFonts w:hint="eastAsia"/>
          <w:sz w:val="22"/>
        </w:rPr>
        <w:t>姚南红主任与</w:t>
      </w:r>
      <w:r>
        <w:rPr>
          <w:rFonts w:hint="eastAsia"/>
          <w:szCs w:val="21"/>
        </w:rPr>
        <w:t>宋冠禹工程师以及各位专家对</w:t>
      </w:r>
      <w:r>
        <w:rPr>
          <w:rFonts w:hint="eastAsia"/>
        </w:rPr>
        <w:t>《白光LED用荧光粉量子效率</w:t>
      </w:r>
      <w:r>
        <w:rPr>
          <w:rFonts w:hint="eastAsia"/>
          <w:szCs w:val="21"/>
        </w:rPr>
        <w:t>测试方法》预审稿进行了详细讨论，并对标准内容、格式等进行仔细审核并提出了6条修改意见：1）建议删掉4.2-4.4以及5.1内容，主体内容参考GB</w:t>
      </w:r>
      <w:r>
        <w:rPr>
          <w:szCs w:val="21"/>
        </w:rPr>
        <w:t>/T 20170.1-2006</w:t>
      </w:r>
      <w:r>
        <w:rPr>
          <w:rFonts w:hint="eastAsia"/>
          <w:szCs w:val="21"/>
        </w:rPr>
        <w:t>稀土金属及其化合物物理性测试方法稀土化合物粒度分布的测定标准修改；</w:t>
      </w:r>
      <w:r>
        <w:rPr>
          <w:szCs w:val="21"/>
        </w:rPr>
        <w:t>2</w:t>
      </w:r>
      <w:r>
        <w:rPr>
          <w:rFonts w:hint="eastAsia"/>
          <w:szCs w:val="21"/>
        </w:rPr>
        <w:t>）统一样品（试验样品）除YG-535、YG-560之外再补充三款包括边界粉在内产品，试验样品共计5款；</w:t>
      </w:r>
      <w:r>
        <w:rPr>
          <w:szCs w:val="21"/>
        </w:rPr>
        <w:t>3</w:t>
      </w:r>
      <w:r>
        <w:rPr>
          <w:rFonts w:hint="eastAsia"/>
          <w:szCs w:val="21"/>
        </w:rPr>
        <w:t>）统一样品由江苏博睿、厦门大学、有研稀土三家单位进行测试，并提供仪器设备产家型号，及其测量范围；</w:t>
      </w:r>
      <w:r>
        <w:rPr>
          <w:szCs w:val="21"/>
        </w:rPr>
        <w:t>4</w:t>
      </w:r>
      <w:r>
        <w:rPr>
          <w:rFonts w:hint="eastAsia"/>
          <w:szCs w:val="21"/>
        </w:rPr>
        <w:t>）重复限性按照不同量子效率值分阶梯分布列出；5）添加表头标题，附录内容标题改成A1、A1.1……</w:t>
      </w:r>
      <w:r>
        <w:rPr>
          <w:rFonts w:hint="eastAsia"/>
        </w:rPr>
        <w:t>。</w:t>
      </w:r>
      <w:r>
        <w:rPr>
          <w:szCs w:val="21"/>
        </w:rPr>
        <w:t>会后</w:t>
      </w:r>
      <w:r>
        <w:rPr>
          <w:rFonts w:hint="eastAsia"/>
          <w:szCs w:val="21"/>
        </w:rPr>
        <w:t>有研稀土</w:t>
      </w:r>
      <w:r>
        <w:rPr>
          <w:szCs w:val="21"/>
        </w:rPr>
        <w:t>根据</w:t>
      </w:r>
      <w:r>
        <w:rPr>
          <w:rFonts w:hint="eastAsia"/>
          <w:szCs w:val="21"/>
        </w:rPr>
        <w:t>会议要求</w:t>
      </w:r>
      <w:r>
        <w:rPr>
          <w:szCs w:val="21"/>
        </w:rPr>
        <w:t>，认真落实，对</w:t>
      </w:r>
      <w:r>
        <w:rPr>
          <w:rFonts w:hint="eastAsia"/>
          <w:szCs w:val="21"/>
        </w:rPr>
        <w:t>预审稿</w:t>
      </w:r>
      <w:r>
        <w:rPr>
          <w:szCs w:val="21"/>
        </w:rPr>
        <w:t>做了相应修改，形成</w:t>
      </w:r>
      <w:r>
        <w:rPr>
          <w:rFonts w:hint="eastAsia"/>
          <w:szCs w:val="21"/>
        </w:rPr>
        <w:t>送审稿。</w:t>
      </w:r>
    </w:p>
    <w:p>
      <w:pPr>
        <w:tabs>
          <w:tab w:val="left" w:pos="522"/>
        </w:tabs>
        <w:adjustRightInd w:val="0"/>
        <w:snapToGrid w:val="0"/>
        <w:spacing w:before="156" w:beforeLines="50" w:after="156" w:afterLines="50" w:line="360" w:lineRule="auto"/>
        <w:jc w:val="left"/>
        <w:rPr>
          <w:rFonts w:eastAsia="黑体"/>
          <w:szCs w:val="21"/>
        </w:rPr>
      </w:pPr>
      <w:r>
        <w:rPr>
          <w:rFonts w:hint="eastAsia" w:eastAsia="黑体"/>
          <w:szCs w:val="21"/>
        </w:rPr>
        <w:t>四、标准水平分析</w:t>
      </w:r>
    </w:p>
    <w:p>
      <w:pPr>
        <w:adjustRightInd w:val="0"/>
        <w:snapToGrid w:val="0"/>
        <w:spacing w:line="360" w:lineRule="auto"/>
        <w:ind w:firstLine="417" w:firstLineChars="199"/>
        <w:rPr>
          <w:szCs w:val="21"/>
        </w:rPr>
      </w:pPr>
      <w:r>
        <w:rPr>
          <w:rFonts w:hint="eastAsia"/>
          <w:szCs w:val="21"/>
        </w:rPr>
        <w:t>本标准与日本工业标准JIS R 1697-2015《用于白色发光二极管荧光粉的积分球内量子效率绝对测量方法》进行了对标，并根据目前我国市售白光LED用量子效率装备类别和常用测试方法而制定，属于我国第一项关于白光LED用荧光粉量子效率测试方法的国家标准。</w:t>
      </w:r>
    </w:p>
    <w:p>
      <w:pPr>
        <w:tabs>
          <w:tab w:val="left" w:pos="522"/>
        </w:tabs>
        <w:adjustRightInd w:val="0"/>
        <w:snapToGrid w:val="0"/>
        <w:spacing w:before="156" w:beforeLines="50" w:after="156" w:afterLines="50" w:line="360" w:lineRule="auto"/>
        <w:jc w:val="left"/>
        <w:rPr>
          <w:rFonts w:eastAsia="黑体"/>
          <w:szCs w:val="21"/>
        </w:rPr>
      </w:pPr>
      <w:r>
        <w:rPr>
          <w:rFonts w:hint="eastAsia" w:eastAsia="黑体"/>
          <w:szCs w:val="21"/>
        </w:rPr>
        <w:t>五、与现行相关法律、法规、规章及相关标准的协调性</w:t>
      </w:r>
    </w:p>
    <w:p>
      <w:pPr>
        <w:tabs>
          <w:tab w:val="left" w:pos="522"/>
        </w:tabs>
        <w:adjustRightInd w:val="0"/>
        <w:snapToGrid w:val="0"/>
        <w:spacing w:before="156" w:beforeLines="50" w:after="156" w:afterLines="50" w:line="360" w:lineRule="auto"/>
        <w:ind w:firstLine="315" w:firstLineChars="150"/>
        <w:jc w:val="left"/>
        <w:rPr>
          <w:rFonts w:hAnsi="宋体"/>
          <w:color w:val="000000"/>
          <w:szCs w:val="21"/>
        </w:rPr>
      </w:pPr>
      <w:r>
        <w:rPr>
          <w:rFonts w:hint="eastAsia" w:hAnsi="宋体"/>
          <w:color w:val="000000"/>
          <w:szCs w:val="21"/>
        </w:rPr>
        <w:t xml:space="preserve">量子效率是衡量荧光粉性能的最重要指标，能够直接体现荧光粉的质量水平。本标准制定不但为国内LED荧光粉生产企业和研制单位提供科学合理的量子效率测试方法标准，而且可以充分反映当前国内各荧光粉生产企业的技术水平，便于生产，宜于应用。另外，本标准也可为白光LED用荧光粉产品贸易提供仲裁的依据。 </w:t>
      </w:r>
    </w:p>
    <w:p>
      <w:pPr>
        <w:tabs>
          <w:tab w:val="left" w:pos="522"/>
        </w:tabs>
        <w:adjustRightInd w:val="0"/>
        <w:snapToGrid w:val="0"/>
        <w:spacing w:before="156" w:beforeLines="50" w:after="156" w:afterLines="50" w:line="360" w:lineRule="auto"/>
        <w:jc w:val="left"/>
        <w:rPr>
          <w:rFonts w:eastAsia="黑体"/>
          <w:szCs w:val="21"/>
        </w:rPr>
      </w:pPr>
      <w:r>
        <w:rPr>
          <w:rFonts w:hint="eastAsia" w:eastAsia="黑体"/>
          <w:szCs w:val="21"/>
        </w:rPr>
        <w:t>六、是否涉及专利及知识产权的说明</w:t>
      </w:r>
    </w:p>
    <w:p>
      <w:pPr>
        <w:adjustRightInd w:val="0"/>
        <w:snapToGrid w:val="0"/>
        <w:spacing w:before="156" w:beforeLines="50" w:after="156" w:afterLines="50" w:line="360" w:lineRule="auto"/>
        <w:ind w:firstLine="420" w:firstLineChars="200"/>
        <w:rPr>
          <w:szCs w:val="21"/>
        </w:rPr>
      </w:pPr>
      <w:r>
        <w:rPr>
          <w:rFonts w:hint="eastAsia"/>
          <w:szCs w:val="21"/>
        </w:rPr>
        <w:t>本文件制定过程中没有检索到专利和知识产权问题。</w:t>
      </w:r>
    </w:p>
    <w:p>
      <w:pPr>
        <w:tabs>
          <w:tab w:val="left" w:pos="522"/>
        </w:tabs>
        <w:adjustRightInd w:val="0"/>
        <w:snapToGrid w:val="0"/>
        <w:spacing w:before="156" w:beforeLines="50" w:after="156" w:afterLines="50" w:line="360" w:lineRule="auto"/>
        <w:jc w:val="left"/>
        <w:rPr>
          <w:rFonts w:eastAsia="黑体"/>
          <w:szCs w:val="21"/>
        </w:rPr>
      </w:pPr>
      <w:r>
        <w:rPr>
          <w:rFonts w:hint="eastAsia" w:eastAsia="黑体"/>
          <w:szCs w:val="21"/>
        </w:rPr>
        <w:t>七、重大分歧意见的处理过程</w:t>
      </w:r>
    </w:p>
    <w:p>
      <w:pPr>
        <w:adjustRightInd w:val="0"/>
        <w:snapToGrid w:val="0"/>
        <w:spacing w:before="156" w:beforeLines="50" w:after="156" w:afterLines="50" w:line="360" w:lineRule="auto"/>
        <w:ind w:firstLine="480"/>
        <w:rPr>
          <w:color w:val="000000"/>
          <w:szCs w:val="21"/>
        </w:rPr>
      </w:pPr>
      <w:r>
        <w:rPr>
          <w:rFonts w:hint="eastAsia"/>
          <w:color w:val="000000"/>
          <w:szCs w:val="21"/>
        </w:rPr>
        <w:t>本标准属于有色金属领域专业基础标准，编制组根据编写前确定的编制原则进行标准编制，在标准制定稿征求意见过程中未发生重大分歧意见。</w:t>
      </w:r>
    </w:p>
    <w:p>
      <w:pPr>
        <w:tabs>
          <w:tab w:val="left" w:pos="522"/>
        </w:tabs>
        <w:adjustRightInd w:val="0"/>
        <w:snapToGrid w:val="0"/>
        <w:spacing w:before="156" w:beforeLines="50" w:after="156" w:afterLines="50" w:line="360" w:lineRule="auto"/>
        <w:jc w:val="left"/>
        <w:rPr>
          <w:rFonts w:eastAsia="黑体"/>
          <w:szCs w:val="21"/>
        </w:rPr>
      </w:pPr>
      <w:r>
        <w:rPr>
          <w:rFonts w:hint="eastAsia" w:eastAsia="黑体"/>
          <w:szCs w:val="21"/>
        </w:rPr>
        <w:t>八、作为强制性、推荐性国家标准的建议</w:t>
      </w:r>
    </w:p>
    <w:p>
      <w:pPr>
        <w:adjustRightInd w:val="0"/>
        <w:snapToGrid w:val="0"/>
        <w:spacing w:before="156" w:beforeLines="50" w:after="156" w:afterLines="50" w:line="360" w:lineRule="auto"/>
        <w:ind w:firstLine="480"/>
        <w:rPr>
          <w:szCs w:val="21"/>
        </w:rPr>
      </w:pPr>
      <w:r>
        <w:rPr>
          <w:rFonts w:hint="eastAsia"/>
          <w:szCs w:val="21"/>
        </w:rPr>
        <w:t>建议本标准作为推荐性国家标准发布实施。</w:t>
      </w:r>
    </w:p>
    <w:p>
      <w:pPr>
        <w:tabs>
          <w:tab w:val="left" w:pos="522"/>
        </w:tabs>
        <w:adjustRightInd w:val="0"/>
        <w:snapToGrid w:val="0"/>
        <w:spacing w:before="156" w:beforeLines="50" w:after="156" w:afterLines="50" w:line="360" w:lineRule="auto"/>
        <w:jc w:val="left"/>
        <w:rPr>
          <w:rFonts w:eastAsia="黑体"/>
          <w:szCs w:val="21"/>
        </w:rPr>
      </w:pPr>
      <w:r>
        <w:rPr>
          <w:rFonts w:hint="eastAsia" w:eastAsia="黑体"/>
          <w:szCs w:val="21"/>
        </w:rPr>
        <w:t>九、贯彻标准的要求和措施建议</w:t>
      </w:r>
    </w:p>
    <w:p>
      <w:pPr>
        <w:adjustRightInd w:val="0"/>
        <w:snapToGrid w:val="0"/>
        <w:spacing w:before="156" w:beforeLines="50" w:after="156" w:afterLines="50" w:line="360" w:lineRule="auto"/>
        <w:ind w:firstLine="420" w:firstLineChars="200"/>
        <w:rPr>
          <w:szCs w:val="21"/>
        </w:rPr>
      </w:pPr>
      <w:r>
        <w:rPr>
          <w:rFonts w:hint="eastAsia"/>
          <w:szCs w:val="21"/>
        </w:rPr>
        <w:t>制定后的标准颁布实施后，需要国家有关部门组织大力宣传和贯彻，主办各种形式的培训班，才能让荧光粉制造企业及相关贸易单位充分认识和理解本标准条款，进而加以应用。</w:t>
      </w:r>
    </w:p>
    <w:p>
      <w:pPr>
        <w:tabs>
          <w:tab w:val="left" w:pos="522"/>
        </w:tabs>
        <w:adjustRightInd w:val="0"/>
        <w:snapToGrid w:val="0"/>
        <w:spacing w:before="156" w:beforeLines="50" w:after="156" w:afterLines="50" w:line="360" w:lineRule="auto"/>
        <w:jc w:val="left"/>
        <w:rPr>
          <w:rFonts w:eastAsia="黑体"/>
          <w:szCs w:val="21"/>
        </w:rPr>
      </w:pPr>
      <w:r>
        <w:rPr>
          <w:rFonts w:hint="eastAsia" w:eastAsia="黑体"/>
          <w:szCs w:val="21"/>
        </w:rPr>
        <w:t>十、废止现行有关标准的建议</w:t>
      </w:r>
    </w:p>
    <w:p>
      <w:pPr>
        <w:spacing w:line="360" w:lineRule="auto"/>
        <w:ind w:firstLine="420" w:firstLineChars="200"/>
        <w:rPr>
          <w:szCs w:val="21"/>
        </w:rPr>
      </w:pPr>
      <w:r>
        <w:rPr>
          <w:rFonts w:hint="eastAsia"/>
          <w:szCs w:val="21"/>
        </w:rPr>
        <w:t>本标准为我国第一项关于白光</w:t>
      </w:r>
      <w:r>
        <w:rPr>
          <w:szCs w:val="21"/>
        </w:rPr>
        <w:t>LED</w:t>
      </w:r>
      <w:r>
        <w:rPr>
          <w:rFonts w:hint="eastAsia"/>
          <w:szCs w:val="21"/>
        </w:rPr>
        <w:t>用荧光粉量子效率测试方法标准，无废止其他标准建议。</w:t>
      </w:r>
      <w:r>
        <w:rPr>
          <w:szCs w:val="21"/>
        </w:rPr>
        <w:t xml:space="preserve"> </w:t>
      </w:r>
    </w:p>
    <w:p>
      <w:pPr>
        <w:tabs>
          <w:tab w:val="left" w:pos="522"/>
        </w:tabs>
        <w:adjustRightInd w:val="0"/>
        <w:snapToGrid w:val="0"/>
        <w:spacing w:before="156" w:beforeLines="50" w:after="156" w:afterLines="50" w:line="360" w:lineRule="auto"/>
        <w:jc w:val="left"/>
        <w:rPr>
          <w:rFonts w:eastAsia="黑体"/>
          <w:szCs w:val="21"/>
        </w:rPr>
      </w:pPr>
      <w:r>
        <w:rPr>
          <w:rFonts w:hint="eastAsia" w:eastAsia="黑体"/>
          <w:szCs w:val="21"/>
        </w:rPr>
        <w:t>十一、其他应予以说明的事项</w:t>
      </w:r>
    </w:p>
    <w:p>
      <w:pPr>
        <w:adjustRightInd w:val="0"/>
        <w:snapToGrid w:val="0"/>
        <w:spacing w:line="360" w:lineRule="auto"/>
        <w:ind w:firstLine="420" w:firstLineChars="200"/>
        <w:rPr>
          <w:szCs w:val="21"/>
        </w:rPr>
      </w:pPr>
      <w:r>
        <w:rPr>
          <w:rFonts w:hint="eastAsia"/>
          <w:szCs w:val="21"/>
        </w:rPr>
        <w:t>无其他应予以说明的事项。</w:t>
      </w:r>
    </w:p>
    <w:p>
      <w:pPr>
        <w:tabs>
          <w:tab w:val="left" w:pos="522"/>
        </w:tabs>
        <w:adjustRightInd w:val="0"/>
        <w:snapToGrid w:val="0"/>
        <w:spacing w:before="156" w:beforeLines="50" w:after="156" w:afterLines="50" w:line="360" w:lineRule="auto"/>
        <w:jc w:val="left"/>
        <w:rPr>
          <w:rFonts w:eastAsia="黑体"/>
          <w:szCs w:val="21"/>
        </w:rPr>
      </w:pPr>
      <w:r>
        <w:rPr>
          <w:rFonts w:hint="eastAsia" w:eastAsia="黑体"/>
          <w:szCs w:val="21"/>
        </w:rPr>
        <w:t>十二、推广应用的预期效果</w:t>
      </w:r>
    </w:p>
    <w:p>
      <w:pPr>
        <w:tabs>
          <w:tab w:val="left" w:pos="522"/>
        </w:tabs>
        <w:adjustRightInd w:val="0"/>
        <w:snapToGrid w:val="0"/>
        <w:spacing w:line="360" w:lineRule="auto"/>
        <w:ind w:firstLine="420" w:firstLineChars="200"/>
        <w:rPr>
          <w:szCs w:val="21"/>
        </w:rPr>
      </w:pPr>
      <w:r>
        <w:rPr>
          <w:rFonts w:hint="eastAsia" w:ascii="Calibri" w:hAnsi="Calibri"/>
          <w:szCs w:val="21"/>
        </w:rPr>
        <w:t>本标准明确了白光LED用荧光粉量子效率的测试方法和标准，将为提升我国白光LED用荧光粉的研发水平和产品质量，</w:t>
      </w:r>
      <w:r>
        <w:rPr>
          <w:rFonts w:hint="eastAsia"/>
          <w:szCs w:val="21"/>
        </w:rPr>
        <w:t>增强LED荧光粉国际市场竞争力，推进我国白光LED等相关产业的快速健康发展做出重要贡献。</w:t>
      </w:r>
    </w:p>
    <w:p>
      <w:pPr>
        <w:tabs>
          <w:tab w:val="left" w:pos="522"/>
        </w:tabs>
        <w:adjustRightInd w:val="0"/>
        <w:snapToGrid w:val="0"/>
        <w:spacing w:line="360" w:lineRule="auto"/>
        <w:ind w:firstLine="420" w:firstLineChars="200"/>
        <w:rPr>
          <w:szCs w:val="21"/>
        </w:rPr>
      </w:pPr>
      <w:r>
        <w:rPr>
          <w:rFonts w:hint="eastAsia"/>
          <w:szCs w:val="21"/>
        </w:rPr>
        <w:t>此外，本标准制定将会带来技术进步的竞争局面，对国内LED荧光粉生产企业及相关行业的技术进步将产生积极的推动作用，对白光LED荧光粉产品的质量指标控制具有重要指导意义。另外，本标准制定还有利于规范我国白光LED用荧光粉的生产和销售，建立良性市场竞争环境，促进我国稀土发光材料档次和附加值的升级，增强国内稀土行业在全球的核心竞争力。</w:t>
      </w:r>
    </w:p>
    <w:p>
      <w:pPr>
        <w:tabs>
          <w:tab w:val="left" w:pos="522"/>
        </w:tabs>
        <w:adjustRightInd w:val="0"/>
        <w:snapToGrid w:val="0"/>
        <w:spacing w:line="360" w:lineRule="auto"/>
        <w:ind w:firstLine="420" w:firstLineChars="200"/>
        <w:rPr>
          <w:szCs w:val="21"/>
        </w:rPr>
      </w:pPr>
    </w:p>
    <w:p>
      <w:pPr>
        <w:tabs>
          <w:tab w:val="left" w:pos="522"/>
        </w:tabs>
        <w:adjustRightInd w:val="0"/>
        <w:snapToGrid w:val="0"/>
        <w:spacing w:line="360" w:lineRule="auto"/>
        <w:jc w:val="right"/>
        <w:rPr>
          <w:szCs w:val="21"/>
        </w:rPr>
      </w:pPr>
      <w:r>
        <w:rPr>
          <w:rFonts w:hint="eastAsia"/>
          <w:szCs w:val="21"/>
        </w:rPr>
        <w:t>有研稀土新材料股份有限公司</w:t>
      </w:r>
    </w:p>
    <w:p>
      <w:pPr>
        <w:tabs>
          <w:tab w:val="left" w:pos="522"/>
        </w:tabs>
        <w:adjustRightInd w:val="0"/>
        <w:snapToGrid w:val="0"/>
        <w:spacing w:line="360" w:lineRule="auto"/>
        <w:ind w:firstLine="482"/>
        <w:rPr>
          <w:szCs w:val="21"/>
        </w:rPr>
      </w:pPr>
      <w:r>
        <w:rPr>
          <w:szCs w:val="21"/>
        </w:rPr>
        <w:t xml:space="preserve">                                         </w:t>
      </w:r>
      <w:r>
        <w:rPr>
          <w:rFonts w:hint="eastAsia"/>
          <w:szCs w:val="21"/>
        </w:rPr>
        <w:t xml:space="preserve">        </w:t>
      </w:r>
      <w:r>
        <w:rPr>
          <w:szCs w:val="21"/>
        </w:rPr>
        <w:t xml:space="preserve"> </w:t>
      </w:r>
      <w:r>
        <w:rPr>
          <w:rFonts w:hint="eastAsia"/>
          <w:szCs w:val="21"/>
        </w:rPr>
        <w:t>二〇一九年八月二十日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85791"/>
    <w:multiLevelType w:val="multilevel"/>
    <w:tmpl w:val="5C68579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646260FA"/>
    <w:multiLevelType w:val="multilevel"/>
    <w:tmpl w:val="646260FA"/>
    <w:lvl w:ilvl="0" w:tentative="0">
      <w:start w:val="1"/>
      <w:numFmt w:val="decimal"/>
      <w:pStyle w:val="39"/>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924EE3"/>
    <w:rsid w:val="0000458F"/>
    <w:rsid w:val="000068F3"/>
    <w:rsid w:val="0000789C"/>
    <w:rsid w:val="00016EEE"/>
    <w:rsid w:val="00020B5C"/>
    <w:rsid w:val="00025F6C"/>
    <w:rsid w:val="0002715F"/>
    <w:rsid w:val="00034CC0"/>
    <w:rsid w:val="00036B3D"/>
    <w:rsid w:val="00042AD7"/>
    <w:rsid w:val="000453C7"/>
    <w:rsid w:val="0005348E"/>
    <w:rsid w:val="00053B98"/>
    <w:rsid w:val="00053D8F"/>
    <w:rsid w:val="00064C56"/>
    <w:rsid w:val="00066388"/>
    <w:rsid w:val="00066E5B"/>
    <w:rsid w:val="00075BF5"/>
    <w:rsid w:val="00082F84"/>
    <w:rsid w:val="00092963"/>
    <w:rsid w:val="00095518"/>
    <w:rsid w:val="000A0B9A"/>
    <w:rsid w:val="000B7E21"/>
    <w:rsid w:val="000C28DC"/>
    <w:rsid w:val="000E0CFC"/>
    <w:rsid w:val="000E15A9"/>
    <w:rsid w:val="000E3F8A"/>
    <w:rsid w:val="000F4750"/>
    <w:rsid w:val="000F73DF"/>
    <w:rsid w:val="00115890"/>
    <w:rsid w:val="00121F3A"/>
    <w:rsid w:val="00123CFA"/>
    <w:rsid w:val="00124315"/>
    <w:rsid w:val="0012667C"/>
    <w:rsid w:val="00132351"/>
    <w:rsid w:val="00132A05"/>
    <w:rsid w:val="00140586"/>
    <w:rsid w:val="001418DE"/>
    <w:rsid w:val="00141C2B"/>
    <w:rsid w:val="00141E18"/>
    <w:rsid w:val="001424C5"/>
    <w:rsid w:val="001469AF"/>
    <w:rsid w:val="001471A2"/>
    <w:rsid w:val="00157861"/>
    <w:rsid w:val="00163E5B"/>
    <w:rsid w:val="0016485E"/>
    <w:rsid w:val="00165011"/>
    <w:rsid w:val="00165546"/>
    <w:rsid w:val="00171E80"/>
    <w:rsid w:val="00172A27"/>
    <w:rsid w:val="00187387"/>
    <w:rsid w:val="00194EA3"/>
    <w:rsid w:val="0019618F"/>
    <w:rsid w:val="001B397E"/>
    <w:rsid w:val="001B755B"/>
    <w:rsid w:val="001C2D64"/>
    <w:rsid w:val="001C654C"/>
    <w:rsid w:val="001D18A5"/>
    <w:rsid w:val="001D5293"/>
    <w:rsid w:val="001E25DF"/>
    <w:rsid w:val="001E2A76"/>
    <w:rsid w:val="001F6638"/>
    <w:rsid w:val="001F671A"/>
    <w:rsid w:val="002145B9"/>
    <w:rsid w:val="0022261F"/>
    <w:rsid w:val="0022726D"/>
    <w:rsid w:val="00227D7B"/>
    <w:rsid w:val="00236D7B"/>
    <w:rsid w:val="00240480"/>
    <w:rsid w:val="00244753"/>
    <w:rsid w:val="00246992"/>
    <w:rsid w:val="00251963"/>
    <w:rsid w:val="00257FDA"/>
    <w:rsid w:val="00263390"/>
    <w:rsid w:val="002665B7"/>
    <w:rsid w:val="00271040"/>
    <w:rsid w:val="00282D45"/>
    <w:rsid w:val="002830C9"/>
    <w:rsid w:val="002860A5"/>
    <w:rsid w:val="00290ED0"/>
    <w:rsid w:val="00292F58"/>
    <w:rsid w:val="00295D0B"/>
    <w:rsid w:val="002A75EF"/>
    <w:rsid w:val="002A7752"/>
    <w:rsid w:val="002B1B78"/>
    <w:rsid w:val="002C479F"/>
    <w:rsid w:val="002C5698"/>
    <w:rsid w:val="002C6E8C"/>
    <w:rsid w:val="002C7596"/>
    <w:rsid w:val="002D0E55"/>
    <w:rsid w:val="002D1A64"/>
    <w:rsid w:val="002D6198"/>
    <w:rsid w:val="002E0651"/>
    <w:rsid w:val="002E3734"/>
    <w:rsid w:val="002F291A"/>
    <w:rsid w:val="002F3760"/>
    <w:rsid w:val="00301A18"/>
    <w:rsid w:val="00313100"/>
    <w:rsid w:val="00314468"/>
    <w:rsid w:val="0032181F"/>
    <w:rsid w:val="0033038A"/>
    <w:rsid w:val="00330571"/>
    <w:rsid w:val="00331F03"/>
    <w:rsid w:val="00334652"/>
    <w:rsid w:val="00334CD4"/>
    <w:rsid w:val="003409AD"/>
    <w:rsid w:val="00346B25"/>
    <w:rsid w:val="003525EB"/>
    <w:rsid w:val="00353127"/>
    <w:rsid w:val="0035450B"/>
    <w:rsid w:val="003561BB"/>
    <w:rsid w:val="0036025C"/>
    <w:rsid w:val="00362F7C"/>
    <w:rsid w:val="00367ECF"/>
    <w:rsid w:val="00372508"/>
    <w:rsid w:val="003745B0"/>
    <w:rsid w:val="00376574"/>
    <w:rsid w:val="00383D33"/>
    <w:rsid w:val="0038542F"/>
    <w:rsid w:val="00390D74"/>
    <w:rsid w:val="00393046"/>
    <w:rsid w:val="003942EE"/>
    <w:rsid w:val="0039541F"/>
    <w:rsid w:val="00397CF1"/>
    <w:rsid w:val="003A0DDB"/>
    <w:rsid w:val="003A1752"/>
    <w:rsid w:val="003A3221"/>
    <w:rsid w:val="003A3874"/>
    <w:rsid w:val="003A584D"/>
    <w:rsid w:val="003A6A6D"/>
    <w:rsid w:val="003B162C"/>
    <w:rsid w:val="003B1F76"/>
    <w:rsid w:val="003B2679"/>
    <w:rsid w:val="003B26C5"/>
    <w:rsid w:val="003B763D"/>
    <w:rsid w:val="003E1C30"/>
    <w:rsid w:val="003E460B"/>
    <w:rsid w:val="003E4EBA"/>
    <w:rsid w:val="003F7FD1"/>
    <w:rsid w:val="00403E29"/>
    <w:rsid w:val="004048B7"/>
    <w:rsid w:val="00411D9B"/>
    <w:rsid w:val="00424E1A"/>
    <w:rsid w:val="00426D67"/>
    <w:rsid w:val="00427AD8"/>
    <w:rsid w:val="00451802"/>
    <w:rsid w:val="00452B02"/>
    <w:rsid w:val="00461899"/>
    <w:rsid w:val="00461DBC"/>
    <w:rsid w:val="00462876"/>
    <w:rsid w:val="00464F9E"/>
    <w:rsid w:val="00471AD3"/>
    <w:rsid w:val="00473345"/>
    <w:rsid w:val="00475613"/>
    <w:rsid w:val="00480D63"/>
    <w:rsid w:val="004918B3"/>
    <w:rsid w:val="00496365"/>
    <w:rsid w:val="004A6C35"/>
    <w:rsid w:val="004B07BB"/>
    <w:rsid w:val="004B42D7"/>
    <w:rsid w:val="004B4369"/>
    <w:rsid w:val="004C3214"/>
    <w:rsid w:val="004C66C5"/>
    <w:rsid w:val="004D2415"/>
    <w:rsid w:val="004D3884"/>
    <w:rsid w:val="004D3D19"/>
    <w:rsid w:val="004D4251"/>
    <w:rsid w:val="004E192A"/>
    <w:rsid w:val="004E5412"/>
    <w:rsid w:val="004F0280"/>
    <w:rsid w:val="004F6996"/>
    <w:rsid w:val="005042EF"/>
    <w:rsid w:val="00506ACA"/>
    <w:rsid w:val="00532066"/>
    <w:rsid w:val="00534433"/>
    <w:rsid w:val="00534C42"/>
    <w:rsid w:val="00537B7A"/>
    <w:rsid w:val="005446AE"/>
    <w:rsid w:val="005461E0"/>
    <w:rsid w:val="00552E51"/>
    <w:rsid w:val="00556C7E"/>
    <w:rsid w:val="005604BA"/>
    <w:rsid w:val="00560948"/>
    <w:rsid w:val="0056115B"/>
    <w:rsid w:val="0056568A"/>
    <w:rsid w:val="005665E9"/>
    <w:rsid w:val="0057234F"/>
    <w:rsid w:val="005817F5"/>
    <w:rsid w:val="005A4CA5"/>
    <w:rsid w:val="005B23FE"/>
    <w:rsid w:val="005D1E94"/>
    <w:rsid w:val="005E1E98"/>
    <w:rsid w:val="005E7093"/>
    <w:rsid w:val="005F149F"/>
    <w:rsid w:val="005F6262"/>
    <w:rsid w:val="00603810"/>
    <w:rsid w:val="00611B63"/>
    <w:rsid w:val="00615225"/>
    <w:rsid w:val="00622EEF"/>
    <w:rsid w:val="00626EC8"/>
    <w:rsid w:val="00631CDC"/>
    <w:rsid w:val="00633494"/>
    <w:rsid w:val="006357CD"/>
    <w:rsid w:val="006366B1"/>
    <w:rsid w:val="0063717E"/>
    <w:rsid w:val="0064035D"/>
    <w:rsid w:val="00642247"/>
    <w:rsid w:val="0065503D"/>
    <w:rsid w:val="00656B89"/>
    <w:rsid w:val="006765B7"/>
    <w:rsid w:val="006821B1"/>
    <w:rsid w:val="00684E95"/>
    <w:rsid w:val="00687C23"/>
    <w:rsid w:val="006908B1"/>
    <w:rsid w:val="00690E42"/>
    <w:rsid w:val="00695E1C"/>
    <w:rsid w:val="006A0E97"/>
    <w:rsid w:val="006A235A"/>
    <w:rsid w:val="006A3648"/>
    <w:rsid w:val="006B141B"/>
    <w:rsid w:val="006B250E"/>
    <w:rsid w:val="006B3521"/>
    <w:rsid w:val="006B38C6"/>
    <w:rsid w:val="006B5317"/>
    <w:rsid w:val="006B7036"/>
    <w:rsid w:val="006D7786"/>
    <w:rsid w:val="006F401C"/>
    <w:rsid w:val="006F4BCE"/>
    <w:rsid w:val="006F51D0"/>
    <w:rsid w:val="006F549D"/>
    <w:rsid w:val="006F6268"/>
    <w:rsid w:val="007111BB"/>
    <w:rsid w:val="00720A7F"/>
    <w:rsid w:val="0072459A"/>
    <w:rsid w:val="00725414"/>
    <w:rsid w:val="007271C9"/>
    <w:rsid w:val="00731652"/>
    <w:rsid w:val="00732039"/>
    <w:rsid w:val="00740E19"/>
    <w:rsid w:val="007443CD"/>
    <w:rsid w:val="00754926"/>
    <w:rsid w:val="00755B61"/>
    <w:rsid w:val="00763B36"/>
    <w:rsid w:val="00767622"/>
    <w:rsid w:val="007721E5"/>
    <w:rsid w:val="007745DB"/>
    <w:rsid w:val="0078277B"/>
    <w:rsid w:val="007845B5"/>
    <w:rsid w:val="0079218A"/>
    <w:rsid w:val="00793550"/>
    <w:rsid w:val="00797517"/>
    <w:rsid w:val="007A7D79"/>
    <w:rsid w:val="007B631B"/>
    <w:rsid w:val="007B63CD"/>
    <w:rsid w:val="007C4066"/>
    <w:rsid w:val="007C421E"/>
    <w:rsid w:val="007C7CC5"/>
    <w:rsid w:val="007D0A97"/>
    <w:rsid w:val="007E5212"/>
    <w:rsid w:val="007F5F9A"/>
    <w:rsid w:val="007F6042"/>
    <w:rsid w:val="007F66E9"/>
    <w:rsid w:val="00811F72"/>
    <w:rsid w:val="00813035"/>
    <w:rsid w:val="00820567"/>
    <w:rsid w:val="00822776"/>
    <w:rsid w:val="00824167"/>
    <w:rsid w:val="00826C66"/>
    <w:rsid w:val="008304E1"/>
    <w:rsid w:val="008436B5"/>
    <w:rsid w:val="0084567F"/>
    <w:rsid w:val="00853D66"/>
    <w:rsid w:val="0086008F"/>
    <w:rsid w:val="008672E3"/>
    <w:rsid w:val="00874E89"/>
    <w:rsid w:val="008922AA"/>
    <w:rsid w:val="008A0C50"/>
    <w:rsid w:val="008A4747"/>
    <w:rsid w:val="008A5293"/>
    <w:rsid w:val="008B2D74"/>
    <w:rsid w:val="008B304B"/>
    <w:rsid w:val="008C12B1"/>
    <w:rsid w:val="008D61DA"/>
    <w:rsid w:val="008F337D"/>
    <w:rsid w:val="008F7158"/>
    <w:rsid w:val="00901061"/>
    <w:rsid w:val="00910850"/>
    <w:rsid w:val="00913CE7"/>
    <w:rsid w:val="0091491C"/>
    <w:rsid w:val="00915758"/>
    <w:rsid w:val="00916151"/>
    <w:rsid w:val="00924EE3"/>
    <w:rsid w:val="00925367"/>
    <w:rsid w:val="0093188F"/>
    <w:rsid w:val="00937AAF"/>
    <w:rsid w:val="00942C92"/>
    <w:rsid w:val="00947830"/>
    <w:rsid w:val="00955975"/>
    <w:rsid w:val="009620F9"/>
    <w:rsid w:val="009634DE"/>
    <w:rsid w:val="00963E94"/>
    <w:rsid w:val="00977A63"/>
    <w:rsid w:val="00985BB4"/>
    <w:rsid w:val="00990B04"/>
    <w:rsid w:val="009A25A1"/>
    <w:rsid w:val="009A5215"/>
    <w:rsid w:val="009B0873"/>
    <w:rsid w:val="009B4294"/>
    <w:rsid w:val="009B67AE"/>
    <w:rsid w:val="009C108E"/>
    <w:rsid w:val="009C4F05"/>
    <w:rsid w:val="009C5312"/>
    <w:rsid w:val="009C5880"/>
    <w:rsid w:val="009D1274"/>
    <w:rsid w:val="009E51B6"/>
    <w:rsid w:val="009E72BD"/>
    <w:rsid w:val="009F2CFC"/>
    <w:rsid w:val="009F7CB8"/>
    <w:rsid w:val="00A010DD"/>
    <w:rsid w:val="00A03671"/>
    <w:rsid w:val="00A14B5C"/>
    <w:rsid w:val="00A173B2"/>
    <w:rsid w:val="00A2395B"/>
    <w:rsid w:val="00A24B7A"/>
    <w:rsid w:val="00A343FA"/>
    <w:rsid w:val="00A35627"/>
    <w:rsid w:val="00A40B3B"/>
    <w:rsid w:val="00A467F1"/>
    <w:rsid w:val="00A469EA"/>
    <w:rsid w:val="00A565EA"/>
    <w:rsid w:val="00A625FF"/>
    <w:rsid w:val="00A631A1"/>
    <w:rsid w:val="00A85FF2"/>
    <w:rsid w:val="00AA4ED6"/>
    <w:rsid w:val="00AA6EB5"/>
    <w:rsid w:val="00AB298F"/>
    <w:rsid w:val="00AC11A0"/>
    <w:rsid w:val="00AC1E77"/>
    <w:rsid w:val="00AC6917"/>
    <w:rsid w:val="00AC6C15"/>
    <w:rsid w:val="00AD7376"/>
    <w:rsid w:val="00AE00EB"/>
    <w:rsid w:val="00AE0301"/>
    <w:rsid w:val="00AF1C4E"/>
    <w:rsid w:val="00B05183"/>
    <w:rsid w:val="00B05889"/>
    <w:rsid w:val="00B07388"/>
    <w:rsid w:val="00B1142B"/>
    <w:rsid w:val="00B130B0"/>
    <w:rsid w:val="00B20668"/>
    <w:rsid w:val="00B20B50"/>
    <w:rsid w:val="00B22E49"/>
    <w:rsid w:val="00B23CA6"/>
    <w:rsid w:val="00B260AD"/>
    <w:rsid w:val="00B302B0"/>
    <w:rsid w:val="00B43039"/>
    <w:rsid w:val="00B508EB"/>
    <w:rsid w:val="00B62D04"/>
    <w:rsid w:val="00B652AC"/>
    <w:rsid w:val="00B66189"/>
    <w:rsid w:val="00B749C6"/>
    <w:rsid w:val="00B91232"/>
    <w:rsid w:val="00B92246"/>
    <w:rsid w:val="00B9261B"/>
    <w:rsid w:val="00B97F29"/>
    <w:rsid w:val="00BA0E79"/>
    <w:rsid w:val="00BA3D4B"/>
    <w:rsid w:val="00BC30C7"/>
    <w:rsid w:val="00BC6212"/>
    <w:rsid w:val="00BC7363"/>
    <w:rsid w:val="00BD63AD"/>
    <w:rsid w:val="00BF1C46"/>
    <w:rsid w:val="00BF3F40"/>
    <w:rsid w:val="00C01AF9"/>
    <w:rsid w:val="00C01B63"/>
    <w:rsid w:val="00C02E20"/>
    <w:rsid w:val="00C0617A"/>
    <w:rsid w:val="00C2200F"/>
    <w:rsid w:val="00C26916"/>
    <w:rsid w:val="00C31C7D"/>
    <w:rsid w:val="00C31F56"/>
    <w:rsid w:val="00C344DF"/>
    <w:rsid w:val="00C4061E"/>
    <w:rsid w:val="00C408AC"/>
    <w:rsid w:val="00C40B06"/>
    <w:rsid w:val="00C41196"/>
    <w:rsid w:val="00C416B7"/>
    <w:rsid w:val="00C57B36"/>
    <w:rsid w:val="00C6168F"/>
    <w:rsid w:val="00C651AF"/>
    <w:rsid w:val="00C72B93"/>
    <w:rsid w:val="00C81834"/>
    <w:rsid w:val="00C867F2"/>
    <w:rsid w:val="00C95F9D"/>
    <w:rsid w:val="00CA27F8"/>
    <w:rsid w:val="00CA332A"/>
    <w:rsid w:val="00CC276C"/>
    <w:rsid w:val="00CC5B7F"/>
    <w:rsid w:val="00CD4E6A"/>
    <w:rsid w:val="00CE05D2"/>
    <w:rsid w:val="00CE480F"/>
    <w:rsid w:val="00CF1DE2"/>
    <w:rsid w:val="00CF2F21"/>
    <w:rsid w:val="00CF71BB"/>
    <w:rsid w:val="00D05424"/>
    <w:rsid w:val="00D10A26"/>
    <w:rsid w:val="00D13BB8"/>
    <w:rsid w:val="00D14345"/>
    <w:rsid w:val="00D2080F"/>
    <w:rsid w:val="00D25426"/>
    <w:rsid w:val="00D3016C"/>
    <w:rsid w:val="00D31515"/>
    <w:rsid w:val="00D40E6D"/>
    <w:rsid w:val="00D41EAC"/>
    <w:rsid w:val="00D42457"/>
    <w:rsid w:val="00D533AA"/>
    <w:rsid w:val="00D55867"/>
    <w:rsid w:val="00D611A7"/>
    <w:rsid w:val="00D663D7"/>
    <w:rsid w:val="00D6745B"/>
    <w:rsid w:val="00D67C3D"/>
    <w:rsid w:val="00D7489B"/>
    <w:rsid w:val="00D802BF"/>
    <w:rsid w:val="00D83A8F"/>
    <w:rsid w:val="00D86202"/>
    <w:rsid w:val="00DA1177"/>
    <w:rsid w:val="00DA20E4"/>
    <w:rsid w:val="00DA3800"/>
    <w:rsid w:val="00DA47CE"/>
    <w:rsid w:val="00DB3494"/>
    <w:rsid w:val="00DB5A24"/>
    <w:rsid w:val="00DC0CE4"/>
    <w:rsid w:val="00DC60F5"/>
    <w:rsid w:val="00DC6A8B"/>
    <w:rsid w:val="00DD26C5"/>
    <w:rsid w:val="00DD4037"/>
    <w:rsid w:val="00DD4FB9"/>
    <w:rsid w:val="00DE0BE9"/>
    <w:rsid w:val="00DE53B3"/>
    <w:rsid w:val="00DF143D"/>
    <w:rsid w:val="00E053D2"/>
    <w:rsid w:val="00E122A5"/>
    <w:rsid w:val="00E155DE"/>
    <w:rsid w:val="00E24788"/>
    <w:rsid w:val="00E26762"/>
    <w:rsid w:val="00E46280"/>
    <w:rsid w:val="00E52CE1"/>
    <w:rsid w:val="00E54EDF"/>
    <w:rsid w:val="00E565E7"/>
    <w:rsid w:val="00E569B4"/>
    <w:rsid w:val="00E56F33"/>
    <w:rsid w:val="00E5732E"/>
    <w:rsid w:val="00E64339"/>
    <w:rsid w:val="00E708E8"/>
    <w:rsid w:val="00E8072A"/>
    <w:rsid w:val="00E82B78"/>
    <w:rsid w:val="00E82F79"/>
    <w:rsid w:val="00E85126"/>
    <w:rsid w:val="00E8724A"/>
    <w:rsid w:val="00E87EC3"/>
    <w:rsid w:val="00E94355"/>
    <w:rsid w:val="00E96B1A"/>
    <w:rsid w:val="00EA70FA"/>
    <w:rsid w:val="00EB1F66"/>
    <w:rsid w:val="00EB4623"/>
    <w:rsid w:val="00EC1FFF"/>
    <w:rsid w:val="00EC58A5"/>
    <w:rsid w:val="00ED06E0"/>
    <w:rsid w:val="00ED2A03"/>
    <w:rsid w:val="00ED3977"/>
    <w:rsid w:val="00ED4F6B"/>
    <w:rsid w:val="00EE25DC"/>
    <w:rsid w:val="00EF210D"/>
    <w:rsid w:val="00F02634"/>
    <w:rsid w:val="00F11621"/>
    <w:rsid w:val="00F11ADC"/>
    <w:rsid w:val="00F129EA"/>
    <w:rsid w:val="00F209E5"/>
    <w:rsid w:val="00F22943"/>
    <w:rsid w:val="00F254CA"/>
    <w:rsid w:val="00F25F69"/>
    <w:rsid w:val="00F26816"/>
    <w:rsid w:val="00F268DF"/>
    <w:rsid w:val="00F31162"/>
    <w:rsid w:val="00F44EF4"/>
    <w:rsid w:val="00F45D3E"/>
    <w:rsid w:val="00F465F1"/>
    <w:rsid w:val="00F4736A"/>
    <w:rsid w:val="00F5638B"/>
    <w:rsid w:val="00F57B08"/>
    <w:rsid w:val="00F626D0"/>
    <w:rsid w:val="00F64AEB"/>
    <w:rsid w:val="00F7037E"/>
    <w:rsid w:val="00F71037"/>
    <w:rsid w:val="00F7442F"/>
    <w:rsid w:val="00FA04C3"/>
    <w:rsid w:val="00FA1D47"/>
    <w:rsid w:val="00FA6B10"/>
    <w:rsid w:val="00FB093E"/>
    <w:rsid w:val="00FB35A0"/>
    <w:rsid w:val="00FC18A8"/>
    <w:rsid w:val="00FC33DA"/>
    <w:rsid w:val="00FC4BF6"/>
    <w:rsid w:val="00FC4DF2"/>
    <w:rsid w:val="00FC6D9A"/>
    <w:rsid w:val="00FD0BFB"/>
    <w:rsid w:val="00FD5E1F"/>
    <w:rsid w:val="00FD7A72"/>
    <w:rsid w:val="00FE026E"/>
    <w:rsid w:val="00FE3DB5"/>
    <w:rsid w:val="0CAD4B37"/>
    <w:rsid w:val="4A5664DB"/>
    <w:rsid w:val="6D1F7F55"/>
    <w:rsid w:val="6F33543B"/>
    <w:rsid w:val="7C071C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59"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15"/>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22"/>
    <w:uiPriority w:val="99"/>
    <w:pPr>
      <w:jc w:val="left"/>
    </w:pPr>
  </w:style>
  <w:style w:type="paragraph" w:styleId="4">
    <w:name w:val="Body Text Indent"/>
    <w:basedOn w:val="1"/>
    <w:link w:val="19"/>
    <w:uiPriority w:val="99"/>
    <w:pPr>
      <w:spacing w:after="120"/>
      <w:ind w:left="200" w:leftChars="200"/>
    </w:pPr>
    <w:rPr>
      <w:rFonts w:ascii="宋体" w:hAnsi="宋体"/>
      <w:kern w:val="0"/>
      <w:sz w:val="20"/>
    </w:rPr>
  </w:style>
  <w:style w:type="paragraph" w:styleId="5">
    <w:name w:val="Date"/>
    <w:basedOn w:val="1"/>
    <w:next w:val="1"/>
    <w:link w:val="23"/>
    <w:qFormat/>
    <w:uiPriority w:val="99"/>
    <w:pPr>
      <w:ind w:left="100" w:leftChars="2500"/>
    </w:pPr>
    <w:rPr>
      <w:rFonts w:ascii="宋体" w:hAnsi="宋体"/>
      <w:sz w:val="28"/>
    </w:rPr>
  </w:style>
  <w:style w:type="paragraph" w:styleId="6">
    <w:name w:val="Balloon Text"/>
    <w:basedOn w:val="1"/>
    <w:link w:val="25"/>
    <w:uiPriority w:val="99"/>
    <w:rPr>
      <w:sz w:val="18"/>
    </w:rPr>
  </w:style>
  <w:style w:type="paragraph" w:styleId="7">
    <w:name w:val="footer"/>
    <w:basedOn w:val="1"/>
    <w:link w:val="16"/>
    <w:uiPriority w:val="99"/>
    <w:pPr>
      <w:tabs>
        <w:tab w:val="center" w:pos="4153"/>
        <w:tab w:val="right" w:pos="8306"/>
      </w:tabs>
      <w:snapToGrid w:val="0"/>
      <w:jc w:val="left"/>
    </w:pPr>
    <w:rPr>
      <w:sz w:val="18"/>
    </w:rPr>
  </w:style>
  <w:style w:type="paragraph" w:styleId="8">
    <w:name w:val="header"/>
    <w:basedOn w:val="1"/>
    <w:link w:val="17"/>
    <w:uiPriority w:val="99"/>
    <w:pPr>
      <w:pBdr>
        <w:bottom w:val="single" w:color="auto" w:sz="6" w:space="1"/>
      </w:pBdr>
      <w:tabs>
        <w:tab w:val="center" w:pos="4153"/>
        <w:tab w:val="right" w:pos="8306"/>
      </w:tabs>
      <w:snapToGrid w:val="0"/>
      <w:jc w:val="center"/>
    </w:pPr>
    <w:rPr>
      <w:sz w:val="18"/>
    </w:rPr>
  </w:style>
  <w:style w:type="paragraph" w:styleId="9">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18"/>
    <w:uiPriority w:val="99"/>
    <w:rPr>
      <w:b/>
      <w:bCs/>
    </w:rPr>
  </w:style>
  <w:style w:type="table" w:styleId="12">
    <w:name w:val="Table Grid"/>
    <w:basedOn w:val="11"/>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annotation reference"/>
    <w:basedOn w:val="13"/>
    <w:uiPriority w:val="99"/>
    <w:rPr>
      <w:rFonts w:cs="Times New Roman"/>
      <w:sz w:val="21"/>
    </w:rPr>
  </w:style>
  <w:style w:type="character" w:customStyle="1" w:styleId="15">
    <w:name w:val="标题 3 字符"/>
    <w:basedOn w:val="13"/>
    <w:link w:val="2"/>
    <w:semiHidden/>
    <w:uiPriority w:val="9"/>
    <w:rPr>
      <w:b/>
      <w:bCs/>
      <w:sz w:val="32"/>
      <w:szCs w:val="32"/>
    </w:rPr>
  </w:style>
  <w:style w:type="character" w:customStyle="1" w:styleId="16">
    <w:name w:val="页脚 字符"/>
    <w:link w:val="7"/>
    <w:locked/>
    <w:uiPriority w:val="99"/>
    <w:rPr>
      <w:kern w:val="2"/>
      <w:sz w:val="18"/>
    </w:rPr>
  </w:style>
  <w:style w:type="character" w:customStyle="1" w:styleId="17">
    <w:name w:val="页眉 字符"/>
    <w:link w:val="8"/>
    <w:locked/>
    <w:uiPriority w:val="99"/>
    <w:rPr>
      <w:kern w:val="2"/>
      <w:sz w:val="18"/>
    </w:rPr>
  </w:style>
  <w:style w:type="character" w:customStyle="1" w:styleId="18">
    <w:name w:val="批注主题 字符"/>
    <w:link w:val="10"/>
    <w:locked/>
    <w:uiPriority w:val="99"/>
    <w:rPr>
      <w:b/>
      <w:kern w:val="2"/>
      <w:sz w:val="21"/>
    </w:rPr>
  </w:style>
  <w:style w:type="character" w:customStyle="1" w:styleId="19">
    <w:name w:val="正文文本缩进 字符"/>
    <w:link w:val="4"/>
    <w:locked/>
    <w:uiPriority w:val="99"/>
    <w:rPr>
      <w:rFonts w:ascii="宋体" w:hAnsi="宋体" w:eastAsia="宋体"/>
    </w:rPr>
  </w:style>
  <w:style w:type="character" w:customStyle="1" w:styleId="20">
    <w:name w:val="段 Char"/>
    <w:link w:val="21"/>
    <w:locked/>
    <w:uiPriority w:val="99"/>
    <w:rPr>
      <w:rFonts w:ascii="宋体"/>
      <w:sz w:val="21"/>
      <w:lang w:val="en-US" w:eastAsia="zh-CN"/>
    </w:rPr>
  </w:style>
  <w:style w:type="paragraph" w:customStyle="1" w:styleId="21">
    <w:name w:val="段"/>
    <w:link w:val="20"/>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22">
    <w:name w:val="批注文字 字符"/>
    <w:link w:val="3"/>
    <w:qFormat/>
    <w:locked/>
    <w:uiPriority w:val="99"/>
    <w:rPr>
      <w:kern w:val="2"/>
      <w:sz w:val="21"/>
    </w:rPr>
  </w:style>
  <w:style w:type="character" w:customStyle="1" w:styleId="23">
    <w:name w:val="日期 字符"/>
    <w:basedOn w:val="13"/>
    <w:link w:val="5"/>
    <w:semiHidden/>
    <w:uiPriority w:val="99"/>
    <w:rPr>
      <w:szCs w:val="20"/>
    </w:rPr>
  </w:style>
  <w:style w:type="character" w:customStyle="1" w:styleId="24">
    <w:name w:val="Footer Char1"/>
    <w:basedOn w:val="13"/>
    <w:semiHidden/>
    <w:uiPriority w:val="99"/>
    <w:rPr>
      <w:sz w:val="18"/>
      <w:szCs w:val="18"/>
    </w:rPr>
  </w:style>
  <w:style w:type="character" w:customStyle="1" w:styleId="25">
    <w:name w:val="批注框文本 字符"/>
    <w:basedOn w:val="13"/>
    <w:link w:val="6"/>
    <w:semiHidden/>
    <w:uiPriority w:val="99"/>
    <w:rPr>
      <w:sz w:val="0"/>
      <w:szCs w:val="0"/>
    </w:rPr>
  </w:style>
  <w:style w:type="character" w:customStyle="1" w:styleId="26">
    <w:name w:val="Body Text Indent Char1"/>
    <w:basedOn w:val="13"/>
    <w:semiHidden/>
    <w:uiPriority w:val="99"/>
    <w:rPr>
      <w:szCs w:val="20"/>
    </w:rPr>
  </w:style>
  <w:style w:type="paragraph" w:customStyle="1" w:styleId="27">
    <w:name w:val="发布部门"/>
    <w:next w:val="1"/>
    <w:uiPriority w:val="99"/>
    <w:pPr>
      <w:jc w:val="center"/>
    </w:pPr>
    <w:rPr>
      <w:rFonts w:ascii="宋体" w:hAnsi="Times New Roman" w:eastAsia="宋体" w:cs="Times New Roman"/>
      <w:b/>
      <w:spacing w:val="20"/>
      <w:w w:val="135"/>
      <w:kern w:val="0"/>
      <w:sz w:val="36"/>
      <w:szCs w:val="20"/>
      <w:lang w:val="en-US" w:eastAsia="zh-CN" w:bidi="ar-SA"/>
    </w:rPr>
  </w:style>
  <w:style w:type="paragraph" w:customStyle="1" w:styleId="28">
    <w:name w:val="四级条标题"/>
    <w:basedOn w:val="29"/>
    <w:next w:val="21"/>
    <w:uiPriority w:val="99"/>
    <w:pPr>
      <w:tabs>
        <w:tab w:val="left" w:pos="1418"/>
      </w:tabs>
      <w:outlineLvl w:val="5"/>
    </w:pPr>
  </w:style>
  <w:style w:type="paragraph" w:customStyle="1" w:styleId="29">
    <w:name w:val="三级条标题"/>
    <w:basedOn w:val="30"/>
    <w:next w:val="21"/>
    <w:uiPriority w:val="99"/>
    <w:pPr>
      <w:tabs>
        <w:tab w:val="left" w:pos="1418"/>
      </w:tabs>
      <w:outlineLvl w:val="4"/>
    </w:pPr>
  </w:style>
  <w:style w:type="paragraph" w:customStyle="1" w:styleId="30">
    <w:name w:val="二级条标题"/>
    <w:basedOn w:val="31"/>
    <w:next w:val="21"/>
    <w:uiPriority w:val="99"/>
    <w:pPr>
      <w:tabs>
        <w:tab w:val="left" w:pos="1418"/>
      </w:tabs>
      <w:outlineLvl w:val="3"/>
    </w:pPr>
  </w:style>
  <w:style w:type="paragraph" w:customStyle="1" w:styleId="31">
    <w:name w:val="一级条标题"/>
    <w:basedOn w:val="1"/>
    <w:next w:val="21"/>
    <w:uiPriority w:val="99"/>
    <w:pPr>
      <w:widowControl/>
      <w:tabs>
        <w:tab w:val="left" w:pos="1418"/>
      </w:tabs>
      <w:outlineLvl w:val="2"/>
    </w:pPr>
    <w:rPr>
      <w:rFonts w:ascii="黑体" w:eastAsia="黑体"/>
      <w:kern w:val="0"/>
    </w:rPr>
  </w:style>
  <w:style w:type="character" w:customStyle="1" w:styleId="32">
    <w:name w:val="Comment Text Char1"/>
    <w:basedOn w:val="13"/>
    <w:semiHidden/>
    <w:uiPriority w:val="99"/>
    <w:rPr>
      <w:szCs w:val="20"/>
    </w:rPr>
  </w:style>
  <w:style w:type="paragraph" w:customStyle="1" w:styleId="33">
    <w:name w:val="封面标准文稿编辑信息"/>
    <w:uiPriority w:val="99"/>
    <w:pPr>
      <w:spacing w:before="180" w:line="180" w:lineRule="exact"/>
      <w:jc w:val="center"/>
    </w:pPr>
    <w:rPr>
      <w:rFonts w:ascii="宋体" w:hAnsi="Times New Roman" w:eastAsia="宋体" w:cs="Times New Roman"/>
      <w:kern w:val="0"/>
      <w:sz w:val="21"/>
      <w:szCs w:val="20"/>
      <w:lang w:val="en-US" w:eastAsia="zh-CN" w:bidi="ar-SA"/>
    </w:rPr>
  </w:style>
  <w:style w:type="character" w:customStyle="1" w:styleId="34">
    <w:name w:val="Comment Subject Char1"/>
    <w:basedOn w:val="22"/>
    <w:semiHidden/>
    <w:uiPriority w:val="99"/>
    <w:rPr>
      <w:b/>
      <w:bCs/>
      <w:kern w:val="2"/>
      <w:sz w:val="21"/>
      <w:szCs w:val="20"/>
    </w:rPr>
  </w:style>
  <w:style w:type="character" w:customStyle="1" w:styleId="35">
    <w:name w:val="Header Char1"/>
    <w:basedOn w:val="13"/>
    <w:semiHidden/>
    <w:uiPriority w:val="99"/>
    <w:rPr>
      <w:sz w:val="18"/>
      <w:szCs w:val="18"/>
    </w:rPr>
  </w:style>
  <w:style w:type="paragraph" w:customStyle="1" w:styleId="36">
    <w:name w:val="前言、引言标题"/>
    <w:next w:val="1"/>
    <w:uiPriority w:val="99"/>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37">
    <w:name w:val="封面标准英文名称"/>
    <w:uiPriority w:val="99"/>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38">
    <w:name w:val="Char Char Char Char1"/>
    <w:basedOn w:val="1"/>
    <w:uiPriority w:val="99"/>
    <w:pPr>
      <w:widowControl/>
      <w:spacing w:after="160" w:line="240" w:lineRule="exact"/>
      <w:jc w:val="left"/>
    </w:pPr>
    <w:rPr>
      <w:rFonts w:ascii="Verdana" w:hAnsi="Verdana"/>
      <w:kern w:val="0"/>
      <w:sz w:val="18"/>
      <w:lang w:eastAsia="en-US"/>
    </w:rPr>
  </w:style>
  <w:style w:type="paragraph" w:customStyle="1" w:styleId="39">
    <w:name w:val="正文表标题"/>
    <w:next w:val="21"/>
    <w:uiPriority w:val="99"/>
    <w:pPr>
      <w:numPr>
        <w:ilvl w:val="0"/>
        <w:numId w:val="1"/>
      </w:numPr>
      <w:jc w:val="center"/>
    </w:pPr>
    <w:rPr>
      <w:rFonts w:ascii="黑体" w:hAnsi="Times New Roman" w:eastAsia="黑体" w:cs="Times New Roman"/>
      <w:kern w:val="0"/>
      <w:sz w:val="21"/>
      <w:szCs w:val="20"/>
      <w:lang w:val="en-US" w:eastAsia="zh-CN" w:bidi="ar-SA"/>
    </w:rPr>
  </w:style>
  <w:style w:type="paragraph" w:customStyle="1" w:styleId="40">
    <w:name w:val="章标题"/>
    <w:next w:val="21"/>
    <w:uiPriority w:val="99"/>
    <w:pPr>
      <w:spacing w:before="50" w:after="50"/>
      <w:jc w:val="both"/>
      <w:outlineLvl w:val="1"/>
    </w:pPr>
    <w:rPr>
      <w:rFonts w:ascii="黑体" w:hAnsi="Times New Roman" w:eastAsia="黑体" w:cs="Times New Roman"/>
      <w:kern w:val="0"/>
      <w:sz w:val="21"/>
      <w:szCs w:val="20"/>
      <w:lang w:val="en-US" w:eastAsia="zh-CN" w:bidi="ar-SA"/>
    </w:rPr>
  </w:style>
  <w:style w:type="paragraph" w:customStyle="1" w:styleId="41">
    <w:name w:val="五级条标题"/>
    <w:basedOn w:val="28"/>
    <w:next w:val="21"/>
    <w:qFormat/>
    <w:uiPriority w:val="99"/>
    <w:pPr>
      <w:outlineLvl w:val="6"/>
    </w:pPr>
  </w:style>
  <w:style w:type="paragraph" w:customStyle="1" w:styleId="42">
    <w:name w:val="Char Char Char Char"/>
    <w:basedOn w:val="1"/>
    <w:qFormat/>
    <w:uiPriority w:val="99"/>
    <w:pPr>
      <w:widowControl/>
      <w:spacing w:after="160" w:line="240" w:lineRule="exact"/>
      <w:jc w:val="left"/>
    </w:pPr>
    <w:rPr>
      <w:rFonts w:ascii="Verdana" w:hAnsi="Verdana"/>
      <w:kern w:val="0"/>
      <w:sz w:val="18"/>
      <w:lang w:eastAsia="en-US"/>
    </w:rPr>
  </w:style>
  <w:style w:type="paragraph" w:styleId="43">
    <w:name w:val="List Paragraph"/>
    <w:basedOn w:val="1"/>
    <w:qFormat/>
    <w:uiPriority w:val="34"/>
    <w:pPr>
      <w:ind w:firstLine="420" w:firstLineChars="200"/>
    </w:pPr>
    <w:rPr>
      <w:rFonts w:ascii="Calibri" w:hAnsi="Calibri"/>
      <w:szCs w:val="22"/>
    </w:rPr>
  </w:style>
  <w:style w:type="paragraph" w:customStyle="1" w:styleId="44">
    <w:name w:val="标准"/>
    <w:basedOn w:val="1"/>
    <w:qFormat/>
    <w:uiPriority w:val="99"/>
    <w:pPr>
      <w:adjustRightInd w:val="0"/>
      <w:spacing w:line="312" w:lineRule="atLeast"/>
      <w:jc w:val="center"/>
      <w:textAlignment w:val="baseline"/>
    </w:pPr>
    <w:rPr>
      <w:kern w:val="0"/>
    </w:rPr>
  </w:style>
  <w:style w:type="paragraph" w:customStyle="1" w:styleId="45">
    <w:name w:val="列出段落1"/>
    <w:basedOn w:val="1"/>
    <w:qFormat/>
    <w:uiPriority w:val="99"/>
    <w:pPr>
      <w:ind w:firstLine="420" w:firstLineChars="200"/>
    </w:pPr>
    <w:rPr>
      <w:rFonts w:ascii="Calibri" w:hAnsi="Calibri"/>
      <w:szCs w:val="22"/>
    </w:rPr>
  </w:style>
  <w:style w:type="paragraph" w:customStyle="1" w:styleId="46">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47">
    <w:name w:val="Revision"/>
    <w:hidden/>
    <w:qFormat/>
    <w:uiPriority w:val="99"/>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31649;&#29702;\&#39640;&#32431;&#37329;&#23646;&#38237;&#21644;&#38141;&#20462;&#35746;\0315&#31295;\&#31232;&#22303;&#34892;&#19994;&#26631;&#20934;&#12298;&#39640;&#32431;&#37329;&#23646;&#38237;&#12299;&#65288;&#24449;&#27714;&#24847;&#35265;&#31295;&#65289;&#32534;&#21046;&#35828;&#26126;-03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稀土行业标准《高纯金属镝》（征求意见稿）编制说明-0314.dotx</Template>
  <Company>微软中国</Company>
  <Pages>7</Pages>
  <Words>932</Words>
  <Characters>5313</Characters>
  <Lines>44</Lines>
  <Paragraphs>12</Paragraphs>
  <TotalTime>165</TotalTime>
  <ScaleCrop>false</ScaleCrop>
  <LinksUpToDate>false</LinksUpToDate>
  <CharactersWithSpaces>6233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2018-11-26T00:41:00Z</dcterms:created>
  <dc:creator>MiaoRuiying</dc:creator>
  <cp:lastModifiedBy>高兰</cp:lastModifiedBy>
  <cp:lastPrinted>2019-05-28T07:22:00Z</cp:lastPrinted>
  <dcterms:modified xsi:type="dcterms:W3CDTF">2019-09-12T00:19:23Z</dcterms:modified>
  <dc:title>国家标准《钕镁合金》编制说明</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