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linePitch="312" w:charSpace="0"/>
        </w:sectPr>
      </w:pPr>
      <w:bookmarkStart w:id="0" w:name="SectionMark0"/>
      <w:r>
        <w:pict>
          <v:line id="Line 2" o:spid="_x0000_s1026" o:spt="20" style="position:absolute;left:0pt;margin-left:-3pt;margin-top:682.7pt;height:0.05pt;width:482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RPFAIAACwEAAAOAAAAZHJzL2Uyb0RvYy54bWysU02P2yAQvVfqf0C+J/5YbzZrxVlVdtJL&#10;2o202x9AAMeoGBCQOFHV/94BO9GmvVSr9QEPzPDmzbxh8XTqBDoyY7mSZZROkwgxSRTlcl9GP17X&#10;k3mErMOSYqEkK6Mzs9HT8vOnRa8LlqlWCcoMAhBpi16XUeucLuLYkpZ12E6VZhKcjTIddrA1+5ga&#10;3AN6J+IsSWZxrwzVRhFmLZzWgzNaBvymYcQ9N41lDokyAm4urCasO7/GywUu9gbrlpORBn4Hiw5z&#10;CUmvUDV2GB0M/weq48Qoqxo3JaqLVdNwwkINUE2a/FXNS4s1C7VAc6y+tsl+HCz5ftwaxCloB+2R&#10;uAONNlwylPnW9NoWEFHJrfHFkZN80RtFflokVdViuWeB4utZw7XU34hvrviN1ZBg139TFGLwwanQ&#10;p1NjOg8JHUCnIMf5Kgc7OUTgcJZmaZ4ALQK+2d19wMfF5ao21n1lqkPeKCMBrAM0Pm6s81RwcQnx&#10;maRacyGC3kKiHvhmDwDuXVYJTr03bMx+VwmDjtiPTPjGxDdhRh0kDWgtw3Q12g5zMdiQXUiPB9UA&#10;n9EaZuLXY/K4mq/m+STPZqtJntT15Mu6yiezdfpwX9/VVVWnvz21NC9aTimTnt1lPtP8//QfX8ow&#10;WdcJvfYhvkUPDQOyl38gHeT0Cg6zsFP0vDUXmWEkQ/D4fPzMv92D/faRL/8AAAD//wMAUEsDBBQA&#10;BgAIAAAAIQATjq174AAAAAwBAAAPAAAAZHJzL2Rvd25yZXYueG1sTI/BTsMwEETvSPyDtUjcWodC&#10;QghxKgSqKioubZG4uvESB+J1Grtt+HsWcYDjzo5m3pTz0XXiiENoPSm4miYgkGpvWmoUvG4XkxxE&#10;iJqM7jyhgi8MMK/Oz0pdGH+iNR43sREcQqHQCmyMfSFlqC06Haa+R+Lfux+cjnwOjTSDPnG46+Qs&#10;STLpdEvcYHWPjxbrz83BKdBPy3V8y2er2/bZvnxsF/ulzfdKXV6MD/cgIo7xzww/+IwOFTPt/IFM&#10;EJ2CScZTIuvXWXoDgh13ac7S7ldKQVal/D+i+gYAAP//AwBQSwECLQAUAAYACAAAACEAtoM4kv4A&#10;AADhAQAAEwAAAAAAAAAAAAAAAAAAAAAAW0NvbnRlbnRfVHlwZXNdLnhtbFBLAQItABQABgAIAAAA&#10;IQA4/SH/1gAAAJQBAAALAAAAAAAAAAAAAAAAAC8BAABfcmVscy8ucmVsc1BLAQItABQABgAIAAAA&#10;IQDOi5RPFAIAACwEAAAOAAAAAAAAAAAAAAAAAC4CAABkcnMvZTJvRG9jLnhtbFBLAQItABQABgAI&#10;AAAAIQATjq174AAAAAwBAAAPAAAAAAAAAAAAAAAAAG4EAABkcnMvZG93bnJldi54bWxQSwUGAAAA&#10;AAQABADzAAAAewUAAAAA&#10;">
            <v:path arrowok="t"/>
            <v:fill focussize="0,0"/>
            <v:stroke weight="1pt"/>
            <v:imagedata o:title=""/>
            <o:lock v:ext="edit"/>
          </v:line>
        </w:pict>
      </w:r>
      <w:r>
        <w:pict>
          <v:line id="Line 3" o:spid="_x0000_s1035" o:spt="20" style="position:absolute;left:0pt;margin-left:-0.1pt;margin-top:179pt;height:0pt;width:482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sr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w9hM70xhUQUKmtDbXRk3o2G01/OqR01RK155Hhy9lAWhYyklcpYeMM4O/6r5pBDDl4Hdt0&#10;amwXIKEB6BTVON/U4CePKBxOs0mWpyAaHXwJKYZEY53/wnWHglFiCZwjMDlunA9ESDGEhHuUXgsp&#10;o9hSoR7YztPHNGY4LQUL3hDn7H5XSYuOJMxL/GJZ4LkPs/qgWERrOWGrq+2JkBcbbpcq4EEtwOdq&#10;XQbi1zydr2arWT7KJ9PVKE/revR5XeWj6Tr79Fg/1FVVZ78DtSwvWsEYV4HdMJxZ/jbxr8/kMla3&#10;8bz1IXmNHhsGZId/JB3FDPpdJmGn2XlrB5FhHmPw9e2Egb/fg33/wpd/AAAA//8DAFBLAwQUAAYA&#10;CAAAACEAU9uFJdwAAAAJAQAADwAAAGRycy9kb3ducmV2LnhtbEyPwU7DMBBE70j8g7VI3FqHllZp&#10;iFNBJS69ESrg6MZLEmGvo9hNk79nKyGV486MZufl29FZMWAfWk8KHuYJCKTKm5ZqBYf311kKIkRN&#10;RltPqGDCANvi9ibXmfFnesOhjLXgEgqZVtDE2GVShqpBp8Pcd0jsffve6chnX0vT6zOXOysXSbKW&#10;TrfEHxrd4a7B6qc8OW5ZfaYve50epsmWX5vH3cd+IKfU/d34/AQi4hivYbjM5+lQ8KajP5EJwiqY&#10;LTioYLlKGYn9zXrJKMc/RRa5/E9Q/AIAAP//AwBQSwECLQAUAAYACAAAACEAtoM4kv4AAADhAQAA&#10;EwAAAAAAAAAAAAAAAAAAAAAAW0NvbnRlbnRfVHlwZXNdLnhtbFBLAQItABQABgAIAAAAIQA4/SH/&#10;1gAAAJQBAAALAAAAAAAAAAAAAAAAAC8BAABfcmVscy8ucmVsc1BLAQItABQABgAIAAAAIQBbv4sr&#10;EgIAACkEAAAOAAAAAAAAAAAAAAAAAC4CAABkcnMvZTJvRG9jLnhtbFBLAQItABQABgAIAAAAIQBT&#10;24Ul3AAAAAkBAAAPAAAAAAAAAAAAAAAAAGwEAABkcnMvZG93bnJldi54bWxQSwUGAAAAAAQABADz&#10;AAAAdQUAAAAA&#10;">
            <v:path arrowok="t"/>
            <v:fill focussize="0,0"/>
            <v:stroke weight="1.5pt"/>
            <v:imagedata o:title=""/>
            <o:lock v:ext="edit"/>
          </v:line>
        </w:pict>
      </w:r>
      <w:r>
        <w:pict>
          <v:shape id="fmFrame7" o:spid="_x0000_s1034" o:spt="202" type="#_x0000_t202" style="position:absolute;left:0pt;margin-left:0pt;margin-top:687pt;height:80.55pt;width:481.9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TGeQIAAP4EAAAOAAAAZHJzL2Uyb0RvYy54bWysVNtu3CAQfa/Uf0C8b3ypd7O24o2apK4q&#10;pRcp7QewgNeoXFxg106r/nsHvN4kvUhVVT/gAYbDzJwzXFyOSqIDt04YXePsLMWIa2qY0Lsaf/rY&#10;LNYYOU80I9JoXuN77vDl5vmzi6GveG46Ixm3CEC0q4a+xp33fZUkjnZcEXdmeq5hszVWEQ9Tu0uY&#10;JQOgK5nkabpKBmNZbw3lzsHqzbSJNxG/bTn179vWcY9kjSE2H0cbx20Yk80FqXaW9J2gxzDIP0Sh&#10;iNBw6QnqhniC9lb8AqUEtcaZ1p9RoxLTtoLymANkk6U/ZXPXkZ7HXKA4rj+Vyf0/WPru8MEiwWoM&#10;RGmigKJWNRaM81CboXcVuNz14OTHKzMCxzFP198a+tkhba47onf8pbVm6DhhEFsWTiaPjk44LoBs&#10;h7eGwSVk700EGlurQuGgFAjQgaP7Ey989IjC4iqD4ryALQp7WZrn5XoZ7yDVfLy3zr/mRqFg1NgC&#10;8RGeHG6dD+GQanYJtzkjBWuElHFid9tradGBgEia+B3Rn7hJHZy1CccmxGkFooQ7wl6IN5L+rczy&#10;Ir3Ky0WzWp8viqZYLsrzdL1Is/KqXKVFWdw030OAWVF1gjGub4XmswCz4u8IPrbCJJ0oQTTUuFzm&#10;y4mjPyaZxu93SSrhoR+lUCCIkxOpArOvNIO0SeWJkJOdPA0/VhlqMP9jVaIOAvWTCPy4HQEliGNr&#10;2D0owhrgC7iFRwSMztivGA3QkDV2X/bEcozkGw2qCt07G3Y2trNBNIWjNfYYTea1n7p831ux6wB5&#10;0q02L0F5rYiaeIjiqFdoshj88UEIXfx4Hr0enq3NDwAAAP//AwBQSwMEFAAGAAgAAAAhAJGjDgvf&#10;AAAACgEAAA8AAABkcnMvZG93bnJldi54bWxMj0FPwzAMhe9I/IfISFwQS7eyAqXpBBvc4LAx7Zw1&#10;pq1onCpJ1+7fY05ws9+znr9XrCbbiRP60DpSMJ8lIJAqZ1qqFew/324fQISoyejOESo4Y4BVeXlR&#10;6Ny4kbZ42sVacAiFXCtoYuxzKUPVoNVh5nok9r6ctzry6mtpvB453HZykSSZtLol/tDoHtcNVt+7&#10;wSrINn4Yt7S+2exf3/VHXy8OL+eDUtdX0/MTiIhT/DuGX3xGh5KZjm4gE0SngItEVtP7O57Yf8xS&#10;rnJkaZku5yDLQv6vUP4AAAD//wMAUEsBAi0AFAAGAAgAAAAhALaDOJL+AAAA4QEAABMAAAAAAAAA&#10;AAAAAAAAAAAAAFtDb250ZW50X1R5cGVzXS54bWxQSwECLQAUAAYACAAAACEAOP0h/9YAAACUAQAA&#10;CwAAAAAAAAAAAAAAAAAvAQAAX3JlbHMvLnJlbHNQSwECLQAUAAYACAAAACEAXaiUxnkCAAD+BAAA&#10;DgAAAAAAAAAAAAAAAAAuAgAAZHJzL2Uyb0RvYy54bWxQSwECLQAUAAYACAAAACEAkaMOC98AAAAK&#10;AQAADwAAAAAAAAAAAAAAAADTBAAAZHJzL2Rvd25yZXYueG1sUEsFBgAAAAAEAAQA8wAAAN8FAAAA&#10;AA==&#10;">
            <v:path/>
            <v:fill focussize="0,0"/>
            <v:stroke on="f" joinstyle="miter"/>
            <v:imagedata o:title=""/>
            <o:lock v:ext="edit"/>
            <v:textbox inset="0mm,0mm,0mm,0mm">
              <w:txbxContent>
                <w:p>
                  <w:pPr>
                    <w:pStyle w:val="103"/>
                    <w:spacing w:line="0" w:lineRule="atLeast"/>
                    <w:ind w:firstLine="433" w:firstLineChars="100"/>
                    <w:rPr>
                      <w:rStyle w:val="48"/>
                      <w:spacing w:val="0"/>
                    </w:rPr>
                  </w:pPr>
                  <w:r>
                    <w:rPr>
                      <w:rFonts w:hint="eastAsia"/>
                      <w:spacing w:val="0"/>
                      <w:sz w:val="32"/>
                    </w:rPr>
                    <w:t>国家市场监督管理总局</w:t>
                  </w:r>
                </w:p>
                <w:p>
                  <w:pPr>
                    <w:spacing w:line="0" w:lineRule="atLeast"/>
                    <w:jc w:val="center"/>
                  </w:pPr>
                  <w:r>
                    <w:rPr>
                      <w:rFonts w:hint="eastAsia"/>
                      <w:b/>
                      <w:spacing w:val="10"/>
                      <w:w w:val="135"/>
                      <w:sz w:val="32"/>
                    </w:rPr>
                    <w:t>中国国家标准化管理委员会</w:t>
                  </w:r>
                  <w:r>
                    <w:rPr>
                      <w:rFonts w:hint="eastAsia"/>
                      <w:b/>
                      <w:sz w:val="32"/>
                    </w:rPr>
                    <w:t xml:space="preserve"> </w:t>
                  </w:r>
                  <w:r>
                    <w:rPr>
                      <w:rStyle w:val="48"/>
                      <w:rFonts w:hint="eastAsia"/>
                      <w:position w:val="18"/>
                      <w:sz w:val="32"/>
                    </w:rPr>
                    <w:t>发布</w:t>
                  </w:r>
                </w:p>
                <w:p>
                  <w:pPr>
                    <w:pStyle w:val="102"/>
                  </w:pPr>
                </w:p>
                <w:p/>
              </w:txbxContent>
            </v:textbox>
            <w10:anchorlock/>
          </v:shape>
        </w:pict>
      </w:r>
      <w:r>
        <w:pict>
          <v:shape id="fmFrame6" o:spid="_x0000_s1027" o:spt="202" type="#_x0000_t202" style="position:absolute;left:0pt;margin-left:322.9pt;margin-top:657pt;height:35.25pt;width:159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HbewIAAAQFAAAOAAAAZHJzL2Uyb0RvYy54bWysVNuO2yAQfa/Uf0C8Z+2kzsVWnNVmt64q&#10;bS/Sth9AAMeoGCiQ2NtV/70DjrO7vUhVVT/gAYbDzJwzrC/7VqIjt05oVeLpRYoRV1QzofYl/vyp&#10;mqwwcp4oRqRWvMT33OHLzcsX684UfKYbLRm3CECUKzpT4sZ7UySJow1vibvQhivYrLVtiYep3SfM&#10;kg7QW5nM0nSRdNoyYzXlzsHqzbCJNxG/rjn1H+racY9kiSE2H0cbx10Yk82aFHtLTCPoKQzyD1G0&#10;RCi49Ax1QzxBByt+gWoFtdrp2l9Q3Sa6rgXlMQfIZpr+lM1dQwyPuUBxnDmXyf0/WPr++NEiwUq8&#10;xEiRFiiq28qCsQi16YwrwOXOgJPvt7oHjmOeztxq+sUhpa8bovb8ylrdNZwwiG0aTiZPjg44LoDs&#10;uneawSXk4HUE6mvbhsJBKRCgA0f3Z1547xGFRShN/iqFLQp7WbZcLOfxClKMp411/g3XLQpGiS3w&#10;HtHJ8db5EA0pRpdwmdNSsEpIGSd2v7uWFh0JaKSK3wn9mZtUwVnpcGxAHFYgSLgj7IVwI+cP+XSW&#10;pdtZPqkWq+Ukq7L5JF+mqwnksc0XaZZnN9X3EOA0KxrBGFe3QvFRf9Ps7/g9dcKgnKhA1JU4n8/m&#10;A0V/TDKN3++SbIWHdpSiLfHq7ESKQOxrxSBtUngi5GAnz8OPVYYajP9YlSiDwPygAd/v+qi2qJEg&#10;kZ1m96ALq4E2YBieEjAabb9h1EFblth9PRDLMZJvFWgr9PBo2NHYjQZRFI6W2GM0mNd+6PWDsWLf&#10;APKgXqWvQH+1iNJ4jOKkWmi1mMPpWQi9/HQevR4fr80PAAAA//8DAFBLAwQUAAYACAAAACEAGqcu&#10;deEAAAANAQAADwAAAGRycy9kb3ducmV2LnhtbEyPQU/CQBCF7yb+h82YeDGyBUqDpVuioDc9gITz&#10;0g5tY3e22d3S8u8dTnqc917efC9bj6YVF3S+saRgOolAIBW2bKhScPj+eF6C8EFTqVtLqOCKHtb5&#10;/V2m09IOtMPLPlSCS8inWkEdQpdK6YsajfYT2yGxd7bO6MCnq2Tp9MDlppWzKEqk0Q3xh1p3uKmx&#10;+Nn3RkGydf2wo83T9vD+qb+6anZ8ux6VenwYX1cgAo7hLww3fEaHnJlOtqfSi5Y74gWjBzbm05hX&#10;ceQlmbN0uknLeAEyz+T/FfkvAAAA//8DAFBLAQItABQABgAIAAAAIQC2gziS/gAAAOEBAAATAAAA&#10;AAAAAAAAAAAAAAAAAABbQ29udGVudF9UeXBlc10ueG1sUEsBAi0AFAAGAAgAAAAhADj9If/WAAAA&#10;lAEAAAsAAAAAAAAAAAAAAAAALwEAAF9yZWxzLy5yZWxzUEsBAi0AFAAGAAgAAAAhAKTKMdt7AgAA&#10;BAUAAA4AAAAAAAAAAAAAAAAALgIAAGRycy9lMm9Eb2MueG1sUEsBAi0AFAAGAAgAAAAhABqnLnXh&#10;AAAADQEAAA8AAAAAAAAAAAAAAAAA1QQAAGRycy9kb3ducmV2LnhtbFBLBQYAAAAABAAEAPMAAADj&#10;BQAAAAA=&#10;">
            <v:path/>
            <v:fill focussize="0,0"/>
            <v:stroke on="f" joinstyle="miter"/>
            <v:imagedata o:title=""/>
            <o:lock v:ext="edit"/>
            <v:textbox inset="0mm,0mm,0mm,0mm">
              <w:txbxContent>
                <w:p>
                  <w:pPr>
                    <w:pStyle w:val="57"/>
                  </w:pPr>
                  <w:r>
                    <w:rPr>
                      <w:rFonts w:hint="eastAsia"/>
                    </w:rPr>
                    <w:t>201X-XX-XX实施</w:t>
                  </w:r>
                </w:p>
              </w:txbxContent>
            </v:textbox>
            <w10:anchorlock/>
          </v:shape>
        </w:pict>
      </w:r>
      <w:r>
        <w:pict>
          <v:shape id="fmFrame5" o:spid="_x0000_s1028" o:spt="202" type="#_x0000_t202" style="position:absolute;left:0pt;margin-left:0.2pt;margin-top:652.5pt;height:40.55pt;width:159pt;mso-position-horizontal-relative:margin;mso-position-vertical-relative:margin;rotation:65536f;z-index:25165824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ZLgwIAABAFAAAOAAAAZHJzL2Uyb0RvYy54bWysVNuO0zAQfUfiHyy/d5OUtDTRpqu9EIS0&#10;XKSFD3Btp7HwDdttsiD+nbHTdi8ICSHy4Izt8fGZmTM+vxiVRHvuvDC6wcVZjhHX1DChtw3+8rmd&#10;rTDygWhGpNG8wffc44v1yxfng6353PRGMu4QgGhfD7bBfQi2zjJPe66IPzOWa9jsjFMkwNRtM+bI&#10;AOhKZvM8X2aDccw6Q7n3sHozbeJ1wu86TsPHrvM8INlg4BbS6NK4iWO2Pif11hHbC3qgQf6BhSJC&#10;w6UnqBsSCNo58RuUEtQZb7pwRo3KTNcJylMMEE2RP4vmrieWp1ggOd6e0uT/Hyz9sP/kkGANXmKk&#10;iYISdap1YCxibgbra3C5s+AUxiszQo1TnN7eGvrVI22ue6K3/NI5M/ScMOBWxJPZo6MTjo8gm+G9&#10;YXAJ2QWTgMbOKeQMFGaZw5fWIC0IboJ63Z9qxMeAKCxCmqpX4Ico7C2KslolohmpI1IsgXU+vOVG&#10;oWg02IEGEirZ3/oQmT24RHdvpGCtkDJN3HZzLR3aE9BLm74UzDM3qaOzNvHYhDitAEm4I+5Fuqn+&#10;P6piXuZX82rWLlevZ2VbLmbV63w1gziuqmVeVuVN+zMSLMq6F4xxfSs0P2qxKP+u1oeumFSU1IiG&#10;BleL+SLF/ucgY9IhnVMUT9yUCNCaUqgGr05OpI5FfqMZHCB1IEJOdvaUfsoy5OD4T1lJkogqmPQQ&#10;xs2YlDc/Km1j2D1oJKkBKgzPCtSvN+47RgO0aIP9tx1xHCP5ToPOYj8fDXc0NkeDaApHGxwwmszr&#10;MPX9zjqx7QF5UrI2l6DFTiRpRNFOLA4KhrZLMRyeiNjXj+fJ6+EhW/8CAAD//wMAUEsDBBQABgAI&#10;AAAAIQDzMZYm3gAAAAoBAAAPAAAAZHJzL2Rvd25yZXYueG1sTI/BbsIwEETvlfoP1iL1VpwAjaI0&#10;DqqQuFVqIRx6NLEbB+x1iA1J/77LqT3uzGj2TbmenGU3PYTOo4B0ngDT2HjVYSvgUG+fc2AhSlTS&#10;etQCfnSAdfX4UMpC+RF3+raPLaMSDIUUYGLsC85DY7STYe57jeR9+8HJSOfQcjXIkcqd5YskybiT&#10;HdIHI3u9Mbo5769OwPiZ2cvlI26+8u3u/F4f6tXCnIR4mk1vr8CinuJfGO74hA4VMR39FVVgVsCK&#10;cqQukxeaRP4yzUk63qU8S4FXJf8/ofoFAAD//wMAUEsBAi0AFAAGAAgAAAAhALaDOJL+AAAA4QEA&#10;ABMAAAAAAAAAAAAAAAAAAAAAAFtDb250ZW50X1R5cGVzXS54bWxQSwECLQAUAAYACAAAACEAOP0h&#10;/9YAAACUAQAACwAAAAAAAAAAAAAAAAAvAQAAX3JlbHMvLnJlbHNQSwECLQAUAAYACAAAACEA6pFW&#10;S4MCAAAQBQAADgAAAAAAAAAAAAAAAAAuAgAAZHJzL2Uyb0RvYy54bWxQSwECLQAUAAYACAAAACEA&#10;8zGWJt4AAAAKAQAADwAAAAAAAAAAAAAAAADdBAAAZHJzL2Rvd25yZXYueG1sUEsFBgAAAAAEAAQA&#10;8wAAAOgFAAAAAA==&#10;">
            <v:path/>
            <v:fill focussize="0,0"/>
            <v:stroke on="f" joinstyle="miter"/>
            <v:imagedata o:title=""/>
            <o:lock v:ext="edit"/>
            <v:textbox inset="0mm,0mm,0mm,0mm">
              <w:txbxContent>
                <w:p>
                  <w:pPr>
                    <w:pStyle w:val="58"/>
                  </w:pPr>
                  <w:r>
                    <w:rPr>
                      <w:rFonts w:hint="eastAsia"/>
                    </w:rPr>
                    <w:t>201X-XX-XX发布</w:t>
                  </w:r>
                </w:p>
              </w:txbxContent>
            </v:textbox>
            <w10:anchorlock/>
          </v:shape>
        </w:pict>
      </w:r>
      <w:bookmarkStart w:id="2" w:name="_GoBack"/>
      <w:bookmarkEnd w:id="2"/>
      <w:r>
        <w:pict>
          <v:shape id="fmFrame4" o:spid="_x0000_s1029" o:spt="202" type="#_x0000_t202" style="position:absolute;left:0pt;margin-left:0pt;margin-top:286.25pt;height:368.6pt;width:470pt;mso-position-horizontal-relative:margin;mso-position-vertical-relative:margin;z-index:2516572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bpgAIAAAUFAAAOAAAAZHJzL2Uyb0RvYy54bWysVNuO0zAQfUfiHyy/d3Mh7TbRpqu9EIS0&#10;XKSFD3Btp7FwbGO7TRbEvzN2mrK7CAkh+uCO45njmTlnfHE59hIduHVCqxpnZylGXFHNhNrV+POn&#10;ZrHGyHmiGJFa8Ro/cIcvNy9fXAym4rnutGTcIgBRrhpMjTvvTZUkjna8J+5MG67gsNW2Jx62dpcw&#10;SwZA72WSp+kqGbRlxmrKnYOvt9Mh3kT8tuXUf2hbxz2SNYbcfFxtXLdhTTYXpNpZYjpBj2mQf8ii&#10;J0LBpSeoW+IJ2lvxG1QvqNVOt/6M6j7RbSsojzVANVn6rJr7jhgea4HmOHNqk/t/sPT94aNFgtV4&#10;iZEiPVDU9o0Fowi9GYyrwOXegJMfr/UIHMc6nbnT9ItDSt90RO34lbV66DhhkFsWIpNHoROOCyDb&#10;4Z1mcAnZex2Bxtb2oXHQCgTowNHDiRc+ekTh47JclWkKRxTOitU6y/PIXEKqOdxY599w3aNg1NgC&#10;8RGeHO6cD+mQanYJtzktBWuElHFjd9sbadGBgEia+IsVPHOTKjgrHcImxOkLZAl3hLOQbyT9e5nl&#10;RXqdl4tmtT5fFE2xXJTn6XqRZuV1uUqLsrhtfoQEs6LqBGNc3QnFZwFmxd8RfByFSTpRgmiocbnM&#10;lxNHfywSmhn6OVXxpBe98DCPUvQ1Xp+cSBWYfa0YBJDKEyEnO3mafuwy9GD+j12JOgjUTyLw43aM&#10;cns1y2ur2QMIw2qgDSiGtwSMTttvGA0wlzV2X/fEcozkWwXiCkM8G3Y2trNBFIXQGnuMJvPGT8O+&#10;N1bsOkCe5Kv0FQiwFVEaQalTFkfZwqzFGo7vQhjmx/vo9ev12vwEAAD//wMAUEsDBBQABgAIAAAA&#10;IQB1+DEZ3wAAAAkBAAAPAAAAZHJzL2Rvd25yZXYueG1sTI/NTsMwEITvSLyDtUhcELUJ9C/EqaCF&#10;Gxxaqp63sZtExOsodpr07VlOcNyZ0ew32Wp0jTjbLtSeNDxMFAhLhTc1lRr2X+/3CxAhIhlsPFkN&#10;FxtglV9fZZgaP9DWnnexFFxCIUUNVYxtKmUoKuswTHxrib2T7xxGPrtSmg4HLneNTJSaSYc18YcK&#10;W7uubPG9652G2abrhy2t7zb7tw/8bMvk8Ho5aH17M748g4h2jH9h+MVndMiZ6eh7MkE0GnhI1DCd&#10;J1MQbC+fFCtHzj2q5Rxknsn/C/IfAAAA//8DAFBLAQItABQABgAIAAAAIQC2gziS/gAAAOEBAAAT&#10;AAAAAAAAAAAAAAAAAAAAAABbQ29udGVudF9UeXBlc10ueG1sUEsBAi0AFAAGAAgAAAAhADj9If/W&#10;AAAAlAEAAAsAAAAAAAAAAAAAAAAALwEAAF9yZWxzLy5yZWxzUEsBAi0AFAAGAAgAAAAhAC2lBumA&#10;AgAABQUAAA4AAAAAAAAAAAAAAAAALgIAAGRycy9lMm9Eb2MueG1sUEsBAi0AFAAGAAgAAAAhAHX4&#10;MRnfAAAACQEAAA8AAAAAAAAAAAAAAAAA2gQAAGRycy9kb3ducmV2LnhtbFBLBQYAAAAABAAEAPMA&#10;AADmBQAAAAA=&#10;">
            <v:path/>
            <v:fill focussize="0,0"/>
            <v:stroke on="f" joinstyle="miter"/>
            <v:imagedata o:title=""/>
            <o:lock v:ext="edit"/>
            <v:textbox inset="0mm,0mm,0mm,0mm">
              <w:txbxContent>
                <w:p>
                  <w:pPr>
                    <w:autoSpaceDE w:val="0"/>
                    <w:autoSpaceDN w:val="0"/>
                    <w:adjustRightInd w:val="0"/>
                    <w:jc w:val="center"/>
                    <w:rPr>
                      <w:rFonts w:ascii="黑体" w:hAnsi="黑体" w:eastAsia="黑体"/>
                      <w:b/>
                      <w:kern w:val="0"/>
                      <w:sz w:val="52"/>
                      <w:szCs w:val="52"/>
                    </w:rPr>
                  </w:pPr>
                  <w:r>
                    <w:rPr>
                      <w:rFonts w:hint="eastAsia" w:ascii="黑体" w:hAnsi="黑体" w:eastAsia="黑体"/>
                      <w:b/>
                      <w:kern w:val="0"/>
                      <w:sz w:val="52"/>
                      <w:szCs w:val="52"/>
                    </w:rPr>
                    <w:t>白光</w:t>
                  </w:r>
                  <w:r>
                    <w:rPr>
                      <w:rFonts w:ascii="黑体" w:hAnsi="黑体" w:eastAsia="黑体"/>
                      <w:b/>
                      <w:kern w:val="0"/>
                      <w:sz w:val="52"/>
                      <w:szCs w:val="52"/>
                    </w:rPr>
                    <w:t>LED</w:t>
                  </w:r>
                  <w:r>
                    <w:rPr>
                      <w:rFonts w:hint="eastAsia" w:ascii="黑体" w:hAnsi="黑体" w:eastAsia="黑体"/>
                      <w:b/>
                      <w:kern w:val="0"/>
                      <w:sz w:val="52"/>
                      <w:szCs w:val="52"/>
                    </w:rPr>
                    <w:t>用石榴石结构铝酸盐系列荧光粉</w:t>
                  </w:r>
                </w:p>
                <w:p>
                  <w:pPr>
                    <w:pStyle w:val="81"/>
                  </w:pPr>
                </w:p>
                <w:p>
                  <w:pPr>
                    <w:pStyle w:val="56"/>
                    <w:rPr>
                      <w:sz w:val="24"/>
                      <w:szCs w:val="24"/>
                    </w:rPr>
                  </w:pPr>
                  <w:r>
                    <w:rPr>
                      <w:szCs w:val="28"/>
                    </w:rPr>
                    <w:t xml:space="preserve">The garnet aluminate </w:t>
                  </w:r>
                  <w:r>
                    <w:rPr>
                      <w:bCs/>
                      <w:szCs w:val="28"/>
                    </w:rPr>
                    <w:t>p</w:t>
                  </w:r>
                  <w:r>
                    <w:rPr>
                      <w:rFonts w:eastAsia="Times New Roman"/>
                      <w:bCs/>
                      <w:szCs w:val="28"/>
                    </w:rPr>
                    <w:t>hosphors for White LEDs</w:t>
                  </w:r>
                  <w:r>
                    <w:rPr>
                      <w:szCs w:val="28"/>
                    </w:rPr>
                    <w:br w:type="textWrapping"/>
                  </w:r>
                  <w:r>
                    <w:rPr>
                      <w:rFonts w:hint="eastAsia"/>
                      <w:sz w:val="24"/>
                      <w:szCs w:val="24"/>
                    </w:rPr>
                    <w:t>（</w:t>
                  </w:r>
                  <w:r>
                    <w:rPr>
                      <w:rFonts w:hint="eastAsia"/>
                      <w:sz w:val="24"/>
                      <w:szCs w:val="24"/>
                      <w:lang w:eastAsia="zh-CN"/>
                    </w:rPr>
                    <w:t>送审</w:t>
                  </w:r>
                  <w:r>
                    <w:rPr>
                      <w:rFonts w:hint="eastAsia"/>
                      <w:sz w:val="24"/>
                      <w:szCs w:val="24"/>
                    </w:rPr>
                    <w:t>稿）</w:t>
                  </w:r>
                </w:p>
                <w:p>
                  <w:pPr>
                    <w:pStyle w:val="87"/>
                  </w:pPr>
                </w:p>
                <w:p>
                  <w:pPr>
                    <w:pStyle w:val="89"/>
                  </w:pPr>
                </w:p>
                <w:p>
                  <w:pPr>
                    <w:pStyle w:val="70"/>
                  </w:pPr>
                </w:p>
              </w:txbxContent>
            </v:textbox>
            <w10:anchorlock/>
          </v:shape>
        </w:pict>
      </w:r>
      <w:r>
        <w:pict>
          <v:shape id="fmFrame3" o:spid="_x0000_s1030" o:spt="202" type="#_x0000_t202" style="position:absolute;left:0pt;margin-left:0pt;margin-top:110.35pt;height:67.75pt;width:456.9pt;mso-position-horizontal-relative:margin;mso-position-vertical-relative:margin;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WJegIAAAQFAAAOAAAAZHJzL2Uyb0RvYy54bWysVNuO2yAQfa/Uf0C8Z21nnWxsxVntpa4q&#10;bS/Sth9ADI5RuRVI7G3Vf++A4+xuL1JV1Q94gOEwM+cM68tBCnRg1nGtKpydpRgx1WjK1a7Cnz7W&#10;sxVGzhNFidCKVfiBOXy5efli3ZuSzXWnBWUWAYhyZW8q3HlvyiRxTcckcWfaMAWbrbaSeJjaXUIt&#10;6QFdimSepsuk15YaqxvmHKzejpt4E/HbljX+fds65pGoMMTm42jjuA1jslmTcmeJ6XhzDIP8QxSS&#10;cAWXnqBuiSdob/kvUJI3Vjvd+rNGy0S3LW9YzAGyydKfsrnviGExFyiOM6cyuf8H27w7fLCI0wrn&#10;GCkigaJW1haM81Cb3rgSXO4NOPnhWg/AcczTmTvdfHZI6ZuOqB27slb3HSMUYsvCyeTJ0RHHBZBt&#10;/1ZTuITsvY5AQ2tlKByUAgE6cPRw4oUNHjWwuFil8+U5bDWwt1qm+XwRryDldNpY518zLVEwKmyB&#10;94hODnfOh2hIObmEy5wWnNZciDixu+2NsOhAQCN1/I7oz9yECs5Kh2Mj4rgCQcIdYS+EGzn/VmTz&#10;PL2eF7N6ubqY5XW+mBUX6WqWZsV1AfEX+W39PQSY5WXHKWXqjis26S/L/47fYyeMyokKRH2FiwVU&#10;J+b1xyTT+P0uSck9tKPgEup8ciJlIPaVopA2KT3hYrST5+HHKkMNpn+sSpRBYH7UgB+2w1FtABYk&#10;stX0AXRhNdAGDMNTAkan7VeMemjLCrsve2IZRuKNAm2FHp4MOxnbySCqgaMV9hiN5o0fe31vLN91&#10;gDyqV+kr0F/LozQeoziqFlot5nB8FkIvP51Hr8fHa/MDAAD//wMAUEsDBBQABgAIAAAAIQDX2LiI&#10;3gAAAAgBAAAPAAAAZHJzL2Rvd25yZXYueG1sTI/BTsMwEETvSPyDtUhcEHXqitCGbCpo4QaHlqpn&#10;N16SiHgdxU6T/j3mBMfVrGbey9eTbcWZet84RpjPEhDEpTMNVwiHz7f7JQgfNBvdOiaEC3lYF9dX&#10;uc6MG3lH532oRCxhn2mEOoQuk9KXNVntZ64jjtmX660O8ewraXo9xnLbSpUkqbS64bhQ6442NZXf&#10;+8EipNt+GHe8udseXt/1R1ep48vliHh7Mz0/gQg0hb9n+MWP6FBEppMb2HjRIkSRgKBU8ggixqv5&#10;IpqcEBYPqQJZ5PK/QPEDAAD//wMAUEsBAi0AFAAGAAgAAAAhALaDOJL+AAAA4QEAABMAAAAAAAAA&#10;AAAAAAAAAAAAAFtDb250ZW50X1R5cGVzXS54bWxQSwECLQAUAAYACAAAACEAOP0h/9YAAACUAQAA&#10;CwAAAAAAAAAAAAAAAAAvAQAAX3JlbHMvLnJlbHNQSwECLQAUAAYACAAAACEARsV1iXoCAAAEBQAA&#10;DgAAAAAAAAAAAAAAAAAuAgAAZHJzL2Uyb0RvYy54bWxQSwECLQAUAAYACAAAACEA19i4iN4AAAAI&#10;AQAADwAAAAAAAAAAAAAAAADUBAAAZHJzL2Rvd25yZXYueG1sUEsFBgAAAAAEAAQA8wAAAN8FAAAA&#10;AA==&#10;">
            <v:path/>
            <v:fill focussize="0,0"/>
            <v:stroke on="f" joinstyle="miter"/>
            <v:imagedata o:title=""/>
            <o:lock v:ext="edit"/>
            <v:textbox inset="0mm,0mm,0mm,0mm">
              <w:txbxContent>
                <w:p>
                  <w:pPr>
                    <w:pStyle w:val="68"/>
                  </w:pPr>
                  <w:r>
                    <w:t>GB/T</w:t>
                  </w:r>
                  <w:r>
                    <w:rPr>
                      <w:rFonts w:hint="eastAsia"/>
                    </w:rPr>
                    <w:t xml:space="preserve"> 24982</w:t>
                  </w:r>
                  <w:r>
                    <w:t>-20</w:t>
                  </w:r>
                  <w:r>
                    <w:rPr>
                      <w:rFonts w:hint="eastAsia"/>
                    </w:rPr>
                    <w:t>1X</w:t>
                  </w:r>
                </w:p>
                <w:p>
                  <w:pPr>
                    <w:pStyle w:val="111"/>
                    <w:jc w:val="center"/>
                  </w:pPr>
                  <w:r>
                    <w:rPr>
                      <w:rFonts w:hint="eastAsia"/>
                    </w:rPr>
                    <w:t xml:space="preserve">                                                                  代替</w:t>
                  </w:r>
                  <w:r>
                    <w:rPr>
                      <w:rFonts w:hint="eastAsia" w:ascii="Times New Roman"/>
                    </w:rPr>
                    <w:t>GB/T 24982-2010</w:t>
                  </w:r>
                </w:p>
              </w:txbxContent>
            </v:textbox>
            <w10:anchorlock/>
          </v:shape>
        </w:pict>
      </w:r>
      <w:r>
        <w:pict>
          <v:shape id="fmFrame8" o:spid="_x0000_s1031" o:spt="202" type="#_x0000_t202" style="position:absolute;left:0pt;margin-left:357.65pt;margin-top:8.45pt;height:56.7pt;width:93.1pt;mso-position-horizontal-relative:margin;mso-position-vertical-relative:margin;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kZewIAAAQFAAAOAAAAZHJzL2Uyb0RvYy54bWysVNuO0zAQfUfiHyy/d5N0020TNV3thSCk&#10;5SItfIAbO42Fb9huk2XFvzN2mrIsICFEHpyxPT6emXPG68tBCnRg1nGtKpydpRgx1WjK1a7Cnz7W&#10;sxVGzhNFidCKVfiBOXy5efli3ZuSzXWnBWUWAYhyZW8q3HlvyiRxTcckcWfaMAWbrbaSeJjaXUIt&#10;6QFdimSephdJry01VjfMOVi9HTfxJuK3LWv8+7Z1zCNRYYjNx9HGcRvGZLMm5c4S0/HmGAb5hygk&#10;4QouPUHdEk/Q3vJfoCRvrHa69WeNloluW96wmANkk6XPsrnviGExFyiOM6cyuf8H27w7fLCI0wqf&#10;Y6SIBIpaWVswVqE2vXEluNwbcPLDtR6A45inM3e6+eyQ0jcdUTt2Za3uO0YoxJaFk8mToyOOCyDb&#10;/q2mcAnZex2BhtbKUDgoBQJ04OjhxAsbPGrCldlqfr6ErQb2lkB7EYlLSDmdNtb510xLFIwKW+A9&#10;opPDnfMhGlJOLuEypwWnNRciTuxueyMsOhDQSB2/mMAzN6GCs9Lh2Ig4rkCQcEfYC+FGzh+LbJ6n&#10;1/NiVl+slrO8zhezYpmuZmlWXBcXaV7kt/W3EGCWlx2nlKk7rtikvyz/O36PnTAqJyoQ9RUuFvPF&#10;SNEfk0zj97skJffQjoLLCq9OTqQMxL5SFNImpSdcjHbyc/ixylCD6R+rEmUQmB814IftENW2mNS1&#10;1fQBdGE10AYMw1MCRqftV4x6aMsKuy97YhlG4o0CbYUengw7GdvJIKqBoxX2GI3mjR97fW8s33WA&#10;PKpX6SvQX8ujNIJQxyiOqoVWizkcn4XQy0/n0evH47X5DgAA//8DAFBLAwQUAAYACAAAACEAnkxQ&#10;BOAAAAAKAQAADwAAAGRycy9kb3ducmV2LnhtbEyPwU7DMAyG70i8Q2QkLoglXbWydU0n2OAGh41p&#10;56wJbUXjVEm6dm+POcHR/j/9/lxsJtuxi/GhdSghmQlgBiunW6wlHD/fHpfAQlSoVefQSLiaAJvy&#10;9qZQuXYj7s3lEGtGJRhyJaGJsc85D1VjrAoz1xuk7Mt5qyKNvubaq5HKbcfnQmTcqhbpQqN6s21M&#10;9X0YrIRs54dxj9uH3fH1XX309fz0cj1JeX83Pa+BRTPFPxh+9UkdSnI6uwF1YJ2Ep2SREkpBtgJG&#10;wEokC2BnWqQiBV4W/P8L5Q8AAAD//wMAUEsBAi0AFAAGAAgAAAAhALaDOJL+AAAA4QEAABMAAAAA&#10;AAAAAAAAAAAAAAAAAFtDb250ZW50X1R5cGVzXS54bWxQSwECLQAUAAYACAAAACEAOP0h/9YAAACU&#10;AQAACwAAAAAAAAAAAAAAAAAvAQAAX3JlbHMvLnJlbHNQSwECLQAUAAYACAAAACEAoe0pGXsCAAAE&#10;BQAADgAAAAAAAAAAAAAAAAAuAgAAZHJzL2Uyb0RvYy54bWxQSwECLQAUAAYACAAAACEAnkxQBOAA&#10;AAAKAQAADwAAAAAAAAAAAAAAAADVBAAAZHJzL2Rvd25yZXYueG1sUEsFBgAAAAAEAAQA8wAAAOIF&#10;AAAAAA==&#10;">
            <v:path/>
            <v:fill focussize="0,0"/>
            <v:stroke on="f" joinstyle="miter"/>
            <v:imagedata o:title=""/>
            <o:lock v:ext="edit"/>
            <v:textbox inset="0mm,0mm,0mm,0mm">
              <w:txbxContent>
                <w:p>
                  <w:pPr>
                    <w:pStyle w:val="67"/>
                  </w:pPr>
                  <w:r>
                    <w:drawing>
                      <wp:inline distT="0" distB="0" distL="0" distR="0">
                        <wp:extent cx="1181100" cy="609600"/>
                        <wp:effectExtent l="0" t="0" r="0" b="0"/>
                        <wp:docPr id="49" name="Picture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descr="图片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81100" cy="609600"/>
                                </a:xfrm>
                                <a:prstGeom prst="rect">
                                  <a:avLst/>
                                </a:prstGeom>
                                <a:noFill/>
                                <a:ln>
                                  <a:noFill/>
                                </a:ln>
                              </pic:spPr>
                            </pic:pic>
                          </a:graphicData>
                        </a:graphic>
                      </wp:inline>
                    </w:drawing>
                  </w:r>
                  <w:r>
                    <w:t>B</w:t>
                  </w:r>
                </w:p>
              </w:txbxContent>
            </v:textbox>
            <w10:anchorlock/>
          </v:shape>
        </w:pict>
      </w:r>
      <w:r>
        <w:pict>
          <v:shape id="fmFrame2" o:spid="_x0000_s1032" o:spt="202" type="#_x0000_t202" style="position:absolute;left:0pt;margin-left:0pt;margin-top:79.6pt;height:30.8pt;width:481.9pt;mso-position-horizontal-relative:margin;mso-position-vertical-relative:margin;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6vewIAAAQFAAAOAAAAZHJzL2Uyb0RvYy54bWysVNtu1DAQfUfiHyy/b3Nput1EzVa9EIRU&#10;LlLhA7yxs7HwDdu7San4d8bOZikFJITIgzO2x8czc8744nKUAu2ZdVyrGmcnKUZMtZpyta3xp4/N&#10;YoWR80RRIrRiNX5gDl+uX764GEzFct1rQZlFAKJcNZga996bKklc2zNJ3Ik2TMFmp60kHqZ2m1BL&#10;BkCXIsnTdJkM2lJjdcucg9XbaROvI37Xsda/7zrHPBI1hth8HG0cN2FM1hek2lpiet4ewiD/EIUk&#10;XMGlR6hb4gnaWf4LlOSt1U53/qTVMtFdx1sWc4BssvRZNvc9MSzmAsVx5lgm9/9g23f7DxZxWuMc&#10;I0UkUNTJxoKRh9oMxlXgcm/AyY/XegSOY57O3On2s0NK3/REbdmVtXroGaEQWxZOJk+OTjgugGyG&#10;t5rCJWTndQQaOytD4aAUCNCBo4cjL2z0qIXFZQbFOYWtFvZOyyxbRuISUs2njXX+NdMSBaPGFniP&#10;6GR/53yIhlSzS7jMacFpw4WIE7vd3AiL9gQ00sQvJvDMTajgrHQ4NiFOKxAk3BH2QriR88cyy4v0&#10;Oi8XzXJ1viia4mxRnqerRZqV1+UyLcritvkWAsyKqueUMnXHFZv1lxV/x++hEyblRAWiocblWX42&#10;UfTHJNP4/S5JyT20o+CyxqujE6kCsa8UhbRJ5QkXk538HH6sMtRg/seqRBkE5icN+HEzRrUtZ3Vt&#10;NH0AXVgNtAHD8JSA0Wv7FaMB2rLG7suOWIaReKNAW6GHZ8POxmY2iGrhaI09RpN546de3xnLtz0g&#10;T+pV+gr01/EojSDUKYqDaqHVYg6HZyH08tN59PrxeK2/AwAA//8DAFBLAwQUAAYACAAAACEAlNdb&#10;dt4AAAAIAQAADwAAAGRycy9kb3ducmV2LnhtbEyPwU7DMAyG70i8Q2QkLoilFFFtpekEG9zgsDHt&#10;nDVeW61xqiRdu7fHnNjR/q3f31csJ9uJM/rQOlLwNEtAIFXOtFQr2P18Ps5BhKjJ6M4RKrhggGV5&#10;e1Po3LiRNnjexlpwCYVcK2hi7HMpQ9Wg1WHmeiTOjs5bHXn0tTRej1xuO5kmSSatbok/NLrHVYPV&#10;aTtYBdnaD+OGVg/r3ceX/u7rdP9+2St1fze9vYKIOMX/Y/jDZ3QomengBjJBdApYJPL2ZZGC4HiR&#10;PbPJQUGaJnOQZSGvBcpfAAAA//8DAFBLAQItABQABgAIAAAAIQC2gziS/gAAAOEBAAATAAAAAAAA&#10;AAAAAAAAAAAAAABbQ29udGVudF9UeXBlc10ueG1sUEsBAi0AFAAGAAgAAAAhADj9If/WAAAAlAEA&#10;AAsAAAAAAAAAAAAAAAAALwEAAF9yZWxzLy5yZWxzUEsBAi0AFAAGAAgAAAAhACR5bq97AgAABAUA&#10;AA4AAAAAAAAAAAAAAAAALgIAAGRycy9lMm9Eb2MueG1sUEsBAi0AFAAGAAgAAAAhAJTXW3beAAAA&#10;CAEAAA8AAAAAAAAAAAAAAAAA1QQAAGRycy9kb3ducmV2LnhtbFBLBQYAAAAABAAEAPMAAADgBQAA&#10;AAA=&#10;">
            <v:path/>
            <v:fill focussize="0,0"/>
            <v:stroke on="f" joinstyle="miter"/>
            <v:imagedata o:title=""/>
            <o:lock v:ext="edit"/>
            <v:textbox inset="0mm,0mm,0mm,0mm">
              <w:txbxContent>
                <w:p>
                  <w:pPr>
                    <w:pStyle w:val="78"/>
                  </w:pPr>
                  <w:r>
                    <w:rPr>
                      <w:rFonts w:hint="eastAsia"/>
                    </w:rPr>
                    <w:t>中华人民共和国国家标准</w:t>
                  </w:r>
                </w:p>
                <w:p>
                  <w:pPr>
                    <w:pStyle w:val="106"/>
                  </w:pPr>
                </w:p>
              </w:txbxContent>
            </v:textbox>
            <w10:anchorlock/>
          </v:shape>
        </w:pict>
      </w:r>
      <w:r>
        <w:pict>
          <v:shape id="fmFrame1" o:spid="_x0000_s1033" o:spt="202" type="#_x0000_t202" style="position:absolute;left:0pt;margin-left:0pt;margin-top:0pt;height:51.8pt;width:200pt;mso-position-horizontal-relative:margin;mso-position-vertical-relative:margin;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9QgAIAAAQFAAAOAAAAZHJzL2Uyb0RvYy54bWysVNuO2yAQfa/Uf0C8Z21HzsXWOqtNtq4q&#10;bS/Sth9AAMeoGCiQ2Ntq/70DXqfp5aGq6gc8wMzxzJwzvr4ZOolO3DqhVYWzqxQjrqhmQh0q/Olj&#10;PVtj5DxRjEiteIUfucM3m5cvrntT8rlutWTcIgBRruxNhVvvTZkkjra8I+5KG67gstG2Ix629pAw&#10;S3pA72QyT9Nl0mvLjNWUOwend+Ml3kT8puHUv28axz2SFYbcfFxtXPdhTTbXpDxYYlpBn9Mg/5BF&#10;R4SCj56h7ogn6GjFb1CdoFY73fgrqrtEN42gPNYA1WTpL9U8tMTwWAs0x5lzm9z/g6XvTh8sEgy4&#10;w0iRDihqutqCkYXe9MaV4PJgwMkPWz0Ev1CnM/eafnZI6V1L1IHfWqv7lhMGucXI5CJ0xHEBZN+/&#10;1Qw+Qo5eR6ChsV0AhFYgQAeOHs+88MEjCofzRZ7CgxGFu+VitV5G4hJSTtHGOv+a6w4Fo8IWeI/o&#10;5HTvPNQBrpNLzF5LwWohZdzYw34nLToR0Egdn1A6hLhLN6mCs9IhbLweTyBJ+Ea4C+lGzr8V2TxP&#10;t/NiVi/Xq1le54tZsUrXszQrtsUyzYv8rn4KCWZ52QrGuLoXik/6y/K/4/d5EkblRAWivsLFYr4Y&#10;KbrM3l0WGZoJ7fxDkZ3wMI5SdBVen51IGYh9pRgEkNITIUc7+Tn92DLowfSOXYkyCMyPGvDDfohq&#10;W03q2mv2CLqwGmgDhuFXAkar7VeMehjLCrsvR2I5RvKNAm2FGZ4MOxn7ySCKQmiFPUajufPjrB+N&#10;FYcWkEf1Kn0L+mtElEYQ6pgFZB42MGqxhuffQpjly330+vHz2nwHAAD//wMAUEsDBBQABgAIAAAA&#10;IQAHD0K32gAAAAUBAAAPAAAAZHJzL2Rvd25yZXYueG1sTI/BTsMwEETvSPyDtUhcELUpKEJpnApa&#10;uMGhperZjbdJRLyObKdJ/56FS7msNJrR7JtiOblOnDDE1pOGh5kCgVR521KtYff1fv8MIiZD1nSe&#10;UMMZIyzL66vC5NaPtMHTNtWCSyjmRkOTUp9LGasGnYkz3yOxd/TBmcQy1NIGM3K56+RcqUw60xJ/&#10;aEyPqwar7+3gNGTrMIwbWt2td28f5rOv5/vX817r25vpZQEi4ZQuYfjFZ3QomengB7JRdBp4SPq7&#10;7D0pxfLAIfWYgSwL+Z++/AEAAP//AwBQSwECLQAUAAYACAAAACEAtoM4kv4AAADhAQAAEwAAAAAA&#10;AAAAAAAAAAAAAAAAW0NvbnRlbnRfVHlwZXNdLnhtbFBLAQItABQABgAIAAAAIQA4/SH/1gAAAJQB&#10;AAALAAAAAAAAAAAAAAAAAC8BAABfcmVscy8ucmVsc1BLAQItABQABgAIAAAAIQCahR9QgAIAAAQF&#10;AAAOAAAAAAAAAAAAAAAAAC4CAABkcnMvZTJvRG9jLnhtbFBLAQItABQABgAIAAAAIQAHD0K32gAA&#10;AAUBAAAPAAAAAAAAAAAAAAAAANoEAABkcnMvZG93bnJldi54bWxQSwUGAAAAAAQABADzAAAA4QUA&#10;AAAA&#10;">
            <v:path/>
            <v:fill focussize="0,0"/>
            <v:stroke on="f" joinstyle="miter"/>
            <v:imagedata o:title=""/>
            <o:lock v:ext="edit"/>
            <v:textbox inset="0mm,0mm,0mm,0mm">
              <w:txbxContent>
                <w:p>
                  <w:pPr>
                    <w:pStyle w:val="90"/>
                  </w:pPr>
                  <w:r>
                    <w:rPr>
                      <w:rFonts w:hint="eastAsia"/>
                    </w:rPr>
                    <w:t>ICS 77.120.99</w:t>
                  </w:r>
                </w:p>
                <w:p>
                  <w:pPr>
                    <w:pStyle w:val="90"/>
                  </w:pPr>
                  <w:r>
                    <w:rPr>
                      <w:rFonts w:hint="eastAsia"/>
                    </w:rPr>
                    <w:t>H 65</w:t>
                  </w:r>
                </w:p>
              </w:txbxContent>
            </v:textbox>
            <w10:anchorlock/>
          </v:shape>
        </w:pict>
      </w:r>
      <w:r>
        <w:rPr>
          <w:rFonts w:hint="eastAsia"/>
        </w:rPr>
        <w:t>IIS</w:t>
      </w:r>
    </w:p>
    <w:bookmarkEnd w:id="0"/>
    <w:p>
      <w:pPr>
        <w:pStyle w:val="72"/>
      </w:pPr>
      <w:bookmarkStart w:id="1" w:name="SectionMark2"/>
      <w:r>
        <w:rPr>
          <w:rFonts w:hint="eastAsia"/>
        </w:rPr>
        <w:t>前    言</w:t>
      </w:r>
    </w:p>
    <w:p>
      <w:pPr>
        <w:spacing w:line="400" w:lineRule="exact"/>
        <w:ind w:firstLine="420" w:firstLineChars="200"/>
        <w:rPr>
          <w:szCs w:val="21"/>
        </w:rPr>
      </w:pPr>
      <w:r>
        <w:rPr>
          <w:szCs w:val="21"/>
        </w:rPr>
        <w:t>本标准</w:t>
      </w:r>
      <w:r>
        <w:rPr>
          <w:rFonts w:hint="eastAsia"/>
          <w:szCs w:val="21"/>
        </w:rPr>
        <w:t>是按照GB/T 1.1-2009给出的规则起草的。</w:t>
      </w:r>
    </w:p>
    <w:p>
      <w:pPr>
        <w:spacing w:line="400" w:lineRule="exact"/>
        <w:ind w:firstLine="420" w:firstLineChars="200"/>
        <w:rPr>
          <w:szCs w:val="21"/>
        </w:rPr>
      </w:pPr>
      <w:r>
        <w:rPr>
          <w:rFonts w:hint="eastAsia"/>
          <w:szCs w:val="21"/>
        </w:rPr>
        <w:t>本标准代替</w:t>
      </w:r>
      <w:r>
        <w:rPr>
          <w:rFonts w:hint="eastAsia"/>
        </w:rPr>
        <w:t>GB/T 24982-2010</w:t>
      </w:r>
      <w:r>
        <w:rPr>
          <w:rFonts w:hint="eastAsia"/>
          <w:szCs w:val="21"/>
        </w:rPr>
        <w:t>《白光LED灯用稀土黄色荧光粉》。</w:t>
      </w:r>
    </w:p>
    <w:p>
      <w:pPr>
        <w:spacing w:line="400" w:lineRule="exact"/>
        <w:ind w:firstLine="420" w:firstLineChars="200"/>
        <w:rPr>
          <w:szCs w:val="21"/>
        </w:rPr>
      </w:pPr>
      <w:r>
        <w:rPr>
          <w:rFonts w:hint="eastAsia"/>
          <w:szCs w:val="21"/>
        </w:rPr>
        <w:t>本标准与</w:t>
      </w:r>
      <w:r>
        <w:rPr>
          <w:rFonts w:hint="eastAsia"/>
        </w:rPr>
        <w:t>GB/T 24982-2010</w:t>
      </w:r>
      <w:r>
        <w:rPr>
          <w:rFonts w:hint="eastAsia"/>
          <w:szCs w:val="21"/>
        </w:rPr>
        <w:t>相比，主要技术变化如下：</w:t>
      </w:r>
    </w:p>
    <w:p>
      <w:pPr>
        <w:spacing w:line="400" w:lineRule="exact"/>
        <w:ind w:firstLine="420" w:firstLineChars="200"/>
        <w:rPr>
          <w:szCs w:val="21"/>
        </w:rPr>
      </w:pPr>
      <w:r>
        <w:rPr>
          <w:rFonts w:hint="eastAsia"/>
          <w:szCs w:val="21"/>
        </w:rPr>
        <w:t xml:space="preserve">——修改了标准名称 ； </w:t>
      </w:r>
    </w:p>
    <w:p>
      <w:pPr>
        <w:autoSpaceDE w:val="0"/>
        <w:autoSpaceDN w:val="0"/>
        <w:adjustRightInd w:val="0"/>
        <w:spacing w:line="400" w:lineRule="exact"/>
        <w:ind w:left="840" w:leftChars="200" w:hanging="420" w:hangingChars="200"/>
        <w:jc w:val="left"/>
        <w:rPr>
          <w:szCs w:val="21"/>
        </w:rPr>
      </w:pPr>
      <w:r>
        <w:rPr>
          <w:rFonts w:hint="eastAsia"/>
          <w:szCs w:val="21"/>
        </w:rPr>
        <w:t>——修改了标准适用范围（见1）；</w:t>
      </w:r>
    </w:p>
    <w:p>
      <w:pPr>
        <w:autoSpaceDE w:val="0"/>
        <w:autoSpaceDN w:val="0"/>
        <w:adjustRightInd w:val="0"/>
        <w:spacing w:line="400" w:lineRule="exact"/>
        <w:ind w:left="840" w:leftChars="200" w:hanging="420" w:hangingChars="200"/>
        <w:jc w:val="left"/>
        <w:rPr>
          <w:szCs w:val="21"/>
        </w:rPr>
      </w:pPr>
      <w:r>
        <w:rPr>
          <w:rFonts w:hint="eastAsia"/>
          <w:szCs w:val="21"/>
        </w:rPr>
        <w:t xml:space="preserve">——修改了标准粉（见3.1）； </w:t>
      </w:r>
    </w:p>
    <w:p>
      <w:pPr>
        <w:spacing w:line="400" w:lineRule="exact"/>
        <w:ind w:left="840" w:leftChars="200" w:hanging="420" w:hangingChars="200"/>
        <w:rPr>
          <w:szCs w:val="21"/>
        </w:rPr>
      </w:pPr>
      <w:r>
        <w:rPr>
          <w:rFonts w:hint="eastAsia"/>
          <w:szCs w:val="21"/>
        </w:rPr>
        <w:t>——增加了术语“色品坐标”（见3.3），</w:t>
      </w:r>
    </w:p>
    <w:p>
      <w:pPr>
        <w:spacing w:line="400" w:lineRule="exact"/>
        <w:ind w:left="840" w:leftChars="200" w:hanging="420" w:hangingChars="200"/>
        <w:rPr>
          <w:szCs w:val="21"/>
        </w:rPr>
      </w:pPr>
      <w:r>
        <w:rPr>
          <w:rFonts w:hint="eastAsia"/>
          <w:szCs w:val="21"/>
        </w:rPr>
        <w:t>——删减了术语“发射波长”（见</w:t>
      </w:r>
      <w:r>
        <w:rPr>
          <w:rFonts w:hint="eastAsia"/>
        </w:rPr>
        <w:t>2010版3.4</w:t>
      </w:r>
      <w:r>
        <w:rPr>
          <w:rFonts w:hint="eastAsia"/>
          <w:szCs w:val="21"/>
        </w:rPr>
        <w:t>）；</w:t>
      </w:r>
    </w:p>
    <w:p>
      <w:pPr>
        <w:spacing w:line="400" w:lineRule="exact"/>
        <w:ind w:left="840" w:leftChars="200" w:hanging="420" w:hangingChars="200"/>
        <w:rPr>
          <w:szCs w:val="21"/>
        </w:rPr>
      </w:pPr>
      <w:r>
        <w:rPr>
          <w:rFonts w:hint="eastAsia"/>
          <w:szCs w:val="21"/>
        </w:rPr>
        <w:t>——删减了术语“发射主峰波长”（见</w:t>
      </w:r>
      <w:r>
        <w:rPr>
          <w:rFonts w:hint="eastAsia"/>
        </w:rPr>
        <w:t>2010版3.5</w:t>
      </w:r>
      <w:r>
        <w:rPr>
          <w:rFonts w:hint="eastAsia"/>
          <w:szCs w:val="21"/>
        </w:rPr>
        <w:t>）；</w:t>
      </w:r>
    </w:p>
    <w:p>
      <w:pPr>
        <w:spacing w:line="400" w:lineRule="exact"/>
        <w:ind w:left="840" w:leftChars="200" w:hanging="420" w:hangingChars="200"/>
        <w:rPr>
          <w:szCs w:val="21"/>
        </w:rPr>
      </w:pPr>
      <w:r>
        <w:rPr>
          <w:rFonts w:hint="eastAsia"/>
          <w:szCs w:val="21"/>
        </w:rPr>
        <w:t xml:space="preserve">——增加了术语“发射峰值波长”(见3.5)； </w:t>
      </w:r>
    </w:p>
    <w:p>
      <w:pPr>
        <w:spacing w:line="400" w:lineRule="exact"/>
        <w:ind w:left="840" w:leftChars="200" w:hanging="420" w:hangingChars="200"/>
        <w:rPr>
          <w:szCs w:val="21"/>
        </w:rPr>
      </w:pPr>
      <w:r>
        <w:rPr>
          <w:rFonts w:hint="eastAsia"/>
          <w:szCs w:val="21"/>
        </w:rPr>
        <w:t>——删减了术语“发射波长”（见</w:t>
      </w:r>
      <w:r>
        <w:rPr>
          <w:rFonts w:hint="eastAsia"/>
        </w:rPr>
        <w:t>2010版3.6</w:t>
      </w:r>
      <w:r>
        <w:rPr>
          <w:rFonts w:hint="eastAsia"/>
          <w:szCs w:val="21"/>
        </w:rPr>
        <w:t>）；</w:t>
      </w:r>
    </w:p>
    <w:p>
      <w:pPr>
        <w:spacing w:line="400" w:lineRule="exact"/>
        <w:ind w:left="840" w:leftChars="200" w:hanging="420" w:hangingChars="200"/>
        <w:rPr>
          <w:szCs w:val="21"/>
        </w:rPr>
      </w:pPr>
      <w:r>
        <w:rPr>
          <w:rFonts w:hint="eastAsia"/>
          <w:szCs w:val="21"/>
        </w:rPr>
        <w:t>——增加了术语“双85测试”(见3.6)；</w:t>
      </w:r>
    </w:p>
    <w:p>
      <w:pPr>
        <w:spacing w:line="400" w:lineRule="exact"/>
        <w:ind w:left="840" w:leftChars="200" w:hanging="420" w:hangingChars="200"/>
        <w:rPr>
          <w:szCs w:val="21"/>
        </w:rPr>
      </w:pPr>
      <w:r>
        <w:rPr>
          <w:rFonts w:hint="eastAsia"/>
          <w:szCs w:val="21"/>
        </w:rPr>
        <w:t>——增加了术语“PCT测试”(见3.7)；</w:t>
      </w:r>
    </w:p>
    <w:p>
      <w:pPr>
        <w:spacing w:line="400" w:lineRule="exact"/>
        <w:ind w:left="840" w:leftChars="200" w:hanging="420" w:hangingChars="200"/>
        <w:rPr>
          <w:szCs w:val="21"/>
        </w:rPr>
      </w:pPr>
      <w:r>
        <w:rPr>
          <w:rFonts w:hint="eastAsia"/>
          <w:szCs w:val="21"/>
        </w:rPr>
        <w:t>——删减了术语牌号200500（见</w:t>
      </w:r>
      <w:r>
        <w:rPr>
          <w:rFonts w:hint="eastAsia"/>
        </w:rPr>
        <w:t>2010版4.1</w:t>
      </w:r>
      <w:r>
        <w:rPr>
          <w:rFonts w:hint="eastAsia"/>
          <w:szCs w:val="21"/>
        </w:rPr>
        <w:t>）；</w:t>
      </w:r>
    </w:p>
    <w:p>
      <w:pPr>
        <w:spacing w:line="400" w:lineRule="exact"/>
        <w:ind w:left="840" w:leftChars="200" w:hanging="420" w:hangingChars="200"/>
        <w:rPr>
          <w:rFonts w:hAnsi="宋体"/>
          <w:szCs w:val="21"/>
        </w:rPr>
      </w:pPr>
      <w:r>
        <w:rPr>
          <w:rFonts w:hint="eastAsia"/>
          <w:szCs w:val="21"/>
        </w:rPr>
        <w:t>——修改了</w:t>
      </w:r>
      <w:r>
        <w:rPr>
          <w:rFonts w:hint="eastAsia" w:hAnsi="宋体"/>
          <w:szCs w:val="21"/>
        </w:rPr>
        <w:t>发射峰值波长技术指标，其范围由520-580nm修改为495-580nm（</w:t>
      </w:r>
      <w:r>
        <w:rPr>
          <w:rFonts w:hint="eastAsia"/>
          <w:szCs w:val="21"/>
        </w:rPr>
        <w:t>见4.1，</w:t>
      </w:r>
      <w:r>
        <w:rPr>
          <w:rFonts w:hint="eastAsia"/>
        </w:rPr>
        <w:t>2010版4.1</w:t>
      </w:r>
      <w:r>
        <w:rPr>
          <w:rFonts w:hint="eastAsia" w:hAnsi="宋体"/>
          <w:szCs w:val="21"/>
        </w:rPr>
        <w:t>）；</w:t>
      </w:r>
    </w:p>
    <w:p>
      <w:pPr>
        <w:spacing w:line="400" w:lineRule="exact"/>
        <w:ind w:left="840" w:leftChars="200" w:hanging="420" w:hangingChars="200"/>
        <w:rPr>
          <w:rFonts w:hAnsi="宋体"/>
          <w:szCs w:val="21"/>
        </w:rPr>
      </w:pPr>
      <w:r>
        <w:rPr>
          <w:rFonts w:hint="eastAsia"/>
          <w:szCs w:val="21"/>
        </w:rPr>
        <w:t>——修改了</w:t>
      </w:r>
      <w:r>
        <w:rPr>
          <w:rFonts w:hint="eastAsia" w:hAnsi="宋体"/>
          <w:szCs w:val="21"/>
        </w:rPr>
        <w:t>色品坐标技术指标，x值范围由0.3400-0.5100修改为0.2500-0.5100，y值范围由0.6000-0.4800修改为0.5800-0.4800（</w:t>
      </w:r>
      <w:r>
        <w:rPr>
          <w:rFonts w:hint="eastAsia"/>
          <w:szCs w:val="21"/>
        </w:rPr>
        <w:t>见4.1，</w:t>
      </w:r>
      <w:r>
        <w:rPr>
          <w:rFonts w:hint="eastAsia"/>
        </w:rPr>
        <w:t>2010版4.1</w:t>
      </w:r>
      <w:r>
        <w:rPr>
          <w:rFonts w:hint="eastAsia" w:hAnsi="宋体"/>
          <w:szCs w:val="21"/>
        </w:rPr>
        <w:t>）；</w:t>
      </w:r>
    </w:p>
    <w:p>
      <w:pPr>
        <w:spacing w:line="400" w:lineRule="exact"/>
        <w:ind w:left="840" w:leftChars="200" w:hanging="420" w:hangingChars="200"/>
        <w:rPr>
          <w:szCs w:val="21"/>
        </w:rPr>
      </w:pPr>
      <w:r>
        <w:rPr>
          <w:rFonts w:hint="eastAsia"/>
          <w:szCs w:val="21"/>
        </w:rPr>
        <w:t>——增加了双85测试中亮度降低、色品坐标偏移技术指标(见4.1)；</w:t>
      </w:r>
    </w:p>
    <w:p>
      <w:pPr>
        <w:spacing w:line="400" w:lineRule="exact"/>
        <w:ind w:left="840" w:leftChars="200" w:hanging="420" w:hangingChars="200"/>
        <w:rPr>
          <w:szCs w:val="21"/>
        </w:rPr>
      </w:pPr>
      <w:r>
        <w:rPr>
          <w:rFonts w:hint="eastAsia"/>
          <w:szCs w:val="21"/>
        </w:rPr>
        <w:t>——增加了PCT测试中亮度降低、色品坐标偏移技术指标(见4.1)；</w:t>
      </w:r>
    </w:p>
    <w:p>
      <w:pPr>
        <w:spacing w:line="400" w:lineRule="exact"/>
        <w:ind w:left="840" w:leftChars="200" w:hanging="420" w:hangingChars="200"/>
        <w:rPr>
          <w:rFonts w:hAnsi="宋体"/>
          <w:szCs w:val="21"/>
        </w:rPr>
      </w:pPr>
      <w:r>
        <w:rPr>
          <w:rFonts w:hint="eastAsia"/>
          <w:szCs w:val="21"/>
        </w:rPr>
        <w:t>——修改了</w:t>
      </w:r>
      <w:r>
        <w:rPr>
          <w:rFonts w:hint="eastAsia" w:hAnsi="宋体"/>
          <w:szCs w:val="21"/>
        </w:rPr>
        <w:t>热猝灭性</w:t>
      </w:r>
      <w:r>
        <w:rPr>
          <w:rFonts w:hint="eastAsia"/>
          <w:szCs w:val="21"/>
        </w:rPr>
        <w:t>亮度降低、色品坐标偏移技术指标，</w:t>
      </w:r>
      <w:r>
        <w:rPr>
          <w:rFonts w:hint="eastAsia" w:hAnsi="宋体"/>
          <w:szCs w:val="21"/>
        </w:rPr>
        <w:t>亮度下降由小于25%修改为小于10%，</w:t>
      </w:r>
      <w:r>
        <w:rPr>
          <w:rFonts w:hint="eastAsia"/>
          <w:szCs w:val="21"/>
        </w:rPr>
        <w:t>色品坐标x和y值偏移</w:t>
      </w:r>
      <w:r>
        <w:rPr>
          <w:rFonts w:hint="eastAsia" w:hAnsi="宋体"/>
          <w:szCs w:val="21"/>
        </w:rPr>
        <w:t>由小于0.0200修改为小于0.0020（</w:t>
      </w:r>
      <w:r>
        <w:rPr>
          <w:rFonts w:hint="eastAsia"/>
          <w:szCs w:val="21"/>
        </w:rPr>
        <w:t>见4.1，</w:t>
      </w:r>
      <w:r>
        <w:rPr>
          <w:rFonts w:hint="eastAsia"/>
        </w:rPr>
        <w:t>2010版4.1</w:t>
      </w:r>
      <w:r>
        <w:rPr>
          <w:rFonts w:hint="eastAsia" w:hAnsi="宋体"/>
          <w:szCs w:val="21"/>
        </w:rPr>
        <w:t>）；</w:t>
      </w:r>
    </w:p>
    <w:p>
      <w:pPr>
        <w:spacing w:line="400" w:lineRule="exact"/>
        <w:ind w:left="840" w:leftChars="200" w:hanging="420" w:hangingChars="200"/>
        <w:rPr>
          <w:rFonts w:hAnsi="宋体"/>
          <w:szCs w:val="21"/>
        </w:rPr>
      </w:pPr>
      <w:r>
        <w:rPr>
          <w:rFonts w:hint="eastAsia"/>
          <w:szCs w:val="21"/>
        </w:rPr>
        <w:t>——修改了</w:t>
      </w:r>
      <w:r>
        <w:rPr>
          <w:rFonts w:hint="eastAsia" w:hAnsi="宋体"/>
          <w:szCs w:val="21"/>
        </w:rPr>
        <w:t>密度技术指标，其范围由4.5±0.3修改为4.2-6.5（见4.1，</w:t>
      </w:r>
      <w:r>
        <w:rPr>
          <w:rFonts w:hint="eastAsia"/>
        </w:rPr>
        <w:t>2010版4.1</w:t>
      </w:r>
      <w:r>
        <w:rPr>
          <w:rFonts w:hint="eastAsia" w:hAnsi="宋体"/>
          <w:szCs w:val="21"/>
        </w:rPr>
        <w:t>）；</w:t>
      </w:r>
    </w:p>
    <w:p>
      <w:pPr>
        <w:spacing w:line="400" w:lineRule="exact"/>
        <w:ind w:left="840" w:leftChars="200" w:hanging="420" w:hangingChars="200"/>
        <w:rPr>
          <w:rFonts w:hAnsi="宋体"/>
          <w:szCs w:val="21"/>
        </w:rPr>
      </w:pPr>
      <w:r>
        <w:rPr>
          <w:rFonts w:hint="eastAsia"/>
          <w:szCs w:val="21"/>
        </w:rPr>
        <w:t>——增加了</w:t>
      </w:r>
      <w:r>
        <w:rPr>
          <w:rFonts w:hint="eastAsia" w:hAnsi="宋体"/>
          <w:szCs w:val="21"/>
        </w:rPr>
        <w:t>粒度分布系数技术指标（见4.1）；</w:t>
      </w:r>
    </w:p>
    <w:p>
      <w:pPr>
        <w:spacing w:line="400" w:lineRule="exact"/>
        <w:ind w:left="210" w:leftChars="100" w:firstLine="210" w:firstLineChars="100"/>
        <w:rPr>
          <w:rFonts w:hAnsi="宋体"/>
          <w:szCs w:val="21"/>
        </w:rPr>
      </w:pPr>
      <w:r>
        <w:rPr>
          <w:rFonts w:hint="eastAsia"/>
          <w:szCs w:val="21"/>
        </w:rPr>
        <w:t>——修改了产品化学组成技术指标，由</w:t>
      </w:r>
      <w:r>
        <w:rPr>
          <w:szCs w:val="21"/>
        </w:rPr>
        <w:t xml:space="preserve"> (Y</w:t>
      </w:r>
      <w:r>
        <w:rPr>
          <w:rFonts w:hint="eastAsia"/>
          <w:szCs w:val="21"/>
        </w:rPr>
        <w:t>,</w:t>
      </w:r>
      <w:r>
        <w:rPr>
          <w:szCs w:val="21"/>
        </w:rPr>
        <w:t>Gd)</w:t>
      </w:r>
      <w:r>
        <w:rPr>
          <w:szCs w:val="21"/>
          <w:vertAlign w:val="subscript"/>
        </w:rPr>
        <w:t>3</w:t>
      </w:r>
      <w:r>
        <w:rPr>
          <w:szCs w:val="21"/>
        </w:rPr>
        <w:t>(Al,Ga)</w:t>
      </w:r>
      <w:r>
        <w:rPr>
          <w:szCs w:val="21"/>
          <w:vertAlign w:val="subscript"/>
        </w:rPr>
        <w:t>5</w:t>
      </w:r>
      <w:r>
        <w:rPr>
          <w:szCs w:val="21"/>
        </w:rPr>
        <w:t>O</w:t>
      </w:r>
      <w:r>
        <w:rPr>
          <w:szCs w:val="21"/>
          <w:vertAlign w:val="subscript"/>
        </w:rPr>
        <w:t>12</w:t>
      </w:r>
      <w:r>
        <w:rPr>
          <w:szCs w:val="21"/>
        </w:rPr>
        <w:t>:Ce</w:t>
      </w:r>
      <w:r>
        <w:rPr>
          <w:rFonts w:hint="eastAsia"/>
          <w:szCs w:val="21"/>
        </w:rPr>
        <w:t>修改为</w:t>
      </w:r>
      <w:r>
        <w:rPr>
          <w:szCs w:val="21"/>
        </w:rPr>
        <w:t xml:space="preserve"> (Y,Lu,</w:t>
      </w:r>
      <w:r>
        <w:rPr>
          <w:rFonts w:hint="eastAsia"/>
          <w:szCs w:val="21"/>
        </w:rPr>
        <w:t>Tb,</w:t>
      </w:r>
      <w:r>
        <w:rPr>
          <w:szCs w:val="21"/>
        </w:rPr>
        <w:t>Gd)</w:t>
      </w:r>
      <w:r>
        <w:rPr>
          <w:szCs w:val="21"/>
          <w:vertAlign w:val="subscript"/>
        </w:rPr>
        <w:t>3</w:t>
      </w:r>
      <w:r>
        <w:rPr>
          <w:szCs w:val="21"/>
        </w:rPr>
        <w:t>(Al,Ga)</w:t>
      </w:r>
      <w:r>
        <w:rPr>
          <w:szCs w:val="21"/>
          <w:vertAlign w:val="subscript"/>
        </w:rPr>
        <w:t>5</w:t>
      </w:r>
      <w:r>
        <w:rPr>
          <w:szCs w:val="21"/>
        </w:rPr>
        <w:t>O</w:t>
      </w:r>
      <w:r>
        <w:rPr>
          <w:szCs w:val="21"/>
          <w:vertAlign w:val="subscript"/>
        </w:rPr>
        <w:t>12</w:t>
      </w:r>
      <w:r>
        <w:rPr>
          <w:szCs w:val="21"/>
        </w:rPr>
        <w:t>:Ce</w:t>
      </w:r>
      <w:r>
        <w:rPr>
          <w:rFonts w:hint="eastAsia"/>
          <w:szCs w:val="21"/>
        </w:rPr>
        <w:t>（</w:t>
      </w:r>
      <w:r>
        <w:rPr>
          <w:rFonts w:hint="eastAsia" w:hAnsi="宋体"/>
          <w:szCs w:val="21"/>
        </w:rPr>
        <w:t>见4.1，</w:t>
      </w:r>
      <w:r>
        <w:rPr>
          <w:rFonts w:hint="eastAsia"/>
        </w:rPr>
        <w:t>2010版4.1</w:t>
      </w:r>
      <w:r>
        <w:rPr>
          <w:rFonts w:hint="eastAsia"/>
          <w:szCs w:val="21"/>
        </w:rPr>
        <w:t>）；</w:t>
      </w:r>
    </w:p>
    <w:p>
      <w:pPr>
        <w:spacing w:line="400" w:lineRule="exact"/>
        <w:ind w:left="840" w:leftChars="200" w:hanging="420" w:hangingChars="200"/>
        <w:rPr>
          <w:rFonts w:hAnsi="宋体"/>
          <w:szCs w:val="21"/>
        </w:rPr>
      </w:pPr>
      <w:r>
        <w:rPr>
          <w:rFonts w:hint="eastAsia"/>
          <w:szCs w:val="21"/>
        </w:rPr>
        <w:t>——修改了</w:t>
      </w:r>
      <w:r>
        <w:rPr>
          <w:rFonts w:hint="eastAsia" w:hAnsi="宋体"/>
          <w:szCs w:val="21"/>
        </w:rPr>
        <w:t>产品外观（见4.2，</w:t>
      </w:r>
      <w:r>
        <w:rPr>
          <w:rFonts w:hint="eastAsia"/>
        </w:rPr>
        <w:t>2010版4.2</w:t>
      </w:r>
      <w:r>
        <w:rPr>
          <w:rFonts w:hint="eastAsia" w:hAnsi="宋体"/>
          <w:szCs w:val="21"/>
        </w:rPr>
        <w:t>）；</w:t>
      </w:r>
    </w:p>
    <w:p>
      <w:pPr>
        <w:spacing w:line="400" w:lineRule="exact"/>
        <w:ind w:left="840" w:leftChars="200" w:hanging="420" w:hangingChars="200"/>
        <w:rPr>
          <w:szCs w:val="21"/>
        </w:rPr>
      </w:pPr>
      <w:r>
        <w:rPr>
          <w:rFonts w:hint="eastAsia" w:hAnsi="宋体"/>
          <w:szCs w:val="21"/>
        </w:rPr>
        <w:t>——删减了标准中牌号，由规格替代牌号（见6.2，7.11，7.3，</w:t>
      </w:r>
      <w:r>
        <w:rPr>
          <w:rFonts w:hint="eastAsia"/>
        </w:rPr>
        <w:t>2010版</w:t>
      </w:r>
      <w:r>
        <w:rPr>
          <w:rFonts w:hint="eastAsia" w:hAnsi="宋体"/>
          <w:szCs w:val="21"/>
        </w:rPr>
        <w:t>6.2，7.11，7.3）；</w:t>
      </w:r>
    </w:p>
    <w:p>
      <w:pPr>
        <w:spacing w:line="400" w:lineRule="exact"/>
        <w:ind w:firstLine="420" w:firstLineChars="200"/>
        <w:rPr>
          <w:szCs w:val="21"/>
        </w:rPr>
      </w:pPr>
      <w:r>
        <w:rPr>
          <w:szCs w:val="21"/>
        </w:rPr>
        <w:t>本标准由全国稀土标准化技术委员会</w:t>
      </w:r>
      <w:r>
        <w:rPr>
          <w:rFonts w:hint="eastAsia"/>
          <w:szCs w:val="21"/>
        </w:rPr>
        <w:t>（SAC/TC 229）提出并</w:t>
      </w:r>
      <w:r>
        <w:rPr>
          <w:szCs w:val="21"/>
        </w:rPr>
        <w:t>归口。</w:t>
      </w:r>
    </w:p>
    <w:p>
      <w:pPr>
        <w:spacing w:line="400" w:lineRule="exact"/>
        <w:ind w:firstLine="420" w:firstLineChars="200"/>
        <w:rPr>
          <w:rFonts w:ascii="宋体" w:hAnsi="宋体"/>
          <w:kern w:val="0"/>
          <w:szCs w:val="21"/>
        </w:rPr>
      </w:pPr>
      <w:r>
        <w:rPr>
          <w:szCs w:val="21"/>
        </w:rPr>
        <w:t>本标准</w:t>
      </w:r>
      <w:r>
        <w:rPr>
          <w:rFonts w:hint="eastAsia"/>
          <w:szCs w:val="21"/>
        </w:rPr>
        <w:t>主要起草单位：有研稀土新材料股份有限公司、厦门大学、江门市科恒实业股份有限公司、广东省稀有金属研究所、包头稀土研究院、江苏博睿光电有限公司、安徽芯瑞达电子科技有限公司。</w:t>
      </w:r>
    </w:p>
    <w:p>
      <w:pPr>
        <w:spacing w:line="400" w:lineRule="exact"/>
        <w:ind w:firstLine="420" w:firstLineChars="200"/>
        <w:rPr>
          <w:szCs w:val="21"/>
        </w:rPr>
      </w:pPr>
      <w:r>
        <w:rPr>
          <w:szCs w:val="21"/>
        </w:rPr>
        <w:t>本标准主要起草人</w:t>
      </w:r>
      <w:r>
        <w:rPr>
          <w:rFonts w:hint="eastAsia"/>
          <w:szCs w:val="21"/>
        </w:rPr>
        <w:t>：刘荣辉、刘元红、李彦峰、X</w:t>
      </w:r>
      <w:r>
        <w:rPr>
          <w:szCs w:val="21"/>
        </w:rPr>
        <w:t>XX。</w:t>
      </w:r>
    </w:p>
    <w:p>
      <w:pPr>
        <w:spacing w:line="400" w:lineRule="exact"/>
        <w:ind w:firstLine="420" w:firstLineChars="200"/>
        <w:rPr>
          <w:szCs w:val="21"/>
        </w:rPr>
      </w:pPr>
      <w:r>
        <w:rPr>
          <w:rFonts w:hint="eastAsia"/>
          <w:szCs w:val="21"/>
        </w:rPr>
        <w:t>本标准所代替标准的历次版本发布情况为：</w:t>
      </w:r>
    </w:p>
    <w:p>
      <w:pPr>
        <w:spacing w:line="400" w:lineRule="exact"/>
        <w:ind w:firstLine="420" w:firstLineChars="200"/>
        <w:rPr>
          <w:szCs w:val="21"/>
        </w:rPr>
      </w:pPr>
      <w:r>
        <w:rPr>
          <w:rFonts w:hint="eastAsia"/>
          <w:szCs w:val="21"/>
        </w:rPr>
        <w:t>——</w:t>
      </w:r>
      <w:r>
        <w:rPr>
          <w:rFonts w:hint="eastAsia"/>
        </w:rPr>
        <w:t>GB/T 24982-2010</w:t>
      </w:r>
      <w:r>
        <w:rPr>
          <w:rFonts w:hint="eastAsia"/>
          <w:szCs w:val="21"/>
        </w:rPr>
        <w:t>。</w:t>
      </w:r>
    </w:p>
    <w:p>
      <w:pPr>
        <w:autoSpaceDE w:val="0"/>
        <w:autoSpaceDN w:val="0"/>
        <w:adjustRightInd w:val="0"/>
        <w:jc w:val="center"/>
        <w:rPr>
          <w:rFonts w:ascii="黑体" w:hAnsi="黑体" w:eastAsia="黑体"/>
          <w:kern w:val="0"/>
          <w:sz w:val="32"/>
          <w:szCs w:val="32"/>
        </w:rPr>
      </w:pPr>
      <w:r>
        <w:rPr>
          <w:szCs w:val="21"/>
        </w:rPr>
        <w:br w:type="page"/>
      </w:r>
      <w:r>
        <w:rPr>
          <w:rFonts w:hint="eastAsia" w:ascii="黑体" w:hAnsi="黑体" w:eastAsia="黑体"/>
          <w:kern w:val="0"/>
          <w:sz w:val="32"/>
          <w:szCs w:val="32"/>
        </w:rPr>
        <w:t>白光</w:t>
      </w:r>
      <w:r>
        <w:rPr>
          <w:rFonts w:eastAsia="黑体"/>
          <w:kern w:val="0"/>
          <w:sz w:val="32"/>
          <w:szCs w:val="32"/>
        </w:rPr>
        <w:t>LED</w:t>
      </w:r>
      <w:r>
        <w:rPr>
          <w:rFonts w:hint="eastAsia" w:ascii="黑体" w:hAnsi="黑体" w:eastAsia="黑体"/>
          <w:kern w:val="0"/>
          <w:sz w:val="32"/>
          <w:szCs w:val="32"/>
        </w:rPr>
        <w:t>用石榴石结构铝酸盐系列荧光粉</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1</w:t>
      </w:r>
      <w:r>
        <w:rPr>
          <w:rFonts w:hint="eastAsia" w:ascii="黑体" w:hAnsi="黑体" w:eastAsia="黑体"/>
          <w:kern w:val="0"/>
          <w:szCs w:val="21"/>
        </w:rPr>
        <w:t xml:space="preserve"> </w:t>
      </w:r>
      <w:r>
        <w:rPr>
          <w:rFonts w:ascii="黑体" w:hAnsi="黑体" w:eastAsia="黑体"/>
          <w:kern w:val="0"/>
          <w:szCs w:val="21"/>
        </w:rPr>
        <w:t>范围</w:t>
      </w:r>
    </w:p>
    <w:p>
      <w:pPr>
        <w:autoSpaceDE w:val="0"/>
        <w:autoSpaceDN w:val="0"/>
        <w:adjustRightInd w:val="0"/>
        <w:ind w:right="-239" w:rightChars="-114" w:firstLine="420" w:firstLineChars="200"/>
        <w:jc w:val="left"/>
        <w:rPr>
          <w:kern w:val="0"/>
          <w:szCs w:val="21"/>
        </w:rPr>
      </w:pPr>
      <w:r>
        <w:rPr>
          <w:rFonts w:hAnsi="宋体"/>
          <w:kern w:val="0"/>
          <w:szCs w:val="21"/>
        </w:rPr>
        <w:t>本标准规定了白光</w:t>
      </w:r>
      <w:r>
        <w:rPr>
          <w:kern w:val="0"/>
          <w:szCs w:val="21"/>
        </w:rPr>
        <w:t>LED</w:t>
      </w:r>
      <w:r>
        <w:rPr>
          <w:rFonts w:hAnsi="宋体"/>
          <w:kern w:val="0"/>
          <w:szCs w:val="21"/>
        </w:rPr>
        <w:t>用石榴石结构铝酸盐系列荧光粉的要求、试验方法、检验规则及标志、包装、运输、贮存。</w:t>
      </w:r>
    </w:p>
    <w:p>
      <w:pPr>
        <w:autoSpaceDE w:val="0"/>
        <w:autoSpaceDN w:val="0"/>
        <w:adjustRightInd w:val="0"/>
        <w:ind w:firstLine="420" w:firstLineChars="200"/>
        <w:jc w:val="left"/>
        <w:rPr>
          <w:kern w:val="0"/>
          <w:szCs w:val="21"/>
        </w:rPr>
      </w:pPr>
      <w:r>
        <w:rPr>
          <w:rFonts w:hAnsi="宋体"/>
          <w:kern w:val="0"/>
          <w:szCs w:val="21"/>
        </w:rPr>
        <w:t>本标准适用于经高温反应</w:t>
      </w:r>
      <w:r>
        <w:rPr>
          <w:rFonts w:hint="eastAsia" w:hAnsi="宋体"/>
          <w:kern w:val="0"/>
          <w:szCs w:val="21"/>
        </w:rPr>
        <w:t>，</w:t>
      </w:r>
      <w:r>
        <w:rPr>
          <w:rFonts w:hAnsi="宋体"/>
          <w:kern w:val="0"/>
          <w:szCs w:val="21"/>
        </w:rPr>
        <w:t>共沉淀法或燃烧法等液相法制得的铝酸盐及相关体系的荧光粉，该荧光粉在</w:t>
      </w:r>
      <w:r>
        <w:rPr>
          <w:kern w:val="0"/>
          <w:szCs w:val="21"/>
        </w:rPr>
        <w:t>440 nm</w:t>
      </w:r>
      <w:r>
        <w:rPr>
          <w:rFonts w:hAnsi="宋体"/>
          <w:kern w:val="0"/>
          <w:szCs w:val="21"/>
        </w:rPr>
        <w:t>～</w:t>
      </w:r>
      <w:r>
        <w:rPr>
          <w:kern w:val="0"/>
          <w:szCs w:val="21"/>
        </w:rPr>
        <w:t>480 nm</w:t>
      </w:r>
      <w:r>
        <w:rPr>
          <w:rFonts w:hAnsi="宋体"/>
          <w:kern w:val="0"/>
          <w:szCs w:val="21"/>
        </w:rPr>
        <w:t>蓝光激发下发出黄光</w:t>
      </w:r>
      <w:r>
        <w:rPr>
          <w:rFonts w:hint="eastAsia" w:hAnsi="宋体"/>
          <w:kern w:val="0"/>
          <w:szCs w:val="21"/>
        </w:rPr>
        <w:t>、</w:t>
      </w:r>
      <w:r>
        <w:rPr>
          <w:rFonts w:hAnsi="宋体"/>
          <w:kern w:val="0"/>
          <w:szCs w:val="21"/>
        </w:rPr>
        <w:t>黄绿光</w:t>
      </w:r>
      <w:r>
        <w:rPr>
          <w:rFonts w:hint="eastAsia" w:hAnsi="宋体"/>
          <w:kern w:val="0"/>
          <w:szCs w:val="21"/>
        </w:rPr>
        <w:t>或绿光</w:t>
      </w:r>
      <w:r>
        <w:rPr>
          <w:rFonts w:hAnsi="宋体"/>
          <w:kern w:val="0"/>
          <w:szCs w:val="21"/>
        </w:rPr>
        <w:t>，黄光</w:t>
      </w:r>
      <w:r>
        <w:rPr>
          <w:rFonts w:hint="eastAsia" w:hAnsi="宋体"/>
          <w:kern w:val="0"/>
          <w:szCs w:val="21"/>
        </w:rPr>
        <w:t>、</w:t>
      </w:r>
      <w:r>
        <w:rPr>
          <w:rFonts w:hAnsi="宋体"/>
          <w:kern w:val="0"/>
          <w:szCs w:val="21"/>
        </w:rPr>
        <w:t>黄绿光</w:t>
      </w:r>
      <w:r>
        <w:rPr>
          <w:rFonts w:hint="eastAsia" w:hAnsi="宋体"/>
          <w:kern w:val="0"/>
          <w:szCs w:val="21"/>
        </w:rPr>
        <w:t>或者绿光</w:t>
      </w:r>
      <w:r>
        <w:rPr>
          <w:rFonts w:hAnsi="宋体"/>
          <w:kern w:val="0"/>
          <w:szCs w:val="21"/>
        </w:rPr>
        <w:t>与红光、激发源蓝光形成白光，主要用于由蓝光</w:t>
      </w:r>
      <w:r>
        <w:rPr>
          <w:kern w:val="0"/>
          <w:szCs w:val="21"/>
        </w:rPr>
        <w:t>LED</w:t>
      </w:r>
      <w:r>
        <w:rPr>
          <w:rFonts w:hAnsi="宋体"/>
          <w:kern w:val="0"/>
          <w:szCs w:val="21"/>
        </w:rPr>
        <w:t>芯片激发的白光</w:t>
      </w:r>
      <w:r>
        <w:rPr>
          <w:kern w:val="0"/>
          <w:szCs w:val="21"/>
        </w:rPr>
        <w:t>LED</w:t>
      </w:r>
      <w:r>
        <w:rPr>
          <w:rFonts w:hint="eastAsia"/>
          <w:kern w:val="0"/>
          <w:szCs w:val="21"/>
        </w:rPr>
        <w:t>灯</w:t>
      </w:r>
      <w:r>
        <w:rPr>
          <w:rFonts w:hAnsi="宋体"/>
          <w:kern w:val="0"/>
          <w:szCs w:val="21"/>
        </w:rPr>
        <w:t>。</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2 规范性引用文件</w:t>
      </w:r>
    </w:p>
    <w:p>
      <w:pPr>
        <w:ind w:right="-239" w:rightChars="-114" w:firstLine="420" w:firstLineChars="200"/>
        <w:rPr>
          <w:szCs w:val="21"/>
        </w:rPr>
      </w:pPr>
      <w:r>
        <w:rPr>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firstLine="420" w:firstLineChars="200"/>
        <w:rPr>
          <w:szCs w:val="21"/>
        </w:rPr>
      </w:pPr>
      <w:r>
        <w:rPr>
          <w:rFonts w:hint="eastAsia"/>
          <w:szCs w:val="21"/>
        </w:rPr>
        <w:t>GB</w:t>
      </w:r>
      <w:r>
        <w:rPr>
          <w:szCs w:val="21"/>
        </w:rPr>
        <w:t>/</w:t>
      </w:r>
      <w:r>
        <w:rPr>
          <w:rFonts w:hint="eastAsia"/>
          <w:szCs w:val="21"/>
        </w:rPr>
        <w:t>T 5838 荧光粉名词术语</w:t>
      </w:r>
    </w:p>
    <w:p>
      <w:pPr>
        <w:ind w:firstLine="420" w:firstLineChars="200"/>
        <w:rPr>
          <w:szCs w:val="21"/>
        </w:rPr>
      </w:pPr>
      <w:r>
        <w:rPr>
          <w:rFonts w:hint="eastAsia"/>
          <w:szCs w:val="21"/>
        </w:rPr>
        <w:t>GB</w:t>
      </w:r>
      <w:r>
        <w:rPr>
          <w:szCs w:val="21"/>
        </w:rPr>
        <w:t>/</w:t>
      </w:r>
      <w:r>
        <w:rPr>
          <w:rFonts w:hint="eastAsia"/>
          <w:szCs w:val="21"/>
        </w:rPr>
        <w:t>T 8170数值修约规则与极限数值的表示和判定</w:t>
      </w:r>
    </w:p>
    <w:p>
      <w:pPr>
        <w:ind w:firstLine="420" w:firstLineChars="200"/>
        <w:rPr>
          <w:szCs w:val="21"/>
        </w:rPr>
      </w:pPr>
      <w:r>
        <w:rPr>
          <w:rFonts w:hint="eastAsia"/>
          <w:szCs w:val="21"/>
        </w:rPr>
        <w:t>GB</w:t>
      </w:r>
      <w:r>
        <w:rPr>
          <w:szCs w:val="21"/>
        </w:rPr>
        <w:t>/</w:t>
      </w:r>
      <w:r>
        <w:rPr>
          <w:rFonts w:hint="eastAsia"/>
          <w:szCs w:val="21"/>
        </w:rPr>
        <w:t>T 14634.5 灯用稀土三基色荧光粉试验方法   第5部分：密度的测定</w:t>
      </w:r>
    </w:p>
    <w:p>
      <w:pPr>
        <w:ind w:firstLine="420" w:firstLineChars="200"/>
        <w:rPr>
          <w:szCs w:val="21"/>
        </w:rPr>
      </w:pPr>
      <w:r>
        <w:rPr>
          <w:rFonts w:hint="eastAsia"/>
          <w:szCs w:val="21"/>
        </w:rPr>
        <w:t>GB</w:t>
      </w:r>
      <w:r>
        <w:rPr>
          <w:szCs w:val="21"/>
        </w:rPr>
        <w:t>/</w:t>
      </w:r>
      <w:r>
        <w:rPr>
          <w:rFonts w:hint="eastAsia"/>
          <w:szCs w:val="21"/>
        </w:rPr>
        <w:t>T 20170.1 稀土金属及其化合物物理性能测试方法  稀土化合物粒度分布的测定</w:t>
      </w:r>
    </w:p>
    <w:p>
      <w:pPr>
        <w:ind w:firstLine="420" w:firstLineChars="200"/>
        <w:rPr>
          <w:szCs w:val="21"/>
        </w:rPr>
      </w:pPr>
      <w:r>
        <w:rPr>
          <w:rFonts w:hint="eastAsia"/>
          <w:szCs w:val="21"/>
        </w:rPr>
        <w:t>GB</w:t>
      </w:r>
      <w:r>
        <w:rPr>
          <w:szCs w:val="21"/>
        </w:rPr>
        <w:t>/</w:t>
      </w:r>
      <w:r>
        <w:rPr>
          <w:rFonts w:hint="eastAsia"/>
          <w:szCs w:val="21"/>
        </w:rPr>
        <w:t>T 23595（所有部分）白光LED灯用稀土黄色荧光粉试验方法</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3</w:t>
      </w:r>
      <w:r>
        <w:rPr>
          <w:rFonts w:eastAsia="黑体"/>
          <w:kern w:val="0"/>
          <w:szCs w:val="21"/>
        </w:rPr>
        <w:t xml:space="preserve"> </w:t>
      </w:r>
      <w:r>
        <w:rPr>
          <w:rFonts w:ascii="黑体" w:hAnsi="黑体" w:eastAsia="黑体"/>
          <w:kern w:val="0"/>
          <w:szCs w:val="21"/>
        </w:rPr>
        <w:t>术语和定义</w:t>
      </w:r>
    </w:p>
    <w:p>
      <w:pPr>
        <w:ind w:firstLine="420" w:firstLineChars="200"/>
        <w:rPr>
          <w:szCs w:val="21"/>
        </w:rPr>
      </w:pPr>
      <w:r>
        <w:rPr>
          <w:szCs w:val="21"/>
        </w:rPr>
        <w:t>GB/T 5838确立的以及</w:t>
      </w:r>
      <w:r>
        <w:rPr>
          <w:rFonts w:hint="eastAsia"/>
          <w:szCs w:val="21"/>
        </w:rPr>
        <w:t>下</w:t>
      </w:r>
      <w:r>
        <w:rPr>
          <w:szCs w:val="21"/>
        </w:rPr>
        <w:t>列术语和定义适用于本标准。</w:t>
      </w:r>
    </w:p>
    <w:p>
      <w:pPr>
        <w:autoSpaceDE w:val="0"/>
        <w:autoSpaceDN w:val="0"/>
        <w:adjustRightInd w:val="0"/>
        <w:jc w:val="left"/>
        <w:rPr>
          <w:kern w:val="0"/>
          <w:szCs w:val="21"/>
        </w:rPr>
      </w:pPr>
      <w:r>
        <w:rPr>
          <w:rFonts w:ascii="黑体" w:hAnsi="黑体" w:eastAsia="黑体"/>
          <w:kern w:val="0"/>
          <w:szCs w:val="21"/>
        </w:rPr>
        <w:t>3.1</w:t>
      </w:r>
      <w:r>
        <w:rPr>
          <w:rFonts w:ascii="黑体" w:hAnsi="黑体" w:eastAsia="黑体"/>
          <w:szCs w:val="21"/>
        </w:rPr>
        <w:t xml:space="preserve"> </w:t>
      </w:r>
      <w:r>
        <w:rPr>
          <w:rFonts w:eastAsia="黑体"/>
          <w:szCs w:val="21"/>
        </w:rPr>
        <w:t>标准荧光粉</w:t>
      </w:r>
      <w:r>
        <w:rPr>
          <w:rFonts w:eastAsia="黑体"/>
          <w:kern w:val="0"/>
          <w:szCs w:val="21"/>
        </w:rPr>
        <w:t xml:space="preserve"> standard phosphors</w:t>
      </w:r>
    </w:p>
    <w:p>
      <w:pPr>
        <w:ind w:firstLine="420" w:firstLineChars="200"/>
        <w:rPr>
          <w:szCs w:val="21"/>
        </w:rPr>
      </w:pPr>
      <w:r>
        <w:rPr>
          <w:rFonts w:hAnsi="宋体"/>
          <w:szCs w:val="21"/>
        </w:rPr>
        <w:t>按指定</w:t>
      </w:r>
      <w:r>
        <w:rPr>
          <w:rFonts w:hint="eastAsia" w:hAnsi="宋体"/>
          <w:szCs w:val="21"/>
        </w:rPr>
        <w:t>规格</w:t>
      </w:r>
      <w:r>
        <w:rPr>
          <w:rFonts w:hAnsi="宋体"/>
          <w:szCs w:val="21"/>
        </w:rPr>
        <w:t>及一定要求制得的、并经过性能标定的、用于产品性能相对测量用的荧光粉。</w:t>
      </w:r>
    </w:p>
    <w:p>
      <w:pPr>
        <w:autoSpaceDE w:val="0"/>
        <w:autoSpaceDN w:val="0"/>
        <w:adjustRightInd w:val="0"/>
        <w:jc w:val="left"/>
        <w:rPr>
          <w:rFonts w:eastAsia="黑体"/>
          <w:kern w:val="0"/>
          <w:szCs w:val="21"/>
        </w:rPr>
      </w:pPr>
      <w:r>
        <w:rPr>
          <w:rFonts w:ascii="黑体" w:hAnsi="黑体" w:eastAsia="黑体"/>
          <w:kern w:val="0"/>
          <w:szCs w:val="21"/>
        </w:rPr>
        <w:t>3.2</w:t>
      </w:r>
      <w:r>
        <w:rPr>
          <w:rFonts w:eastAsia="黑体"/>
          <w:kern w:val="0"/>
          <w:szCs w:val="21"/>
        </w:rPr>
        <w:t xml:space="preserve"> 相对亮度 relative brightness</w:t>
      </w:r>
    </w:p>
    <w:p>
      <w:pPr>
        <w:ind w:firstLine="420" w:firstLineChars="200"/>
        <w:rPr>
          <w:szCs w:val="21"/>
        </w:rPr>
      </w:pPr>
      <w:r>
        <w:rPr>
          <w:szCs w:val="21"/>
        </w:rPr>
        <w:t>在规定的激发条件下，荧光粉试样与对应的标准荧光粉的亮度之比。符号：Br。</w:t>
      </w:r>
    </w:p>
    <w:p>
      <w:pPr>
        <w:autoSpaceDE w:val="0"/>
        <w:autoSpaceDN w:val="0"/>
        <w:adjustRightInd w:val="0"/>
        <w:jc w:val="left"/>
        <w:rPr>
          <w:kern w:val="0"/>
          <w:szCs w:val="21"/>
        </w:rPr>
      </w:pPr>
      <w:r>
        <w:rPr>
          <w:rFonts w:ascii="黑体" w:hAnsi="黑体" w:eastAsia="黑体"/>
          <w:kern w:val="0"/>
          <w:szCs w:val="21"/>
        </w:rPr>
        <w:t>3.3</w:t>
      </w:r>
      <w:r>
        <w:rPr>
          <w:rFonts w:ascii="黑体" w:hAnsi="黑体" w:eastAsia="黑体"/>
          <w:szCs w:val="21"/>
        </w:rPr>
        <w:t xml:space="preserve"> 色品坐标</w:t>
      </w:r>
      <w:r>
        <w:rPr>
          <w:kern w:val="0"/>
          <w:szCs w:val="21"/>
        </w:rPr>
        <w:t xml:space="preserve"> chromaticty coordinate</w:t>
      </w:r>
    </w:p>
    <w:p>
      <w:pPr>
        <w:ind w:right="-239" w:rightChars="-114" w:firstLine="420" w:firstLineChars="200"/>
        <w:rPr>
          <w:szCs w:val="21"/>
        </w:rPr>
      </w:pPr>
      <w:r>
        <w:rPr>
          <w:szCs w:val="21"/>
        </w:rPr>
        <w:t>用来表征光源颜色或物体颜色的一组参数称为色品坐标。根据CIE-XYZ测色系规计算获得。</w:t>
      </w:r>
    </w:p>
    <w:p>
      <w:pPr>
        <w:autoSpaceDE w:val="0"/>
        <w:autoSpaceDN w:val="0"/>
        <w:adjustRightInd w:val="0"/>
        <w:jc w:val="left"/>
        <w:rPr>
          <w:rFonts w:eastAsia="黑体"/>
          <w:kern w:val="0"/>
          <w:szCs w:val="21"/>
        </w:rPr>
      </w:pPr>
      <w:r>
        <w:rPr>
          <w:rFonts w:ascii="黑体" w:hAnsi="黑体" w:eastAsia="黑体"/>
          <w:kern w:val="0"/>
          <w:szCs w:val="21"/>
        </w:rPr>
        <w:t>3.4</w:t>
      </w:r>
      <w:r>
        <w:rPr>
          <w:rFonts w:ascii="黑体" w:hAnsi="黑体" w:eastAsia="黑体"/>
          <w:szCs w:val="21"/>
        </w:rPr>
        <w:t xml:space="preserve"> 激发波长</w:t>
      </w:r>
      <w:r>
        <w:rPr>
          <w:rFonts w:eastAsia="黑体"/>
          <w:kern w:val="0"/>
          <w:szCs w:val="21"/>
        </w:rPr>
        <w:t xml:space="preserve"> excitation wavelength</w:t>
      </w:r>
    </w:p>
    <w:p>
      <w:pPr>
        <w:ind w:firstLine="420" w:firstLineChars="200"/>
        <w:rPr>
          <w:szCs w:val="21"/>
        </w:rPr>
      </w:pPr>
      <w:r>
        <w:rPr>
          <w:szCs w:val="21"/>
        </w:rPr>
        <w:t>用来激发荧光粉的光波波长。符号：λ</w:t>
      </w:r>
      <w:r>
        <w:rPr>
          <w:szCs w:val="21"/>
          <w:vertAlign w:val="subscript"/>
        </w:rPr>
        <w:t>ex</w:t>
      </w:r>
      <w:r>
        <w:rPr>
          <w:rFonts w:hint="eastAsia"/>
          <w:szCs w:val="21"/>
        </w:rPr>
        <w:t>，</w:t>
      </w:r>
      <w:r>
        <w:rPr>
          <w:szCs w:val="21"/>
        </w:rPr>
        <w:t>单位：nm。</w:t>
      </w:r>
    </w:p>
    <w:p>
      <w:pPr>
        <w:autoSpaceDE w:val="0"/>
        <w:autoSpaceDN w:val="0"/>
        <w:adjustRightInd w:val="0"/>
        <w:jc w:val="left"/>
        <w:rPr>
          <w:kern w:val="0"/>
          <w:szCs w:val="21"/>
        </w:rPr>
      </w:pPr>
      <w:r>
        <w:rPr>
          <w:rFonts w:ascii="黑体" w:hAnsi="黑体" w:eastAsia="黑体"/>
          <w:kern w:val="0"/>
          <w:szCs w:val="21"/>
        </w:rPr>
        <w:t>3.5</w:t>
      </w:r>
      <w:r>
        <w:rPr>
          <w:rFonts w:ascii="黑体" w:hAnsi="黑体" w:eastAsia="黑体"/>
          <w:szCs w:val="21"/>
        </w:rPr>
        <w:t xml:space="preserve"> 发射峰值波长</w:t>
      </w:r>
      <w:r>
        <w:rPr>
          <w:rFonts w:eastAsia="黑体"/>
          <w:kern w:val="0"/>
          <w:szCs w:val="21"/>
        </w:rPr>
        <w:t xml:space="preserve"> emission dominant peak wavelength</w:t>
      </w:r>
    </w:p>
    <w:p>
      <w:pPr>
        <w:ind w:firstLine="420" w:firstLineChars="200"/>
        <w:rPr>
          <w:szCs w:val="21"/>
        </w:rPr>
      </w:pPr>
      <w:r>
        <w:rPr>
          <w:szCs w:val="21"/>
        </w:rPr>
        <w:t>发射光谱中发光强度或辐射功率最大的谱峰对应的波长。符号：λ</w:t>
      </w:r>
      <w:r>
        <w:rPr>
          <w:szCs w:val="21"/>
          <w:vertAlign w:val="subscript"/>
        </w:rPr>
        <w:t>em</w:t>
      </w:r>
      <w:r>
        <w:rPr>
          <w:rFonts w:hint="eastAsia"/>
          <w:szCs w:val="21"/>
        </w:rPr>
        <w:t>，</w:t>
      </w:r>
      <w:r>
        <w:rPr>
          <w:szCs w:val="21"/>
        </w:rPr>
        <w:t>单位：nm。</w:t>
      </w:r>
    </w:p>
    <w:p>
      <w:pPr>
        <w:rPr>
          <w:szCs w:val="21"/>
        </w:rPr>
      </w:pPr>
      <w:r>
        <w:rPr>
          <w:rFonts w:ascii="黑体" w:hAnsi="黑体" w:eastAsia="黑体"/>
          <w:kern w:val="0"/>
          <w:szCs w:val="21"/>
        </w:rPr>
        <w:t>3.6</w:t>
      </w:r>
      <w:r>
        <w:rPr>
          <w:rFonts w:hint="eastAsia" w:ascii="黑体" w:hAnsi="黑体" w:eastAsia="黑体"/>
          <w:kern w:val="0"/>
          <w:szCs w:val="21"/>
        </w:rPr>
        <w:t xml:space="preserve"> </w:t>
      </w:r>
      <w:r>
        <w:rPr>
          <w:rFonts w:hint="eastAsia" w:ascii="黑体" w:hAnsi="黑体" w:eastAsia="黑体"/>
          <w:szCs w:val="21"/>
        </w:rPr>
        <w:t>双85测试</w:t>
      </w:r>
      <w:r>
        <w:rPr>
          <w:rFonts w:hint="eastAsia"/>
          <w:szCs w:val="21"/>
        </w:rPr>
        <w:t xml:space="preserve"> Double 85 test</w:t>
      </w:r>
    </w:p>
    <w:p>
      <w:pPr>
        <w:ind w:firstLine="420" w:firstLineChars="200"/>
        <w:rPr>
          <w:szCs w:val="21"/>
        </w:rPr>
      </w:pPr>
      <w:r>
        <w:rPr>
          <w:rFonts w:hint="eastAsia"/>
          <w:szCs w:val="21"/>
        </w:rPr>
        <w:t>荧光粉在85</w:t>
      </w:r>
      <w:r>
        <w:rPr>
          <w:szCs w:val="21"/>
        </w:rPr>
        <w:t xml:space="preserve"> </w:t>
      </w:r>
      <w:r>
        <w:rPr>
          <w:rFonts w:hint="eastAsia"/>
          <w:szCs w:val="21"/>
        </w:rPr>
        <w:t>℃，85%相对湿度条件下存储1</w:t>
      </w:r>
      <w:r>
        <w:rPr>
          <w:szCs w:val="21"/>
        </w:rPr>
        <w:t xml:space="preserve">000 </w:t>
      </w:r>
      <w:r>
        <w:rPr>
          <w:rFonts w:hint="eastAsia"/>
          <w:szCs w:val="21"/>
        </w:rPr>
        <w:t>h后性能维持情况，尤其是其色品坐标和亮度的维持度。</w:t>
      </w:r>
    </w:p>
    <w:p>
      <w:pPr>
        <w:ind w:firstLine="420" w:firstLineChars="200"/>
        <w:rPr>
          <w:szCs w:val="21"/>
        </w:rPr>
      </w:pPr>
      <w:r>
        <w:rPr>
          <w:rFonts w:hint="eastAsia"/>
          <w:szCs w:val="21"/>
        </w:rPr>
        <w:t>注：本标准中包含相对亮度变化值ΔB</w:t>
      </w:r>
      <w:r>
        <w:rPr>
          <w:rFonts w:hint="eastAsia"/>
          <w:szCs w:val="21"/>
          <w:vertAlign w:val="subscript"/>
        </w:rPr>
        <w:t>d</w:t>
      </w:r>
      <w:r>
        <w:rPr>
          <w:rFonts w:hint="eastAsia"/>
          <w:szCs w:val="21"/>
        </w:rPr>
        <w:t>，以及色品坐标的变化值Δx</w:t>
      </w:r>
      <w:r>
        <w:rPr>
          <w:rFonts w:hint="eastAsia"/>
          <w:szCs w:val="21"/>
          <w:vertAlign w:val="subscript"/>
        </w:rPr>
        <w:t>d</w:t>
      </w:r>
      <w:r>
        <w:rPr>
          <w:rFonts w:hint="eastAsia"/>
          <w:szCs w:val="21"/>
        </w:rPr>
        <w:t>、Δy</w:t>
      </w:r>
      <w:r>
        <w:rPr>
          <w:rFonts w:hint="eastAsia"/>
          <w:szCs w:val="21"/>
          <w:vertAlign w:val="subscript"/>
        </w:rPr>
        <w:t>d</w:t>
      </w:r>
      <w:r>
        <w:rPr>
          <w:rFonts w:hint="eastAsia"/>
          <w:szCs w:val="21"/>
        </w:rPr>
        <w:t>。</w:t>
      </w:r>
    </w:p>
    <w:p>
      <w:pPr>
        <w:rPr>
          <w:szCs w:val="21"/>
        </w:rPr>
      </w:pPr>
      <w:r>
        <w:rPr>
          <w:rFonts w:ascii="黑体" w:hAnsi="黑体" w:eastAsia="黑体"/>
          <w:kern w:val="0"/>
          <w:szCs w:val="21"/>
        </w:rPr>
        <w:t>3.7</w:t>
      </w:r>
      <w:r>
        <w:rPr>
          <w:rFonts w:eastAsia="黑体"/>
          <w:kern w:val="0"/>
          <w:szCs w:val="21"/>
        </w:rPr>
        <w:t xml:space="preserve"> </w:t>
      </w:r>
      <w:r>
        <w:rPr>
          <w:rFonts w:hint="eastAsia" w:ascii="黑体" w:hAnsi="黑体" w:eastAsia="黑体"/>
          <w:szCs w:val="21"/>
        </w:rPr>
        <w:t>PCT测试</w:t>
      </w:r>
      <w:r>
        <w:rPr>
          <w:rFonts w:hint="eastAsia"/>
          <w:szCs w:val="21"/>
        </w:rPr>
        <w:t xml:space="preserve"> PCT t</w:t>
      </w:r>
      <w:r>
        <w:rPr>
          <w:szCs w:val="21"/>
        </w:rPr>
        <w:t>es</w:t>
      </w:r>
      <w:r>
        <w:rPr>
          <w:rFonts w:hint="eastAsia"/>
          <w:szCs w:val="21"/>
        </w:rPr>
        <w:t>t</w:t>
      </w:r>
    </w:p>
    <w:p>
      <w:pPr>
        <w:ind w:firstLine="420" w:firstLineChars="200"/>
        <w:rPr>
          <w:szCs w:val="21"/>
        </w:rPr>
      </w:pPr>
      <w:r>
        <w:rPr>
          <w:rFonts w:hint="eastAsia"/>
          <w:szCs w:val="21"/>
        </w:rPr>
        <w:t>荧光粉在121</w:t>
      </w:r>
      <w:r>
        <w:rPr>
          <w:szCs w:val="21"/>
        </w:rPr>
        <w:t xml:space="preserve"> </w:t>
      </w:r>
      <w:r>
        <w:rPr>
          <w:rFonts w:hint="eastAsia"/>
          <w:szCs w:val="21"/>
        </w:rPr>
        <w:t>℃，100%相对湿度，2atm极端条件下存储4</w:t>
      </w:r>
      <w:r>
        <w:rPr>
          <w:szCs w:val="21"/>
        </w:rPr>
        <w:t xml:space="preserve">8 </w:t>
      </w:r>
      <w:r>
        <w:rPr>
          <w:rFonts w:hint="eastAsia"/>
          <w:szCs w:val="21"/>
        </w:rPr>
        <w:t>h性能维持情况，尤其是其色品坐标和亮度的维持度。</w:t>
      </w:r>
    </w:p>
    <w:p>
      <w:pPr>
        <w:ind w:firstLine="420" w:firstLineChars="200"/>
        <w:rPr>
          <w:szCs w:val="21"/>
        </w:rPr>
      </w:pPr>
      <w:r>
        <w:rPr>
          <w:rFonts w:hint="eastAsia"/>
          <w:szCs w:val="21"/>
        </w:rPr>
        <w:t>注：本标准中包含相对亮度变化值ΔB</w:t>
      </w:r>
      <w:r>
        <w:rPr>
          <w:szCs w:val="21"/>
          <w:vertAlign w:val="subscript"/>
        </w:rPr>
        <w:t>p</w:t>
      </w:r>
      <w:r>
        <w:rPr>
          <w:rFonts w:hint="eastAsia"/>
          <w:szCs w:val="21"/>
        </w:rPr>
        <w:t>，以及色品坐标的变化值Δx</w:t>
      </w:r>
      <w:r>
        <w:rPr>
          <w:rFonts w:hint="eastAsia"/>
          <w:szCs w:val="21"/>
          <w:vertAlign w:val="subscript"/>
        </w:rPr>
        <w:t>p</w:t>
      </w:r>
      <w:r>
        <w:rPr>
          <w:rFonts w:hint="eastAsia"/>
          <w:szCs w:val="21"/>
        </w:rPr>
        <w:t>、Δy</w:t>
      </w:r>
      <w:r>
        <w:rPr>
          <w:rFonts w:hint="eastAsia"/>
          <w:szCs w:val="21"/>
          <w:vertAlign w:val="subscript"/>
        </w:rPr>
        <w:t>p</w:t>
      </w:r>
      <w:r>
        <w:rPr>
          <w:rFonts w:hint="eastAsia"/>
          <w:szCs w:val="21"/>
        </w:rPr>
        <w:t>。</w:t>
      </w:r>
    </w:p>
    <w:p>
      <w:pPr>
        <w:rPr>
          <w:szCs w:val="21"/>
        </w:rPr>
      </w:pPr>
      <w:r>
        <w:rPr>
          <w:rFonts w:ascii="黑体" w:hAnsi="黑体" w:eastAsia="黑体"/>
          <w:kern w:val="0"/>
          <w:szCs w:val="21"/>
        </w:rPr>
        <w:t>3.8</w:t>
      </w:r>
      <w:r>
        <w:rPr>
          <w:rFonts w:hint="eastAsia"/>
          <w:szCs w:val="21"/>
        </w:rPr>
        <w:t xml:space="preserve"> </w:t>
      </w:r>
      <w:r>
        <w:rPr>
          <w:rFonts w:hint="eastAsia" w:ascii="黑体" w:hAnsi="黑体" w:eastAsia="黑体"/>
          <w:szCs w:val="21"/>
        </w:rPr>
        <w:t>热猝灭性(温度猝灭)</w:t>
      </w:r>
      <w:r>
        <w:rPr>
          <w:rFonts w:hint="eastAsia" w:hAnsi="黑体" w:eastAsia="黑体"/>
          <w:kern w:val="0"/>
          <w:szCs w:val="21"/>
        </w:rPr>
        <w:t xml:space="preserve"> </w:t>
      </w:r>
      <w:r>
        <w:rPr>
          <w:rFonts w:hint="eastAsia"/>
          <w:szCs w:val="21"/>
        </w:rPr>
        <w:t>temperature quenching</w:t>
      </w:r>
    </w:p>
    <w:p>
      <w:pPr>
        <w:ind w:firstLine="420" w:firstLineChars="200"/>
        <w:rPr>
          <w:szCs w:val="21"/>
        </w:rPr>
      </w:pPr>
      <w:r>
        <w:rPr>
          <w:rFonts w:hint="eastAsia"/>
          <w:szCs w:val="21"/>
        </w:rPr>
        <w:t>由温度升高引起的发光性能变化，当温度恢复时，发光性能随之恢复的现象。</w:t>
      </w:r>
    </w:p>
    <w:p>
      <w:pPr>
        <w:ind w:firstLine="420" w:firstLineChars="200"/>
        <w:rPr>
          <w:szCs w:val="21"/>
        </w:rPr>
      </w:pPr>
      <w:r>
        <w:rPr>
          <w:rFonts w:hint="eastAsia"/>
          <w:szCs w:val="21"/>
        </w:rPr>
        <w:t>注：本标准中包含相对亮度变化值为ΔB</w:t>
      </w:r>
      <w:r>
        <w:rPr>
          <w:rFonts w:hint="eastAsia"/>
          <w:szCs w:val="21"/>
          <w:vertAlign w:val="subscript"/>
        </w:rPr>
        <w:t>q</w:t>
      </w:r>
      <w:r>
        <w:rPr>
          <w:rFonts w:hint="eastAsia"/>
          <w:szCs w:val="21"/>
        </w:rPr>
        <w:t>，以及色品坐标的变化值为Δx</w:t>
      </w:r>
      <w:r>
        <w:rPr>
          <w:rFonts w:hint="eastAsia"/>
          <w:szCs w:val="21"/>
          <w:vertAlign w:val="subscript"/>
        </w:rPr>
        <w:t>q</w:t>
      </w:r>
      <w:r>
        <w:rPr>
          <w:rFonts w:hint="eastAsia"/>
          <w:szCs w:val="21"/>
        </w:rPr>
        <w:t>、Δy</w:t>
      </w:r>
      <w:r>
        <w:rPr>
          <w:rFonts w:hint="eastAsia"/>
          <w:szCs w:val="21"/>
          <w:vertAlign w:val="subscript"/>
        </w:rPr>
        <w:t>q</w:t>
      </w:r>
      <w:r>
        <w:rPr>
          <w:rFonts w:hint="eastAsia"/>
          <w:szCs w:val="21"/>
        </w:rPr>
        <w:t>。</w:t>
      </w:r>
    </w:p>
    <w:p>
      <w:pPr>
        <w:spacing w:before="120" w:beforeLines="50" w:after="120" w:afterLines="50"/>
        <w:rPr>
          <w:rFonts w:ascii="黑体" w:hAnsi="黑体" w:eastAsia="黑体"/>
          <w:szCs w:val="21"/>
        </w:rPr>
      </w:pPr>
      <w:r>
        <w:rPr>
          <w:rFonts w:ascii="黑体" w:hAnsi="黑体" w:eastAsia="黑体"/>
          <w:kern w:val="0"/>
          <w:szCs w:val="21"/>
        </w:rPr>
        <w:t>4</w:t>
      </w:r>
      <w:r>
        <w:rPr>
          <w:rFonts w:ascii="黑体" w:hAnsi="黑体" w:eastAsia="黑体"/>
          <w:szCs w:val="21"/>
        </w:rPr>
        <w:t xml:space="preserve"> 要求</w:t>
      </w:r>
    </w:p>
    <w:p>
      <w:pPr>
        <w:spacing w:before="120" w:beforeLines="50" w:after="120" w:afterLines="50"/>
        <w:rPr>
          <w:szCs w:val="21"/>
        </w:rPr>
      </w:pPr>
      <w:r>
        <w:rPr>
          <w:rFonts w:ascii="黑体" w:hAnsi="黑体" w:eastAsia="黑体"/>
          <w:kern w:val="0"/>
          <w:szCs w:val="21"/>
        </w:rPr>
        <w:t>4.1</w:t>
      </w:r>
      <w:r>
        <w:rPr>
          <w:rFonts w:ascii="黑体" w:hAnsi="黑体" w:eastAsia="黑体"/>
          <w:szCs w:val="21"/>
        </w:rPr>
        <w:t xml:space="preserve"> </w:t>
      </w:r>
      <w:r>
        <w:rPr>
          <w:szCs w:val="21"/>
        </w:rPr>
        <w:t>产品的主要性能指标应符合表1的规定，其中</w:t>
      </w:r>
      <w:r>
        <w:rPr>
          <w:rFonts w:hint="eastAsia"/>
          <w:szCs w:val="21"/>
        </w:rPr>
        <w:t>双85测试和PCT测试、</w:t>
      </w:r>
      <w:r>
        <w:rPr>
          <w:szCs w:val="21"/>
        </w:rPr>
        <w:t>热猝灭性、pH值和电导率为参考值，不作验收依据；中心粒径只规定偏差值。需方如对产品有特殊要求，由供需双方协商确定。</w:t>
      </w:r>
    </w:p>
    <w:p>
      <w:pPr>
        <w:spacing w:before="120" w:beforeLines="50" w:after="120" w:afterLines="50"/>
        <w:rPr>
          <w:szCs w:val="21"/>
        </w:rPr>
      </w:pPr>
      <w:r>
        <w:rPr>
          <w:rFonts w:ascii="黑体" w:hAnsi="黑体" w:eastAsia="黑体"/>
          <w:kern w:val="0"/>
          <w:szCs w:val="21"/>
        </w:rPr>
        <w:t>4.2</w:t>
      </w:r>
      <w:r>
        <w:rPr>
          <w:rFonts w:ascii="黑体" w:hAnsi="黑体" w:eastAsia="黑体"/>
          <w:szCs w:val="21"/>
        </w:rPr>
        <w:t xml:space="preserve"> </w:t>
      </w:r>
      <w:r>
        <w:rPr>
          <w:szCs w:val="21"/>
        </w:rPr>
        <w:t>产品为黄色</w:t>
      </w:r>
      <w:r>
        <w:rPr>
          <w:rFonts w:hint="eastAsia"/>
          <w:szCs w:val="21"/>
        </w:rPr>
        <w:t>、黄绿色</w:t>
      </w:r>
      <w:r>
        <w:rPr>
          <w:rFonts w:hint="eastAsia"/>
        </w:rPr>
        <w:t>或绿色</w:t>
      </w:r>
      <w:r>
        <w:rPr>
          <w:szCs w:val="21"/>
        </w:rPr>
        <w:t>，应洁净，无目视可见的夹杂物。</w:t>
      </w:r>
    </w:p>
    <w:p>
      <w:pPr>
        <w:jc w:val="center"/>
        <w:rPr>
          <w:rFonts w:ascii="宋体" w:hAnsi="宋体"/>
          <w:kern w:val="0"/>
          <w:sz w:val="18"/>
          <w:szCs w:val="18"/>
        </w:rPr>
      </w:pPr>
      <w:r>
        <w:rPr>
          <w:rFonts w:ascii="宋体" w:hAnsi="宋体"/>
          <w:kern w:val="0"/>
          <w:sz w:val="18"/>
          <w:szCs w:val="18"/>
        </w:rPr>
        <w:t xml:space="preserve">表1 </w:t>
      </w:r>
      <w:r>
        <w:rPr>
          <w:rFonts w:hint="eastAsia" w:ascii="宋体" w:hAnsi="宋体"/>
          <w:kern w:val="0"/>
          <w:sz w:val="18"/>
          <w:szCs w:val="18"/>
        </w:rPr>
        <w:t>主要性能指标</w:t>
      </w:r>
    </w:p>
    <w:tbl>
      <w:tblPr>
        <w:tblStyle w:val="32"/>
        <w:tblW w:w="55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
        <w:gridCol w:w="2170"/>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936" w:type="dxa"/>
            <w:vMerge w:val="restart"/>
            <w:noWrap/>
            <w:vAlign w:val="center"/>
          </w:tcPr>
          <w:p>
            <w:pPr>
              <w:widowControl/>
              <w:jc w:val="center"/>
              <w:rPr>
                <w:color w:val="000000"/>
                <w:kern w:val="0"/>
                <w:sz w:val="18"/>
                <w:szCs w:val="18"/>
              </w:rPr>
            </w:pPr>
            <w:r>
              <w:rPr>
                <w:rFonts w:hAnsi="宋体"/>
                <w:color w:val="000000"/>
                <w:kern w:val="0"/>
                <w:sz w:val="18"/>
                <w:szCs w:val="18"/>
              </w:rPr>
              <w:t>光谱性能</w:t>
            </w:r>
          </w:p>
        </w:tc>
        <w:tc>
          <w:tcPr>
            <w:tcW w:w="2170" w:type="dxa"/>
            <w:noWrap/>
            <w:vAlign w:val="center"/>
          </w:tcPr>
          <w:p>
            <w:pPr>
              <w:widowControl/>
              <w:jc w:val="center"/>
              <w:rPr>
                <w:color w:val="000000"/>
                <w:kern w:val="0"/>
                <w:sz w:val="18"/>
                <w:szCs w:val="18"/>
              </w:rPr>
            </w:pPr>
            <w:r>
              <w:rPr>
                <w:rFonts w:hAnsi="宋体"/>
                <w:color w:val="000000"/>
                <w:kern w:val="0"/>
                <w:sz w:val="18"/>
                <w:szCs w:val="18"/>
              </w:rPr>
              <w:t>激发波长范围（</w:t>
            </w:r>
            <w:r>
              <w:rPr>
                <w:color w:val="000000"/>
                <w:kern w:val="0"/>
                <w:sz w:val="18"/>
                <w:szCs w:val="18"/>
              </w:rPr>
              <w:t>λ</w:t>
            </w:r>
            <w:r>
              <w:rPr>
                <w:color w:val="000000"/>
                <w:kern w:val="0"/>
                <w:sz w:val="18"/>
                <w:szCs w:val="18"/>
                <w:vertAlign w:val="subscript"/>
              </w:rPr>
              <w:t>ex</w:t>
            </w:r>
            <w:r>
              <w:rPr>
                <w:rFonts w:hAnsi="宋体"/>
                <w:color w:val="000000"/>
                <w:kern w:val="0"/>
                <w:sz w:val="18"/>
                <w:szCs w:val="18"/>
              </w:rPr>
              <w:t>）</w:t>
            </w:r>
            <w:r>
              <w:rPr>
                <w:color w:val="000000"/>
                <w:kern w:val="0"/>
                <w:sz w:val="18"/>
                <w:szCs w:val="18"/>
              </w:rPr>
              <w:t>/nm</w:t>
            </w:r>
          </w:p>
        </w:tc>
        <w:tc>
          <w:tcPr>
            <w:tcW w:w="2396" w:type="dxa"/>
            <w:noWrap/>
            <w:vAlign w:val="center"/>
          </w:tcPr>
          <w:p>
            <w:pPr>
              <w:widowControl/>
              <w:jc w:val="center"/>
              <w:rPr>
                <w:color w:val="000000"/>
                <w:kern w:val="0"/>
                <w:sz w:val="18"/>
                <w:szCs w:val="18"/>
              </w:rPr>
            </w:pPr>
            <w:r>
              <w:rPr>
                <w:color w:val="000000"/>
                <w:kern w:val="0"/>
                <w:sz w:val="18"/>
                <w:szCs w:val="18"/>
              </w:rPr>
              <w:t>440-480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936" w:type="dxa"/>
            <w:vMerge w:val="continue"/>
            <w:vAlign w:val="center"/>
          </w:tcPr>
          <w:p>
            <w:pPr>
              <w:widowControl/>
              <w:jc w:val="center"/>
              <w:rPr>
                <w:color w:val="000000"/>
                <w:kern w:val="0"/>
                <w:sz w:val="18"/>
                <w:szCs w:val="18"/>
              </w:rPr>
            </w:pPr>
          </w:p>
        </w:tc>
        <w:tc>
          <w:tcPr>
            <w:tcW w:w="2170" w:type="dxa"/>
            <w:noWrap/>
            <w:vAlign w:val="center"/>
          </w:tcPr>
          <w:p>
            <w:pPr>
              <w:widowControl/>
              <w:jc w:val="center"/>
              <w:rPr>
                <w:color w:val="000000"/>
                <w:kern w:val="0"/>
                <w:sz w:val="18"/>
                <w:szCs w:val="18"/>
              </w:rPr>
            </w:pPr>
            <w:r>
              <w:rPr>
                <w:rFonts w:hAnsi="宋体"/>
                <w:color w:val="000000"/>
                <w:kern w:val="0"/>
                <w:sz w:val="18"/>
                <w:szCs w:val="18"/>
              </w:rPr>
              <w:t>发射峰值波长（</w:t>
            </w:r>
            <w:r>
              <w:rPr>
                <w:color w:val="000000"/>
                <w:kern w:val="0"/>
                <w:sz w:val="18"/>
                <w:szCs w:val="18"/>
              </w:rPr>
              <w:t>λ</w:t>
            </w:r>
            <w:r>
              <w:rPr>
                <w:color w:val="000000"/>
                <w:kern w:val="0"/>
                <w:sz w:val="18"/>
                <w:szCs w:val="18"/>
                <w:vertAlign w:val="subscript"/>
              </w:rPr>
              <w:t>em</w:t>
            </w:r>
            <w:r>
              <w:rPr>
                <w:rFonts w:hAnsi="宋体"/>
                <w:color w:val="000000"/>
                <w:kern w:val="0"/>
                <w:sz w:val="18"/>
                <w:szCs w:val="18"/>
              </w:rPr>
              <w:t>）</w:t>
            </w:r>
            <w:r>
              <w:rPr>
                <w:color w:val="000000"/>
                <w:kern w:val="0"/>
                <w:sz w:val="18"/>
                <w:szCs w:val="18"/>
              </w:rPr>
              <w:t>/nm</w:t>
            </w:r>
          </w:p>
        </w:tc>
        <w:tc>
          <w:tcPr>
            <w:tcW w:w="2396" w:type="dxa"/>
            <w:noWrap/>
            <w:vAlign w:val="center"/>
          </w:tcPr>
          <w:p>
            <w:pPr>
              <w:widowControl/>
              <w:jc w:val="center"/>
              <w:rPr>
                <w:color w:val="000000"/>
                <w:kern w:val="0"/>
                <w:sz w:val="18"/>
                <w:szCs w:val="18"/>
              </w:rPr>
            </w:pPr>
            <w:r>
              <w:rPr>
                <w:color w:val="000000"/>
                <w:kern w:val="0"/>
                <w:sz w:val="18"/>
                <w:szCs w:val="18"/>
              </w:rPr>
              <w:t>495-580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3106" w:type="dxa"/>
            <w:gridSpan w:val="2"/>
            <w:noWrap/>
            <w:vAlign w:val="center"/>
          </w:tcPr>
          <w:p>
            <w:pPr>
              <w:widowControl/>
              <w:jc w:val="center"/>
              <w:rPr>
                <w:color w:val="000000"/>
                <w:kern w:val="0"/>
                <w:sz w:val="18"/>
                <w:szCs w:val="18"/>
              </w:rPr>
            </w:pPr>
            <w:r>
              <w:rPr>
                <w:rFonts w:hAnsi="宋体"/>
                <w:color w:val="000000"/>
                <w:kern w:val="0"/>
                <w:sz w:val="18"/>
                <w:szCs w:val="18"/>
              </w:rPr>
              <w:t>相对亮度（</w:t>
            </w:r>
            <w:r>
              <w:rPr>
                <w:color w:val="000000"/>
                <w:kern w:val="0"/>
                <w:sz w:val="18"/>
                <w:szCs w:val="18"/>
              </w:rPr>
              <w:t>Br</w:t>
            </w:r>
            <w:r>
              <w:rPr>
                <w:rFonts w:hAnsi="宋体"/>
                <w:color w:val="000000"/>
                <w:kern w:val="0"/>
                <w:sz w:val="18"/>
                <w:szCs w:val="18"/>
              </w:rPr>
              <w:t>）</w:t>
            </w:r>
            <w:r>
              <w:rPr>
                <w:color w:val="000000"/>
                <w:kern w:val="0"/>
                <w:sz w:val="18"/>
                <w:szCs w:val="18"/>
              </w:rPr>
              <w:t>/%</w:t>
            </w:r>
          </w:p>
        </w:tc>
        <w:tc>
          <w:tcPr>
            <w:tcW w:w="2396" w:type="dxa"/>
            <w:noWrap/>
            <w:vAlign w:val="center"/>
          </w:tcPr>
          <w:p>
            <w:pPr>
              <w:widowControl/>
              <w:jc w:val="center"/>
              <w:rPr>
                <w:color w:val="000000"/>
                <w:kern w:val="0"/>
                <w:sz w:val="18"/>
                <w:szCs w:val="18"/>
              </w:rPr>
            </w:pPr>
            <w:r>
              <w:rPr>
                <w:color w:val="000000"/>
                <w:kern w:val="0"/>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936" w:type="dxa"/>
            <w:vMerge w:val="restart"/>
            <w:noWrap/>
            <w:vAlign w:val="center"/>
          </w:tcPr>
          <w:p>
            <w:pPr>
              <w:widowControl/>
              <w:jc w:val="center"/>
              <w:rPr>
                <w:color w:val="000000"/>
                <w:kern w:val="0"/>
                <w:sz w:val="18"/>
                <w:szCs w:val="18"/>
              </w:rPr>
            </w:pPr>
            <w:r>
              <w:rPr>
                <w:rFonts w:hAnsi="宋体"/>
                <w:color w:val="000000"/>
                <w:kern w:val="0"/>
                <w:sz w:val="18"/>
                <w:szCs w:val="18"/>
              </w:rPr>
              <w:t>色</w:t>
            </w:r>
            <w:r>
              <w:rPr>
                <w:rFonts w:hint="eastAsia" w:hAnsi="宋体"/>
                <w:color w:val="000000"/>
                <w:kern w:val="0"/>
                <w:sz w:val="18"/>
                <w:szCs w:val="18"/>
              </w:rPr>
              <w:t>品</w:t>
            </w:r>
            <w:r>
              <w:rPr>
                <w:rFonts w:hAnsi="宋体"/>
                <w:color w:val="000000"/>
                <w:kern w:val="0"/>
                <w:sz w:val="18"/>
                <w:szCs w:val="18"/>
              </w:rPr>
              <w:t>坐标</w:t>
            </w:r>
          </w:p>
        </w:tc>
        <w:tc>
          <w:tcPr>
            <w:tcW w:w="2170" w:type="dxa"/>
            <w:noWrap/>
            <w:vAlign w:val="center"/>
          </w:tcPr>
          <w:p>
            <w:pPr>
              <w:widowControl/>
              <w:jc w:val="center"/>
              <w:rPr>
                <w:color w:val="000000"/>
                <w:kern w:val="0"/>
                <w:sz w:val="18"/>
                <w:szCs w:val="18"/>
              </w:rPr>
            </w:pPr>
            <w:r>
              <w:rPr>
                <w:color w:val="000000"/>
                <w:kern w:val="0"/>
                <w:sz w:val="18"/>
                <w:szCs w:val="18"/>
              </w:rPr>
              <w:t>x</w:t>
            </w:r>
          </w:p>
        </w:tc>
        <w:tc>
          <w:tcPr>
            <w:tcW w:w="2396" w:type="dxa"/>
            <w:noWrap/>
            <w:vAlign w:val="center"/>
          </w:tcPr>
          <w:p>
            <w:pPr>
              <w:widowControl/>
              <w:jc w:val="center"/>
              <w:rPr>
                <w:color w:val="000000"/>
                <w:kern w:val="0"/>
                <w:sz w:val="18"/>
                <w:szCs w:val="18"/>
              </w:rPr>
            </w:pPr>
            <w:r>
              <w:rPr>
                <w:color w:val="000000"/>
                <w:kern w:val="0"/>
                <w:sz w:val="18"/>
                <w:szCs w:val="18"/>
              </w:rPr>
              <w:t>0.2500-0.5100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936" w:type="dxa"/>
            <w:vMerge w:val="continue"/>
            <w:vAlign w:val="center"/>
          </w:tcPr>
          <w:p>
            <w:pPr>
              <w:widowControl/>
              <w:jc w:val="center"/>
              <w:rPr>
                <w:color w:val="000000"/>
                <w:kern w:val="0"/>
                <w:sz w:val="18"/>
                <w:szCs w:val="18"/>
              </w:rPr>
            </w:pPr>
          </w:p>
        </w:tc>
        <w:tc>
          <w:tcPr>
            <w:tcW w:w="2170" w:type="dxa"/>
            <w:noWrap/>
            <w:vAlign w:val="center"/>
          </w:tcPr>
          <w:p>
            <w:pPr>
              <w:widowControl/>
              <w:jc w:val="center"/>
              <w:rPr>
                <w:color w:val="000000"/>
                <w:kern w:val="0"/>
                <w:sz w:val="18"/>
                <w:szCs w:val="18"/>
              </w:rPr>
            </w:pPr>
            <w:r>
              <w:rPr>
                <w:color w:val="000000"/>
                <w:kern w:val="0"/>
                <w:sz w:val="18"/>
                <w:szCs w:val="18"/>
              </w:rPr>
              <w:t>y</w:t>
            </w:r>
          </w:p>
        </w:tc>
        <w:tc>
          <w:tcPr>
            <w:tcW w:w="2396" w:type="dxa"/>
            <w:noWrap/>
            <w:vAlign w:val="center"/>
          </w:tcPr>
          <w:p>
            <w:pPr>
              <w:widowControl/>
              <w:jc w:val="center"/>
              <w:rPr>
                <w:color w:val="000000"/>
                <w:kern w:val="0"/>
                <w:sz w:val="18"/>
                <w:szCs w:val="18"/>
              </w:rPr>
            </w:pPr>
            <w:r>
              <w:rPr>
                <w:color w:val="000000"/>
                <w:kern w:val="0"/>
                <w:sz w:val="18"/>
                <w:szCs w:val="18"/>
              </w:rPr>
              <w:t>0.5800-0.4800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3106" w:type="dxa"/>
            <w:gridSpan w:val="2"/>
            <w:noWrap/>
            <w:vAlign w:val="center"/>
          </w:tcPr>
          <w:p>
            <w:pPr>
              <w:widowControl/>
              <w:jc w:val="center"/>
              <w:rPr>
                <w:color w:val="000000"/>
                <w:kern w:val="0"/>
                <w:sz w:val="18"/>
                <w:szCs w:val="18"/>
              </w:rPr>
            </w:pPr>
            <w:r>
              <w:rPr>
                <w:rFonts w:hAnsi="宋体"/>
                <w:color w:val="000000"/>
                <w:kern w:val="0"/>
                <w:sz w:val="18"/>
                <w:szCs w:val="18"/>
              </w:rPr>
              <w:t>密度</w:t>
            </w:r>
            <w:r>
              <w:rPr>
                <w:color w:val="000000"/>
                <w:kern w:val="0"/>
                <w:sz w:val="18"/>
                <w:szCs w:val="18"/>
              </w:rPr>
              <w:t>(g/cm)</w:t>
            </w:r>
          </w:p>
        </w:tc>
        <w:tc>
          <w:tcPr>
            <w:tcW w:w="2396" w:type="dxa"/>
            <w:noWrap/>
            <w:vAlign w:val="center"/>
          </w:tcPr>
          <w:p>
            <w:pPr>
              <w:widowControl/>
              <w:jc w:val="center"/>
              <w:rPr>
                <w:color w:val="000000"/>
                <w:kern w:val="0"/>
                <w:sz w:val="18"/>
                <w:szCs w:val="18"/>
              </w:rPr>
            </w:pPr>
            <w:r>
              <w:rPr>
                <w:color w:val="000000"/>
                <w:kern w:val="0"/>
                <w:sz w:val="18"/>
                <w:szCs w:val="18"/>
              </w:rPr>
              <w:t>4.</w:t>
            </w:r>
            <w:r>
              <w:rPr>
                <w:rFonts w:hint="eastAsia"/>
                <w:color w:val="000000"/>
                <w:kern w:val="0"/>
                <w:sz w:val="18"/>
                <w:szCs w:val="18"/>
              </w:rPr>
              <w:t>2</w:t>
            </w:r>
            <w:r>
              <w:rPr>
                <w:color w:val="000000"/>
                <w:kern w:val="0"/>
                <w:sz w:val="18"/>
                <w:szCs w:val="18"/>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3106" w:type="dxa"/>
            <w:gridSpan w:val="2"/>
            <w:noWrap/>
            <w:vAlign w:val="center"/>
          </w:tcPr>
          <w:p>
            <w:pPr>
              <w:widowControl/>
              <w:jc w:val="center"/>
              <w:rPr>
                <w:color w:val="000000"/>
                <w:kern w:val="0"/>
                <w:sz w:val="18"/>
                <w:szCs w:val="18"/>
              </w:rPr>
            </w:pPr>
            <w:r>
              <w:rPr>
                <w:rFonts w:hAnsi="宋体"/>
                <w:color w:val="000000"/>
                <w:kern w:val="0"/>
                <w:sz w:val="18"/>
                <w:szCs w:val="18"/>
              </w:rPr>
              <w:t>中心粒径</w:t>
            </w:r>
            <w:r>
              <w:rPr>
                <w:rFonts w:hint="eastAsia" w:hAnsi="宋体"/>
                <w:color w:val="000000"/>
                <w:kern w:val="0"/>
                <w:sz w:val="18"/>
                <w:szCs w:val="18"/>
              </w:rPr>
              <w:t>范围</w:t>
            </w:r>
            <w:r>
              <w:rPr>
                <w:rFonts w:hAnsi="宋体"/>
                <w:color w:val="000000"/>
                <w:kern w:val="0"/>
                <w:sz w:val="18"/>
                <w:szCs w:val="18"/>
              </w:rPr>
              <w:t>（</w:t>
            </w:r>
            <w:r>
              <w:rPr>
                <w:color w:val="000000"/>
                <w:kern w:val="0"/>
                <w:sz w:val="18"/>
                <w:szCs w:val="18"/>
              </w:rPr>
              <w:t>D[V,50])/μm</w:t>
            </w:r>
          </w:p>
        </w:tc>
        <w:tc>
          <w:tcPr>
            <w:tcW w:w="2396" w:type="dxa"/>
            <w:noWrap/>
            <w:vAlign w:val="center"/>
          </w:tcPr>
          <w:p>
            <w:pPr>
              <w:widowControl/>
              <w:jc w:val="center"/>
              <w:rPr>
                <w:color w:val="000000"/>
                <w:kern w:val="0"/>
                <w:sz w:val="18"/>
                <w:szCs w:val="18"/>
              </w:rPr>
            </w:pPr>
            <w:r>
              <w:rPr>
                <w:color w:val="000000"/>
                <w:kern w:val="0"/>
                <w:sz w:val="18"/>
                <w:szCs w:val="18"/>
              </w:rPr>
              <w:t>D[V,50]±1.00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3106" w:type="dxa"/>
            <w:gridSpan w:val="2"/>
            <w:noWrap/>
            <w:vAlign w:val="center"/>
          </w:tcPr>
          <w:p>
            <w:pPr>
              <w:widowControl/>
              <w:jc w:val="center"/>
              <w:rPr>
                <w:rFonts w:hAnsi="宋体"/>
                <w:color w:val="000000"/>
                <w:kern w:val="0"/>
                <w:sz w:val="18"/>
                <w:szCs w:val="18"/>
              </w:rPr>
            </w:pPr>
            <w:r>
              <w:rPr>
                <w:rFonts w:hint="eastAsia" w:hAnsi="宋体"/>
                <w:color w:val="000000"/>
                <w:kern w:val="0"/>
                <w:sz w:val="18"/>
                <w:szCs w:val="18"/>
              </w:rPr>
              <w:t>分布系数</w:t>
            </w:r>
          </w:p>
        </w:tc>
        <w:tc>
          <w:tcPr>
            <w:tcW w:w="2396" w:type="dxa"/>
            <w:noWrap/>
            <w:vAlign w:val="center"/>
          </w:tcPr>
          <w:p>
            <w:pPr>
              <w:widowControl/>
              <w:jc w:val="center"/>
              <w:rPr>
                <w:color w:val="000000"/>
                <w:kern w:val="0"/>
                <w:sz w:val="18"/>
                <w:szCs w:val="18"/>
              </w:rPr>
            </w:pPr>
            <w:r>
              <w:rPr>
                <w:rFonts w:hint="eastAsia"/>
                <w:color w:val="000000"/>
                <w:kern w:val="0"/>
                <w:sz w:val="18"/>
                <w:szCs w:val="18"/>
              </w:rPr>
              <w:t>0.6-1.2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3106" w:type="dxa"/>
            <w:gridSpan w:val="2"/>
            <w:noWrap/>
            <w:vAlign w:val="center"/>
          </w:tcPr>
          <w:p>
            <w:pPr>
              <w:widowControl/>
              <w:jc w:val="center"/>
              <w:rPr>
                <w:color w:val="000000"/>
                <w:kern w:val="0"/>
                <w:sz w:val="18"/>
                <w:szCs w:val="18"/>
              </w:rPr>
            </w:pPr>
            <w:r>
              <w:rPr>
                <w:rFonts w:hAnsi="宋体"/>
                <w:color w:val="000000"/>
                <w:kern w:val="0"/>
                <w:sz w:val="18"/>
                <w:szCs w:val="18"/>
              </w:rPr>
              <w:t>化学组成</w:t>
            </w:r>
          </w:p>
        </w:tc>
        <w:tc>
          <w:tcPr>
            <w:tcW w:w="2396" w:type="dxa"/>
            <w:noWrap/>
            <w:vAlign w:val="center"/>
          </w:tcPr>
          <w:p>
            <w:pPr>
              <w:widowControl/>
              <w:jc w:val="center"/>
              <w:rPr>
                <w:color w:val="000000"/>
                <w:kern w:val="0"/>
                <w:sz w:val="18"/>
                <w:szCs w:val="18"/>
              </w:rPr>
            </w:pPr>
            <w:r>
              <w:rPr>
                <w:color w:val="000000"/>
                <w:kern w:val="0"/>
                <w:sz w:val="18"/>
                <w:szCs w:val="18"/>
              </w:rPr>
              <w:t>(Y,Lu,</w:t>
            </w:r>
            <w:r>
              <w:rPr>
                <w:rFonts w:hint="eastAsia"/>
                <w:color w:val="000000"/>
                <w:kern w:val="0"/>
                <w:sz w:val="18"/>
                <w:szCs w:val="18"/>
              </w:rPr>
              <w:t>Tb,</w:t>
            </w:r>
            <w:r>
              <w:rPr>
                <w:color w:val="000000"/>
                <w:kern w:val="0"/>
                <w:sz w:val="18"/>
                <w:szCs w:val="18"/>
              </w:rPr>
              <w:t>Gd)</w:t>
            </w:r>
            <w:r>
              <w:rPr>
                <w:color w:val="000000"/>
                <w:kern w:val="0"/>
                <w:sz w:val="18"/>
                <w:szCs w:val="18"/>
                <w:vertAlign w:val="subscript"/>
              </w:rPr>
              <w:t>3</w:t>
            </w:r>
            <w:r>
              <w:rPr>
                <w:color w:val="000000"/>
                <w:kern w:val="0"/>
                <w:sz w:val="18"/>
                <w:szCs w:val="18"/>
              </w:rPr>
              <w:t>(Al,Ga)</w:t>
            </w:r>
            <w:r>
              <w:rPr>
                <w:color w:val="000000"/>
                <w:kern w:val="0"/>
                <w:sz w:val="18"/>
                <w:szCs w:val="18"/>
                <w:vertAlign w:val="subscript"/>
              </w:rPr>
              <w:t>5</w:t>
            </w:r>
            <w:r>
              <w:rPr>
                <w:color w:val="000000"/>
                <w:kern w:val="0"/>
                <w:sz w:val="18"/>
                <w:szCs w:val="18"/>
              </w:rPr>
              <w:t>O</w:t>
            </w:r>
            <w:r>
              <w:rPr>
                <w:color w:val="000000"/>
                <w:kern w:val="0"/>
                <w:sz w:val="18"/>
                <w:szCs w:val="18"/>
                <w:vertAlign w:val="subscript"/>
              </w:rPr>
              <w:t>12</w:t>
            </w:r>
            <w:r>
              <w:rPr>
                <w:color w:val="000000"/>
                <w:kern w:val="0"/>
                <w:sz w:val="18"/>
                <w:szCs w:val="18"/>
              </w:rPr>
              <w:t>:Ce</w:t>
            </w:r>
          </w:p>
        </w:tc>
      </w:tr>
    </w:tbl>
    <w:p>
      <w:pPr>
        <w:widowControl/>
        <w:ind w:firstLine="1260" w:firstLineChars="700"/>
        <w:rPr>
          <w:color w:val="000000"/>
          <w:kern w:val="0"/>
          <w:sz w:val="18"/>
          <w:szCs w:val="18"/>
        </w:rPr>
      </w:pPr>
      <w:r>
        <w:rPr>
          <w:kern w:val="0"/>
          <w:sz w:val="18"/>
          <w:szCs w:val="18"/>
        </w:rPr>
        <w:t>备注：</w:t>
      </w:r>
      <w:r>
        <w:rPr>
          <w:color w:val="000000"/>
          <w:kern w:val="0"/>
          <w:sz w:val="18"/>
          <w:szCs w:val="18"/>
        </w:rPr>
        <w:t>(Y,Lu,</w:t>
      </w:r>
      <w:r>
        <w:rPr>
          <w:rFonts w:hint="eastAsia"/>
          <w:color w:val="000000"/>
          <w:kern w:val="0"/>
          <w:sz w:val="18"/>
          <w:szCs w:val="18"/>
        </w:rPr>
        <w:t>Tb,</w:t>
      </w:r>
      <w:r>
        <w:rPr>
          <w:color w:val="000000"/>
          <w:kern w:val="0"/>
          <w:sz w:val="18"/>
          <w:szCs w:val="18"/>
        </w:rPr>
        <w:t>Gd)</w:t>
      </w:r>
      <w:r>
        <w:rPr>
          <w:color w:val="000000"/>
          <w:kern w:val="0"/>
          <w:sz w:val="18"/>
          <w:szCs w:val="18"/>
          <w:vertAlign w:val="subscript"/>
        </w:rPr>
        <w:t>3</w:t>
      </w:r>
      <w:r>
        <w:rPr>
          <w:color w:val="000000"/>
          <w:kern w:val="0"/>
          <w:sz w:val="18"/>
          <w:szCs w:val="18"/>
        </w:rPr>
        <w:t>(Al,Ga)</w:t>
      </w:r>
      <w:r>
        <w:rPr>
          <w:color w:val="000000"/>
          <w:kern w:val="0"/>
          <w:sz w:val="18"/>
          <w:szCs w:val="18"/>
          <w:vertAlign w:val="subscript"/>
        </w:rPr>
        <w:t>5</w:t>
      </w:r>
      <w:r>
        <w:rPr>
          <w:color w:val="000000"/>
          <w:kern w:val="0"/>
          <w:sz w:val="18"/>
          <w:szCs w:val="18"/>
        </w:rPr>
        <w:t>O</w:t>
      </w:r>
      <w:r>
        <w:rPr>
          <w:color w:val="000000"/>
          <w:kern w:val="0"/>
          <w:sz w:val="18"/>
          <w:szCs w:val="18"/>
          <w:vertAlign w:val="subscript"/>
        </w:rPr>
        <w:t>12</w:t>
      </w:r>
      <w:r>
        <w:rPr>
          <w:color w:val="000000"/>
          <w:kern w:val="0"/>
          <w:sz w:val="18"/>
          <w:szCs w:val="18"/>
        </w:rPr>
        <w:t>:Ce，括号内元素可由一种或多种元素组成。</w:t>
      </w:r>
    </w:p>
    <w:p>
      <w:pPr>
        <w:widowControl/>
        <w:ind w:firstLine="900" w:firstLineChars="500"/>
        <w:rPr>
          <w:color w:val="000000"/>
          <w:kern w:val="0"/>
          <w:sz w:val="18"/>
          <w:szCs w:val="18"/>
        </w:rPr>
      </w:pPr>
    </w:p>
    <w:p>
      <w:pPr>
        <w:jc w:val="center"/>
        <w:rPr>
          <w:rFonts w:ascii="宋体" w:hAnsi="宋体"/>
          <w:kern w:val="0"/>
          <w:sz w:val="18"/>
          <w:szCs w:val="18"/>
        </w:rPr>
      </w:pPr>
      <w:r>
        <w:rPr>
          <w:rFonts w:ascii="宋体" w:hAnsi="宋体"/>
          <w:kern w:val="0"/>
          <w:sz w:val="18"/>
          <w:szCs w:val="18"/>
        </w:rPr>
        <w:t xml:space="preserve">表2 </w:t>
      </w:r>
      <w:r>
        <w:rPr>
          <w:rFonts w:hint="eastAsia" w:ascii="宋体" w:hAnsi="宋体"/>
          <w:kern w:val="0"/>
          <w:sz w:val="18"/>
          <w:szCs w:val="18"/>
        </w:rPr>
        <w:t>参考指标</w:t>
      </w:r>
    </w:p>
    <w:tbl>
      <w:tblPr>
        <w:tblStyle w:val="32"/>
        <w:tblW w:w="58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11"/>
        <w:gridCol w:w="1102"/>
        <w:gridCol w:w="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3711" w:type="dxa"/>
            <w:vMerge w:val="restart"/>
            <w:noWrap/>
            <w:vAlign w:val="center"/>
          </w:tcPr>
          <w:p>
            <w:pPr>
              <w:widowControl/>
              <w:jc w:val="center"/>
              <w:rPr>
                <w:color w:val="000000"/>
                <w:kern w:val="0"/>
                <w:sz w:val="18"/>
                <w:szCs w:val="18"/>
              </w:rPr>
            </w:pPr>
            <w:r>
              <w:rPr>
                <w:rFonts w:hAnsi="宋体"/>
                <w:color w:val="000000"/>
                <w:kern w:val="0"/>
                <w:sz w:val="18"/>
                <w:szCs w:val="18"/>
              </w:rPr>
              <w:t>双</w:t>
            </w:r>
            <w:r>
              <w:rPr>
                <w:color w:val="000000"/>
                <w:kern w:val="0"/>
                <w:sz w:val="18"/>
                <w:szCs w:val="18"/>
              </w:rPr>
              <w:t>85</w:t>
            </w:r>
            <w:r>
              <w:rPr>
                <w:rFonts w:hAnsi="宋体"/>
                <w:color w:val="000000"/>
                <w:kern w:val="0"/>
                <w:sz w:val="18"/>
                <w:szCs w:val="18"/>
              </w:rPr>
              <w:t>测试（</w:t>
            </w:r>
            <w:r>
              <w:rPr>
                <w:color w:val="000000"/>
                <w:kern w:val="0"/>
                <w:sz w:val="18"/>
                <w:szCs w:val="18"/>
              </w:rPr>
              <w:t>85</w:t>
            </w:r>
            <w:r>
              <w:rPr>
                <w:rFonts w:hAnsi="宋体"/>
                <w:color w:val="000000"/>
                <w:kern w:val="0"/>
                <w:sz w:val="18"/>
                <w:szCs w:val="18"/>
              </w:rPr>
              <w:t>℃</w:t>
            </w:r>
            <w:r>
              <w:rPr>
                <w:color w:val="000000"/>
                <w:kern w:val="0"/>
                <w:sz w:val="18"/>
                <w:szCs w:val="18"/>
              </w:rPr>
              <w:t>,85%</w:t>
            </w:r>
            <w:r>
              <w:rPr>
                <w:rFonts w:hAnsi="宋体"/>
                <w:color w:val="000000"/>
                <w:kern w:val="0"/>
                <w:sz w:val="18"/>
                <w:szCs w:val="18"/>
              </w:rPr>
              <w:t>湿度，</w:t>
            </w:r>
            <w:r>
              <w:rPr>
                <w:rFonts w:hint="eastAsia"/>
                <w:color w:val="000000"/>
                <w:kern w:val="0"/>
                <w:sz w:val="18"/>
                <w:szCs w:val="18"/>
              </w:rPr>
              <w:t>10</w:t>
            </w:r>
            <w:r>
              <w:rPr>
                <w:color w:val="000000"/>
                <w:kern w:val="0"/>
                <w:sz w:val="18"/>
                <w:szCs w:val="18"/>
              </w:rPr>
              <w:t>00h</w:t>
            </w:r>
            <w:r>
              <w:rPr>
                <w:rFonts w:hAnsi="宋体"/>
                <w:color w:val="000000"/>
                <w:kern w:val="0"/>
                <w:sz w:val="18"/>
                <w:szCs w:val="18"/>
              </w:rPr>
              <w:t>）</w:t>
            </w:r>
          </w:p>
        </w:tc>
        <w:tc>
          <w:tcPr>
            <w:tcW w:w="1102"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ΔB</w:t>
            </w:r>
            <w:r>
              <w:rPr>
                <w:rFonts w:hint="eastAsia"/>
                <w:color w:val="000000"/>
                <w:kern w:val="0"/>
                <w:sz w:val="18"/>
                <w:szCs w:val="18"/>
                <w:vertAlign w:val="subscript"/>
              </w:rPr>
              <w:t>d</w:t>
            </w:r>
            <w:r>
              <w:rPr>
                <w:rFonts w:hAnsi="宋体"/>
                <w:color w:val="000000"/>
                <w:kern w:val="0"/>
                <w:sz w:val="18"/>
                <w:szCs w:val="18"/>
              </w:rPr>
              <w:t>∣</w:t>
            </w:r>
            <w:r>
              <w:rPr>
                <w:color w:val="000000"/>
                <w:kern w:val="0"/>
                <w:sz w:val="18"/>
                <w:szCs w:val="18"/>
              </w:rPr>
              <w:t>/%</w:t>
            </w:r>
          </w:p>
        </w:tc>
        <w:tc>
          <w:tcPr>
            <w:tcW w:w="1051"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3711" w:type="dxa"/>
            <w:vMerge w:val="continue"/>
            <w:vAlign w:val="center"/>
          </w:tcPr>
          <w:p>
            <w:pPr>
              <w:widowControl/>
              <w:jc w:val="center"/>
              <w:rPr>
                <w:color w:val="000000"/>
                <w:kern w:val="0"/>
                <w:sz w:val="18"/>
                <w:szCs w:val="18"/>
              </w:rPr>
            </w:pPr>
          </w:p>
        </w:tc>
        <w:tc>
          <w:tcPr>
            <w:tcW w:w="1102"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Δx</w:t>
            </w:r>
            <w:r>
              <w:rPr>
                <w:rFonts w:hint="eastAsia"/>
                <w:color w:val="000000"/>
                <w:kern w:val="0"/>
                <w:sz w:val="18"/>
                <w:szCs w:val="18"/>
                <w:vertAlign w:val="subscript"/>
              </w:rPr>
              <w:t>d</w:t>
            </w:r>
            <w:r>
              <w:rPr>
                <w:rFonts w:hAnsi="宋体"/>
                <w:color w:val="000000"/>
                <w:kern w:val="0"/>
                <w:sz w:val="18"/>
                <w:szCs w:val="18"/>
              </w:rPr>
              <w:t>∣</w:t>
            </w:r>
          </w:p>
        </w:tc>
        <w:tc>
          <w:tcPr>
            <w:tcW w:w="1051"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0.0</w:t>
            </w:r>
            <w:r>
              <w:rPr>
                <w:rFonts w:hint="eastAsia"/>
                <w:color w:val="000000"/>
                <w:kern w:val="0"/>
                <w:sz w:val="18"/>
                <w:szCs w:val="18"/>
              </w:rPr>
              <w:t>05</w:t>
            </w:r>
            <w:r>
              <w:rPr>
                <w:color w:val="000000"/>
                <w:kern w:val="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3711" w:type="dxa"/>
            <w:vMerge w:val="continue"/>
            <w:vAlign w:val="center"/>
          </w:tcPr>
          <w:p>
            <w:pPr>
              <w:widowControl/>
              <w:jc w:val="center"/>
              <w:rPr>
                <w:color w:val="000000"/>
                <w:kern w:val="0"/>
                <w:sz w:val="18"/>
                <w:szCs w:val="18"/>
              </w:rPr>
            </w:pPr>
          </w:p>
        </w:tc>
        <w:tc>
          <w:tcPr>
            <w:tcW w:w="1102"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Δy</w:t>
            </w:r>
            <w:r>
              <w:rPr>
                <w:color w:val="000000"/>
                <w:kern w:val="0"/>
                <w:sz w:val="18"/>
                <w:szCs w:val="18"/>
                <w:vertAlign w:val="subscript"/>
              </w:rPr>
              <w:t>d</w:t>
            </w:r>
            <w:r>
              <w:rPr>
                <w:rFonts w:hAnsi="宋体"/>
                <w:color w:val="000000"/>
                <w:kern w:val="0"/>
                <w:sz w:val="18"/>
                <w:szCs w:val="18"/>
              </w:rPr>
              <w:t>∣</w:t>
            </w:r>
          </w:p>
        </w:tc>
        <w:tc>
          <w:tcPr>
            <w:tcW w:w="1051"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0.0</w:t>
            </w:r>
            <w:r>
              <w:rPr>
                <w:rFonts w:hint="eastAsia"/>
                <w:color w:val="000000"/>
                <w:kern w:val="0"/>
                <w:sz w:val="18"/>
                <w:szCs w:val="18"/>
              </w:rPr>
              <w:t>05</w:t>
            </w:r>
            <w:r>
              <w:rPr>
                <w:color w:val="000000"/>
                <w:kern w:val="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3711" w:type="dxa"/>
            <w:vMerge w:val="restart"/>
            <w:noWrap/>
            <w:vAlign w:val="center"/>
          </w:tcPr>
          <w:p>
            <w:pPr>
              <w:widowControl/>
              <w:jc w:val="center"/>
              <w:rPr>
                <w:color w:val="000000"/>
                <w:kern w:val="0"/>
                <w:sz w:val="18"/>
                <w:szCs w:val="18"/>
              </w:rPr>
            </w:pPr>
            <w:r>
              <w:rPr>
                <w:color w:val="000000"/>
                <w:kern w:val="0"/>
                <w:sz w:val="18"/>
                <w:szCs w:val="18"/>
              </w:rPr>
              <w:t>PCT</w:t>
            </w:r>
            <w:r>
              <w:rPr>
                <w:rFonts w:hAnsi="宋体"/>
                <w:color w:val="000000"/>
                <w:kern w:val="0"/>
                <w:sz w:val="18"/>
                <w:szCs w:val="18"/>
              </w:rPr>
              <w:t>测试（</w:t>
            </w:r>
            <w:r>
              <w:rPr>
                <w:color w:val="000000"/>
                <w:kern w:val="0"/>
                <w:sz w:val="18"/>
                <w:szCs w:val="18"/>
              </w:rPr>
              <w:t>121</w:t>
            </w:r>
            <w:r>
              <w:rPr>
                <w:rFonts w:hAnsi="宋体"/>
                <w:color w:val="000000"/>
                <w:kern w:val="0"/>
                <w:sz w:val="18"/>
                <w:szCs w:val="18"/>
              </w:rPr>
              <w:t>℃，</w:t>
            </w:r>
            <w:r>
              <w:rPr>
                <w:color w:val="000000"/>
                <w:kern w:val="0"/>
                <w:sz w:val="18"/>
                <w:szCs w:val="18"/>
              </w:rPr>
              <w:t>100%</w:t>
            </w:r>
            <w:r>
              <w:rPr>
                <w:rFonts w:hAnsi="宋体"/>
                <w:color w:val="000000"/>
                <w:kern w:val="0"/>
                <w:sz w:val="18"/>
                <w:szCs w:val="18"/>
              </w:rPr>
              <w:t>湿度，</w:t>
            </w:r>
            <w:r>
              <w:rPr>
                <w:color w:val="000000"/>
                <w:kern w:val="0"/>
                <w:sz w:val="18"/>
                <w:szCs w:val="18"/>
              </w:rPr>
              <w:t>2atm</w:t>
            </w:r>
            <w:r>
              <w:rPr>
                <w:rFonts w:hint="eastAsia"/>
                <w:color w:val="000000"/>
                <w:kern w:val="0"/>
                <w:sz w:val="18"/>
                <w:szCs w:val="18"/>
              </w:rPr>
              <w:t>，4</w:t>
            </w:r>
            <w:r>
              <w:rPr>
                <w:color w:val="000000"/>
                <w:kern w:val="0"/>
                <w:sz w:val="18"/>
                <w:szCs w:val="18"/>
              </w:rPr>
              <w:t>8</w:t>
            </w:r>
            <w:r>
              <w:rPr>
                <w:rFonts w:hint="eastAsia"/>
                <w:color w:val="000000"/>
                <w:kern w:val="0"/>
                <w:sz w:val="18"/>
                <w:szCs w:val="18"/>
              </w:rPr>
              <w:t>h</w:t>
            </w:r>
            <w:r>
              <w:rPr>
                <w:rFonts w:hAnsi="宋体"/>
                <w:color w:val="000000"/>
                <w:kern w:val="0"/>
                <w:sz w:val="18"/>
                <w:szCs w:val="18"/>
              </w:rPr>
              <w:t>）</w:t>
            </w:r>
          </w:p>
        </w:tc>
        <w:tc>
          <w:tcPr>
            <w:tcW w:w="1102"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ΔB</w:t>
            </w:r>
            <w:r>
              <w:rPr>
                <w:color w:val="000000"/>
                <w:kern w:val="0"/>
                <w:sz w:val="18"/>
                <w:szCs w:val="18"/>
                <w:vertAlign w:val="subscript"/>
              </w:rPr>
              <w:t>p</w:t>
            </w:r>
            <w:r>
              <w:rPr>
                <w:rFonts w:hAnsi="宋体"/>
                <w:color w:val="000000"/>
                <w:kern w:val="0"/>
                <w:sz w:val="18"/>
                <w:szCs w:val="18"/>
              </w:rPr>
              <w:t>∣</w:t>
            </w:r>
            <w:r>
              <w:rPr>
                <w:color w:val="000000"/>
                <w:kern w:val="0"/>
                <w:sz w:val="18"/>
                <w:szCs w:val="18"/>
              </w:rPr>
              <w:t>/%</w:t>
            </w:r>
          </w:p>
        </w:tc>
        <w:tc>
          <w:tcPr>
            <w:tcW w:w="1051" w:type="dxa"/>
            <w:noWrap/>
            <w:vAlign w:val="center"/>
          </w:tcPr>
          <w:p>
            <w:pPr>
              <w:widowControl/>
              <w:jc w:val="center"/>
              <w:rPr>
                <w:color w:val="000000"/>
                <w:kern w:val="0"/>
                <w:sz w:val="18"/>
                <w:szCs w:val="18"/>
              </w:rPr>
            </w:pPr>
            <w:r>
              <w:rPr>
                <w:rFonts w:hAnsi="宋体"/>
                <w:color w:val="000000"/>
                <w:kern w:val="0"/>
                <w:sz w:val="18"/>
                <w:szCs w:val="18"/>
              </w:rPr>
              <w:t>＜</w:t>
            </w:r>
            <w:r>
              <w:rPr>
                <w:rFonts w:hint="eastAsia"/>
                <w:color w:val="000000"/>
                <w:kern w:val="0"/>
                <w:sz w:val="18"/>
                <w:szCs w:val="18"/>
              </w:rPr>
              <w:t>5</w:t>
            </w:r>
            <w:r>
              <w:rPr>
                <w:color w:val="000000"/>
                <w:kern w:val="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3711" w:type="dxa"/>
            <w:vMerge w:val="continue"/>
            <w:vAlign w:val="center"/>
          </w:tcPr>
          <w:p>
            <w:pPr>
              <w:widowControl/>
              <w:jc w:val="center"/>
              <w:rPr>
                <w:color w:val="000000"/>
                <w:kern w:val="0"/>
                <w:sz w:val="18"/>
                <w:szCs w:val="18"/>
              </w:rPr>
            </w:pPr>
          </w:p>
        </w:tc>
        <w:tc>
          <w:tcPr>
            <w:tcW w:w="1102"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Δx</w:t>
            </w:r>
            <w:r>
              <w:rPr>
                <w:color w:val="000000"/>
                <w:kern w:val="0"/>
                <w:sz w:val="18"/>
                <w:szCs w:val="18"/>
                <w:vertAlign w:val="subscript"/>
              </w:rPr>
              <w:t>p</w:t>
            </w:r>
            <w:r>
              <w:rPr>
                <w:rFonts w:hAnsi="宋体"/>
                <w:color w:val="000000"/>
                <w:kern w:val="0"/>
                <w:sz w:val="18"/>
                <w:szCs w:val="18"/>
              </w:rPr>
              <w:t>∣</w:t>
            </w:r>
          </w:p>
        </w:tc>
        <w:tc>
          <w:tcPr>
            <w:tcW w:w="1051"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0.0</w:t>
            </w:r>
            <w:r>
              <w:rPr>
                <w:rFonts w:hint="eastAsia"/>
                <w:color w:val="000000"/>
                <w:kern w:val="0"/>
                <w:sz w:val="18"/>
                <w:szCs w:val="18"/>
              </w:rPr>
              <w:t>08</w:t>
            </w:r>
            <w:r>
              <w:rPr>
                <w:color w:val="000000"/>
                <w:kern w:val="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3711" w:type="dxa"/>
            <w:vMerge w:val="continue"/>
            <w:vAlign w:val="center"/>
          </w:tcPr>
          <w:p>
            <w:pPr>
              <w:widowControl/>
              <w:jc w:val="center"/>
              <w:rPr>
                <w:color w:val="000000"/>
                <w:kern w:val="0"/>
                <w:sz w:val="18"/>
                <w:szCs w:val="18"/>
              </w:rPr>
            </w:pPr>
          </w:p>
        </w:tc>
        <w:tc>
          <w:tcPr>
            <w:tcW w:w="1102"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Δy</w:t>
            </w:r>
            <w:r>
              <w:rPr>
                <w:color w:val="000000"/>
                <w:kern w:val="0"/>
                <w:sz w:val="18"/>
                <w:szCs w:val="18"/>
                <w:vertAlign w:val="subscript"/>
              </w:rPr>
              <w:t>p</w:t>
            </w:r>
            <w:r>
              <w:rPr>
                <w:rFonts w:hAnsi="宋体"/>
                <w:color w:val="000000"/>
                <w:kern w:val="0"/>
                <w:sz w:val="18"/>
                <w:szCs w:val="18"/>
              </w:rPr>
              <w:t>∣</w:t>
            </w:r>
          </w:p>
        </w:tc>
        <w:tc>
          <w:tcPr>
            <w:tcW w:w="1051"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0.0</w:t>
            </w:r>
            <w:r>
              <w:rPr>
                <w:rFonts w:hint="eastAsia"/>
                <w:color w:val="000000"/>
                <w:kern w:val="0"/>
                <w:sz w:val="18"/>
                <w:szCs w:val="18"/>
              </w:rPr>
              <w:t>08</w:t>
            </w:r>
            <w:r>
              <w:rPr>
                <w:color w:val="000000"/>
                <w:kern w:val="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3711" w:type="dxa"/>
            <w:vMerge w:val="restart"/>
            <w:noWrap/>
            <w:vAlign w:val="center"/>
          </w:tcPr>
          <w:p>
            <w:pPr>
              <w:widowControl/>
              <w:jc w:val="center"/>
              <w:rPr>
                <w:color w:val="000000"/>
                <w:kern w:val="0"/>
                <w:sz w:val="18"/>
                <w:szCs w:val="18"/>
              </w:rPr>
            </w:pPr>
            <w:r>
              <w:rPr>
                <w:rFonts w:hAnsi="宋体"/>
                <w:color w:val="000000"/>
                <w:kern w:val="0"/>
                <w:sz w:val="18"/>
                <w:szCs w:val="18"/>
              </w:rPr>
              <w:t>热猝灭性</w:t>
            </w:r>
            <w:r>
              <w:rPr>
                <w:color w:val="000000"/>
                <w:kern w:val="0"/>
                <w:sz w:val="18"/>
                <w:szCs w:val="18"/>
              </w:rPr>
              <w:t>(</w:t>
            </w:r>
            <w:r>
              <w:rPr>
                <w:rFonts w:hint="eastAsia"/>
                <w:color w:val="000000"/>
                <w:kern w:val="0"/>
                <w:sz w:val="18"/>
                <w:szCs w:val="18"/>
              </w:rPr>
              <w:t>18</w:t>
            </w:r>
            <w:r>
              <w:rPr>
                <w:color w:val="000000"/>
                <w:kern w:val="0"/>
                <w:sz w:val="18"/>
                <w:szCs w:val="18"/>
              </w:rPr>
              <w:t>0</w:t>
            </w:r>
            <w:r>
              <w:rPr>
                <w:rFonts w:hAnsi="宋体"/>
                <w:color w:val="000000"/>
                <w:kern w:val="0"/>
                <w:sz w:val="18"/>
                <w:szCs w:val="18"/>
              </w:rPr>
              <w:t>℃，</w:t>
            </w:r>
            <w:r>
              <w:rPr>
                <w:color w:val="000000"/>
                <w:kern w:val="0"/>
                <w:sz w:val="18"/>
                <w:szCs w:val="18"/>
              </w:rPr>
              <w:t>20min)</w:t>
            </w:r>
          </w:p>
        </w:tc>
        <w:tc>
          <w:tcPr>
            <w:tcW w:w="1102"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ΔBq</w:t>
            </w:r>
            <w:r>
              <w:rPr>
                <w:rFonts w:hAnsi="宋体"/>
                <w:color w:val="000000"/>
                <w:kern w:val="0"/>
                <w:sz w:val="18"/>
                <w:szCs w:val="18"/>
              </w:rPr>
              <w:t>∣</w:t>
            </w:r>
            <w:r>
              <w:rPr>
                <w:color w:val="000000"/>
                <w:kern w:val="0"/>
                <w:sz w:val="18"/>
                <w:szCs w:val="18"/>
              </w:rPr>
              <w:t>/%</w:t>
            </w:r>
          </w:p>
        </w:tc>
        <w:tc>
          <w:tcPr>
            <w:tcW w:w="1051" w:type="dxa"/>
            <w:noWrap/>
            <w:vAlign w:val="center"/>
          </w:tcPr>
          <w:p>
            <w:pPr>
              <w:widowControl/>
              <w:jc w:val="center"/>
              <w:rPr>
                <w:color w:val="000000"/>
                <w:kern w:val="0"/>
                <w:sz w:val="18"/>
                <w:szCs w:val="18"/>
              </w:rPr>
            </w:pPr>
            <w:r>
              <w:rPr>
                <w:rFonts w:hAnsi="宋体"/>
                <w:color w:val="000000"/>
                <w:kern w:val="0"/>
                <w:sz w:val="18"/>
                <w:szCs w:val="18"/>
              </w:rPr>
              <w:t>＜</w:t>
            </w:r>
            <w:r>
              <w:rPr>
                <w:rFonts w:hint="eastAsia"/>
                <w:color w:val="000000"/>
                <w:kern w:val="0"/>
                <w:sz w:val="18"/>
                <w:szCs w:val="18"/>
              </w:rPr>
              <w:t>10</w:t>
            </w:r>
            <w:r>
              <w:rPr>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3711" w:type="dxa"/>
            <w:vMerge w:val="continue"/>
            <w:vAlign w:val="center"/>
          </w:tcPr>
          <w:p>
            <w:pPr>
              <w:widowControl/>
              <w:jc w:val="center"/>
              <w:rPr>
                <w:color w:val="000000"/>
                <w:kern w:val="0"/>
                <w:sz w:val="18"/>
                <w:szCs w:val="18"/>
              </w:rPr>
            </w:pPr>
          </w:p>
        </w:tc>
        <w:tc>
          <w:tcPr>
            <w:tcW w:w="1102"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Δx</w:t>
            </w:r>
            <w:r>
              <w:rPr>
                <w:color w:val="000000"/>
                <w:kern w:val="0"/>
                <w:sz w:val="18"/>
                <w:szCs w:val="18"/>
                <w:vertAlign w:val="subscript"/>
              </w:rPr>
              <w:t>q</w:t>
            </w:r>
            <w:r>
              <w:rPr>
                <w:rFonts w:hAnsi="宋体"/>
                <w:color w:val="000000"/>
                <w:kern w:val="0"/>
                <w:sz w:val="18"/>
                <w:szCs w:val="18"/>
              </w:rPr>
              <w:t>∣</w:t>
            </w:r>
          </w:p>
        </w:tc>
        <w:tc>
          <w:tcPr>
            <w:tcW w:w="1051"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0.0</w:t>
            </w:r>
            <w:r>
              <w:rPr>
                <w:rFonts w:hint="eastAsia"/>
                <w:color w:val="000000"/>
                <w:kern w:val="0"/>
                <w:sz w:val="18"/>
                <w:szCs w:val="18"/>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3711" w:type="dxa"/>
            <w:vMerge w:val="continue"/>
            <w:vAlign w:val="center"/>
          </w:tcPr>
          <w:p>
            <w:pPr>
              <w:widowControl/>
              <w:jc w:val="center"/>
              <w:rPr>
                <w:color w:val="000000"/>
                <w:kern w:val="0"/>
                <w:sz w:val="18"/>
                <w:szCs w:val="18"/>
              </w:rPr>
            </w:pPr>
          </w:p>
        </w:tc>
        <w:tc>
          <w:tcPr>
            <w:tcW w:w="1102"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Δy</w:t>
            </w:r>
            <w:r>
              <w:rPr>
                <w:color w:val="000000"/>
                <w:kern w:val="0"/>
                <w:sz w:val="18"/>
                <w:szCs w:val="18"/>
                <w:vertAlign w:val="subscript"/>
              </w:rPr>
              <w:t>q</w:t>
            </w:r>
            <w:r>
              <w:rPr>
                <w:rFonts w:hAnsi="宋体"/>
                <w:color w:val="000000"/>
                <w:kern w:val="0"/>
                <w:sz w:val="18"/>
                <w:szCs w:val="18"/>
              </w:rPr>
              <w:t>∣</w:t>
            </w:r>
          </w:p>
        </w:tc>
        <w:tc>
          <w:tcPr>
            <w:tcW w:w="1051"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0.0</w:t>
            </w:r>
            <w:r>
              <w:rPr>
                <w:rFonts w:hint="eastAsia"/>
                <w:color w:val="000000"/>
                <w:kern w:val="0"/>
                <w:sz w:val="18"/>
                <w:szCs w:val="18"/>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4813" w:type="dxa"/>
            <w:gridSpan w:val="2"/>
            <w:noWrap/>
            <w:vAlign w:val="center"/>
          </w:tcPr>
          <w:p>
            <w:pPr>
              <w:widowControl/>
              <w:jc w:val="center"/>
              <w:rPr>
                <w:color w:val="000000"/>
                <w:kern w:val="0"/>
                <w:sz w:val="18"/>
                <w:szCs w:val="18"/>
              </w:rPr>
            </w:pPr>
            <w:r>
              <w:rPr>
                <w:color w:val="000000"/>
                <w:kern w:val="0"/>
                <w:sz w:val="18"/>
                <w:szCs w:val="18"/>
              </w:rPr>
              <w:t>PH</w:t>
            </w:r>
            <w:r>
              <w:rPr>
                <w:rFonts w:hAnsi="宋体"/>
                <w:color w:val="000000"/>
                <w:kern w:val="0"/>
                <w:sz w:val="18"/>
                <w:szCs w:val="18"/>
              </w:rPr>
              <w:t>值</w:t>
            </w:r>
          </w:p>
        </w:tc>
        <w:tc>
          <w:tcPr>
            <w:tcW w:w="1051" w:type="dxa"/>
            <w:noWrap/>
            <w:vAlign w:val="center"/>
          </w:tcPr>
          <w:p>
            <w:pPr>
              <w:widowControl/>
              <w:jc w:val="center"/>
              <w:rPr>
                <w:color w:val="000000"/>
                <w:kern w:val="0"/>
                <w:sz w:val="18"/>
                <w:szCs w:val="18"/>
              </w:rPr>
            </w:pPr>
            <w:r>
              <w:rPr>
                <w:color w:val="000000"/>
                <w:kern w:val="0"/>
                <w:sz w:val="18"/>
                <w:szCs w:val="18"/>
              </w:rPr>
              <w:t>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4813" w:type="dxa"/>
            <w:gridSpan w:val="2"/>
            <w:noWrap/>
            <w:vAlign w:val="center"/>
          </w:tcPr>
          <w:p>
            <w:pPr>
              <w:widowControl/>
              <w:jc w:val="center"/>
              <w:rPr>
                <w:color w:val="000000"/>
                <w:kern w:val="0"/>
                <w:sz w:val="18"/>
                <w:szCs w:val="18"/>
              </w:rPr>
            </w:pPr>
            <w:r>
              <w:rPr>
                <w:rFonts w:hAnsi="宋体"/>
                <w:color w:val="000000"/>
                <w:kern w:val="0"/>
                <w:sz w:val="18"/>
                <w:szCs w:val="18"/>
              </w:rPr>
              <w:t>电导率</w:t>
            </w:r>
            <w:r>
              <w:rPr>
                <w:color w:val="000000"/>
                <w:kern w:val="0"/>
                <w:sz w:val="18"/>
                <w:szCs w:val="18"/>
              </w:rPr>
              <w:t>/(μS/cm)</w:t>
            </w:r>
          </w:p>
        </w:tc>
        <w:tc>
          <w:tcPr>
            <w:tcW w:w="1051" w:type="dxa"/>
            <w:noWrap/>
            <w:vAlign w:val="center"/>
          </w:tcPr>
          <w:p>
            <w:pPr>
              <w:widowControl/>
              <w:jc w:val="center"/>
              <w:rPr>
                <w:color w:val="000000"/>
                <w:kern w:val="0"/>
                <w:sz w:val="18"/>
                <w:szCs w:val="18"/>
              </w:rPr>
            </w:pPr>
            <w:r>
              <w:rPr>
                <w:rFonts w:hAnsi="宋体"/>
                <w:color w:val="000000"/>
                <w:kern w:val="0"/>
                <w:sz w:val="18"/>
                <w:szCs w:val="18"/>
              </w:rPr>
              <w:t>＜</w:t>
            </w:r>
            <w:r>
              <w:rPr>
                <w:color w:val="000000"/>
                <w:kern w:val="0"/>
                <w:sz w:val="18"/>
                <w:szCs w:val="18"/>
              </w:rPr>
              <w:t>1</w:t>
            </w:r>
            <w:r>
              <w:rPr>
                <w:rFonts w:hint="eastAsia"/>
                <w:color w:val="000000"/>
                <w:kern w:val="0"/>
                <w:sz w:val="18"/>
                <w:szCs w:val="18"/>
              </w:rPr>
              <w:t>5.0</w:t>
            </w:r>
          </w:p>
        </w:tc>
      </w:tr>
    </w:tbl>
    <w:p>
      <w:pPr>
        <w:widowControl/>
        <w:ind w:firstLine="900" w:firstLineChars="500"/>
        <w:rPr>
          <w:color w:val="000000"/>
          <w:kern w:val="0"/>
          <w:sz w:val="18"/>
          <w:szCs w:val="18"/>
        </w:rPr>
      </w:pPr>
    </w:p>
    <w:p>
      <w:pPr>
        <w:spacing w:before="120" w:beforeLines="50" w:after="120" w:afterLines="50"/>
        <w:rPr>
          <w:rFonts w:ascii="黑体" w:hAnsi="黑体" w:eastAsia="黑体"/>
          <w:szCs w:val="21"/>
        </w:rPr>
      </w:pPr>
      <w:r>
        <w:rPr>
          <w:rFonts w:ascii="黑体" w:hAnsi="黑体" w:eastAsia="黑体"/>
          <w:kern w:val="0"/>
          <w:szCs w:val="21"/>
        </w:rPr>
        <w:t>5</w:t>
      </w:r>
      <w:r>
        <w:rPr>
          <w:rFonts w:ascii="黑体" w:hAnsi="黑体" w:eastAsia="黑体"/>
          <w:szCs w:val="21"/>
        </w:rPr>
        <w:t xml:space="preserve"> 试验方法</w:t>
      </w:r>
    </w:p>
    <w:p>
      <w:pPr>
        <w:ind w:left="420" w:hanging="420"/>
        <w:rPr>
          <w:szCs w:val="21"/>
        </w:rPr>
      </w:pPr>
      <w:r>
        <w:rPr>
          <w:rFonts w:ascii="黑体" w:hAnsi="黑体" w:eastAsia="黑体"/>
          <w:kern w:val="0"/>
          <w:szCs w:val="21"/>
        </w:rPr>
        <w:t>5.1</w:t>
      </w:r>
      <w:r>
        <w:rPr>
          <w:szCs w:val="21"/>
        </w:rPr>
        <w:t xml:space="preserve"> 光谱性能、相对亮度、色品坐标、热猝灭性、pH值、电导率的测定按GB/T 23595的规定进行。</w:t>
      </w:r>
      <w:r>
        <w:rPr>
          <w:rFonts w:hint="eastAsia"/>
          <w:szCs w:val="21"/>
        </w:rPr>
        <w:t>双85测定按照附录1进行、PCT测定按照附录2进行</w:t>
      </w:r>
    </w:p>
    <w:p>
      <w:pPr>
        <w:rPr>
          <w:szCs w:val="21"/>
        </w:rPr>
      </w:pPr>
      <w:r>
        <w:rPr>
          <w:rFonts w:ascii="黑体" w:hAnsi="黑体" w:eastAsia="黑体"/>
          <w:kern w:val="0"/>
          <w:szCs w:val="21"/>
        </w:rPr>
        <w:t>5.2</w:t>
      </w:r>
      <w:r>
        <w:rPr>
          <w:rFonts w:hint="eastAsia"/>
          <w:szCs w:val="21"/>
        </w:rPr>
        <w:t xml:space="preserve"> 密度的测定按GB/T 14634.5的规定进行。</w:t>
      </w:r>
    </w:p>
    <w:p>
      <w:pPr>
        <w:rPr>
          <w:szCs w:val="21"/>
        </w:rPr>
      </w:pPr>
      <w:r>
        <w:rPr>
          <w:rFonts w:ascii="黑体" w:hAnsi="黑体" w:eastAsia="黑体"/>
          <w:kern w:val="0"/>
          <w:szCs w:val="21"/>
        </w:rPr>
        <w:t>5.3</w:t>
      </w:r>
      <w:r>
        <w:rPr>
          <w:rFonts w:hint="eastAsia"/>
          <w:szCs w:val="21"/>
        </w:rPr>
        <w:t xml:space="preserve"> 中心粒径和分布系数的测定按GB/T 20170.1中方法1的规定进行。</w:t>
      </w:r>
    </w:p>
    <w:p>
      <w:pPr>
        <w:rPr>
          <w:szCs w:val="21"/>
        </w:rPr>
      </w:pPr>
      <w:r>
        <w:rPr>
          <w:rFonts w:ascii="黑体" w:hAnsi="黑体" w:eastAsia="黑体"/>
          <w:kern w:val="0"/>
          <w:szCs w:val="21"/>
        </w:rPr>
        <w:t>5.4</w:t>
      </w:r>
      <w:r>
        <w:rPr>
          <w:rFonts w:hint="eastAsia" w:ascii="黑体" w:hAnsi="黑体" w:eastAsia="黑体"/>
          <w:szCs w:val="21"/>
        </w:rPr>
        <w:t xml:space="preserve"> </w:t>
      </w:r>
      <w:r>
        <w:rPr>
          <w:rFonts w:hint="eastAsia"/>
          <w:szCs w:val="21"/>
        </w:rPr>
        <w:t>数值修约按GB/T 8170的规定进行。</w:t>
      </w:r>
    </w:p>
    <w:p>
      <w:pPr>
        <w:rPr>
          <w:rFonts w:eastAsia="黑体"/>
          <w:szCs w:val="21"/>
        </w:rPr>
      </w:pPr>
      <w:r>
        <w:rPr>
          <w:rFonts w:ascii="黑体" w:hAnsi="黑体" w:eastAsia="黑体"/>
          <w:kern w:val="0"/>
          <w:szCs w:val="21"/>
        </w:rPr>
        <w:t>5.5</w:t>
      </w:r>
      <w:r>
        <w:rPr>
          <w:rFonts w:hint="eastAsia"/>
          <w:szCs w:val="21"/>
        </w:rPr>
        <w:t xml:space="preserve"> 外观检查时，采用牛角勺从不同部位取约2 g试样，均匀地平摊在白色瓷板或白色油光纸上，其摊开面积不小于40 cm</w:t>
      </w:r>
      <w:r>
        <w:rPr>
          <w:rFonts w:hint="eastAsia"/>
          <w:szCs w:val="21"/>
          <w:vertAlign w:val="superscript"/>
        </w:rPr>
        <w:t>2</w:t>
      </w:r>
      <w:r>
        <w:rPr>
          <w:rFonts w:hint="eastAsia"/>
          <w:szCs w:val="21"/>
        </w:rPr>
        <w:t>，在日光下用目视法观察。</w:t>
      </w:r>
    </w:p>
    <w:p>
      <w:pPr>
        <w:spacing w:before="120" w:beforeLines="50" w:after="120" w:afterLines="50"/>
        <w:rPr>
          <w:rFonts w:ascii="黑体" w:hAnsi="黑体" w:eastAsia="黑体"/>
          <w:szCs w:val="21"/>
        </w:rPr>
      </w:pPr>
      <w:r>
        <w:rPr>
          <w:rFonts w:ascii="黑体" w:hAnsi="黑体" w:eastAsia="黑体"/>
          <w:kern w:val="0"/>
          <w:szCs w:val="21"/>
        </w:rPr>
        <w:t>6</w:t>
      </w:r>
      <w:r>
        <w:rPr>
          <w:rFonts w:ascii="黑体" w:hAnsi="黑体" w:eastAsia="黑体"/>
          <w:szCs w:val="21"/>
        </w:rPr>
        <w:t xml:space="preserve"> 检验规则</w:t>
      </w:r>
    </w:p>
    <w:p>
      <w:pPr>
        <w:spacing w:before="120" w:beforeLines="50" w:after="120" w:afterLines="50"/>
        <w:rPr>
          <w:rFonts w:eastAsia="黑体"/>
          <w:kern w:val="0"/>
          <w:szCs w:val="21"/>
        </w:rPr>
      </w:pPr>
      <w:r>
        <w:rPr>
          <w:rFonts w:ascii="黑体" w:hAnsi="黑体" w:eastAsia="黑体"/>
          <w:kern w:val="0"/>
          <w:szCs w:val="21"/>
        </w:rPr>
        <w:t>6.1</w:t>
      </w:r>
      <w:r>
        <w:rPr>
          <w:rFonts w:eastAsia="黑体"/>
          <w:kern w:val="0"/>
          <w:szCs w:val="21"/>
        </w:rPr>
        <w:t xml:space="preserve"> 检查和验收</w:t>
      </w:r>
    </w:p>
    <w:p>
      <w:pPr>
        <w:rPr>
          <w:szCs w:val="21"/>
        </w:rPr>
      </w:pPr>
      <w:r>
        <w:rPr>
          <w:rFonts w:ascii="黑体" w:hAnsi="黑体" w:eastAsia="黑体"/>
          <w:kern w:val="0"/>
          <w:szCs w:val="21"/>
        </w:rPr>
        <w:t>6.1.1</w:t>
      </w:r>
      <w:r>
        <w:rPr>
          <w:szCs w:val="21"/>
        </w:rPr>
        <w:t xml:space="preserve"> 产品应由供方技术监督部门进行检验，保证产品质量符合本标准(或订货合同)的规定，并填写质量证明书。</w:t>
      </w:r>
    </w:p>
    <w:p>
      <w:pPr>
        <w:rPr>
          <w:szCs w:val="21"/>
        </w:rPr>
      </w:pPr>
      <w:r>
        <w:rPr>
          <w:rFonts w:ascii="黑体" w:hAnsi="黑体" w:eastAsia="黑体"/>
          <w:kern w:val="0"/>
          <w:szCs w:val="21"/>
        </w:rPr>
        <w:t>6.1.2</w:t>
      </w:r>
      <w:r>
        <w:rPr>
          <w:szCs w:val="21"/>
        </w:rPr>
        <w:t xml:space="preserve"> 需方可对收到的产品按本标准的规定进行检验。如检验结果与本标准规定不符时，可在收到产品之日起三个月内向供方提出，由供需双方协商解决。如需仲裁，可委托双方认可的单位进行，并在需方共同取样。</w:t>
      </w:r>
    </w:p>
    <w:p>
      <w:pPr>
        <w:spacing w:before="120" w:beforeLines="50" w:after="120" w:afterLines="50"/>
        <w:rPr>
          <w:rFonts w:ascii="黑体" w:hAnsi="黑体" w:eastAsia="黑体"/>
          <w:szCs w:val="21"/>
        </w:rPr>
      </w:pPr>
      <w:r>
        <w:rPr>
          <w:rFonts w:ascii="黑体" w:hAnsi="黑体" w:eastAsia="黑体"/>
          <w:kern w:val="0"/>
          <w:szCs w:val="21"/>
        </w:rPr>
        <w:t>6.2</w:t>
      </w:r>
      <w:r>
        <w:rPr>
          <w:rFonts w:ascii="黑体" w:hAnsi="黑体" w:eastAsia="黑体"/>
          <w:szCs w:val="21"/>
        </w:rPr>
        <w:t xml:space="preserve"> 组批</w:t>
      </w:r>
    </w:p>
    <w:p>
      <w:pPr>
        <w:ind w:firstLine="420" w:firstLineChars="200"/>
        <w:rPr>
          <w:szCs w:val="21"/>
        </w:rPr>
      </w:pPr>
      <w:r>
        <w:rPr>
          <w:szCs w:val="21"/>
        </w:rPr>
        <w:t>产品应成批提交检验，每批应由同一</w:t>
      </w:r>
      <w:r>
        <w:rPr>
          <w:rFonts w:hint="eastAsia"/>
          <w:szCs w:val="21"/>
        </w:rPr>
        <w:t>规格</w:t>
      </w:r>
      <w:r>
        <w:rPr>
          <w:szCs w:val="21"/>
        </w:rPr>
        <w:t>的产品组成。</w:t>
      </w:r>
    </w:p>
    <w:p>
      <w:pPr>
        <w:spacing w:before="120" w:beforeLines="50" w:after="120" w:afterLines="50"/>
        <w:rPr>
          <w:rFonts w:ascii="黑体" w:hAnsi="黑体" w:eastAsia="黑体"/>
          <w:szCs w:val="21"/>
        </w:rPr>
      </w:pPr>
      <w:r>
        <w:rPr>
          <w:rFonts w:ascii="黑体" w:hAnsi="黑体" w:eastAsia="黑体"/>
          <w:kern w:val="0"/>
          <w:szCs w:val="21"/>
        </w:rPr>
        <w:t>6.3</w:t>
      </w:r>
      <w:r>
        <w:rPr>
          <w:rFonts w:eastAsia="黑体"/>
          <w:kern w:val="0"/>
          <w:szCs w:val="21"/>
        </w:rPr>
        <w:t xml:space="preserve"> </w:t>
      </w:r>
      <w:r>
        <w:rPr>
          <w:rFonts w:ascii="黑体" w:hAnsi="黑体" w:eastAsia="黑体"/>
          <w:szCs w:val="21"/>
        </w:rPr>
        <w:t>检验项目</w:t>
      </w:r>
    </w:p>
    <w:p>
      <w:pPr>
        <w:ind w:firstLine="420" w:firstLineChars="200"/>
        <w:rPr>
          <w:szCs w:val="21"/>
        </w:rPr>
      </w:pPr>
      <w:r>
        <w:rPr>
          <w:szCs w:val="21"/>
        </w:rPr>
        <w:t>每批产品应进行光谱性能、相对亮度、色品坐标、中心粒径、密度及外观的检验。若用户需要其他性能指标的检测结果，应在合同中注明。</w:t>
      </w:r>
    </w:p>
    <w:p>
      <w:pPr>
        <w:spacing w:before="120" w:beforeLines="50" w:after="120" w:afterLines="50"/>
        <w:rPr>
          <w:rFonts w:ascii="黑体" w:hAnsi="黑体" w:eastAsia="黑体"/>
          <w:szCs w:val="21"/>
        </w:rPr>
      </w:pPr>
      <w:r>
        <w:rPr>
          <w:rFonts w:ascii="黑体" w:hAnsi="黑体" w:eastAsia="黑体"/>
          <w:kern w:val="0"/>
          <w:szCs w:val="21"/>
        </w:rPr>
        <w:t>6.4</w:t>
      </w:r>
      <w:r>
        <w:rPr>
          <w:rFonts w:ascii="黑体" w:hAnsi="黑体" w:eastAsia="黑体"/>
          <w:szCs w:val="21"/>
        </w:rPr>
        <w:t xml:space="preserve"> </w:t>
      </w:r>
      <w:r>
        <w:rPr>
          <w:rFonts w:hint="eastAsia" w:ascii="黑体" w:hAnsi="黑体" w:eastAsia="黑体"/>
          <w:szCs w:val="21"/>
        </w:rPr>
        <w:t>取样和制样</w:t>
      </w:r>
    </w:p>
    <w:p>
      <w:pPr>
        <w:ind w:firstLine="420" w:firstLineChars="200"/>
        <w:rPr>
          <w:szCs w:val="21"/>
        </w:rPr>
      </w:pPr>
      <w:r>
        <w:rPr>
          <w:szCs w:val="21"/>
        </w:rPr>
        <w:t>仲裁取样按表2的规定进行。每件(袋)取样量不少于5g。取出后，用四分法迅速缩分至试样所需数量。</w:t>
      </w:r>
    </w:p>
    <w:p>
      <w:pPr>
        <w:ind w:firstLine="420" w:firstLineChars="200"/>
        <w:rPr>
          <w:szCs w:val="21"/>
        </w:rPr>
      </w:pPr>
    </w:p>
    <w:p>
      <w:pPr>
        <w:autoSpaceDE w:val="0"/>
        <w:autoSpaceDN w:val="0"/>
        <w:adjustRightInd w:val="0"/>
        <w:jc w:val="center"/>
        <w:rPr>
          <w:rFonts w:eastAsia="黑体"/>
          <w:kern w:val="0"/>
          <w:szCs w:val="21"/>
        </w:rPr>
      </w:pPr>
      <w:r>
        <w:rPr>
          <w:rFonts w:eastAsia="黑体"/>
          <w:kern w:val="0"/>
          <w:szCs w:val="21"/>
        </w:rPr>
        <w:t xml:space="preserve">表2 </w:t>
      </w:r>
    </w:p>
    <w:tbl>
      <w:tblPr>
        <w:tblStyle w:val="32"/>
        <w:tblW w:w="85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7"/>
        <w:gridCol w:w="1680"/>
        <w:gridCol w:w="858"/>
        <w:gridCol w:w="1752"/>
        <w:gridCol w:w="2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547" w:type="dxa"/>
            <w:noWrap/>
          </w:tcPr>
          <w:p>
            <w:pPr>
              <w:widowControl/>
              <w:jc w:val="center"/>
              <w:rPr>
                <w:color w:val="000000"/>
                <w:kern w:val="0"/>
                <w:szCs w:val="21"/>
              </w:rPr>
            </w:pPr>
            <w:r>
              <w:rPr>
                <w:rFonts w:hint="eastAsia"/>
                <w:color w:val="000000"/>
                <w:kern w:val="0"/>
                <w:szCs w:val="21"/>
              </w:rPr>
              <w:t>件（袋）</w:t>
            </w:r>
            <w:r>
              <w:rPr>
                <w:color w:val="000000"/>
                <w:kern w:val="0"/>
                <w:szCs w:val="21"/>
              </w:rPr>
              <w:t>数</w:t>
            </w:r>
          </w:p>
        </w:tc>
        <w:tc>
          <w:tcPr>
            <w:tcW w:w="1680" w:type="dxa"/>
            <w:noWrap/>
          </w:tcPr>
          <w:p>
            <w:pPr>
              <w:widowControl/>
              <w:jc w:val="center"/>
              <w:rPr>
                <w:color w:val="000000"/>
                <w:kern w:val="0"/>
                <w:szCs w:val="21"/>
              </w:rPr>
            </w:pPr>
            <w:r>
              <w:rPr>
                <w:color w:val="000000"/>
                <w:kern w:val="0"/>
                <w:szCs w:val="21"/>
              </w:rPr>
              <w:t>1～5</w:t>
            </w:r>
          </w:p>
        </w:tc>
        <w:tc>
          <w:tcPr>
            <w:tcW w:w="858" w:type="dxa"/>
            <w:noWrap/>
          </w:tcPr>
          <w:p>
            <w:pPr>
              <w:widowControl/>
              <w:jc w:val="center"/>
              <w:rPr>
                <w:color w:val="000000"/>
                <w:kern w:val="0"/>
                <w:szCs w:val="21"/>
              </w:rPr>
            </w:pPr>
            <w:r>
              <w:rPr>
                <w:color w:val="000000"/>
                <w:kern w:val="0"/>
                <w:szCs w:val="21"/>
              </w:rPr>
              <w:t>6～49</w:t>
            </w:r>
          </w:p>
        </w:tc>
        <w:tc>
          <w:tcPr>
            <w:tcW w:w="1752" w:type="dxa"/>
            <w:noWrap/>
          </w:tcPr>
          <w:p>
            <w:pPr>
              <w:widowControl/>
              <w:jc w:val="center"/>
              <w:rPr>
                <w:color w:val="000000"/>
                <w:kern w:val="0"/>
                <w:szCs w:val="21"/>
              </w:rPr>
            </w:pPr>
            <w:r>
              <w:rPr>
                <w:color w:val="000000"/>
                <w:kern w:val="0"/>
                <w:szCs w:val="21"/>
              </w:rPr>
              <w:t>50～100</w:t>
            </w:r>
          </w:p>
        </w:tc>
        <w:tc>
          <w:tcPr>
            <w:tcW w:w="2686" w:type="dxa"/>
            <w:noWrap/>
          </w:tcPr>
          <w:p>
            <w:pPr>
              <w:widowControl/>
              <w:jc w:val="center"/>
              <w:rPr>
                <w:color w:val="000000"/>
                <w:kern w:val="0"/>
                <w:szCs w:val="21"/>
              </w:rPr>
            </w:pPr>
            <w:r>
              <w:rPr>
                <w:color w:val="000000"/>
                <w:kern w:val="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1547" w:type="dxa"/>
            <w:noWrap/>
          </w:tcPr>
          <w:p>
            <w:pPr>
              <w:widowControl/>
              <w:jc w:val="center"/>
              <w:rPr>
                <w:color w:val="000000"/>
                <w:kern w:val="0"/>
                <w:szCs w:val="21"/>
              </w:rPr>
            </w:pPr>
            <w:r>
              <w:rPr>
                <w:color w:val="000000"/>
                <w:kern w:val="0"/>
                <w:szCs w:val="21"/>
              </w:rPr>
              <w:t>取样件</w:t>
            </w:r>
            <w:r>
              <w:rPr>
                <w:rFonts w:hint="eastAsia"/>
                <w:color w:val="000000"/>
                <w:kern w:val="0"/>
                <w:szCs w:val="21"/>
              </w:rPr>
              <w:t>（袋）</w:t>
            </w:r>
            <w:r>
              <w:rPr>
                <w:color w:val="000000"/>
                <w:kern w:val="0"/>
                <w:szCs w:val="21"/>
              </w:rPr>
              <w:t>数</w:t>
            </w:r>
          </w:p>
        </w:tc>
        <w:tc>
          <w:tcPr>
            <w:tcW w:w="1680" w:type="dxa"/>
            <w:noWrap/>
          </w:tcPr>
          <w:p>
            <w:pPr>
              <w:widowControl/>
              <w:jc w:val="center"/>
              <w:rPr>
                <w:color w:val="000000"/>
                <w:kern w:val="0"/>
                <w:szCs w:val="21"/>
              </w:rPr>
            </w:pPr>
            <w:r>
              <w:rPr>
                <w:color w:val="000000"/>
                <w:kern w:val="0"/>
                <w:szCs w:val="21"/>
              </w:rPr>
              <w:t>件</w:t>
            </w:r>
            <w:r>
              <w:rPr>
                <w:rFonts w:hint="eastAsia"/>
                <w:color w:val="000000"/>
                <w:kern w:val="0"/>
                <w:szCs w:val="21"/>
              </w:rPr>
              <w:t>（袋）</w:t>
            </w:r>
            <w:r>
              <w:rPr>
                <w:color w:val="000000"/>
                <w:kern w:val="0"/>
                <w:szCs w:val="21"/>
              </w:rPr>
              <w:t>数</w:t>
            </w:r>
            <w:r>
              <w:rPr>
                <w:rFonts w:hint="eastAsia"/>
                <w:color w:val="000000"/>
                <w:kern w:val="0"/>
                <w:szCs w:val="21"/>
              </w:rPr>
              <w:t>的100%</w:t>
            </w:r>
          </w:p>
        </w:tc>
        <w:tc>
          <w:tcPr>
            <w:tcW w:w="858" w:type="dxa"/>
            <w:noWrap/>
          </w:tcPr>
          <w:p>
            <w:pPr>
              <w:widowControl/>
              <w:jc w:val="center"/>
              <w:rPr>
                <w:color w:val="000000"/>
                <w:kern w:val="0"/>
                <w:szCs w:val="21"/>
              </w:rPr>
            </w:pPr>
            <w:r>
              <w:rPr>
                <w:color w:val="000000"/>
                <w:kern w:val="0"/>
                <w:szCs w:val="21"/>
              </w:rPr>
              <w:t>5</w:t>
            </w:r>
          </w:p>
        </w:tc>
        <w:tc>
          <w:tcPr>
            <w:tcW w:w="1752" w:type="dxa"/>
            <w:noWrap/>
          </w:tcPr>
          <w:p>
            <w:pPr>
              <w:widowControl/>
              <w:jc w:val="center"/>
              <w:rPr>
                <w:color w:val="000000"/>
                <w:kern w:val="0"/>
                <w:szCs w:val="21"/>
              </w:rPr>
            </w:pPr>
            <w:r>
              <w:rPr>
                <w:color w:val="000000"/>
                <w:kern w:val="0"/>
                <w:szCs w:val="21"/>
              </w:rPr>
              <w:t>件</w:t>
            </w:r>
            <w:r>
              <w:rPr>
                <w:rFonts w:hint="eastAsia"/>
                <w:color w:val="000000"/>
                <w:kern w:val="0"/>
                <w:szCs w:val="21"/>
              </w:rPr>
              <w:t>（袋）</w:t>
            </w:r>
            <w:r>
              <w:rPr>
                <w:color w:val="000000"/>
                <w:kern w:val="0"/>
                <w:szCs w:val="21"/>
              </w:rPr>
              <w:t>数</w:t>
            </w:r>
            <w:r>
              <w:rPr>
                <w:rFonts w:hint="eastAsia"/>
                <w:color w:val="000000"/>
                <w:kern w:val="0"/>
                <w:szCs w:val="21"/>
              </w:rPr>
              <w:t>的</w:t>
            </w:r>
            <w:r>
              <w:rPr>
                <w:color w:val="000000"/>
                <w:kern w:val="0"/>
                <w:szCs w:val="21"/>
              </w:rPr>
              <w:t>10%</w:t>
            </w:r>
          </w:p>
        </w:tc>
        <w:tc>
          <w:tcPr>
            <w:tcW w:w="2686" w:type="dxa"/>
            <w:noWrap/>
          </w:tcPr>
          <w:p>
            <w:pPr>
              <w:widowControl/>
              <w:jc w:val="center"/>
              <w:rPr>
                <w:color w:val="000000"/>
                <w:kern w:val="0"/>
                <w:szCs w:val="21"/>
              </w:rPr>
            </w:pPr>
            <w:r>
              <w:rPr>
                <w:color w:val="000000"/>
                <w:kern w:val="0"/>
                <w:szCs w:val="21"/>
              </w:rPr>
              <w:t>件</w:t>
            </w:r>
            <w:r>
              <w:rPr>
                <w:rFonts w:hint="eastAsia"/>
                <w:color w:val="000000"/>
                <w:kern w:val="0"/>
                <w:szCs w:val="21"/>
              </w:rPr>
              <w:t>（袋）</w:t>
            </w:r>
            <w:r>
              <w:rPr>
                <w:color w:val="000000"/>
                <w:kern w:val="0"/>
                <w:szCs w:val="21"/>
              </w:rPr>
              <w:t>数的平方根取</w:t>
            </w:r>
            <w:r>
              <w:rPr>
                <w:rFonts w:hint="eastAsia"/>
                <w:color w:val="000000"/>
                <w:kern w:val="0"/>
                <w:szCs w:val="21"/>
              </w:rPr>
              <w:t>正</w:t>
            </w:r>
            <w:r>
              <w:rPr>
                <w:color w:val="000000"/>
                <w:kern w:val="0"/>
                <w:szCs w:val="21"/>
              </w:rPr>
              <w:t>整数</w:t>
            </w:r>
          </w:p>
        </w:tc>
      </w:tr>
    </w:tbl>
    <w:p>
      <w:pPr>
        <w:spacing w:before="120" w:beforeLines="50" w:after="120" w:afterLines="50"/>
        <w:rPr>
          <w:rFonts w:ascii="黑体" w:hAnsi="黑体" w:eastAsia="黑体"/>
          <w:szCs w:val="21"/>
        </w:rPr>
      </w:pPr>
      <w:r>
        <w:rPr>
          <w:rFonts w:eastAsia="黑体"/>
          <w:kern w:val="0"/>
          <w:szCs w:val="21"/>
        </w:rPr>
        <w:t>6.5</w:t>
      </w:r>
      <w:r>
        <w:rPr>
          <w:rFonts w:ascii="黑体" w:hAnsi="黑体" w:eastAsia="黑体"/>
          <w:szCs w:val="21"/>
        </w:rPr>
        <w:t xml:space="preserve"> 检验结果判定</w:t>
      </w:r>
    </w:p>
    <w:p>
      <w:pPr>
        <w:autoSpaceDE w:val="0"/>
        <w:autoSpaceDN w:val="0"/>
        <w:adjustRightInd w:val="0"/>
        <w:ind w:firstLine="420" w:firstLineChars="200"/>
        <w:jc w:val="left"/>
        <w:rPr>
          <w:szCs w:val="21"/>
        </w:rPr>
      </w:pPr>
      <w:r>
        <w:rPr>
          <w:szCs w:val="21"/>
        </w:rPr>
        <w:t>除外观外，产品仲裁分析结果与本标准规定不符时，则从该批产品中取双倍试样对不合格项目进行重复试验，如仍有一项结果不合格，则该批产品为不合格。</w:t>
      </w:r>
    </w:p>
    <w:p>
      <w:pPr>
        <w:autoSpaceDE w:val="0"/>
        <w:autoSpaceDN w:val="0"/>
        <w:adjustRightInd w:val="0"/>
        <w:ind w:firstLine="420" w:firstLineChars="200"/>
        <w:jc w:val="left"/>
        <w:rPr>
          <w:szCs w:val="21"/>
        </w:rPr>
      </w:pPr>
      <w:r>
        <w:rPr>
          <w:szCs w:val="21"/>
        </w:rPr>
        <w:t>外观检验结果与本标准规定不符时，则直接判定该批产品不合格。</w:t>
      </w:r>
    </w:p>
    <w:p>
      <w:pPr>
        <w:spacing w:before="120" w:beforeLines="50" w:after="120" w:afterLines="50"/>
        <w:rPr>
          <w:rFonts w:ascii="黑体" w:hAnsi="黑体" w:eastAsia="黑体"/>
          <w:szCs w:val="21"/>
        </w:rPr>
      </w:pPr>
      <w:r>
        <w:rPr>
          <w:rFonts w:ascii="黑体" w:hAnsi="黑体" w:eastAsia="黑体"/>
          <w:kern w:val="0"/>
          <w:szCs w:val="21"/>
        </w:rPr>
        <w:t>7</w:t>
      </w:r>
      <w:r>
        <w:rPr>
          <w:rFonts w:ascii="黑体" w:hAnsi="黑体" w:eastAsia="黑体"/>
          <w:szCs w:val="21"/>
        </w:rPr>
        <w:t xml:space="preserve"> 标志、包装、运输、贮存</w:t>
      </w:r>
    </w:p>
    <w:p>
      <w:pPr>
        <w:spacing w:before="120" w:beforeLines="50" w:after="120" w:afterLines="50"/>
        <w:rPr>
          <w:rFonts w:ascii="黑体" w:hAnsi="黑体" w:eastAsia="黑体"/>
          <w:szCs w:val="21"/>
        </w:rPr>
      </w:pPr>
      <w:r>
        <w:rPr>
          <w:rFonts w:ascii="黑体" w:hAnsi="黑体" w:eastAsia="黑体"/>
          <w:kern w:val="0"/>
          <w:szCs w:val="21"/>
        </w:rPr>
        <w:t>7.1</w:t>
      </w:r>
      <w:r>
        <w:rPr>
          <w:rFonts w:ascii="黑体" w:hAnsi="黑体" w:eastAsia="黑体"/>
          <w:szCs w:val="21"/>
        </w:rPr>
        <w:t xml:space="preserve"> 标志、包装</w:t>
      </w:r>
    </w:p>
    <w:p>
      <w:pPr>
        <w:autoSpaceDE w:val="0"/>
        <w:autoSpaceDN w:val="0"/>
        <w:adjustRightInd w:val="0"/>
        <w:jc w:val="left"/>
        <w:rPr>
          <w:kern w:val="0"/>
          <w:szCs w:val="21"/>
        </w:rPr>
      </w:pPr>
      <w:r>
        <w:rPr>
          <w:rFonts w:ascii="黑体" w:hAnsi="黑体" w:eastAsia="黑体"/>
          <w:kern w:val="0"/>
          <w:szCs w:val="21"/>
        </w:rPr>
        <w:t>7.1.1</w:t>
      </w:r>
      <w:r>
        <w:rPr>
          <w:szCs w:val="21"/>
        </w:rPr>
        <w:t xml:space="preserve"> 产品外包装应注明：供方名称、产品名称、</w:t>
      </w:r>
      <w:r>
        <w:rPr>
          <w:rFonts w:hint="eastAsia"/>
          <w:szCs w:val="21"/>
        </w:rPr>
        <w:t>规格</w:t>
      </w:r>
      <w:r>
        <w:rPr>
          <w:szCs w:val="21"/>
        </w:rPr>
        <w:t>、批号、净重、出厂日期及“防潮”、“防晒”标志或字样。</w:t>
      </w:r>
    </w:p>
    <w:p>
      <w:pPr>
        <w:autoSpaceDE w:val="0"/>
        <w:autoSpaceDN w:val="0"/>
        <w:adjustRightInd w:val="0"/>
        <w:jc w:val="left"/>
        <w:rPr>
          <w:szCs w:val="21"/>
        </w:rPr>
      </w:pPr>
      <w:r>
        <w:rPr>
          <w:rFonts w:ascii="黑体" w:hAnsi="黑体" w:eastAsia="黑体"/>
          <w:kern w:val="0"/>
          <w:szCs w:val="21"/>
        </w:rPr>
        <w:t>7.1.2</w:t>
      </w:r>
      <w:r>
        <w:rPr>
          <w:szCs w:val="21"/>
        </w:rPr>
        <w:t xml:space="preserve"> 产品应防潮包装，分装于双层塑料袋或塑料瓶中，每袋(瓶)净重分别为50 g、100 g、500 g、1 kg或者根据客户的要求包装（包装应多样化规定）。袋(瓶)置于塑料桶或纸桶(箱)中。</w:t>
      </w:r>
    </w:p>
    <w:p>
      <w:pPr>
        <w:spacing w:before="120" w:beforeLines="50" w:after="120" w:afterLines="50"/>
        <w:rPr>
          <w:rFonts w:ascii="黑体" w:hAnsi="黑体" w:eastAsia="黑体"/>
          <w:szCs w:val="21"/>
        </w:rPr>
      </w:pPr>
      <w:r>
        <w:rPr>
          <w:rFonts w:ascii="黑体" w:hAnsi="黑体" w:eastAsia="黑体"/>
          <w:kern w:val="0"/>
          <w:szCs w:val="21"/>
        </w:rPr>
        <w:t>7.2</w:t>
      </w:r>
      <w:r>
        <w:rPr>
          <w:rFonts w:ascii="黑体" w:hAnsi="黑体" w:eastAsia="黑体"/>
          <w:szCs w:val="21"/>
        </w:rPr>
        <w:t xml:space="preserve"> 运输、贮存</w:t>
      </w:r>
    </w:p>
    <w:p>
      <w:pPr>
        <w:autoSpaceDE w:val="0"/>
        <w:autoSpaceDN w:val="0"/>
        <w:adjustRightInd w:val="0"/>
        <w:ind w:firstLine="315" w:firstLineChars="150"/>
        <w:jc w:val="left"/>
        <w:rPr>
          <w:szCs w:val="21"/>
        </w:rPr>
      </w:pPr>
      <w:r>
        <w:rPr>
          <w:szCs w:val="21"/>
        </w:rPr>
        <w:t>产品运输时严防受潮，存放在清洁干燥处，不得露天放置。</w:t>
      </w:r>
    </w:p>
    <w:p>
      <w:pPr>
        <w:spacing w:before="120" w:beforeLines="50" w:after="120" w:afterLines="50"/>
        <w:rPr>
          <w:rFonts w:ascii="黑体" w:hAnsi="黑体" w:eastAsia="黑体"/>
          <w:szCs w:val="21"/>
        </w:rPr>
      </w:pPr>
      <w:r>
        <w:rPr>
          <w:rFonts w:eastAsia="黑体"/>
          <w:kern w:val="0"/>
          <w:szCs w:val="21"/>
        </w:rPr>
        <w:t>7.3</w:t>
      </w:r>
      <w:r>
        <w:rPr>
          <w:rFonts w:ascii="黑体" w:hAnsi="黑体" w:eastAsia="黑体"/>
          <w:szCs w:val="21"/>
        </w:rPr>
        <w:t xml:space="preserve"> 质量证明书</w:t>
      </w:r>
    </w:p>
    <w:p>
      <w:pPr>
        <w:ind w:firstLine="420" w:firstLineChars="200"/>
        <w:rPr>
          <w:szCs w:val="21"/>
        </w:rPr>
      </w:pPr>
      <w:r>
        <w:rPr>
          <w:szCs w:val="21"/>
        </w:rPr>
        <w:t>每批产品应附质量证明书，注明：</w:t>
      </w:r>
    </w:p>
    <w:bookmarkEnd w:id="1"/>
    <w:p>
      <w:pPr>
        <w:ind w:left="850" w:leftChars="200" w:hanging="430" w:hangingChars="205"/>
        <w:rPr>
          <w:szCs w:val="21"/>
        </w:rPr>
      </w:pPr>
      <w:r>
        <w:rPr>
          <w:rFonts w:hint="eastAsia"/>
          <w:szCs w:val="21"/>
        </w:rPr>
        <w:t>a)供方名称；</w:t>
      </w:r>
    </w:p>
    <w:p>
      <w:pPr>
        <w:ind w:left="850" w:leftChars="200" w:hanging="430" w:hangingChars="205"/>
        <w:rPr>
          <w:szCs w:val="21"/>
        </w:rPr>
      </w:pPr>
      <w:r>
        <w:rPr>
          <w:rFonts w:hint="eastAsia"/>
          <w:szCs w:val="21"/>
        </w:rPr>
        <w:t>b)产品名称和规格；</w:t>
      </w:r>
    </w:p>
    <w:p>
      <w:pPr>
        <w:ind w:left="850" w:leftChars="200" w:hanging="430" w:hangingChars="205"/>
        <w:rPr>
          <w:szCs w:val="21"/>
        </w:rPr>
      </w:pPr>
      <w:r>
        <w:rPr>
          <w:rFonts w:hint="eastAsia"/>
          <w:szCs w:val="21"/>
        </w:rPr>
        <w:t>c)批号;</w:t>
      </w:r>
    </w:p>
    <w:p>
      <w:pPr>
        <w:ind w:left="850" w:leftChars="200" w:hanging="430" w:hangingChars="205"/>
        <w:rPr>
          <w:szCs w:val="21"/>
        </w:rPr>
      </w:pPr>
      <w:r>
        <w:rPr>
          <w:rFonts w:hint="eastAsia"/>
          <w:szCs w:val="21"/>
        </w:rPr>
        <w:t>d)净重和数量；</w:t>
      </w:r>
    </w:p>
    <w:p>
      <w:pPr>
        <w:ind w:left="850" w:leftChars="200" w:hanging="430" w:hangingChars="205"/>
        <w:rPr>
          <w:szCs w:val="21"/>
        </w:rPr>
      </w:pPr>
      <w:r>
        <w:rPr>
          <w:rFonts w:hint="eastAsia"/>
          <w:szCs w:val="21"/>
        </w:rPr>
        <w:t>e)分析检验结果和技术监督部门印记;</w:t>
      </w:r>
    </w:p>
    <w:p>
      <w:pPr>
        <w:ind w:left="850" w:leftChars="200" w:hanging="430" w:hangingChars="205"/>
        <w:rPr>
          <w:szCs w:val="21"/>
        </w:rPr>
      </w:pPr>
      <w:r>
        <w:rPr>
          <w:szCs w:val="21"/>
        </w:rPr>
        <w:t>f)</w:t>
      </w:r>
      <w:r>
        <w:rPr>
          <w:rFonts w:hint="eastAsia"/>
          <w:szCs w:val="21"/>
        </w:rPr>
        <w:t>本标准编号;</w:t>
      </w:r>
    </w:p>
    <w:p>
      <w:pPr>
        <w:ind w:left="850" w:leftChars="200" w:hanging="430" w:hangingChars="205"/>
        <w:rPr>
          <w:szCs w:val="21"/>
        </w:rPr>
      </w:pPr>
      <w:r>
        <w:rPr>
          <w:rFonts w:hint="eastAsia"/>
          <w:szCs w:val="21"/>
        </w:rPr>
        <w:t>g)出厂日期。</w:t>
      </w: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ind w:left="850" w:leftChars="200" w:hanging="430" w:hangingChars="205"/>
        <w:rPr>
          <w:szCs w:val="21"/>
        </w:rPr>
      </w:pPr>
    </w:p>
    <w:p>
      <w:pPr>
        <w:jc w:val="center"/>
        <w:rPr>
          <w:szCs w:val="21"/>
        </w:rPr>
      </w:pPr>
      <w:r>
        <w:rPr>
          <w:rFonts w:hint="eastAsia"/>
          <w:szCs w:val="21"/>
        </w:rPr>
        <w:t>附录A</w:t>
      </w:r>
    </w:p>
    <w:p>
      <w:pPr>
        <w:jc w:val="center"/>
        <w:rPr>
          <w:szCs w:val="21"/>
        </w:rPr>
      </w:pPr>
      <w:r>
        <w:rPr>
          <w:rFonts w:hint="eastAsia"/>
          <w:szCs w:val="21"/>
        </w:rPr>
        <w:t>（规范性附录）</w:t>
      </w:r>
    </w:p>
    <w:p>
      <w:pPr>
        <w:rPr>
          <w:szCs w:val="21"/>
        </w:rPr>
      </w:pPr>
    </w:p>
    <w:p>
      <w:pPr>
        <w:jc w:val="center"/>
      </w:pPr>
      <w:r>
        <w:t>双85性能测试</w:t>
      </w:r>
      <w:r>
        <w:rPr>
          <w:rFonts w:hint="eastAsia"/>
        </w:rPr>
        <w:t xml:space="preserve">方法   </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A.1</w:t>
      </w:r>
      <w:r>
        <w:rPr>
          <w:rFonts w:hint="eastAsia" w:ascii="黑体" w:hAnsi="黑体" w:eastAsia="黑体"/>
          <w:kern w:val="0"/>
          <w:szCs w:val="21"/>
        </w:rPr>
        <w:t xml:space="preserve"> </w:t>
      </w:r>
      <w:r>
        <w:rPr>
          <w:rFonts w:ascii="黑体" w:hAnsi="黑体" w:eastAsia="黑体"/>
          <w:kern w:val="0"/>
          <w:szCs w:val="21"/>
        </w:rPr>
        <w:t>范围</w:t>
      </w:r>
    </w:p>
    <w:p>
      <w:pPr>
        <w:autoSpaceDE w:val="0"/>
        <w:autoSpaceDN w:val="0"/>
        <w:adjustRightInd w:val="0"/>
        <w:ind w:right="-239" w:rightChars="-114" w:firstLine="420" w:firstLineChars="200"/>
        <w:jc w:val="left"/>
        <w:rPr>
          <w:kern w:val="0"/>
          <w:szCs w:val="21"/>
        </w:rPr>
      </w:pPr>
      <w:r>
        <w:rPr>
          <w:rFonts w:hAnsi="宋体"/>
          <w:kern w:val="0"/>
          <w:szCs w:val="21"/>
        </w:rPr>
        <w:t>本</w:t>
      </w:r>
      <w:r>
        <w:rPr>
          <w:rFonts w:hint="eastAsia" w:hAnsi="宋体"/>
          <w:kern w:val="0"/>
          <w:szCs w:val="21"/>
        </w:rPr>
        <w:t>附录</w:t>
      </w:r>
      <w:r>
        <w:rPr>
          <w:rFonts w:hAnsi="宋体"/>
          <w:kern w:val="0"/>
          <w:szCs w:val="21"/>
        </w:rPr>
        <w:t>规定了白光</w:t>
      </w:r>
      <w:r>
        <w:rPr>
          <w:kern w:val="0"/>
          <w:szCs w:val="21"/>
        </w:rPr>
        <w:t>LED</w:t>
      </w:r>
      <w:r>
        <w:rPr>
          <w:rFonts w:hAnsi="宋体"/>
          <w:kern w:val="0"/>
          <w:szCs w:val="21"/>
        </w:rPr>
        <w:t>用石榴石结构铝酸盐系列荧光粉的</w:t>
      </w:r>
      <w:r>
        <w:rPr>
          <w:rFonts w:hint="eastAsia" w:hAnsi="宋体"/>
          <w:kern w:val="0"/>
          <w:szCs w:val="21"/>
        </w:rPr>
        <w:t>双85老化性能测试方法</w:t>
      </w:r>
      <w:r>
        <w:rPr>
          <w:rFonts w:hAnsi="宋体"/>
          <w:kern w:val="0"/>
          <w:szCs w:val="21"/>
        </w:rPr>
        <w:t>。</w:t>
      </w:r>
    </w:p>
    <w:p>
      <w:pPr>
        <w:autoSpaceDE w:val="0"/>
        <w:autoSpaceDN w:val="0"/>
        <w:adjustRightInd w:val="0"/>
        <w:ind w:firstLine="420" w:firstLineChars="200"/>
        <w:jc w:val="left"/>
        <w:rPr>
          <w:rFonts w:hAnsi="宋体"/>
          <w:kern w:val="0"/>
          <w:szCs w:val="21"/>
        </w:rPr>
      </w:pPr>
      <w:r>
        <w:rPr>
          <w:rFonts w:hAnsi="宋体"/>
          <w:kern w:val="0"/>
          <w:szCs w:val="21"/>
        </w:rPr>
        <w:t>本</w:t>
      </w:r>
      <w:r>
        <w:rPr>
          <w:rFonts w:hint="eastAsia" w:hAnsi="宋体"/>
          <w:kern w:val="0"/>
          <w:szCs w:val="21"/>
        </w:rPr>
        <w:t>附录</w:t>
      </w:r>
      <w:r>
        <w:rPr>
          <w:rFonts w:hAnsi="宋体"/>
          <w:kern w:val="0"/>
          <w:szCs w:val="21"/>
        </w:rPr>
        <w:t>适用于经高温反应</w:t>
      </w:r>
      <w:r>
        <w:rPr>
          <w:rFonts w:hint="eastAsia" w:hAnsi="宋体"/>
          <w:kern w:val="0"/>
          <w:szCs w:val="21"/>
        </w:rPr>
        <w:t>，</w:t>
      </w:r>
      <w:r>
        <w:rPr>
          <w:rFonts w:hAnsi="宋体"/>
          <w:kern w:val="0"/>
          <w:szCs w:val="21"/>
        </w:rPr>
        <w:t>共沉淀法</w:t>
      </w:r>
      <w:r>
        <w:rPr>
          <w:rFonts w:hint="eastAsia" w:hAnsi="宋体"/>
          <w:kern w:val="0"/>
          <w:szCs w:val="21"/>
        </w:rPr>
        <w:t>、</w:t>
      </w:r>
      <w:r>
        <w:rPr>
          <w:rFonts w:hAnsi="宋体"/>
          <w:kern w:val="0"/>
          <w:szCs w:val="21"/>
        </w:rPr>
        <w:t>燃烧法等液相法制得的铝酸盐及相关体系的荧光粉</w:t>
      </w:r>
      <w:r>
        <w:rPr>
          <w:rFonts w:hint="eastAsia" w:hAnsi="宋体"/>
          <w:kern w:val="0"/>
          <w:szCs w:val="21"/>
        </w:rPr>
        <w:t>双85性能测试</w:t>
      </w:r>
      <w:r>
        <w:rPr>
          <w:rFonts w:hAnsi="宋体"/>
          <w:kern w:val="0"/>
          <w:szCs w:val="21"/>
        </w:rPr>
        <w:t>。</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A.2</w:t>
      </w:r>
      <w:r>
        <w:rPr>
          <w:rFonts w:eastAsia="黑体"/>
          <w:kern w:val="0"/>
          <w:szCs w:val="21"/>
        </w:rPr>
        <w:t xml:space="preserve"> </w:t>
      </w:r>
      <w:r>
        <w:rPr>
          <w:rFonts w:ascii="黑体" w:hAnsi="黑体" w:eastAsia="黑体"/>
          <w:kern w:val="0"/>
          <w:szCs w:val="21"/>
        </w:rPr>
        <w:t>方法原理</w:t>
      </w:r>
    </w:p>
    <w:p>
      <w:pPr>
        <w:ind w:firstLine="420" w:firstLineChars="200"/>
      </w:pPr>
      <w:r>
        <w:t>将恒温恒湿试验烘箱的温度和相对湿度设置至85</w:t>
      </w:r>
      <w:r>
        <w:rPr>
          <w:rFonts w:hint="eastAsia"/>
        </w:rPr>
        <w:t>±</w:t>
      </w:r>
      <w:r>
        <w:t xml:space="preserve">0.2 </w:t>
      </w:r>
      <w:r>
        <w:rPr>
          <w:rFonts w:hint="eastAsia" w:ascii="宋体" w:hAnsi="宋体" w:cs="宋体"/>
        </w:rPr>
        <w:t>℃</w:t>
      </w:r>
      <w:r>
        <w:t>和85</w:t>
      </w:r>
      <w:r>
        <w:rPr>
          <w:rFonts w:hint="eastAsia"/>
        </w:rPr>
        <w:t>±</w:t>
      </w:r>
      <w:r>
        <w:t>2%，待温度和相对湿度达到设定值时，放入黄粉样品，储存1000h，随即取出，在干燥器中自然冷却至室温。对恒温恒湿处理过的样品和未处理过的样品进行相对亮度、色品坐标或其</w:t>
      </w:r>
      <w:r>
        <w:rPr>
          <w:rFonts w:hint="eastAsia"/>
        </w:rPr>
        <w:t>它</w:t>
      </w:r>
      <w:r>
        <w:t>有关性能的</w:t>
      </w:r>
      <w:r>
        <w:rPr>
          <w:rFonts w:hint="eastAsia"/>
        </w:rPr>
        <w:t>测</w:t>
      </w:r>
      <w:r>
        <w:t>定，用两者之间差异来表示所试验的</w:t>
      </w:r>
      <w:r>
        <w:rPr>
          <w:rFonts w:hint="eastAsia"/>
        </w:rPr>
        <w:t>发光材料</w:t>
      </w:r>
      <w:r>
        <w:t>的双85稳定性。</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A.3 仪器与装置</w:t>
      </w:r>
    </w:p>
    <w:p>
      <w:pPr>
        <w:rPr>
          <w:szCs w:val="21"/>
        </w:rPr>
      </w:pPr>
      <w:r>
        <w:rPr>
          <w:rFonts w:ascii="黑体" w:hAnsi="黑体" w:eastAsia="黑体"/>
          <w:kern w:val="0"/>
          <w:szCs w:val="21"/>
        </w:rPr>
        <w:t>A.3.1</w:t>
      </w:r>
      <w:r>
        <w:t xml:space="preserve">恒温恒湿试验烘箱：温度范围为-40-150 </w:t>
      </w:r>
      <w:r>
        <w:rPr>
          <w:rFonts w:hint="eastAsia" w:ascii="宋体" w:hAnsi="宋体" w:cs="宋体"/>
        </w:rPr>
        <w:t>℃</w:t>
      </w:r>
      <w:r>
        <w:t>，精度±0.2 ℃，相对湿度范围为10-98% RH，精</w:t>
      </w:r>
      <w:r>
        <w:rPr>
          <w:szCs w:val="21"/>
        </w:rPr>
        <w:t>度±2% RH。</w:t>
      </w:r>
    </w:p>
    <w:p>
      <w:pPr>
        <w:rPr>
          <w:szCs w:val="21"/>
        </w:rPr>
      </w:pPr>
      <w:r>
        <w:rPr>
          <w:rFonts w:ascii="黑体" w:hAnsi="黑体" w:eastAsia="黑体"/>
          <w:kern w:val="0"/>
          <w:szCs w:val="21"/>
        </w:rPr>
        <w:t>A.3.2</w:t>
      </w:r>
      <w:r>
        <w:rPr>
          <w:szCs w:val="21"/>
        </w:rPr>
        <w:t>天平：精度±0.1 g。</w:t>
      </w:r>
    </w:p>
    <w:p>
      <w:pPr>
        <w:rPr>
          <w:szCs w:val="21"/>
        </w:rPr>
      </w:pPr>
      <w:r>
        <w:rPr>
          <w:rFonts w:ascii="黑体" w:hAnsi="黑体" w:eastAsia="黑体"/>
          <w:kern w:val="0"/>
          <w:szCs w:val="21"/>
        </w:rPr>
        <w:t>A.3.3</w:t>
      </w:r>
      <w:r>
        <w:rPr>
          <w:szCs w:val="21"/>
        </w:rPr>
        <w:t>培养皿：35×10 mm。</w:t>
      </w:r>
    </w:p>
    <w:p>
      <w:pPr>
        <w:rPr>
          <w:szCs w:val="21"/>
        </w:rPr>
      </w:pPr>
      <w:r>
        <w:rPr>
          <w:rFonts w:ascii="黑体" w:hAnsi="黑体" w:eastAsia="黑体"/>
          <w:kern w:val="0"/>
          <w:szCs w:val="21"/>
        </w:rPr>
        <w:t>A.3.4</w:t>
      </w:r>
      <w:r>
        <w:rPr>
          <w:rFonts w:hint="eastAsia"/>
          <w:szCs w:val="21"/>
        </w:rPr>
        <w:t>真空干燥箱</w:t>
      </w:r>
      <w:r>
        <w:rPr>
          <w:szCs w:val="21"/>
        </w:rPr>
        <w:t>: 精度±0.2 ℃</w:t>
      </w:r>
      <w:r>
        <w:rPr>
          <w:rFonts w:hint="eastAsia"/>
          <w:szCs w:val="21"/>
        </w:rPr>
        <w:t>。</w:t>
      </w:r>
    </w:p>
    <w:p>
      <w:pPr>
        <w:rPr>
          <w:szCs w:val="21"/>
        </w:rPr>
      </w:pPr>
      <w:r>
        <w:rPr>
          <w:rFonts w:ascii="黑体" w:hAnsi="黑体" w:eastAsia="黑体"/>
          <w:kern w:val="0"/>
          <w:szCs w:val="21"/>
        </w:rPr>
        <w:t>A.3.5</w:t>
      </w:r>
      <w:r>
        <w:rPr>
          <w:szCs w:val="21"/>
        </w:rPr>
        <w:t>光谱辐射分析仪</w:t>
      </w:r>
      <w:r>
        <w:rPr>
          <w:rFonts w:hint="eastAsia"/>
          <w:szCs w:val="21"/>
        </w:rPr>
        <w:t>：</w:t>
      </w:r>
      <w:r>
        <w:rPr>
          <w:szCs w:val="21"/>
        </w:rPr>
        <w:t>采用460 nm准单色激发源、波长准确性</w:t>
      </w:r>
      <w:r>
        <w:rPr>
          <w:rFonts w:hint="eastAsia"/>
          <w:szCs w:val="21"/>
        </w:rPr>
        <w:t>0.2</w:t>
      </w:r>
      <w:r>
        <w:rPr>
          <w:szCs w:val="21"/>
        </w:rPr>
        <w:t xml:space="preserve"> nm</w:t>
      </w:r>
      <w:r>
        <w:rPr>
          <w:rFonts w:hint="eastAsia"/>
          <w:szCs w:val="21"/>
        </w:rPr>
        <w:t>，</w:t>
      </w:r>
      <w:r>
        <w:rPr>
          <w:szCs w:val="21"/>
        </w:rPr>
        <w:t>重复性</w:t>
      </w:r>
      <w:r>
        <w:rPr>
          <w:rFonts w:hint="eastAsia"/>
          <w:szCs w:val="21"/>
        </w:rPr>
        <w:t>0.1</w:t>
      </w:r>
      <w:r>
        <w:rPr>
          <w:szCs w:val="21"/>
        </w:rPr>
        <w:t xml:space="preserve"> nm</w:t>
      </w:r>
      <w:r>
        <w:rPr>
          <w:rFonts w:hint="eastAsia"/>
          <w:szCs w:val="21"/>
        </w:rPr>
        <w:t>，</w:t>
      </w:r>
      <w:r>
        <w:rPr>
          <w:szCs w:val="21"/>
        </w:rPr>
        <w:t>光谱范围 380 nm</w:t>
      </w:r>
      <w:r>
        <w:rPr>
          <w:rFonts w:eastAsia="MS Mincho"/>
          <w:szCs w:val="21"/>
        </w:rPr>
        <w:t>〜</w:t>
      </w:r>
      <w:r>
        <w:rPr>
          <w:szCs w:val="21"/>
        </w:rPr>
        <w:t>780 nm。</w:t>
      </w:r>
    </w:p>
    <w:p>
      <w:r>
        <w:rPr>
          <w:rFonts w:ascii="黑体" w:hAnsi="黑体" w:eastAsia="黑体"/>
          <w:kern w:val="0"/>
          <w:szCs w:val="21"/>
        </w:rPr>
        <w:t>A.3.6</w:t>
      </w:r>
      <w:r>
        <w:t>相对亮度测定仪</w:t>
      </w:r>
      <w:r>
        <w:rPr>
          <w:rFonts w:hint="eastAsia"/>
        </w:rPr>
        <w:t>：</w:t>
      </w:r>
      <w:r>
        <w:t>采用460 nm准单色激发源</w:t>
      </w:r>
      <w:r>
        <w:rPr>
          <w:rFonts w:hint="eastAsia"/>
        </w:rPr>
        <w:t>，</w:t>
      </w:r>
      <w:r>
        <w:t>准确度</w:t>
      </w:r>
      <w:r>
        <w:rPr>
          <w:rFonts w:hint="eastAsia"/>
        </w:rPr>
        <w:t>±</w:t>
      </w:r>
      <w:r>
        <w:t>1%。</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A.4</w:t>
      </w:r>
      <w:r>
        <w:rPr>
          <w:rFonts w:eastAsia="黑体"/>
          <w:kern w:val="0"/>
          <w:szCs w:val="21"/>
        </w:rPr>
        <w:t xml:space="preserve"> </w:t>
      </w:r>
      <w:r>
        <w:rPr>
          <w:rFonts w:ascii="黑体" w:hAnsi="黑体" w:eastAsia="黑体"/>
          <w:kern w:val="0"/>
          <w:szCs w:val="21"/>
        </w:rPr>
        <w:t>测定步骤</w:t>
      </w:r>
    </w:p>
    <w:p>
      <w:r>
        <w:rPr>
          <w:rFonts w:ascii="黑体" w:hAnsi="黑体" w:eastAsia="黑体"/>
          <w:kern w:val="0"/>
          <w:szCs w:val="21"/>
        </w:rPr>
        <w:t>A.4.1</w:t>
      </w:r>
      <w:r>
        <w:t xml:space="preserve">开启电源，在水箱中加入足量的去离子水，设定恒温恒湿试验箱(A.3.1)的温度和相对湿度为85 </w:t>
      </w:r>
      <w:r>
        <w:rPr>
          <w:rFonts w:hint="eastAsia" w:ascii="宋体" w:hAnsi="宋体" w:cs="宋体"/>
        </w:rPr>
        <w:t>℃</w:t>
      </w:r>
      <w:r>
        <w:t>和85%。恒温恒湿试验箱到达温度和相对湿度的设定值后，运行0.5 h。</w:t>
      </w:r>
    </w:p>
    <w:p>
      <w:r>
        <w:rPr>
          <w:rFonts w:ascii="黑体" w:hAnsi="黑体" w:eastAsia="黑体"/>
          <w:kern w:val="0"/>
          <w:szCs w:val="21"/>
        </w:rPr>
        <w:t>A.4.2</w:t>
      </w:r>
      <w:r>
        <w:t>用天平(A.3.2)称取10 g样品放置在35×10 mm培养皿(A.3.3)内，并用滤纸覆盖。</w:t>
      </w:r>
    </w:p>
    <w:p>
      <w:r>
        <w:rPr>
          <w:rFonts w:ascii="黑体" w:hAnsi="黑体" w:eastAsia="黑体"/>
          <w:kern w:val="0"/>
          <w:szCs w:val="21"/>
        </w:rPr>
        <w:t>A.4.3</w:t>
      </w:r>
      <w:r>
        <w:t>把培养皿（A.3.3）放在不锈钢架上烘箱中央，每次不得超过9培养皿。</w:t>
      </w:r>
    </w:p>
    <w:p>
      <w:r>
        <w:rPr>
          <w:rFonts w:ascii="黑体" w:hAnsi="黑体" w:eastAsia="黑体"/>
          <w:kern w:val="0"/>
          <w:szCs w:val="21"/>
        </w:rPr>
        <w:t>A.4.4</w:t>
      </w:r>
      <w:r>
        <w:rPr>
          <w:rFonts w:hint="eastAsia"/>
        </w:rPr>
        <w:t>在此</w:t>
      </w:r>
      <w:r>
        <w:t>条件</w:t>
      </w:r>
      <w:r>
        <w:rPr>
          <w:rFonts w:hint="eastAsia"/>
        </w:rPr>
        <w:t>下存储</w:t>
      </w:r>
      <w:r>
        <w:t>1000 h后，取出培养皿，</w:t>
      </w:r>
      <w:r>
        <w:rPr>
          <w:rFonts w:hint="eastAsia"/>
        </w:rPr>
        <w:t>将原始样品与试验样品在60℃下真空干燥箱中烘干48h</w:t>
      </w:r>
      <w:r>
        <w:t>。</w:t>
      </w:r>
    </w:p>
    <w:p>
      <w:r>
        <w:rPr>
          <w:rFonts w:ascii="黑体" w:hAnsi="黑体" w:eastAsia="黑体"/>
          <w:kern w:val="0"/>
          <w:szCs w:val="21"/>
        </w:rPr>
        <w:t>A.4.5</w:t>
      </w:r>
      <w:r>
        <w:rPr>
          <w:rFonts w:hint="eastAsia"/>
        </w:rPr>
        <w:t>原始样品与试验样品冷却至室温，</w:t>
      </w:r>
      <w:r>
        <w:t>测定其色品坐标、相对亮度。</w:t>
      </w:r>
    </w:p>
    <w:p>
      <w:r>
        <w:rPr>
          <w:rFonts w:ascii="黑体" w:hAnsi="黑体" w:eastAsia="黑体"/>
          <w:kern w:val="0"/>
          <w:szCs w:val="21"/>
        </w:rPr>
        <w:t>A.4.6</w:t>
      </w:r>
      <w:r>
        <w:t>计算样品的热稳定性。</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A.5 测试结果的表述</w:t>
      </w:r>
    </w:p>
    <w:p>
      <w:r>
        <w:rPr>
          <w:rFonts w:ascii="黑体" w:hAnsi="黑体" w:eastAsia="黑体"/>
          <w:kern w:val="0"/>
          <w:szCs w:val="21"/>
        </w:rPr>
        <w:t>A.5.1</w:t>
      </w:r>
      <w:r>
        <w:t>相对亮度的热稳定性(</w:t>
      </w:r>
      <m:oMath>
        <m:r>
          <m:rPr>
            <m:nor/>
          </m:rPr>
          <w:rPr>
            <w:i/>
          </w:rPr>
          <m:t>∆</m:t>
        </m:r>
        <m:sSub>
          <m:sSubPr>
            <m:ctrlPr>
              <w:rPr>
                <w:rFonts w:ascii="Cambria Math" w:hAnsi="Cambria Math"/>
                <w:i/>
              </w:rPr>
            </m:ctrlPr>
          </m:sSubPr>
          <m:e>
            <m:r>
              <m:rPr>
                <m:nor/>
              </m:rPr>
              <w:rPr>
                <w:i/>
              </w:rPr>
              <m:t>B</m:t>
            </m:r>
            <m:ctrlPr>
              <w:rPr>
                <w:rFonts w:ascii="Cambria Math" w:hAnsi="Cambria Math"/>
                <w:i/>
              </w:rPr>
            </m:ctrlPr>
          </m:e>
          <m:sub>
            <m:r>
              <m:rPr>
                <m:nor/>
              </m:rPr>
              <w:rPr>
                <w:i/>
              </w:rPr>
              <m:t>d</m:t>
            </m:r>
            <m:ctrlPr>
              <w:rPr>
                <w:rFonts w:ascii="Cambria Math" w:hAnsi="Cambria Math"/>
                <w:i/>
              </w:rPr>
            </m:ctrlPr>
          </m:sub>
        </m:sSub>
      </m:oMath>
      <w:r>
        <w:t>)按公式(1)计算：</w:t>
      </w:r>
    </w:p>
    <w:p>
      <w:pPr>
        <w:ind w:firstLine="2415" w:firstLineChars="1150"/>
      </w:pPr>
      <m:oMath>
        <m:r>
          <m:rPr>
            <m:nor/>
          </m:rPr>
          <w:rPr>
            <w:i/>
          </w:rPr>
          <m:t>∆</m:t>
        </m:r>
        <m:sSub>
          <m:sSubPr>
            <m:ctrlPr>
              <w:rPr>
                <w:rFonts w:ascii="Cambria Math" w:hAnsi="Cambria Math"/>
                <w:i/>
              </w:rPr>
            </m:ctrlPr>
          </m:sSubPr>
          <m:e>
            <m:r>
              <m:rPr>
                <m:nor/>
              </m:rPr>
              <w:rPr>
                <w:i/>
              </w:rPr>
              <m:t>B</m:t>
            </m:r>
            <m:ctrlPr>
              <w:rPr>
                <w:rFonts w:ascii="Cambria Math" w:hAnsi="Cambria Math"/>
                <w:i/>
              </w:rPr>
            </m:ctrlPr>
          </m:e>
          <m:sub>
            <m:r>
              <m:rPr>
                <m:nor/>
              </m:rPr>
              <w:rPr>
                <w:i/>
              </w:rPr>
              <m:t>d</m:t>
            </m:r>
            <m:ctrlPr>
              <w:rPr>
                <w:rFonts w:ascii="Cambria Math" w:hAnsi="Cambria Math"/>
                <w:i/>
              </w:rPr>
            </m:ctrlPr>
          </m:sub>
        </m:sSub>
        <m:r>
          <m:rPr>
            <m:nor/>
          </m:rPr>
          <w:rPr>
            <w:i/>
          </w:rPr>
          <m:t>=</m:t>
        </m:r>
        <m:f>
          <m:fPr>
            <m:type m:val="lin"/>
            <m:ctrlPr>
              <w:rPr>
                <w:rFonts w:ascii="Cambria Math" w:hAnsi="Cambria Math"/>
                <w:i/>
              </w:rPr>
            </m:ctrlPr>
          </m:fPr>
          <m:num>
            <m:r>
              <m:rPr>
                <m:nor/>
              </m:rPr>
              <w:rPr>
                <w:i/>
              </w:rPr>
              <m:t>(</m:t>
            </m:r>
            <m:sSub>
              <m:sSubPr>
                <m:ctrlPr>
                  <w:rPr>
                    <w:rFonts w:ascii="Cambria Math" w:hAnsi="Cambria Math"/>
                    <w:i/>
                  </w:rPr>
                </m:ctrlPr>
              </m:sSubPr>
              <m:e>
                <m:r>
                  <m:rPr>
                    <m:nor/>
                  </m:rPr>
                  <w:rPr>
                    <w:i/>
                  </w:rPr>
                  <m:t>B</m:t>
                </m:r>
                <m:ctrlPr>
                  <w:rPr>
                    <w:rFonts w:ascii="Cambria Math" w:hAnsi="Cambria Math"/>
                    <w:i/>
                  </w:rPr>
                </m:ctrlPr>
              </m:e>
              <m:sub>
                <m:r>
                  <m:rPr>
                    <m:nor/>
                  </m:rPr>
                  <w:rPr>
                    <w:i/>
                  </w:rPr>
                  <m:t>d</m:t>
                </m:r>
                <m:ctrlPr>
                  <w:rPr>
                    <w:rFonts w:ascii="Cambria Math" w:hAnsi="Cambria Math"/>
                    <w:i/>
                  </w:rPr>
                </m:ctrlPr>
              </m:sub>
            </m:sSub>
            <m:r>
              <m:rPr>
                <m:nor/>
              </m:rPr>
              <w:rPr>
                <w:i/>
              </w:rPr>
              <m:t>-</m:t>
            </m:r>
            <m:sSub>
              <m:sSubPr>
                <m:ctrlPr>
                  <w:rPr>
                    <w:rFonts w:ascii="Cambria Math" w:hAnsi="Cambria Math"/>
                    <w:i/>
                  </w:rPr>
                </m:ctrlPr>
              </m:sSubPr>
              <m:e>
                <m:r>
                  <m:rPr>
                    <m:nor/>
                  </m:rPr>
                  <w:rPr>
                    <w:i/>
                  </w:rPr>
                  <m:t>B</m:t>
                </m:r>
                <m:ctrlPr>
                  <w:rPr>
                    <w:rFonts w:ascii="Cambria Math" w:hAnsi="Cambria Math"/>
                    <w:i/>
                  </w:rPr>
                </m:ctrlPr>
              </m:e>
              <m:sub>
                <m:r>
                  <m:rPr>
                    <m:nor/>
                  </m:rPr>
                  <w:rPr>
                    <w:i/>
                  </w:rPr>
                  <m:t>0</m:t>
                </m:r>
                <m:ctrlPr>
                  <w:rPr>
                    <w:rFonts w:ascii="Cambria Math" w:hAnsi="Cambria Math"/>
                    <w:i/>
                  </w:rPr>
                </m:ctrlPr>
              </m:sub>
            </m:sSub>
            <m:r>
              <m:rPr>
                <m:nor/>
              </m:rPr>
              <w:rPr>
                <w:i/>
              </w:rPr>
              <m:t>)</m:t>
            </m:r>
            <m:ctrlPr>
              <w:rPr>
                <w:rFonts w:ascii="Cambria Math" w:hAnsi="Cambria Math"/>
                <w:i/>
              </w:rPr>
            </m:ctrlPr>
          </m:num>
          <m:den>
            <m:sSub>
              <m:sSubPr>
                <m:ctrlPr>
                  <w:rPr>
                    <w:rFonts w:ascii="Cambria Math" w:hAnsi="Cambria Math"/>
                    <w:i/>
                  </w:rPr>
                </m:ctrlPr>
              </m:sSubPr>
              <m:e>
                <m:r>
                  <m:rPr>
                    <m:nor/>
                  </m:rPr>
                  <w:rPr>
                    <w:i/>
                  </w:rPr>
                  <m:t>B</m:t>
                </m:r>
                <m:ctrlPr>
                  <w:rPr>
                    <w:rFonts w:ascii="Cambria Math" w:hAnsi="Cambria Math"/>
                    <w:i/>
                  </w:rPr>
                </m:ctrlPr>
              </m:e>
              <m:sub>
                <m:r>
                  <m:rPr>
                    <m:nor/>
                  </m:rPr>
                  <w:rPr>
                    <w:i/>
                  </w:rPr>
                  <m:t>0</m:t>
                </m:r>
                <m:ctrlPr>
                  <w:rPr>
                    <w:rFonts w:ascii="Cambria Math" w:hAnsi="Cambria Math"/>
                    <w:i/>
                  </w:rPr>
                </m:ctrlPr>
              </m:sub>
            </m:sSub>
            <m:ctrlPr>
              <w:rPr>
                <w:rFonts w:ascii="Cambria Math" w:hAnsi="Cambria Math"/>
                <w:i/>
              </w:rPr>
            </m:ctrlPr>
          </m:den>
        </m:f>
        <m:r>
          <m:rPr>
            <m:nor/>
          </m:rPr>
          <w:rPr>
            <w:i/>
          </w:rPr>
          <m:t>*100</m:t>
        </m:r>
      </m:oMath>
      <w:r>
        <w:tab/>
      </w:r>
      <w:r>
        <w:tab/>
      </w:r>
      <w:r>
        <w:tab/>
      </w:r>
      <w:r>
        <w:rPr>
          <w:rFonts w:hint="eastAsia"/>
        </w:rPr>
        <w:t>（1）</w:t>
      </w:r>
    </w:p>
    <w:p>
      <w:r>
        <w:t>式中：</w:t>
      </w:r>
    </w:p>
    <w:p>
      <m:oMath>
        <m:r>
          <m:rPr>
            <m:nor/>
          </m:rPr>
          <w:rPr>
            <w:i/>
          </w:rPr>
          <m:t>∆</m:t>
        </m:r>
        <m:sSub>
          <m:sSubPr>
            <m:ctrlPr>
              <w:rPr>
                <w:rFonts w:ascii="Cambria Math" w:hAnsi="Cambria Math"/>
                <w:i/>
              </w:rPr>
            </m:ctrlPr>
          </m:sSubPr>
          <m:e>
            <m:r>
              <m:rPr>
                <m:nor/>
              </m:rPr>
              <w:rPr>
                <w:i/>
              </w:rPr>
              <m:t>B</m:t>
            </m:r>
            <m:ctrlPr>
              <w:rPr>
                <w:rFonts w:ascii="Cambria Math" w:hAnsi="Cambria Math"/>
                <w:i/>
              </w:rPr>
            </m:ctrlPr>
          </m:e>
          <m:sub>
            <m:r>
              <m:rPr>
                <m:nor/>
              </m:rPr>
              <w:rPr>
                <w:i/>
              </w:rPr>
              <m:t>d</m:t>
            </m:r>
            <m:ctrlPr>
              <w:rPr>
                <w:rFonts w:ascii="Cambria Math" w:hAnsi="Cambria Math"/>
                <w:i/>
              </w:rPr>
            </m:ctrlPr>
          </m:sub>
        </m:sSub>
      </m:oMath>
      <w:r>
        <w:t>——相对亮度的双85热稳定性（％)</w:t>
      </w:r>
      <w:r>
        <w:rPr>
          <w:rFonts w:hint="eastAsia"/>
        </w:rPr>
        <w:t>；</w:t>
      </w:r>
    </w:p>
    <w:p>
      <m:oMath>
        <m:sSub>
          <m:sSubPr>
            <m:ctrlPr>
              <w:rPr>
                <w:rFonts w:ascii="Cambria Math" w:hAnsi="Cambria Math"/>
                <w:i/>
              </w:rPr>
            </m:ctrlPr>
          </m:sSubPr>
          <m:e>
            <m:r>
              <m:rPr>
                <m:nor/>
              </m:rPr>
              <w:rPr>
                <w:i/>
              </w:rPr>
              <m:t>B</m:t>
            </m:r>
            <m:ctrlPr>
              <w:rPr>
                <w:rFonts w:ascii="Cambria Math" w:hAnsi="Cambria Math"/>
                <w:i/>
              </w:rPr>
            </m:ctrlPr>
          </m:e>
          <m:sub>
            <m:r>
              <m:rPr>
                <m:nor/>
              </m:rPr>
              <w:rPr>
                <w:i/>
              </w:rPr>
              <m:t>0</m:t>
            </m:r>
            <m:ctrlPr>
              <w:rPr>
                <w:rFonts w:ascii="Cambria Math" w:hAnsi="Cambria Math"/>
                <w:i/>
              </w:rPr>
            </m:ctrlPr>
          </m:sub>
        </m:sSub>
      </m:oMath>
      <w:r>
        <w:t>——未处理过的样品相对亮度（％)</w:t>
      </w:r>
      <w:r>
        <w:rPr>
          <w:rFonts w:hint="eastAsia"/>
        </w:rPr>
        <w:t>；</w:t>
      </w:r>
      <w:r>
        <w:t xml:space="preserve"> </w:t>
      </w:r>
    </w:p>
    <w:p>
      <m:oMath>
        <m:sSub>
          <m:sSubPr>
            <m:ctrlPr>
              <w:rPr>
                <w:rFonts w:ascii="Cambria Math" w:hAnsi="Cambria Math"/>
                <w:i/>
              </w:rPr>
            </m:ctrlPr>
          </m:sSubPr>
          <m:e>
            <m:r>
              <m:rPr>
                <m:nor/>
              </m:rPr>
              <w:rPr>
                <w:i/>
              </w:rPr>
              <m:t>B</m:t>
            </m:r>
            <m:ctrlPr>
              <w:rPr>
                <w:rFonts w:ascii="Cambria Math" w:hAnsi="Cambria Math"/>
                <w:i/>
              </w:rPr>
            </m:ctrlPr>
          </m:e>
          <m:sub>
            <m:r>
              <m:rPr>
                <m:nor/>
              </m:rPr>
              <w:rPr>
                <w:i/>
              </w:rPr>
              <m:t>d</m:t>
            </m:r>
            <m:ctrlPr>
              <w:rPr>
                <w:rFonts w:ascii="Cambria Math" w:hAnsi="Cambria Math"/>
                <w:i/>
              </w:rPr>
            </m:ctrlPr>
          </m:sub>
        </m:sSub>
      </m:oMath>
      <w:r>
        <w:t xml:space="preserve">——双85处理过的样品相对亮度（％)。 </w:t>
      </w:r>
    </w:p>
    <w:p/>
    <w:p>
      <w:r>
        <w:rPr>
          <w:rFonts w:ascii="黑体" w:hAnsi="黑体" w:eastAsia="黑体"/>
          <w:kern w:val="0"/>
          <w:szCs w:val="21"/>
        </w:rPr>
        <w:t>A.5.2</w:t>
      </w:r>
      <w:r>
        <w:t>色品坐标的双85稳定性(</w:t>
      </w:r>
      <m:oMath>
        <m:r>
          <m:rPr>
            <m:nor/>
          </m:rPr>
          <w:rPr>
            <w:i/>
          </w:rPr>
          <m:t>∆</m:t>
        </m:r>
        <m:sSub>
          <m:sSubPr>
            <m:ctrlPr>
              <w:rPr>
                <w:rFonts w:ascii="Cambria Math" w:hAnsi="Cambria Math"/>
                <w:i/>
              </w:rPr>
            </m:ctrlPr>
          </m:sSubPr>
          <m:e>
            <m:r>
              <m:rPr>
                <m:nor/>
              </m:rPr>
              <w:rPr>
                <w:i/>
              </w:rPr>
              <m:t>x</m:t>
            </m:r>
            <m:ctrlPr>
              <w:rPr>
                <w:rFonts w:ascii="Cambria Math" w:hAnsi="Cambria Math"/>
                <w:i/>
              </w:rPr>
            </m:ctrlPr>
          </m:e>
          <m:sub>
            <m:r>
              <m:rPr>
                <m:nor/>
              </m:rPr>
              <w:rPr>
                <w:i/>
              </w:rPr>
              <m:t>h</m:t>
            </m:r>
            <m:ctrlPr>
              <w:rPr>
                <w:rFonts w:ascii="Cambria Math" w:hAnsi="Cambria Math"/>
                <w:i/>
              </w:rPr>
            </m:ctrlPr>
          </m:sub>
        </m:sSub>
      </m:oMath>
      <w:r>
        <w:t>和</w:t>
      </w:r>
      <m:oMath>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h</m:t>
            </m:r>
            <m:ctrlPr>
              <w:rPr>
                <w:rFonts w:ascii="Cambria Math" w:hAnsi="Cambria Math"/>
                <w:i/>
              </w:rPr>
            </m:ctrlPr>
          </m:sub>
        </m:sSub>
      </m:oMath>
      <w:r>
        <w:t>)分别按公式</w:t>
      </w:r>
      <w:r>
        <w:rPr>
          <w:rFonts w:hint="eastAsia"/>
        </w:rPr>
        <w:t>（2）</w:t>
      </w:r>
      <w:r>
        <w:t>和</w:t>
      </w:r>
      <w:r>
        <w:rPr>
          <w:rFonts w:hint="eastAsia"/>
        </w:rPr>
        <w:t>（3）</w:t>
      </w:r>
      <w:r>
        <w:t>计算：</w:t>
      </w:r>
    </w:p>
    <w:p>
      <m:oMath>
        <m:r>
          <m:rPr>
            <m:nor/>
          </m:rPr>
          <w:rPr>
            <w:i/>
          </w:rPr>
          <m:t>∆</m:t>
        </m:r>
        <m:sSub>
          <m:sSubPr>
            <m:ctrlPr>
              <w:rPr>
                <w:rFonts w:ascii="Cambria Math" w:hAnsi="Cambria Math"/>
                <w:i/>
              </w:rPr>
            </m:ctrlPr>
          </m:sSubPr>
          <m:e>
            <m:r>
              <m:rPr>
                <m:nor/>
              </m:rPr>
              <w:rPr>
                <w:i/>
              </w:rPr>
              <m:t>x</m:t>
            </m:r>
            <m:ctrlPr>
              <w:rPr>
                <w:rFonts w:ascii="Cambria Math" w:hAnsi="Cambria Math"/>
                <w:i/>
              </w:rPr>
            </m:ctrlPr>
          </m:e>
          <m:sub>
            <m:r>
              <m:rPr>
                <m:nor/>
              </m:rPr>
              <w:rPr>
                <w:i/>
              </w:rPr>
              <m:t>d</m:t>
            </m:r>
            <m:ctrlPr>
              <w:rPr>
                <w:rFonts w:ascii="Cambria Math" w:hAnsi="Cambria Math"/>
                <w:i/>
              </w:rPr>
            </m:ctrlPr>
          </m:sub>
        </m:sSub>
        <m:r>
          <m:rPr>
            <m:nor/>
          </m:rPr>
          <w:rPr>
            <w:i/>
          </w:rPr>
          <m:t xml:space="preserve"> =</m:t>
        </m:r>
        <m:sSub>
          <m:sSubPr>
            <m:ctrlPr>
              <w:rPr>
                <w:rFonts w:ascii="Cambria Math" w:hAnsi="Cambria Math"/>
                <w:i/>
              </w:rPr>
            </m:ctrlPr>
          </m:sSubPr>
          <m:e>
            <m:r>
              <m:rPr>
                <m:nor/>
              </m:rPr>
              <w:rPr>
                <w:i/>
              </w:rPr>
              <m:t>x</m:t>
            </m:r>
            <m:ctrlPr>
              <w:rPr>
                <w:rFonts w:ascii="Cambria Math" w:hAnsi="Cambria Math"/>
                <w:i/>
              </w:rPr>
            </m:ctrlPr>
          </m:e>
          <m:sub>
            <m:r>
              <m:rPr>
                <m:nor/>
              </m:rPr>
              <w:rPr>
                <w:i/>
              </w:rPr>
              <m:t>d</m:t>
            </m:r>
            <m:ctrlPr>
              <w:rPr>
                <w:rFonts w:ascii="Cambria Math" w:hAnsi="Cambria Math"/>
                <w:i/>
              </w:rPr>
            </m:ctrlPr>
          </m:sub>
        </m:sSub>
        <m:r>
          <m:rPr>
            <m:nor/>
          </m:rPr>
          <w:rPr>
            <w:i/>
          </w:rPr>
          <m:t>-</m:t>
        </m:r>
        <m:sSub>
          <m:sSubPr>
            <m:ctrlPr>
              <w:rPr>
                <w:rFonts w:ascii="Cambria Math" w:hAnsi="Cambria Math"/>
                <w:i/>
              </w:rPr>
            </m:ctrlPr>
          </m:sSubPr>
          <m:e>
            <m:r>
              <m:rPr>
                <m:nor/>
              </m:rPr>
              <w:rPr>
                <w:i/>
              </w:rPr>
              <m:t>x</m:t>
            </m:r>
            <m:ctrlPr>
              <w:rPr>
                <w:rFonts w:ascii="Cambria Math" w:hAnsi="Cambria Math"/>
                <w:i/>
              </w:rPr>
            </m:ctrlPr>
          </m:e>
          <m:sub>
            <m:r>
              <m:rPr>
                <m:nor/>
              </m:rPr>
              <w:rPr>
                <w:i/>
              </w:rPr>
              <m:t>0</m:t>
            </m:r>
            <m:ctrlPr>
              <w:rPr>
                <w:rFonts w:ascii="Cambria Math" w:hAnsi="Cambria Math"/>
                <w:i/>
              </w:rPr>
            </m:ctrlPr>
          </m:sub>
        </m:sSub>
      </m:oMath>
      <w:r>
        <w:tab/>
      </w:r>
      <w:r>
        <w:rPr>
          <w:rFonts w:hint="eastAsia"/>
        </w:rPr>
        <w:t>（2）</w:t>
      </w:r>
    </w:p>
    <w:p>
      <m:oMath>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d</m:t>
            </m:r>
            <m:ctrlPr>
              <w:rPr>
                <w:rFonts w:ascii="Cambria Math" w:hAnsi="Cambria Math"/>
                <w:i/>
              </w:rPr>
            </m:ctrlPr>
          </m:sub>
        </m:sSub>
        <m:r>
          <m:rPr>
            <m:nor/>
          </m:rPr>
          <w:rPr>
            <w:i/>
          </w:rPr>
          <m:t xml:space="preserve"> =</m:t>
        </m:r>
        <m:sSub>
          <m:sSubPr>
            <m:ctrlPr>
              <w:rPr>
                <w:rFonts w:ascii="Cambria Math" w:hAnsi="Cambria Math"/>
                <w:i/>
              </w:rPr>
            </m:ctrlPr>
          </m:sSubPr>
          <m:e>
            <m:r>
              <m:rPr>
                <m:nor/>
              </m:rPr>
              <w:rPr>
                <w:i/>
              </w:rPr>
              <m:t>y</m:t>
            </m:r>
            <m:ctrlPr>
              <w:rPr>
                <w:rFonts w:ascii="Cambria Math" w:hAnsi="Cambria Math"/>
                <w:i/>
              </w:rPr>
            </m:ctrlPr>
          </m:e>
          <m:sub>
            <m:r>
              <m:rPr>
                <m:nor/>
              </m:rPr>
              <w:rPr>
                <w:i/>
              </w:rPr>
              <m:t>d</m:t>
            </m:r>
            <m:ctrlPr>
              <w:rPr>
                <w:rFonts w:ascii="Cambria Math" w:hAnsi="Cambria Math"/>
                <w:i/>
              </w:rPr>
            </m:ctrlPr>
          </m:sub>
        </m:sSub>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0</m:t>
            </m:r>
            <m:ctrlPr>
              <w:rPr>
                <w:rFonts w:ascii="Cambria Math" w:hAnsi="Cambria Math"/>
                <w:i/>
              </w:rPr>
            </m:ctrlPr>
          </m:sub>
        </m:sSub>
      </m:oMath>
      <w:r>
        <w:tab/>
      </w:r>
      <w:r>
        <w:rPr>
          <w:rFonts w:hint="eastAsia"/>
        </w:rPr>
        <w:t>（3）</w:t>
      </w:r>
    </w:p>
    <w:p>
      <w:r>
        <w:t>式中：</w:t>
      </w:r>
    </w:p>
    <w:p>
      <m:oMath>
        <m:r>
          <m:rPr>
            <m:nor/>
          </m:rPr>
          <w:rPr>
            <w:i/>
          </w:rPr>
          <m:t>∆</m:t>
        </m:r>
        <m:sSub>
          <m:sSubPr>
            <m:ctrlPr>
              <w:rPr>
                <w:rFonts w:ascii="Cambria Math" w:hAnsi="Cambria Math"/>
                <w:i/>
              </w:rPr>
            </m:ctrlPr>
          </m:sSubPr>
          <m:e>
            <m:r>
              <m:rPr>
                <m:nor/>
              </m:rPr>
              <w:rPr>
                <w:i/>
              </w:rPr>
              <m:t>x</m:t>
            </m:r>
            <m:ctrlPr>
              <w:rPr>
                <w:rFonts w:ascii="Cambria Math" w:hAnsi="Cambria Math"/>
                <w:i/>
              </w:rPr>
            </m:ctrlPr>
          </m:e>
          <m:sub>
            <m:r>
              <m:rPr>
                <m:nor/>
              </m:rPr>
              <w:rPr>
                <w:i/>
              </w:rPr>
              <m:t>d</m:t>
            </m:r>
            <m:ctrlPr>
              <w:rPr>
                <w:rFonts w:ascii="Cambria Math" w:hAnsi="Cambria Math"/>
                <w:i/>
              </w:rPr>
            </m:ctrlPr>
          </m:sub>
        </m:sSub>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d</m:t>
            </m:r>
            <m:ctrlPr>
              <w:rPr>
                <w:rFonts w:ascii="Cambria Math" w:hAnsi="Cambria Math"/>
                <w:i/>
              </w:rPr>
            </m:ctrlPr>
          </m:sub>
        </m:sSub>
        <m:r>
          <m:rPr>
            <m:sty m:val="p"/>
          </m:rPr>
          <w:rPr>
            <w:rFonts w:ascii="Cambria Math" w:hAnsi="Cambria Math"/>
          </w:rPr>
          <m:t xml:space="preserve"> </m:t>
        </m:r>
      </m:oMath>
      <w:r>
        <w:t xml:space="preserve">——色品坐标的双85稳定性； </w:t>
      </w:r>
    </w:p>
    <w:p>
      <m:oMath>
        <m:sSub>
          <m:sSubPr>
            <m:ctrlPr>
              <w:rPr>
                <w:rFonts w:ascii="Cambria Math" w:hAnsi="Cambria Math"/>
                <w:i/>
              </w:rPr>
            </m:ctrlPr>
          </m:sSubPr>
          <m:e>
            <m:r>
              <m:rPr>
                <m:nor/>
              </m:rPr>
              <w:rPr>
                <w:i/>
              </w:rPr>
              <m:t>x</m:t>
            </m:r>
            <m:ctrlPr>
              <w:rPr>
                <w:rFonts w:ascii="Cambria Math" w:hAnsi="Cambria Math"/>
                <w:i/>
              </w:rPr>
            </m:ctrlPr>
          </m:e>
          <m:sub>
            <m:r>
              <m:rPr>
                <m:nor/>
              </m:rPr>
              <w:rPr>
                <w:i/>
              </w:rPr>
              <m:t>0</m:t>
            </m:r>
            <m:ctrlPr>
              <w:rPr>
                <w:rFonts w:ascii="Cambria Math" w:hAnsi="Cambria Math"/>
                <w:i/>
              </w:rPr>
            </m:ctrlPr>
          </m:sub>
        </m:sSub>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0</m:t>
            </m:r>
            <m:ctrlPr>
              <w:rPr>
                <w:rFonts w:ascii="Cambria Math" w:hAnsi="Cambria Math"/>
                <w:i/>
              </w:rPr>
            </m:ctrlPr>
          </m:sub>
        </m:sSub>
      </m:oMath>
      <w:r>
        <w:t xml:space="preserve">——未处理过的样品的色品坐标； </w:t>
      </w:r>
    </w:p>
    <w:p>
      <m:oMath>
        <m:sSub>
          <m:sSubPr>
            <m:ctrlPr>
              <w:rPr>
                <w:rFonts w:ascii="Cambria Math" w:hAnsi="Cambria Math"/>
                <w:i/>
              </w:rPr>
            </m:ctrlPr>
          </m:sSubPr>
          <m:e>
            <m:r>
              <m:rPr>
                <m:nor/>
              </m:rPr>
              <w:rPr>
                <w:i/>
              </w:rPr>
              <m:t>x</m:t>
            </m:r>
            <m:ctrlPr>
              <w:rPr>
                <w:rFonts w:ascii="Cambria Math" w:hAnsi="Cambria Math"/>
                <w:i/>
              </w:rPr>
            </m:ctrlPr>
          </m:e>
          <m:sub>
            <m:r>
              <m:rPr>
                <m:nor/>
              </m:rPr>
              <w:rPr>
                <w:i/>
              </w:rPr>
              <m:t>d</m:t>
            </m:r>
            <m:ctrlPr>
              <w:rPr>
                <w:rFonts w:ascii="Cambria Math" w:hAnsi="Cambria Math"/>
                <w:i/>
              </w:rPr>
            </m:ctrlPr>
          </m:sub>
        </m:sSub>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d</m:t>
            </m:r>
            <m:ctrlPr>
              <w:rPr>
                <w:rFonts w:ascii="Cambria Math" w:hAnsi="Cambria Math"/>
                <w:i/>
              </w:rPr>
            </m:ctrlPr>
          </m:sub>
        </m:sSub>
      </m:oMath>
      <w:r>
        <w:t>——双85处理过的样品的色品坐标。</w:t>
      </w:r>
    </w:p>
    <w:p>
      <w:pPr>
        <w:jc w:val="center"/>
        <w:rPr>
          <w:szCs w:val="21"/>
        </w:rPr>
      </w:pPr>
      <w:r>
        <w:rPr>
          <w:rFonts w:hint="eastAsia"/>
          <w:szCs w:val="21"/>
        </w:rPr>
        <w:t>附录B</w:t>
      </w:r>
    </w:p>
    <w:p>
      <w:pPr>
        <w:jc w:val="center"/>
        <w:rPr>
          <w:szCs w:val="21"/>
        </w:rPr>
      </w:pPr>
      <w:r>
        <w:rPr>
          <w:rFonts w:hint="eastAsia"/>
          <w:szCs w:val="21"/>
        </w:rPr>
        <w:t>（规范性附录）</w:t>
      </w:r>
    </w:p>
    <w:p>
      <w:pPr>
        <w:rPr>
          <w:szCs w:val="21"/>
        </w:rPr>
      </w:pPr>
    </w:p>
    <w:p>
      <w:pPr>
        <w:jc w:val="center"/>
      </w:pPr>
      <w:r>
        <w:t>PCT性能测试</w:t>
      </w:r>
      <w:r>
        <w:rPr>
          <w:rFonts w:hint="eastAsia"/>
        </w:rPr>
        <w:t>方法</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B.1</w:t>
      </w:r>
      <w:r>
        <w:rPr>
          <w:rFonts w:hint="eastAsia" w:ascii="黑体" w:hAnsi="黑体" w:eastAsia="黑体"/>
          <w:kern w:val="0"/>
          <w:szCs w:val="21"/>
        </w:rPr>
        <w:t xml:space="preserve"> </w:t>
      </w:r>
      <w:r>
        <w:rPr>
          <w:rFonts w:ascii="黑体" w:hAnsi="黑体" w:eastAsia="黑体"/>
          <w:kern w:val="0"/>
          <w:szCs w:val="21"/>
        </w:rPr>
        <w:t>范围</w:t>
      </w:r>
    </w:p>
    <w:p>
      <w:pPr>
        <w:autoSpaceDE w:val="0"/>
        <w:autoSpaceDN w:val="0"/>
        <w:adjustRightInd w:val="0"/>
        <w:ind w:right="-239" w:rightChars="-114" w:firstLine="420" w:firstLineChars="200"/>
        <w:jc w:val="left"/>
        <w:rPr>
          <w:kern w:val="0"/>
          <w:szCs w:val="21"/>
        </w:rPr>
      </w:pPr>
      <w:r>
        <w:rPr>
          <w:rFonts w:hAnsi="宋体"/>
          <w:kern w:val="0"/>
          <w:szCs w:val="21"/>
        </w:rPr>
        <w:t>本</w:t>
      </w:r>
      <w:r>
        <w:rPr>
          <w:rFonts w:hint="eastAsia" w:hAnsi="宋体"/>
          <w:kern w:val="0"/>
          <w:szCs w:val="21"/>
        </w:rPr>
        <w:t>附录</w:t>
      </w:r>
      <w:r>
        <w:rPr>
          <w:rFonts w:hAnsi="宋体"/>
          <w:kern w:val="0"/>
          <w:szCs w:val="21"/>
        </w:rPr>
        <w:t>规定了白光</w:t>
      </w:r>
      <w:r>
        <w:rPr>
          <w:kern w:val="0"/>
          <w:szCs w:val="21"/>
        </w:rPr>
        <w:t>LED</w:t>
      </w:r>
      <w:r>
        <w:rPr>
          <w:rFonts w:hAnsi="宋体"/>
          <w:kern w:val="0"/>
          <w:szCs w:val="21"/>
        </w:rPr>
        <w:t>用石榴石结构铝酸盐系列荧光粉的</w:t>
      </w:r>
      <w:r>
        <w:rPr>
          <w:rFonts w:hint="eastAsia" w:hAnsi="宋体"/>
          <w:kern w:val="0"/>
          <w:szCs w:val="21"/>
        </w:rPr>
        <w:t>PCT老化性能测试方法</w:t>
      </w:r>
      <w:r>
        <w:rPr>
          <w:rFonts w:hAnsi="宋体"/>
          <w:kern w:val="0"/>
          <w:szCs w:val="21"/>
        </w:rPr>
        <w:t>。</w:t>
      </w:r>
    </w:p>
    <w:p>
      <w:pPr>
        <w:autoSpaceDE w:val="0"/>
        <w:autoSpaceDN w:val="0"/>
        <w:adjustRightInd w:val="0"/>
        <w:ind w:firstLine="420" w:firstLineChars="200"/>
        <w:jc w:val="left"/>
        <w:rPr>
          <w:rFonts w:hAnsi="宋体"/>
          <w:kern w:val="0"/>
          <w:szCs w:val="21"/>
        </w:rPr>
      </w:pPr>
      <w:r>
        <w:rPr>
          <w:rFonts w:hAnsi="宋体"/>
          <w:kern w:val="0"/>
          <w:szCs w:val="21"/>
        </w:rPr>
        <w:t>本</w:t>
      </w:r>
      <w:r>
        <w:rPr>
          <w:rFonts w:hint="eastAsia" w:hAnsi="宋体"/>
          <w:kern w:val="0"/>
          <w:szCs w:val="21"/>
        </w:rPr>
        <w:t>附录</w:t>
      </w:r>
      <w:r>
        <w:rPr>
          <w:rFonts w:hAnsi="宋体"/>
          <w:kern w:val="0"/>
          <w:szCs w:val="21"/>
        </w:rPr>
        <w:t>适用于经高温反应</w:t>
      </w:r>
      <w:r>
        <w:rPr>
          <w:rFonts w:hint="eastAsia" w:hAnsi="宋体"/>
          <w:kern w:val="0"/>
          <w:szCs w:val="21"/>
        </w:rPr>
        <w:t>，</w:t>
      </w:r>
      <w:r>
        <w:rPr>
          <w:rFonts w:hAnsi="宋体"/>
          <w:kern w:val="0"/>
          <w:szCs w:val="21"/>
        </w:rPr>
        <w:t>共沉淀法或燃烧法等液相法制得的铝酸盐及相关体系的荧光粉</w:t>
      </w:r>
      <w:r>
        <w:rPr>
          <w:rFonts w:hint="eastAsia" w:hAnsi="宋体"/>
          <w:kern w:val="0"/>
          <w:szCs w:val="21"/>
        </w:rPr>
        <w:t>PCT老化性能测试</w:t>
      </w:r>
      <w:r>
        <w:rPr>
          <w:rFonts w:hAnsi="宋体"/>
          <w:kern w:val="0"/>
          <w:szCs w:val="21"/>
        </w:rPr>
        <w:t>。</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B.2 方法原理</w:t>
      </w:r>
    </w:p>
    <w:p>
      <w:pPr>
        <w:ind w:firstLine="420" w:firstLineChars="200"/>
        <w:rPr>
          <w:rFonts w:ascii="黑体" w:hAnsi="黑体" w:eastAsia="黑体"/>
          <w:kern w:val="0"/>
          <w:szCs w:val="21"/>
        </w:rPr>
      </w:pPr>
      <w:r>
        <w:t>将PCT加速老化试验箱的温度、相对湿度、箱内压强设置至规定值</w:t>
      </w:r>
      <w:r>
        <w:rPr>
          <w:rFonts w:hint="eastAsia"/>
        </w:rPr>
        <w:t>，</w:t>
      </w:r>
      <w:r>
        <w:t>待温度、相对湿度、压强达到设定值时，放</w:t>
      </w:r>
      <w:r>
        <w:rPr>
          <w:rFonts w:hint="eastAsia"/>
        </w:rPr>
        <w:t>入</w:t>
      </w:r>
      <w:r>
        <w:t>黄粉样品，存储至规定时间，随即取出，在干燥器中自然冷却至室温。对未处理过的样品和PCT处理过的样品进行相对亮度、色品坐标或其</w:t>
      </w:r>
      <w:r>
        <w:rPr>
          <w:rFonts w:hint="eastAsia"/>
        </w:rPr>
        <w:t>它</w:t>
      </w:r>
      <w:r>
        <w:t>有关性能的測定，用两者之间差异的绝对值来表示所试验的黄粉的PCT老化性能。</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B.3 仪器与装置</w:t>
      </w:r>
    </w:p>
    <w:p>
      <w:r>
        <w:rPr>
          <w:rFonts w:ascii="黑体" w:hAnsi="黑体" w:eastAsia="黑体"/>
          <w:kern w:val="0"/>
          <w:szCs w:val="21"/>
        </w:rPr>
        <w:t>B.3.1</w:t>
      </w:r>
      <w:r>
        <w:rPr>
          <w:rFonts w:eastAsia="黑体"/>
          <w:kern w:val="0"/>
          <w:szCs w:val="21"/>
        </w:rPr>
        <w:t xml:space="preserve"> </w:t>
      </w:r>
      <w:r>
        <w:t>PCT加速老化试验箱：温度范围为105</w:t>
      </w:r>
      <w:r>
        <w:rPr>
          <w:rFonts w:hint="eastAsia" w:ascii="宋体" w:hAnsi="宋体" w:cs="宋体"/>
        </w:rPr>
        <w:t>℃</w:t>
      </w:r>
      <w:r>
        <w:t xml:space="preserve">-132 </w:t>
      </w:r>
      <w:r>
        <w:rPr>
          <w:rFonts w:hint="eastAsia" w:ascii="宋体" w:hAnsi="宋体" w:cs="宋体"/>
        </w:rPr>
        <w:t>℃</w:t>
      </w:r>
      <w:r>
        <w:t xml:space="preserve">，精度±0.2 </w:t>
      </w:r>
      <w:r>
        <w:rPr>
          <w:rFonts w:hint="eastAsia" w:ascii="宋体" w:hAnsi="宋体" w:cs="宋体"/>
        </w:rPr>
        <w:t>℃</w:t>
      </w:r>
      <w:r>
        <w:t>，相对湿度范围为75%-100%，精度±2.5%，压强1.2 Kg/cm</w:t>
      </w:r>
      <w:r>
        <w:rPr>
          <w:vertAlign w:val="superscript"/>
        </w:rPr>
        <w:t>2</w:t>
      </w:r>
      <w:r>
        <w:t xml:space="preserve"> -2.89 Kg/cm</w:t>
      </w:r>
      <w:r>
        <w:rPr>
          <w:vertAlign w:val="superscript"/>
        </w:rPr>
        <w:t>2</w:t>
      </w:r>
      <w:r>
        <w:t>。</w:t>
      </w:r>
    </w:p>
    <w:p>
      <w:r>
        <w:rPr>
          <w:rFonts w:ascii="黑体" w:hAnsi="黑体" w:eastAsia="黑体"/>
          <w:kern w:val="0"/>
          <w:szCs w:val="21"/>
        </w:rPr>
        <w:t>B.3.2</w:t>
      </w:r>
      <w:r>
        <w:t>天平：精度0.1 g。</w:t>
      </w:r>
    </w:p>
    <w:p>
      <w:r>
        <w:rPr>
          <w:rFonts w:ascii="黑体" w:hAnsi="黑体" w:eastAsia="黑体"/>
          <w:kern w:val="0"/>
          <w:szCs w:val="21"/>
        </w:rPr>
        <w:t>B.3.3</w:t>
      </w:r>
      <w:r>
        <w:t>培养皿：35×10 mm。</w:t>
      </w:r>
    </w:p>
    <w:p>
      <w:r>
        <w:rPr>
          <w:rFonts w:ascii="黑体" w:hAnsi="黑体" w:eastAsia="黑体"/>
          <w:kern w:val="0"/>
          <w:szCs w:val="21"/>
        </w:rPr>
        <w:t>B.3.4</w:t>
      </w:r>
      <w:r>
        <w:rPr>
          <w:rFonts w:hint="eastAsia"/>
          <w:szCs w:val="21"/>
        </w:rPr>
        <w:t>真空干燥箱</w:t>
      </w:r>
      <w:r>
        <w:rPr>
          <w:szCs w:val="21"/>
        </w:rPr>
        <w:t>: 精度±0.2 ℃</w:t>
      </w:r>
      <w:r>
        <w:rPr>
          <w:rFonts w:hint="eastAsia"/>
          <w:szCs w:val="21"/>
        </w:rPr>
        <w:t>。</w:t>
      </w:r>
    </w:p>
    <w:p>
      <w:r>
        <w:rPr>
          <w:rFonts w:ascii="黑体" w:hAnsi="黑体" w:eastAsia="黑体"/>
          <w:kern w:val="0"/>
          <w:szCs w:val="21"/>
        </w:rPr>
        <w:t>B.3.5</w:t>
      </w:r>
      <w:r>
        <w:t>光谱辐射分析仪：采用460 nm准单色激发源、波长准确性</w:t>
      </w:r>
      <w:r>
        <w:rPr>
          <w:rFonts w:hint="eastAsia"/>
        </w:rPr>
        <w:t>0.2</w:t>
      </w:r>
      <w:r>
        <w:t xml:space="preserve"> nm</w:t>
      </w:r>
      <w:r>
        <w:rPr>
          <w:rFonts w:hint="eastAsia"/>
        </w:rPr>
        <w:t>，</w:t>
      </w:r>
      <w:r>
        <w:t>重复性</w:t>
      </w:r>
      <w:r>
        <w:rPr>
          <w:rFonts w:hint="eastAsia"/>
        </w:rPr>
        <w:t>0.1</w:t>
      </w:r>
      <w:r>
        <w:t xml:space="preserve"> nm</w:t>
      </w:r>
      <w:r>
        <w:rPr>
          <w:rFonts w:hint="eastAsia"/>
        </w:rPr>
        <w:t>，</w:t>
      </w:r>
      <w:r>
        <w:t>光谱范围380 nm</w:t>
      </w:r>
      <w:r>
        <w:rPr>
          <w:rFonts w:eastAsia="MS Mincho"/>
        </w:rPr>
        <w:t>〜</w:t>
      </w:r>
      <w:r>
        <w:t>780 nm。</w:t>
      </w:r>
    </w:p>
    <w:p>
      <w:r>
        <w:rPr>
          <w:rFonts w:ascii="黑体" w:hAnsi="黑体" w:eastAsia="黑体"/>
          <w:kern w:val="0"/>
          <w:szCs w:val="21"/>
        </w:rPr>
        <w:t>B.3.6</w:t>
      </w:r>
      <w:r>
        <w:t>相对亮度测定仪：采用460 nm准单色激发源</w:t>
      </w:r>
      <w:r>
        <w:rPr>
          <w:rFonts w:hint="eastAsia"/>
        </w:rPr>
        <w:t>，</w:t>
      </w:r>
      <w:r>
        <w:t>准确度±1%。</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B.4 测定步骤</w:t>
      </w:r>
    </w:p>
    <w:p>
      <w:r>
        <w:rPr>
          <w:rFonts w:ascii="黑体" w:hAnsi="黑体" w:eastAsia="黑体"/>
          <w:kern w:val="0"/>
          <w:szCs w:val="21"/>
        </w:rPr>
        <w:t>B.4.1</w:t>
      </w:r>
      <w:r>
        <w:t>开启电源，系统预热15 min，注入足量的去离子水，水面与标线齐平。</w:t>
      </w:r>
    </w:p>
    <w:p>
      <w:r>
        <w:rPr>
          <w:rFonts w:ascii="黑体" w:hAnsi="黑体" w:eastAsia="黑体"/>
          <w:kern w:val="0"/>
          <w:szCs w:val="21"/>
        </w:rPr>
        <w:t>B.4.2</w:t>
      </w:r>
      <w:r>
        <w:t>设定PCT加速老化试验箱(B.</w:t>
      </w:r>
      <w:r>
        <w:rPr>
          <w:rFonts w:hint="eastAsia"/>
        </w:rPr>
        <w:t>3</w:t>
      </w:r>
      <w:r>
        <w:t>.1)的温度为121</w:t>
      </w:r>
      <w:r>
        <w:rPr>
          <w:rFonts w:hint="eastAsia" w:ascii="宋体" w:hAnsi="宋体" w:cs="宋体"/>
        </w:rPr>
        <w:t>℃</w:t>
      </w:r>
      <w:r>
        <w:t>，相对湿度为100%。</w:t>
      </w:r>
    </w:p>
    <w:p>
      <w:r>
        <w:rPr>
          <w:rFonts w:ascii="黑体" w:hAnsi="黑体" w:eastAsia="黑体"/>
          <w:kern w:val="0"/>
          <w:szCs w:val="21"/>
        </w:rPr>
        <w:t>B.4.3</w:t>
      </w:r>
      <w:r>
        <w:t>用天平(B.</w:t>
      </w:r>
      <w:r>
        <w:rPr>
          <w:rFonts w:hint="eastAsia"/>
        </w:rPr>
        <w:t>3</w:t>
      </w:r>
      <w:r>
        <w:t>.2)称取10 g样品放置在培养皿(B.</w:t>
      </w:r>
      <w:r>
        <w:rPr>
          <w:rFonts w:hint="eastAsia"/>
        </w:rPr>
        <w:t>3</w:t>
      </w:r>
      <w:r>
        <w:t>.3)内。</w:t>
      </w:r>
    </w:p>
    <w:p>
      <w:r>
        <w:rPr>
          <w:rFonts w:ascii="黑体" w:hAnsi="黑体" w:eastAsia="黑体"/>
          <w:kern w:val="0"/>
          <w:szCs w:val="21"/>
        </w:rPr>
        <w:t>B.4.4</w:t>
      </w:r>
      <w:r>
        <w:t>把培养皿放在密闭腔内不锈钢架上，每层不超过8只培养皿，关闭箱门。</w:t>
      </w:r>
    </w:p>
    <w:p>
      <w:r>
        <w:rPr>
          <w:rFonts w:ascii="黑体" w:hAnsi="黑体" w:eastAsia="黑体"/>
          <w:kern w:val="0"/>
          <w:szCs w:val="21"/>
        </w:rPr>
        <w:t>B.4.5</w:t>
      </w:r>
      <w:r>
        <w:t>点击运行，48 h后，取出培养皿，</w:t>
      </w:r>
      <w:r>
        <w:rPr>
          <w:rFonts w:hint="eastAsia"/>
        </w:rPr>
        <w:t>将原始样品与试验样品在60℃下真空干燥箱中烘干48h</w:t>
      </w:r>
      <w:r>
        <w:t>。</w:t>
      </w:r>
    </w:p>
    <w:p>
      <w:r>
        <w:rPr>
          <w:rFonts w:ascii="黑体" w:hAnsi="黑体" w:eastAsia="黑体"/>
          <w:kern w:val="0"/>
          <w:szCs w:val="21"/>
        </w:rPr>
        <w:t>B.4.6</w:t>
      </w:r>
      <w:r>
        <w:rPr>
          <w:rFonts w:hint="eastAsia"/>
        </w:rPr>
        <w:t>原始样品与试验样品冷却至室温，</w:t>
      </w:r>
      <w:r>
        <w:t>测定其色品坐标、相对亮度。</w:t>
      </w:r>
    </w:p>
    <w:p>
      <w:r>
        <w:rPr>
          <w:rFonts w:ascii="黑体" w:hAnsi="黑体" w:eastAsia="黑体"/>
          <w:kern w:val="0"/>
          <w:szCs w:val="21"/>
        </w:rPr>
        <w:t>B.4.7</w:t>
      </w:r>
      <w:r>
        <w:t>计算样品的热稳定性。</w:t>
      </w:r>
    </w:p>
    <w:p>
      <w:pPr>
        <w:autoSpaceDE w:val="0"/>
        <w:autoSpaceDN w:val="0"/>
        <w:adjustRightInd w:val="0"/>
        <w:spacing w:before="120" w:beforeLines="50" w:after="120" w:afterLines="50"/>
        <w:jc w:val="left"/>
        <w:rPr>
          <w:rFonts w:ascii="黑体" w:hAnsi="黑体" w:eastAsia="黑体"/>
          <w:kern w:val="0"/>
          <w:szCs w:val="21"/>
        </w:rPr>
      </w:pPr>
      <w:r>
        <w:rPr>
          <w:rFonts w:ascii="黑体" w:hAnsi="黑体" w:eastAsia="黑体"/>
          <w:kern w:val="0"/>
          <w:szCs w:val="21"/>
        </w:rPr>
        <w:t>B.5 测试结果的表述</w:t>
      </w:r>
    </w:p>
    <w:p>
      <w:r>
        <w:rPr>
          <w:rFonts w:ascii="黑体" w:hAnsi="黑体" w:eastAsia="黑体"/>
          <w:kern w:val="0"/>
          <w:szCs w:val="21"/>
        </w:rPr>
        <w:t>B.5.1</w:t>
      </w:r>
      <w:r>
        <w:t>相对亮度的热稳定性(</w:t>
      </w:r>
      <m:oMath>
        <m:r>
          <m:rPr>
            <m:nor/>
            <m:sty m:val="p"/>
          </m:rPr>
          <m:t>∆</m:t>
        </m:r>
        <m:sSub>
          <m:sSubPr>
            <m:ctrlPr>
              <w:rPr>
                <w:rFonts w:ascii="Cambria Math" w:hAnsi="Cambria Math"/>
                <w:i/>
              </w:rPr>
            </m:ctrlPr>
          </m:sSubPr>
          <m:e>
            <m:r>
              <m:rPr>
                <m:nor/>
              </m:rPr>
              <w:rPr>
                <w:i/>
              </w:rPr>
              <m:t>B</m:t>
            </m:r>
            <m:ctrlPr>
              <w:rPr>
                <w:rFonts w:ascii="Cambria Math" w:hAnsi="Cambria Math"/>
                <w:i/>
              </w:rPr>
            </m:ctrlPr>
          </m:e>
          <m:sub>
            <m:r>
              <m:rPr>
                <m:nor/>
              </m:rPr>
              <w:rPr>
                <w:i/>
              </w:rPr>
              <m:t>p</m:t>
            </m:r>
            <m:ctrlPr>
              <w:rPr>
                <w:rFonts w:ascii="Cambria Math" w:hAnsi="Cambria Math"/>
                <w:i/>
              </w:rPr>
            </m:ctrlPr>
          </m:sub>
        </m:sSub>
      </m:oMath>
      <w:r>
        <w:t>)按公式(1)计算：</w:t>
      </w:r>
    </w:p>
    <w:p>
      <w:pPr>
        <w:ind w:firstLine="2415" w:firstLineChars="1150"/>
      </w:pPr>
      <m:oMath>
        <m:r>
          <m:rPr>
            <m:sty m:val="p"/>
          </m:rPr>
          <w:rPr>
            <w:rFonts w:ascii="Cambria Math" w:hAnsi="Cambria Math"/>
          </w:rPr>
          <m:t>∆</m:t>
        </m:r>
        <m:sSub>
          <m:sSubPr>
            <m:ctrlPr>
              <w:rPr>
                <w:rFonts w:ascii="Cambria Math" w:hAnsi="Cambria Math"/>
                <w:i/>
              </w:rPr>
            </m:ctrlPr>
          </m:sSubPr>
          <m:e>
            <m:r>
              <m:rPr>
                <m:nor/>
              </m:rPr>
              <w:rPr>
                <w:i/>
              </w:rPr>
              <m:t>B</m:t>
            </m:r>
            <m:ctrlPr>
              <w:rPr>
                <w:rFonts w:ascii="Cambria Math" w:hAnsi="Cambria Math"/>
                <w:i/>
              </w:rPr>
            </m:ctrlPr>
          </m:e>
          <m:sub>
            <m:r>
              <m:rPr>
                <m:nor/>
              </m:rPr>
              <w:rPr>
                <w:i/>
              </w:rPr>
              <m:t>p</m:t>
            </m:r>
            <m:ctrlPr>
              <w:rPr>
                <w:rFonts w:ascii="Cambria Math" w:hAnsi="Cambria Math"/>
                <w:i/>
              </w:rPr>
            </m:ctrlPr>
          </m:sub>
        </m:sSub>
        <m:r>
          <m:rPr>
            <m:nor/>
          </m:rPr>
          <w:rPr>
            <w:i/>
          </w:rPr>
          <m:t>=</m:t>
        </m:r>
        <m:f>
          <m:fPr>
            <m:type m:val="lin"/>
            <m:ctrlPr>
              <w:rPr>
                <w:rFonts w:ascii="Cambria Math" w:hAnsi="Cambria Math"/>
                <w:i/>
              </w:rPr>
            </m:ctrlPr>
          </m:fPr>
          <m:num>
            <m:r>
              <m:rPr>
                <m:nor/>
                <m:sty m:val="p"/>
              </m:rPr>
              <m:t>(</m:t>
            </m:r>
            <m:sSub>
              <m:sSubPr>
                <m:ctrlPr>
                  <w:rPr>
                    <w:rFonts w:ascii="Cambria Math" w:hAnsi="Cambria Math"/>
                    <w:i/>
                  </w:rPr>
                </m:ctrlPr>
              </m:sSubPr>
              <m:e>
                <m:r>
                  <m:rPr>
                    <m:nor/>
                  </m:rPr>
                  <w:rPr>
                    <w:i/>
                  </w:rPr>
                  <m:t>B</m:t>
                </m:r>
                <m:ctrlPr>
                  <w:rPr>
                    <w:rFonts w:ascii="Cambria Math" w:hAnsi="Cambria Math"/>
                    <w:i/>
                  </w:rPr>
                </m:ctrlPr>
              </m:e>
              <m:sub>
                <m:r>
                  <m:rPr>
                    <m:nor/>
                  </m:rPr>
                  <w:rPr>
                    <w:i/>
                  </w:rPr>
                  <m:t>p</m:t>
                </m:r>
                <m:ctrlPr>
                  <w:rPr>
                    <w:rFonts w:ascii="Cambria Math" w:hAnsi="Cambria Math"/>
                    <w:i/>
                  </w:rPr>
                </m:ctrlPr>
              </m:sub>
            </m:sSub>
            <m:r>
              <m:rPr>
                <m:nor/>
              </m:rPr>
              <w:rPr>
                <w:i/>
              </w:rPr>
              <m:t>-</m:t>
            </m:r>
            <m:sSub>
              <m:sSubPr>
                <m:ctrlPr>
                  <w:rPr>
                    <w:rFonts w:ascii="Cambria Math" w:hAnsi="Cambria Math"/>
                    <w:i/>
                  </w:rPr>
                </m:ctrlPr>
              </m:sSubPr>
              <m:e>
                <m:r>
                  <m:rPr>
                    <m:nor/>
                  </m:rPr>
                  <w:rPr>
                    <w:i/>
                  </w:rPr>
                  <m:t>B</m:t>
                </m:r>
                <m:ctrlPr>
                  <w:rPr>
                    <w:rFonts w:ascii="Cambria Math" w:hAnsi="Cambria Math"/>
                    <w:i/>
                  </w:rPr>
                </m:ctrlPr>
              </m:e>
              <m:sub>
                <m:r>
                  <m:rPr>
                    <m:nor/>
                  </m:rPr>
                  <w:rPr>
                    <w:i/>
                  </w:rPr>
                  <m:t>0</m:t>
                </m:r>
                <m:ctrlPr>
                  <w:rPr>
                    <w:rFonts w:ascii="Cambria Math" w:hAnsi="Cambria Math"/>
                    <w:i/>
                  </w:rPr>
                </m:ctrlPr>
              </m:sub>
            </m:sSub>
            <m:r>
              <m:rPr>
                <m:nor/>
                <m:sty m:val="p"/>
              </m:rPr>
              <m:t>)</m:t>
            </m:r>
            <m:ctrlPr>
              <w:rPr>
                <w:rFonts w:ascii="Cambria Math" w:hAnsi="Cambria Math"/>
                <w:i/>
              </w:rPr>
            </m:ctrlPr>
          </m:num>
          <m:den>
            <m:sSub>
              <m:sSubPr>
                <m:ctrlPr>
                  <w:rPr>
                    <w:rFonts w:ascii="Cambria Math" w:hAnsi="Cambria Math"/>
                    <w:i/>
                  </w:rPr>
                </m:ctrlPr>
              </m:sSubPr>
              <m:e>
                <m:r>
                  <m:rPr>
                    <m:nor/>
                  </m:rPr>
                  <w:rPr>
                    <w:i/>
                  </w:rPr>
                  <m:t>B</m:t>
                </m:r>
                <m:ctrlPr>
                  <w:rPr>
                    <w:rFonts w:ascii="Cambria Math" w:hAnsi="Cambria Math"/>
                    <w:i/>
                  </w:rPr>
                </m:ctrlPr>
              </m:e>
              <m:sub>
                <m:r>
                  <m:rPr>
                    <m:nor/>
                  </m:rPr>
                  <w:rPr>
                    <w:i/>
                  </w:rPr>
                  <m:t>0</m:t>
                </m:r>
                <m:ctrlPr>
                  <w:rPr>
                    <w:rFonts w:ascii="Cambria Math" w:hAnsi="Cambria Math"/>
                    <w:i/>
                  </w:rPr>
                </m:ctrlPr>
              </m:sub>
            </m:sSub>
            <m:ctrlPr>
              <w:rPr>
                <w:rFonts w:ascii="Cambria Math" w:hAnsi="Cambria Math"/>
                <w:i/>
              </w:rPr>
            </m:ctrlPr>
          </m:den>
        </m:f>
        <m:r>
          <m:rPr>
            <m:nor/>
          </m:rPr>
          <w:rPr>
            <w:i/>
          </w:rPr>
          <m:t>*1</m:t>
        </m:r>
        <m:r>
          <m:rPr>
            <m:nor/>
          </m:rPr>
          <w:rPr>
            <w:rFonts w:ascii="Cambria Math"/>
            <w:i/>
          </w:rPr>
          <m:t>00</m:t>
        </m:r>
      </m:oMath>
      <w:r>
        <w:tab/>
      </w:r>
      <w:r>
        <w:tab/>
      </w:r>
      <w:r>
        <w:tab/>
      </w:r>
      <w:r>
        <w:rPr>
          <w:rFonts w:hint="eastAsia"/>
        </w:rPr>
        <w:t>（1）</w:t>
      </w:r>
    </w:p>
    <w:p>
      <w:r>
        <w:t>式中：</w:t>
      </w:r>
    </w:p>
    <w:p>
      <m:oMath>
        <m:r>
          <m:rPr>
            <m:nor/>
            <m:sty m:val="p"/>
          </m:rPr>
          <m:t>∆</m:t>
        </m:r>
        <m:sSub>
          <m:sSubPr>
            <m:ctrlPr>
              <w:rPr>
                <w:rFonts w:ascii="Cambria Math" w:hAnsi="Cambria Math"/>
                <w:i/>
              </w:rPr>
            </m:ctrlPr>
          </m:sSubPr>
          <m:e>
            <m:r>
              <m:rPr>
                <m:nor/>
              </m:rPr>
              <w:rPr>
                <w:i/>
              </w:rPr>
              <m:t>B</m:t>
            </m:r>
            <m:ctrlPr>
              <w:rPr>
                <w:rFonts w:ascii="Cambria Math" w:hAnsi="Cambria Math"/>
                <w:i/>
              </w:rPr>
            </m:ctrlPr>
          </m:e>
          <m:sub>
            <m:r>
              <m:rPr>
                <m:nor/>
              </m:rPr>
              <w:rPr>
                <w:i/>
              </w:rPr>
              <m:t>p</m:t>
            </m:r>
            <m:ctrlPr>
              <w:rPr>
                <w:rFonts w:ascii="Cambria Math" w:hAnsi="Cambria Math"/>
                <w:i/>
              </w:rPr>
            </m:ctrlPr>
          </m:sub>
        </m:sSub>
      </m:oMath>
      <w:r>
        <w:t>——相对亮度的</w:t>
      </w:r>
      <w:r>
        <w:rPr>
          <w:rFonts w:hint="eastAsia"/>
        </w:rPr>
        <w:t>PCT</w:t>
      </w:r>
      <w:r>
        <w:t>稳定性（%）;</w:t>
      </w:r>
    </w:p>
    <w:p>
      <m:oMath>
        <m:sSub>
          <m:sSubPr>
            <m:ctrlPr>
              <w:rPr>
                <w:rFonts w:ascii="Cambria Math" w:hAnsi="Cambria Math"/>
                <w:i/>
              </w:rPr>
            </m:ctrlPr>
          </m:sSubPr>
          <m:e>
            <m:r>
              <m:rPr>
                <m:nor/>
              </m:rPr>
              <w:rPr>
                <w:i/>
              </w:rPr>
              <m:t>B</m:t>
            </m:r>
            <m:ctrlPr>
              <w:rPr>
                <w:rFonts w:ascii="Cambria Math" w:hAnsi="Cambria Math"/>
                <w:i/>
              </w:rPr>
            </m:ctrlPr>
          </m:e>
          <m:sub>
            <m:r>
              <m:rPr>
                <m:nor/>
              </m:rPr>
              <w:rPr>
                <w:i/>
              </w:rPr>
              <m:t>0</m:t>
            </m:r>
            <m:ctrlPr>
              <w:rPr>
                <w:rFonts w:ascii="Cambria Math" w:hAnsi="Cambria Math"/>
                <w:i/>
              </w:rPr>
            </m:ctrlPr>
          </m:sub>
        </m:sSub>
      </m:oMath>
      <w:r>
        <w:t xml:space="preserve">——未加热处理过的样品相对亮度（%）; </w:t>
      </w:r>
    </w:p>
    <w:p>
      <m:oMath>
        <m:sSub>
          <m:sSubPr>
            <m:ctrlPr>
              <w:rPr>
                <w:rFonts w:ascii="Cambria Math" w:hAnsi="Cambria Math"/>
                <w:i/>
              </w:rPr>
            </m:ctrlPr>
          </m:sSubPr>
          <m:e>
            <m:r>
              <m:rPr>
                <m:nor/>
              </m:rPr>
              <w:rPr>
                <w:i/>
              </w:rPr>
              <m:t>B</m:t>
            </m:r>
            <m:ctrlPr>
              <w:rPr>
                <w:rFonts w:ascii="Cambria Math" w:hAnsi="Cambria Math"/>
                <w:i/>
              </w:rPr>
            </m:ctrlPr>
          </m:e>
          <m:sub>
            <m:r>
              <m:rPr>
                <m:nor/>
              </m:rPr>
              <w:rPr>
                <w:i/>
              </w:rPr>
              <m:t>p</m:t>
            </m:r>
            <m:ctrlPr>
              <w:rPr>
                <w:rFonts w:ascii="Cambria Math" w:hAnsi="Cambria Math"/>
                <w:i/>
              </w:rPr>
            </m:ctrlPr>
          </m:sub>
        </m:sSub>
      </m:oMath>
      <w:r>
        <w:t>——</w:t>
      </w:r>
      <w:r>
        <w:rPr>
          <w:rFonts w:hint="eastAsia"/>
        </w:rPr>
        <w:t>PCT</w:t>
      </w:r>
      <w:r>
        <w:t xml:space="preserve">处理过的样品相对亮度（%）。 </w:t>
      </w:r>
    </w:p>
    <w:p/>
    <w:p>
      <w:r>
        <w:rPr>
          <w:rFonts w:ascii="黑体" w:hAnsi="黑体" w:eastAsia="黑体"/>
          <w:kern w:val="0"/>
          <w:szCs w:val="21"/>
        </w:rPr>
        <w:t>B.5.2</w:t>
      </w:r>
      <w:r>
        <w:t>色品坐标的热稳定性(</w:t>
      </w:r>
      <m:oMath>
        <m:r>
          <m:rPr>
            <m:nor/>
          </m:rPr>
          <w:rPr>
            <w:i/>
          </w:rPr>
          <m:t>∆</m:t>
        </m:r>
        <m:sSub>
          <m:sSubPr>
            <m:ctrlPr>
              <w:rPr>
                <w:rFonts w:ascii="Cambria Math" w:hAnsi="Cambria Math"/>
                <w:i/>
              </w:rPr>
            </m:ctrlPr>
          </m:sSubPr>
          <m:e>
            <m:r>
              <m:rPr>
                <m:nor/>
              </m:rPr>
              <w:rPr>
                <w:i/>
              </w:rPr>
              <m:t>x</m:t>
            </m:r>
            <m:ctrlPr>
              <w:rPr>
                <w:rFonts w:ascii="Cambria Math" w:hAnsi="Cambria Math"/>
                <w:i/>
              </w:rPr>
            </m:ctrlPr>
          </m:e>
          <m:sub>
            <m:r>
              <m:rPr>
                <m:nor/>
              </m:rPr>
              <w:rPr>
                <w:i/>
              </w:rPr>
              <m:t>p</m:t>
            </m:r>
            <m:ctrlPr>
              <w:rPr>
                <w:rFonts w:ascii="Cambria Math" w:hAnsi="Cambria Math"/>
                <w:i/>
              </w:rPr>
            </m:ctrlPr>
          </m:sub>
        </m:sSub>
      </m:oMath>
      <w:r>
        <w:t>和</w:t>
      </w:r>
      <m:oMath>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p</m:t>
            </m:r>
            <m:ctrlPr>
              <w:rPr>
                <w:rFonts w:ascii="Cambria Math" w:hAnsi="Cambria Math"/>
                <w:i/>
              </w:rPr>
            </m:ctrlPr>
          </m:sub>
        </m:sSub>
      </m:oMath>
      <w:r>
        <w:t>)分别按公式(2)和(3)计算：</w:t>
      </w:r>
    </w:p>
    <w:p>
      <m:oMath>
        <m:r>
          <m:rPr>
            <m:nor/>
          </m:rPr>
          <w:rPr>
            <w:i/>
          </w:rPr>
          <m:t>∆</m:t>
        </m:r>
        <m:sSub>
          <m:sSubPr>
            <m:ctrlPr>
              <w:rPr>
                <w:rFonts w:ascii="Cambria Math" w:hAnsi="Cambria Math"/>
                <w:i/>
              </w:rPr>
            </m:ctrlPr>
          </m:sSubPr>
          <m:e>
            <m:r>
              <m:rPr>
                <m:nor/>
              </m:rPr>
              <w:rPr>
                <w:i/>
              </w:rPr>
              <m:t>x</m:t>
            </m:r>
            <m:ctrlPr>
              <w:rPr>
                <w:rFonts w:ascii="Cambria Math" w:hAnsi="Cambria Math"/>
                <w:i/>
              </w:rPr>
            </m:ctrlPr>
          </m:e>
          <m:sub>
            <m:r>
              <m:rPr>
                <m:nor/>
              </m:rPr>
              <w:rPr>
                <w:i/>
              </w:rPr>
              <m:t>p</m:t>
            </m:r>
            <m:ctrlPr>
              <w:rPr>
                <w:rFonts w:ascii="Cambria Math" w:hAnsi="Cambria Math"/>
                <w:i/>
              </w:rPr>
            </m:ctrlPr>
          </m:sub>
        </m:sSub>
        <m:r>
          <m:rPr>
            <m:nor/>
          </m:rPr>
          <w:rPr>
            <w:i/>
          </w:rPr>
          <m:t xml:space="preserve"> =</m:t>
        </m:r>
        <m:sSub>
          <m:sSubPr>
            <m:ctrlPr>
              <w:rPr>
                <w:rFonts w:ascii="Cambria Math" w:hAnsi="Cambria Math"/>
                <w:i/>
              </w:rPr>
            </m:ctrlPr>
          </m:sSubPr>
          <m:e>
            <m:r>
              <m:rPr>
                <m:nor/>
              </m:rPr>
              <w:rPr>
                <w:i/>
              </w:rPr>
              <m:t>x</m:t>
            </m:r>
            <m:ctrlPr>
              <w:rPr>
                <w:rFonts w:ascii="Cambria Math" w:hAnsi="Cambria Math"/>
                <w:i/>
              </w:rPr>
            </m:ctrlPr>
          </m:e>
          <m:sub>
            <m:r>
              <m:rPr>
                <m:nor/>
              </m:rPr>
              <w:rPr>
                <w:i/>
              </w:rPr>
              <m:t>p</m:t>
            </m:r>
            <m:ctrlPr>
              <w:rPr>
                <w:rFonts w:ascii="Cambria Math" w:hAnsi="Cambria Math"/>
                <w:i/>
              </w:rPr>
            </m:ctrlPr>
          </m:sub>
        </m:sSub>
        <m:r>
          <m:rPr>
            <m:nor/>
          </m:rPr>
          <w:rPr>
            <w:i/>
          </w:rPr>
          <m:t>-</m:t>
        </m:r>
        <m:sSub>
          <m:sSubPr>
            <m:ctrlPr>
              <w:rPr>
                <w:rFonts w:ascii="Cambria Math" w:hAnsi="Cambria Math"/>
                <w:i/>
              </w:rPr>
            </m:ctrlPr>
          </m:sSubPr>
          <m:e>
            <m:r>
              <m:rPr>
                <m:nor/>
              </m:rPr>
              <w:rPr>
                <w:i/>
              </w:rPr>
              <m:t>x</m:t>
            </m:r>
            <m:ctrlPr>
              <w:rPr>
                <w:rFonts w:ascii="Cambria Math" w:hAnsi="Cambria Math"/>
                <w:i/>
              </w:rPr>
            </m:ctrlPr>
          </m:e>
          <m:sub>
            <m:r>
              <m:rPr>
                <m:nor/>
              </m:rPr>
              <w:rPr>
                <w:i/>
              </w:rPr>
              <m:t>0</m:t>
            </m:r>
            <m:ctrlPr>
              <w:rPr>
                <w:rFonts w:ascii="Cambria Math" w:hAnsi="Cambria Math"/>
                <w:i/>
              </w:rPr>
            </m:ctrlPr>
          </m:sub>
        </m:sSub>
      </m:oMath>
      <w:r>
        <w:tab/>
      </w:r>
      <w:r>
        <w:t xml:space="preserve">    </w:t>
      </w:r>
      <w:r>
        <w:rPr>
          <w:rFonts w:hint="eastAsia"/>
        </w:rPr>
        <w:t>（2）</w:t>
      </w:r>
    </w:p>
    <w:p>
      <m:oMath>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p</m:t>
            </m:r>
            <m:ctrlPr>
              <w:rPr>
                <w:rFonts w:ascii="Cambria Math" w:hAnsi="Cambria Math"/>
                <w:i/>
              </w:rPr>
            </m:ctrlPr>
          </m:sub>
        </m:sSub>
        <m:r>
          <m:rPr>
            <m:nor/>
          </m:rPr>
          <w:rPr>
            <w:i/>
          </w:rPr>
          <m:t xml:space="preserve"> =</m:t>
        </m:r>
        <m:sSub>
          <m:sSubPr>
            <m:ctrlPr>
              <w:rPr>
                <w:rFonts w:ascii="Cambria Math" w:hAnsi="Cambria Math"/>
                <w:i/>
              </w:rPr>
            </m:ctrlPr>
          </m:sSubPr>
          <m:e>
            <m:r>
              <m:rPr>
                <m:nor/>
              </m:rPr>
              <w:rPr>
                <w:i/>
              </w:rPr>
              <m:t>y</m:t>
            </m:r>
            <m:ctrlPr>
              <w:rPr>
                <w:rFonts w:ascii="Cambria Math" w:hAnsi="Cambria Math"/>
                <w:i/>
              </w:rPr>
            </m:ctrlPr>
          </m:e>
          <m:sub>
            <m:r>
              <m:rPr>
                <m:nor/>
              </m:rPr>
              <w:rPr>
                <w:i/>
              </w:rPr>
              <m:t>p</m:t>
            </m:r>
            <m:ctrlPr>
              <w:rPr>
                <w:rFonts w:ascii="Cambria Math" w:hAnsi="Cambria Math"/>
                <w:i/>
              </w:rPr>
            </m:ctrlPr>
          </m:sub>
        </m:sSub>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0</m:t>
            </m:r>
            <m:ctrlPr>
              <w:rPr>
                <w:rFonts w:ascii="Cambria Math" w:hAnsi="Cambria Math"/>
                <w:i/>
              </w:rPr>
            </m:ctrlPr>
          </m:sub>
        </m:sSub>
      </m:oMath>
      <w:r>
        <w:tab/>
      </w:r>
      <w:r>
        <w:t xml:space="preserve">    </w:t>
      </w:r>
      <w:r>
        <w:rPr>
          <w:rFonts w:hint="eastAsia"/>
        </w:rPr>
        <w:t>（3）</w:t>
      </w:r>
    </w:p>
    <w:p>
      <w:r>
        <w:t>式中：</w:t>
      </w:r>
    </w:p>
    <w:p>
      <m:oMath>
        <m:r>
          <m:rPr>
            <m:nor/>
          </m:rPr>
          <w:rPr>
            <w:i/>
          </w:rPr>
          <m:t>∆</m:t>
        </m:r>
        <m:sSub>
          <m:sSubPr>
            <m:ctrlPr>
              <w:rPr>
                <w:rFonts w:ascii="Cambria Math" w:hAnsi="Cambria Math"/>
                <w:i/>
              </w:rPr>
            </m:ctrlPr>
          </m:sSubPr>
          <m:e>
            <m:r>
              <m:rPr>
                <m:nor/>
              </m:rPr>
              <w:rPr>
                <w:i/>
              </w:rPr>
              <m:t>x</m:t>
            </m:r>
            <m:ctrlPr>
              <w:rPr>
                <w:rFonts w:ascii="Cambria Math" w:hAnsi="Cambria Math"/>
                <w:i/>
              </w:rPr>
            </m:ctrlPr>
          </m:e>
          <m:sub>
            <m:r>
              <m:rPr>
                <m:nor/>
              </m:rPr>
              <w:rPr>
                <w:i/>
              </w:rPr>
              <m:t>p</m:t>
            </m:r>
            <m:ctrlPr>
              <w:rPr>
                <w:rFonts w:ascii="Cambria Math" w:hAnsi="Cambria Math"/>
                <w:i/>
              </w:rPr>
            </m:ctrlPr>
          </m:sub>
        </m:sSub>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p</m:t>
            </m:r>
            <m:ctrlPr>
              <w:rPr>
                <w:rFonts w:ascii="Cambria Math" w:hAnsi="Cambria Math"/>
                <w:i/>
              </w:rPr>
            </m:ctrlPr>
          </m:sub>
        </m:sSub>
        <m:r>
          <m:rPr>
            <m:sty m:val="p"/>
          </m:rPr>
          <w:rPr>
            <w:rFonts w:ascii="Cambria Math" w:hAnsi="Cambria Math"/>
          </w:rPr>
          <m:t xml:space="preserve"> </m:t>
        </m:r>
      </m:oMath>
      <w:r>
        <w:t xml:space="preserve">——色品坐标的热稳定性； </w:t>
      </w:r>
    </w:p>
    <w:p>
      <m:oMath>
        <m:sSub>
          <m:sSubPr>
            <m:ctrlPr>
              <w:rPr>
                <w:rFonts w:ascii="Cambria Math" w:hAnsi="Cambria Math"/>
                <w:i/>
              </w:rPr>
            </m:ctrlPr>
          </m:sSubPr>
          <m:e>
            <m:r>
              <m:rPr>
                <m:nor/>
              </m:rPr>
              <w:rPr>
                <w:i/>
              </w:rPr>
              <m:t>x</m:t>
            </m:r>
            <m:ctrlPr>
              <w:rPr>
                <w:rFonts w:ascii="Cambria Math" w:hAnsi="Cambria Math"/>
                <w:i/>
              </w:rPr>
            </m:ctrlPr>
          </m:e>
          <m:sub>
            <m:r>
              <m:rPr>
                <m:nor/>
              </m:rPr>
              <w:rPr>
                <w:i/>
              </w:rPr>
              <m:t>0</m:t>
            </m:r>
            <m:ctrlPr>
              <w:rPr>
                <w:rFonts w:ascii="Cambria Math" w:hAnsi="Cambria Math"/>
                <w:i/>
              </w:rPr>
            </m:ctrlPr>
          </m:sub>
        </m:sSub>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0</m:t>
            </m:r>
            <m:ctrlPr>
              <w:rPr>
                <w:rFonts w:ascii="Cambria Math" w:hAnsi="Cambria Math"/>
                <w:i/>
              </w:rPr>
            </m:ctrlPr>
          </m:sub>
        </m:sSub>
      </m:oMath>
      <w:r>
        <w:t xml:space="preserve">——未处理过的样品的色品坐标； </w:t>
      </w:r>
    </w:p>
    <w:p>
      <m:oMath>
        <m:sSub>
          <m:sSubPr>
            <m:ctrlPr>
              <w:rPr>
                <w:rFonts w:ascii="Cambria Math" w:hAnsi="Cambria Math"/>
                <w:i/>
              </w:rPr>
            </m:ctrlPr>
          </m:sSubPr>
          <m:e>
            <m:r>
              <m:rPr>
                <m:nor/>
              </m:rPr>
              <w:rPr>
                <w:i/>
              </w:rPr>
              <m:t>x</m:t>
            </m:r>
            <m:ctrlPr>
              <w:rPr>
                <w:rFonts w:ascii="Cambria Math" w:hAnsi="Cambria Math"/>
                <w:i/>
              </w:rPr>
            </m:ctrlPr>
          </m:e>
          <m:sub>
            <m:r>
              <m:rPr>
                <m:nor/>
              </m:rPr>
              <w:rPr>
                <w:i/>
              </w:rPr>
              <m:t>p</m:t>
            </m:r>
            <m:ctrlPr>
              <w:rPr>
                <w:rFonts w:ascii="Cambria Math" w:hAnsi="Cambria Math"/>
                <w:i/>
              </w:rPr>
            </m:ctrlPr>
          </m:sub>
        </m:sSub>
        <m:r>
          <m:rPr>
            <m:nor/>
          </m:rPr>
          <w:rPr>
            <w:i/>
          </w:rPr>
          <m:t>,</m:t>
        </m:r>
        <m:sSub>
          <m:sSubPr>
            <m:ctrlPr>
              <w:rPr>
                <w:rFonts w:ascii="Cambria Math" w:hAnsi="Cambria Math"/>
                <w:i/>
              </w:rPr>
            </m:ctrlPr>
          </m:sSubPr>
          <m:e>
            <m:r>
              <m:rPr>
                <m:nor/>
              </m:rPr>
              <w:rPr>
                <w:i/>
              </w:rPr>
              <m:t>y</m:t>
            </m:r>
            <m:ctrlPr>
              <w:rPr>
                <w:rFonts w:ascii="Cambria Math" w:hAnsi="Cambria Math"/>
                <w:i/>
              </w:rPr>
            </m:ctrlPr>
          </m:e>
          <m:sub>
            <m:r>
              <m:rPr>
                <m:nor/>
              </m:rPr>
              <w:rPr>
                <w:i/>
              </w:rPr>
              <m:t>p</m:t>
            </m:r>
            <m:ctrlPr>
              <w:rPr>
                <w:rFonts w:ascii="Cambria Math" w:hAnsi="Cambria Math"/>
                <w:i/>
              </w:rPr>
            </m:ctrlPr>
          </m:sub>
        </m:sSub>
      </m:oMath>
      <w:r>
        <w:t>——处理过的样品的色品坐标。</w:t>
      </w:r>
    </w:p>
    <w:sectPr>
      <w:pgSz w:w="11907" w:h="16839"/>
      <w:pgMar w:top="1440" w:right="1800" w:bottom="1440" w:left="1800" w:header="851" w:footer="851" w:gutter="0"/>
      <w:pgNumType w:fmt="upperRoman"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rPr>
        <w:rStyle w:val="35"/>
      </w:rPr>
    </w:pPr>
    <w:r>
      <w:fldChar w:fldCharType="begin"/>
    </w:r>
    <w:r>
      <w:rPr>
        <w:rStyle w:val="35"/>
      </w:rPr>
      <w:instrText xml:space="preserve">PAGE  </w:instrText>
    </w:r>
    <w:r>
      <w:fldChar w:fldCharType="separate"/>
    </w:r>
    <w:r>
      <w:rPr>
        <w:rStyle w:val="35"/>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7"/>
      <w:rPr>
        <w:rStyle w:val="35"/>
      </w:rPr>
    </w:pPr>
    <w:r>
      <w:fldChar w:fldCharType="begin"/>
    </w:r>
    <w:r>
      <w:rPr>
        <w:rStyle w:val="35"/>
      </w:rPr>
      <w:instrText xml:space="preserve">PAGE  </w:instrText>
    </w:r>
    <w:r>
      <w:fldChar w:fldCharType="separate"/>
    </w:r>
    <w:r>
      <w:rPr>
        <w:rStyle w:val="35"/>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rPr>
        <w:rFonts w:hint="eastAsia"/>
      </w:rPr>
      <w:t>G</w:t>
    </w:r>
    <w:r>
      <w:t xml:space="preserve">B/T </w:t>
    </w:r>
    <w:r>
      <w:rPr>
        <w:rFonts w:hint="eastAsia"/>
      </w:rPr>
      <w:t>24982</w:t>
    </w:r>
    <w:r>
      <w:t>—</w:t>
    </w:r>
    <w:r>
      <w:rPr>
        <w:rFonts w:hint="eastAsia"/>
      </w:rPr>
      <w:t>201</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tabs>
        <w:tab w:val="clear" w:pos="4154"/>
        <w:tab w:val="clear" w:pos="8306"/>
      </w:tabs>
      <w:jc w:val="right"/>
      <w:rPr>
        <w:rFonts w:ascii="黑体" w:eastAsia="黑体"/>
      </w:rPr>
    </w:pPr>
    <w:r>
      <w:rPr>
        <w:rFonts w:hint="eastAsia" w:ascii="黑体" w:eastAsia="黑体"/>
      </w:rPr>
      <w:t>GB/T 24982—201×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none"/>
      <w:pStyle w:val="10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3"/>
      <w:suff w:val="nothing"/>
      <w:lvlText w:val="%1%2.%3　"/>
      <w:lvlJc w:val="left"/>
      <w:pPr>
        <w:ind w:left="0" w:firstLine="0"/>
      </w:pPr>
      <w:rPr>
        <w:rFonts w:hint="eastAsia" w:ascii="黑体" w:hAnsi="Times New Roman" w:eastAsia="黑体"/>
        <w:b w:val="0"/>
        <w:i w:val="0"/>
        <w:sz w:val="21"/>
      </w:rPr>
    </w:lvl>
    <w:lvl w:ilvl="3" w:tentative="0">
      <w:start w:val="1"/>
      <w:numFmt w:val="decimal"/>
      <w:pStyle w:val="109"/>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D"/>
    <w:multiLevelType w:val="multilevel"/>
    <w:tmpl w:val="0000000D"/>
    <w:lvl w:ilvl="0" w:tentative="0">
      <w:start w:val="1"/>
      <w:numFmt w:val="none"/>
      <w:pStyle w:val="80"/>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none"/>
      <w:pStyle w:val="8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F"/>
    <w:multiLevelType w:val="multilevel"/>
    <w:tmpl w:val="0000000F"/>
    <w:lvl w:ilvl="0" w:tentative="0">
      <w:start w:val="1"/>
      <w:numFmt w:val="decimal"/>
      <w:pStyle w:val="11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11"/>
    <w:multiLevelType w:val="multilevel"/>
    <w:tmpl w:val="00000011"/>
    <w:lvl w:ilvl="0" w:tentative="0">
      <w:start w:val="1"/>
      <w:numFmt w:val="decimal"/>
      <w:pStyle w:val="9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2"/>
    <w:multiLevelType w:val="multilevel"/>
    <w:tmpl w:val="00000012"/>
    <w:lvl w:ilvl="0" w:tentative="0">
      <w:start w:val="1"/>
      <w:numFmt w:val="upperLetter"/>
      <w:pStyle w:val="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3"/>
    <w:multiLevelType w:val="multilevel"/>
    <w:tmpl w:val="00000013"/>
    <w:lvl w:ilvl="0" w:tentative="0">
      <w:start w:val="1"/>
      <w:numFmt w:val="none"/>
      <w:pStyle w:val="72"/>
      <w:suff w:val="nothing"/>
      <w:lvlText w:val="%1"/>
      <w:lvlJc w:val="left"/>
      <w:pPr>
        <w:ind w:left="0" w:firstLine="0"/>
      </w:pPr>
      <w:rPr>
        <w:rFonts w:hint="default" w:ascii="Times New Roman" w:hAnsi="Times New Roman"/>
        <w:b/>
        <w:i w:val="0"/>
        <w:sz w:val="21"/>
      </w:rPr>
    </w:lvl>
    <w:lvl w:ilvl="1" w:tentative="0">
      <w:start w:val="1"/>
      <w:numFmt w:val="decimal"/>
      <w:pStyle w:val="66"/>
      <w:suff w:val="nothing"/>
      <w:lvlText w:val="%1%2　"/>
      <w:lvlJc w:val="left"/>
      <w:pPr>
        <w:ind w:left="0" w:firstLine="0"/>
      </w:pPr>
      <w:rPr>
        <w:rFonts w:hint="eastAsia" w:ascii="黑体" w:hAnsi="Times New Roman"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14"/>
    <w:multiLevelType w:val="multilevel"/>
    <w:tmpl w:val="00000014"/>
    <w:lvl w:ilvl="0" w:tentative="0">
      <w:start w:val="1"/>
      <w:numFmt w:val="none"/>
      <w:pStyle w:val="54"/>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5"/>
    <w:multiLevelType w:val="multilevel"/>
    <w:tmpl w:val="00000015"/>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8"/>
  </w:num>
  <w:num w:numId="3">
    <w:abstractNumId w:val="6"/>
  </w:num>
  <w:num w:numId="4">
    <w:abstractNumId w:val="7"/>
  </w:num>
  <w:num w:numId="5">
    <w:abstractNumId w:val="9"/>
  </w:num>
  <w:num w:numId="6">
    <w:abstractNumId w:val="2"/>
  </w:num>
  <w:num w:numId="7">
    <w:abstractNumId w:val="3"/>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2DD"/>
    <w:rsid w:val="000107B2"/>
    <w:rsid w:val="0001447C"/>
    <w:rsid w:val="00014519"/>
    <w:rsid w:val="0001689D"/>
    <w:rsid w:val="0001794A"/>
    <w:rsid w:val="00026BDC"/>
    <w:rsid w:val="00027E18"/>
    <w:rsid w:val="00030CF8"/>
    <w:rsid w:val="00034439"/>
    <w:rsid w:val="00037784"/>
    <w:rsid w:val="00046E45"/>
    <w:rsid w:val="00052428"/>
    <w:rsid w:val="00055DD0"/>
    <w:rsid w:val="00056B0D"/>
    <w:rsid w:val="000629C0"/>
    <w:rsid w:val="00080097"/>
    <w:rsid w:val="000809A6"/>
    <w:rsid w:val="00081B4E"/>
    <w:rsid w:val="000862ED"/>
    <w:rsid w:val="0009012F"/>
    <w:rsid w:val="00093E98"/>
    <w:rsid w:val="000A23F4"/>
    <w:rsid w:val="000A77B2"/>
    <w:rsid w:val="000B4962"/>
    <w:rsid w:val="000B5B6C"/>
    <w:rsid w:val="000B6E4D"/>
    <w:rsid w:val="000C2B43"/>
    <w:rsid w:val="000C5FFB"/>
    <w:rsid w:val="000D3939"/>
    <w:rsid w:val="000E1622"/>
    <w:rsid w:val="000E4FB9"/>
    <w:rsid w:val="000F0EB9"/>
    <w:rsid w:val="000F6D32"/>
    <w:rsid w:val="001010FB"/>
    <w:rsid w:val="0010598B"/>
    <w:rsid w:val="00110BB3"/>
    <w:rsid w:val="001209DF"/>
    <w:rsid w:val="0012596B"/>
    <w:rsid w:val="00126E09"/>
    <w:rsid w:val="00134B6C"/>
    <w:rsid w:val="00134F52"/>
    <w:rsid w:val="001421CB"/>
    <w:rsid w:val="00144465"/>
    <w:rsid w:val="00154A45"/>
    <w:rsid w:val="00161FBE"/>
    <w:rsid w:val="001711EA"/>
    <w:rsid w:val="00172A27"/>
    <w:rsid w:val="00186D33"/>
    <w:rsid w:val="0019410F"/>
    <w:rsid w:val="00194D5B"/>
    <w:rsid w:val="001A2B81"/>
    <w:rsid w:val="001A3FD8"/>
    <w:rsid w:val="001A5FDB"/>
    <w:rsid w:val="001B37BF"/>
    <w:rsid w:val="001E58F3"/>
    <w:rsid w:val="001E7FEE"/>
    <w:rsid w:val="00211A87"/>
    <w:rsid w:val="0021252C"/>
    <w:rsid w:val="00214B22"/>
    <w:rsid w:val="002221C3"/>
    <w:rsid w:val="00223A9F"/>
    <w:rsid w:val="002246CB"/>
    <w:rsid w:val="002266F0"/>
    <w:rsid w:val="002279A3"/>
    <w:rsid w:val="00231726"/>
    <w:rsid w:val="0023567A"/>
    <w:rsid w:val="00237F0B"/>
    <w:rsid w:val="0024153B"/>
    <w:rsid w:val="002428E8"/>
    <w:rsid w:val="00247D78"/>
    <w:rsid w:val="002509B0"/>
    <w:rsid w:val="002553C7"/>
    <w:rsid w:val="0027365C"/>
    <w:rsid w:val="00281F4C"/>
    <w:rsid w:val="00287000"/>
    <w:rsid w:val="002946EC"/>
    <w:rsid w:val="002960A6"/>
    <w:rsid w:val="002A44E2"/>
    <w:rsid w:val="002C13A9"/>
    <w:rsid w:val="002C684E"/>
    <w:rsid w:val="002C7ABA"/>
    <w:rsid w:val="002D206D"/>
    <w:rsid w:val="002E025F"/>
    <w:rsid w:val="002E18DD"/>
    <w:rsid w:val="002F7EA7"/>
    <w:rsid w:val="00325D0E"/>
    <w:rsid w:val="00334630"/>
    <w:rsid w:val="00340A3F"/>
    <w:rsid w:val="00357061"/>
    <w:rsid w:val="00362EED"/>
    <w:rsid w:val="00373C5C"/>
    <w:rsid w:val="00381BA4"/>
    <w:rsid w:val="003850F2"/>
    <w:rsid w:val="0038666F"/>
    <w:rsid w:val="0039043B"/>
    <w:rsid w:val="0039370D"/>
    <w:rsid w:val="003A1D7D"/>
    <w:rsid w:val="003A40E8"/>
    <w:rsid w:val="003A4D69"/>
    <w:rsid w:val="003A748E"/>
    <w:rsid w:val="003B6D36"/>
    <w:rsid w:val="003C00CA"/>
    <w:rsid w:val="003C3B3D"/>
    <w:rsid w:val="003D3654"/>
    <w:rsid w:val="003D51B3"/>
    <w:rsid w:val="003E1259"/>
    <w:rsid w:val="003E4A94"/>
    <w:rsid w:val="003E7D15"/>
    <w:rsid w:val="003F12B2"/>
    <w:rsid w:val="0040708E"/>
    <w:rsid w:val="00407935"/>
    <w:rsid w:val="00412A66"/>
    <w:rsid w:val="00413D89"/>
    <w:rsid w:val="004278D4"/>
    <w:rsid w:val="00440F0C"/>
    <w:rsid w:val="00443D91"/>
    <w:rsid w:val="00454F4F"/>
    <w:rsid w:val="004551AC"/>
    <w:rsid w:val="00455506"/>
    <w:rsid w:val="00457E93"/>
    <w:rsid w:val="0047381A"/>
    <w:rsid w:val="00482B76"/>
    <w:rsid w:val="00484D5A"/>
    <w:rsid w:val="00487617"/>
    <w:rsid w:val="00490C8A"/>
    <w:rsid w:val="004949B5"/>
    <w:rsid w:val="004A04AF"/>
    <w:rsid w:val="004B0588"/>
    <w:rsid w:val="004B4064"/>
    <w:rsid w:val="004C4D23"/>
    <w:rsid w:val="004C4FAE"/>
    <w:rsid w:val="004C7D26"/>
    <w:rsid w:val="004D42AC"/>
    <w:rsid w:val="004D460C"/>
    <w:rsid w:val="004E4FB9"/>
    <w:rsid w:val="004E6606"/>
    <w:rsid w:val="004F36D9"/>
    <w:rsid w:val="004F52DD"/>
    <w:rsid w:val="005046D9"/>
    <w:rsid w:val="0051214F"/>
    <w:rsid w:val="00515CA3"/>
    <w:rsid w:val="005258BD"/>
    <w:rsid w:val="00532BC4"/>
    <w:rsid w:val="00533185"/>
    <w:rsid w:val="0053559C"/>
    <w:rsid w:val="005433BA"/>
    <w:rsid w:val="005558CD"/>
    <w:rsid w:val="00560373"/>
    <w:rsid w:val="00562AE7"/>
    <w:rsid w:val="00573E58"/>
    <w:rsid w:val="005766A6"/>
    <w:rsid w:val="00584508"/>
    <w:rsid w:val="005A3198"/>
    <w:rsid w:val="005A4E7B"/>
    <w:rsid w:val="005B2742"/>
    <w:rsid w:val="005D296D"/>
    <w:rsid w:val="005E1448"/>
    <w:rsid w:val="005E1AE4"/>
    <w:rsid w:val="005E3FB8"/>
    <w:rsid w:val="005E611A"/>
    <w:rsid w:val="005F2055"/>
    <w:rsid w:val="00601C5F"/>
    <w:rsid w:val="00602F4D"/>
    <w:rsid w:val="006033D0"/>
    <w:rsid w:val="00604185"/>
    <w:rsid w:val="00607F73"/>
    <w:rsid w:val="006217E3"/>
    <w:rsid w:val="00621CDC"/>
    <w:rsid w:val="00635E19"/>
    <w:rsid w:val="00637734"/>
    <w:rsid w:val="0066230A"/>
    <w:rsid w:val="006632AE"/>
    <w:rsid w:val="00674D72"/>
    <w:rsid w:val="00682906"/>
    <w:rsid w:val="00684665"/>
    <w:rsid w:val="00685BB9"/>
    <w:rsid w:val="00686382"/>
    <w:rsid w:val="00692354"/>
    <w:rsid w:val="00692531"/>
    <w:rsid w:val="0069483D"/>
    <w:rsid w:val="00694FEF"/>
    <w:rsid w:val="006A019A"/>
    <w:rsid w:val="006A4537"/>
    <w:rsid w:val="006A50FC"/>
    <w:rsid w:val="006A5E82"/>
    <w:rsid w:val="006B15A7"/>
    <w:rsid w:val="006B3355"/>
    <w:rsid w:val="006C36A6"/>
    <w:rsid w:val="006D2656"/>
    <w:rsid w:val="006D6173"/>
    <w:rsid w:val="006E7053"/>
    <w:rsid w:val="006F1CAF"/>
    <w:rsid w:val="006F58A8"/>
    <w:rsid w:val="006F6F3C"/>
    <w:rsid w:val="006F7202"/>
    <w:rsid w:val="00707007"/>
    <w:rsid w:val="00707DA9"/>
    <w:rsid w:val="007230DD"/>
    <w:rsid w:val="007259C1"/>
    <w:rsid w:val="00730760"/>
    <w:rsid w:val="0073105F"/>
    <w:rsid w:val="007408E3"/>
    <w:rsid w:val="007427B5"/>
    <w:rsid w:val="00742A2F"/>
    <w:rsid w:val="0074650F"/>
    <w:rsid w:val="00751B25"/>
    <w:rsid w:val="00751D6F"/>
    <w:rsid w:val="00756FD1"/>
    <w:rsid w:val="00763229"/>
    <w:rsid w:val="00771FF2"/>
    <w:rsid w:val="00777981"/>
    <w:rsid w:val="00780B2C"/>
    <w:rsid w:val="00783361"/>
    <w:rsid w:val="00783CB3"/>
    <w:rsid w:val="00784C2A"/>
    <w:rsid w:val="007867E5"/>
    <w:rsid w:val="007931B3"/>
    <w:rsid w:val="00796E96"/>
    <w:rsid w:val="00797E89"/>
    <w:rsid w:val="007A0BBE"/>
    <w:rsid w:val="007A34C2"/>
    <w:rsid w:val="007A44D7"/>
    <w:rsid w:val="007B2DA1"/>
    <w:rsid w:val="007B3049"/>
    <w:rsid w:val="007B583D"/>
    <w:rsid w:val="007B67A4"/>
    <w:rsid w:val="007C4211"/>
    <w:rsid w:val="007C4216"/>
    <w:rsid w:val="007D3E76"/>
    <w:rsid w:val="007D7A61"/>
    <w:rsid w:val="007E41FB"/>
    <w:rsid w:val="007F3C55"/>
    <w:rsid w:val="0080071F"/>
    <w:rsid w:val="00805981"/>
    <w:rsid w:val="00807D3C"/>
    <w:rsid w:val="00807DC3"/>
    <w:rsid w:val="00811894"/>
    <w:rsid w:val="00812B37"/>
    <w:rsid w:val="00812EFC"/>
    <w:rsid w:val="00820CC6"/>
    <w:rsid w:val="00835073"/>
    <w:rsid w:val="00836897"/>
    <w:rsid w:val="00854149"/>
    <w:rsid w:val="00860168"/>
    <w:rsid w:val="00860231"/>
    <w:rsid w:val="00860593"/>
    <w:rsid w:val="0086104C"/>
    <w:rsid w:val="00861BEA"/>
    <w:rsid w:val="00867FFA"/>
    <w:rsid w:val="00874535"/>
    <w:rsid w:val="00876CB9"/>
    <w:rsid w:val="00877E95"/>
    <w:rsid w:val="0088059F"/>
    <w:rsid w:val="00892ACC"/>
    <w:rsid w:val="008A1345"/>
    <w:rsid w:val="008A1B0D"/>
    <w:rsid w:val="008A6248"/>
    <w:rsid w:val="008B1F93"/>
    <w:rsid w:val="008B2E5C"/>
    <w:rsid w:val="008B4B6F"/>
    <w:rsid w:val="008C7D3F"/>
    <w:rsid w:val="008D0AF2"/>
    <w:rsid w:val="008D45FA"/>
    <w:rsid w:val="008D6607"/>
    <w:rsid w:val="008D6FD7"/>
    <w:rsid w:val="008E02AE"/>
    <w:rsid w:val="008F018B"/>
    <w:rsid w:val="008F133A"/>
    <w:rsid w:val="008F1CDD"/>
    <w:rsid w:val="008F35E2"/>
    <w:rsid w:val="008F741C"/>
    <w:rsid w:val="008F7AFF"/>
    <w:rsid w:val="00906213"/>
    <w:rsid w:val="00906773"/>
    <w:rsid w:val="00912524"/>
    <w:rsid w:val="00913A22"/>
    <w:rsid w:val="00917370"/>
    <w:rsid w:val="009213A9"/>
    <w:rsid w:val="00942E55"/>
    <w:rsid w:val="009551D8"/>
    <w:rsid w:val="00957CB8"/>
    <w:rsid w:val="009625F5"/>
    <w:rsid w:val="0096649E"/>
    <w:rsid w:val="00966C6C"/>
    <w:rsid w:val="0097075C"/>
    <w:rsid w:val="00973C83"/>
    <w:rsid w:val="00975C59"/>
    <w:rsid w:val="00976247"/>
    <w:rsid w:val="009804B5"/>
    <w:rsid w:val="00987E3A"/>
    <w:rsid w:val="009953EF"/>
    <w:rsid w:val="00995BD2"/>
    <w:rsid w:val="00997E41"/>
    <w:rsid w:val="009A7807"/>
    <w:rsid w:val="009C480A"/>
    <w:rsid w:val="009D1927"/>
    <w:rsid w:val="009E3F1F"/>
    <w:rsid w:val="009E44E1"/>
    <w:rsid w:val="009E4F96"/>
    <w:rsid w:val="009F30C9"/>
    <w:rsid w:val="00A06CE4"/>
    <w:rsid w:val="00A123B3"/>
    <w:rsid w:val="00A1262D"/>
    <w:rsid w:val="00A13209"/>
    <w:rsid w:val="00A17809"/>
    <w:rsid w:val="00A21869"/>
    <w:rsid w:val="00A27FC4"/>
    <w:rsid w:val="00A45746"/>
    <w:rsid w:val="00A46CF8"/>
    <w:rsid w:val="00A47C29"/>
    <w:rsid w:val="00A52B52"/>
    <w:rsid w:val="00A60A40"/>
    <w:rsid w:val="00A67CE0"/>
    <w:rsid w:val="00A7237A"/>
    <w:rsid w:val="00A80E33"/>
    <w:rsid w:val="00A8211E"/>
    <w:rsid w:val="00A842F7"/>
    <w:rsid w:val="00A871BC"/>
    <w:rsid w:val="00A937F5"/>
    <w:rsid w:val="00A9606E"/>
    <w:rsid w:val="00AA090E"/>
    <w:rsid w:val="00AB104A"/>
    <w:rsid w:val="00AB1344"/>
    <w:rsid w:val="00AB6190"/>
    <w:rsid w:val="00AB7041"/>
    <w:rsid w:val="00AC0A72"/>
    <w:rsid w:val="00AC319D"/>
    <w:rsid w:val="00AD0E52"/>
    <w:rsid w:val="00AD1254"/>
    <w:rsid w:val="00AE3124"/>
    <w:rsid w:val="00AE670E"/>
    <w:rsid w:val="00AE7689"/>
    <w:rsid w:val="00B015DB"/>
    <w:rsid w:val="00B01E49"/>
    <w:rsid w:val="00B01FE9"/>
    <w:rsid w:val="00B0661B"/>
    <w:rsid w:val="00B13075"/>
    <w:rsid w:val="00B13BCF"/>
    <w:rsid w:val="00B1774F"/>
    <w:rsid w:val="00B25034"/>
    <w:rsid w:val="00B26154"/>
    <w:rsid w:val="00B3610D"/>
    <w:rsid w:val="00B372F0"/>
    <w:rsid w:val="00B42B74"/>
    <w:rsid w:val="00B64060"/>
    <w:rsid w:val="00B65251"/>
    <w:rsid w:val="00B72CB9"/>
    <w:rsid w:val="00B730DD"/>
    <w:rsid w:val="00B7644D"/>
    <w:rsid w:val="00B87BC9"/>
    <w:rsid w:val="00B915CD"/>
    <w:rsid w:val="00B921EE"/>
    <w:rsid w:val="00B959DF"/>
    <w:rsid w:val="00BA3CDD"/>
    <w:rsid w:val="00BA4F90"/>
    <w:rsid w:val="00BB22BA"/>
    <w:rsid w:val="00BB2BBC"/>
    <w:rsid w:val="00BB67B8"/>
    <w:rsid w:val="00BB7C07"/>
    <w:rsid w:val="00BC0430"/>
    <w:rsid w:val="00BC16EB"/>
    <w:rsid w:val="00BC1D29"/>
    <w:rsid w:val="00BD30F0"/>
    <w:rsid w:val="00BD358D"/>
    <w:rsid w:val="00BD7655"/>
    <w:rsid w:val="00BE2172"/>
    <w:rsid w:val="00BE24FE"/>
    <w:rsid w:val="00BE4ACB"/>
    <w:rsid w:val="00BE7546"/>
    <w:rsid w:val="00BF2980"/>
    <w:rsid w:val="00BF2B6B"/>
    <w:rsid w:val="00BF789A"/>
    <w:rsid w:val="00C05042"/>
    <w:rsid w:val="00C0711A"/>
    <w:rsid w:val="00C119CE"/>
    <w:rsid w:val="00C16394"/>
    <w:rsid w:val="00C16BD6"/>
    <w:rsid w:val="00C210AD"/>
    <w:rsid w:val="00C231C6"/>
    <w:rsid w:val="00C403CD"/>
    <w:rsid w:val="00C41C13"/>
    <w:rsid w:val="00C4270A"/>
    <w:rsid w:val="00C43CAF"/>
    <w:rsid w:val="00C43DC9"/>
    <w:rsid w:val="00C54D37"/>
    <w:rsid w:val="00C575E5"/>
    <w:rsid w:val="00C724B4"/>
    <w:rsid w:val="00C85472"/>
    <w:rsid w:val="00C92536"/>
    <w:rsid w:val="00CA4404"/>
    <w:rsid w:val="00CA4E85"/>
    <w:rsid w:val="00CA64F1"/>
    <w:rsid w:val="00CA66CB"/>
    <w:rsid w:val="00CA7968"/>
    <w:rsid w:val="00CC03D8"/>
    <w:rsid w:val="00CC25A2"/>
    <w:rsid w:val="00CE33F4"/>
    <w:rsid w:val="00CF18EB"/>
    <w:rsid w:val="00CF1AA9"/>
    <w:rsid w:val="00CF6508"/>
    <w:rsid w:val="00D10E85"/>
    <w:rsid w:val="00D15B9A"/>
    <w:rsid w:val="00D15FB2"/>
    <w:rsid w:val="00D25F0F"/>
    <w:rsid w:val="00D2778E"/>
    <w:rsid w:val="00D27A01"/>
    <w:rsid w:val="00D34DF4"/>
    <w:rsid w:val="00D4128E"/>
    <w:rsid w:val="00D47500"/>
    <w:rsid w:val="00D50563"/>
    <w:rsid w:val="00D54914"/>
    <w:rsid w:val="00D55D8D"/>
    <w:rsid w:val="00D6126F"/>
    <w:rsid w:val="00D65AB1"/>
    <w:rsid w:val="00D66571"/>
    <w:rsid w:val="00D665DB"/>
    <w:rsid w:val="00D720AD"/>
    <w:rsid w:val="00D73B34"/>
    <w:rsid w:val="00D83D85"/>
    <w:rsid w:val="00D907F1"/>
    <w:rsid w:val="00D919F9"/>
    <w:rsid w:val="00D9251E"/>
    <w:rsid w:val="00D939D3"/>
    <w:rsid w:val="00DA4855"/>
    <w:rsid w:val="00DB156E"/>
    <w:rsid w:val="00DC6F33"/>
    <w:rsid w:val="00DD0BB3"/>
    <w:rsid w:val="00DD1012"/>
    <w:rsid w:val="00DD28EA"/>
    <w:rsid w:val="00DD5B7B"/>
    <w:rsid w:val="00DF6D98"/>
    <w:rsid w:val="00E25A77"/>
    <w:rsid w:val="00E2702F"/>
    <w:rsid w:val="00E51573"/>
    <w:rsid w:val="00E60762"/>
    <w:rsid w:val="00E6213D"/>
    <w:rsid w:val="00E64EE7"/>
    <w:rsid w:val="00E81212"/>
    <w:rsid w:val="00E8179F"/>
    <w:rsid w:val="00E821BF"/>
    <w:rsid w:val="00E8596F"/>
    <w:rsid w:val="00E937F4"/>
    <w:rsid w:val="00E94A59"/>
    <w:rsid w:val="00E957E6"/>
    <w:rsid w:val="00EB0241"/>
    <w:rsid w:val="00EB3234"/>
    <w:rsid w:val="00EB46F8"/>
    <w:rsid w:val="00EC08E5"/>
    <w:rsid w:val="00EC4906"/>
    <w:rsid w:val="00EE2947"/>
    <w:rsid w:val="00EE6E07"/>
    <w:rsid w:val="00F03E22"/>
    <w:rsid w:val="00F10E7B"/>
    <w:rsid w:val="00F1255B"/>
    <w:rsid w:val="00F14D46"/>
    <w:rsid w:val="00F26F18"/>
    <w:rsid w:val="00F326D3"/>
    <w:rsid w:val="00F32F5D"/>
    <w:rsid w:val="00F34E7C"/>
    <w:rsid w:val="00F37911"/>
    <w:rsid w:val="00F55B92"/>
    <w:rsid w:val="00F57761"/>
    <w:rsid w:val="00F645D2"/>
    <w:rsid w:val="00F70DB9"/>
    <w:rsid w:val="00F740A8"/>
    <w:rsid w:val="00F8172F"/>
    <w:rsid w:val="00F81AD4"/>
    <w:rsid w:val="00F84D0D"/>
    <w:rsid w:val="00F87C25"/>
    <w:rsid w:val="00F93EB6"/>
    <w:rsid w:val="00F96D88"/>
    <w:rsid w:val="00F975E3"/>
    <w:rsid w:val="00FA05AD"/>
    <w:rsid w:val="00FA0684"/>
    <w:rsid w:val="00FB3AE8"/>
    <w:rsid w:val="00FB4508"/>
    <w:rsid w:val="00FC705B"/>
    <w:rsid w:val="00FD48CA"/>
    <w:rsid w:val="00FE3AAB"/>
    <w:rsid w:val="00FE7FC0"/>
    <w:rsid w:val="00FF1CEA"/>
    <w:rsid w:val="00FF286B"/>
    <w:rsid w:val="00FF66F9"/>
    <w:rsid w:val="00FF6FD0"/>
    <w:rsid w:val="07C7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nhideWhenUsed="0"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2"/>
    <w:next w:val="1"/>
    <w:uiPriority w:val="0"/>
  </w:style>
  <w:style w:type="paragraph" w:styleId="12">
    <w:name w:val="toc 6"/>
    <w:basedOn w:val="13"/>
    <w:next w:val="1"/>
    <w:uiPriority w:val="0"/>
  </w:style>
  <w:style w:type="paragraph" w:styleId="13">
    <w:name w:val="toc 5"/>
    <w:basedOn w:val="14"/>
    <w:next w:val="1"/>
    <w:uiPriority w:val="0"/>
  </w:style>
  <w:style w:type="paragraph" w:styleId="14">
    <w:name w:val="toc 4"/>
    <w:basedOn w:val="15"/>
    <w:next w:val="1"/>
    <w:uiPriority w:val="0"/>
  </w:style>
  <w:style w:type="paragraph" w:styleId="15">
    <w:name w:val="toc 3"/>
    <w:basedOn w:val="16"/>
    <w:next w:val="1"/>
    <w:uiPriority w:val="0"/>
  </w:style>
  <w:style w:type="paragraph" w:styleId="16">
    <w:name w:val="toc 2"/>
    <w:basedOn w:val="17"/>
    <w:next w:val="1"/>
    <w:uiPriority w:val="0"/>
  </w:style>
  <w:style w:type="paragraph" w:styleId="17">
    <w:name w:val="toc 1"/>
    <w:next w:val="1"/>
    <w:uiPriority w:val="0"/>
    <w:pPr>
      <w:jc w:val="both"/>
    </w:pPr>
    <w:rPr>
      <w:rFonts w:ascii="宋体" w:hAnsi="Times New Roman" w:eastAsia="宋体" w:cs="Times New Roman"/>
      <w:sz w:val="21"/>
      <w:lang w:val="en-US" w:eastAsia="zh-CN" w:bidi="ar-SA"/>
    </w:rPr>
  </w:style>
  <w:style w:type="paragraph" w:styleId="18">
    <w:name w:val="Document Map"/>
    <w:basedOn w:val="1"/>
    <w:link w:val="116"/>
    <w:semiHidden/>
    <w:unhideWhenUsed/>
    <w:uiPriority w:val="99"/>
    <w:rPr>
      <w:rFonts w:ascii="宋体"/>
      <w:sz w:val="18"/>
      <w:szCs w:val="18"/>
    </w:rPr>
  </w:style>
  <w:style w:type="paragraph" w:styleId="19">
    <w:name w:val="annotation text"/>
    <w:basedOn w:val="1"/>
    <w:link w:val="117"/>
    <w:semiHidden/>
    <w:unhideWhenUsed/>
    <w:uiPriority w:val="99"/>
    <w:pPr>
      <w:jc w:val="left"/>
    </w:pPr>
  </w:style>
  <w:style w:type="paragraph" w:styleId="20">
    <w:name w:val="HTML Address"/>
    <w:basedOn w:val="1"/>
    <w:uiPriority w:val="0"/>
    <w:rPr>
      <w:i/>
      <w:iCs/>
    </w:rPr>
  </w:style>
  <w:style w:type="paragraph" w:styleId="21">
    <w:name w:val="Plain Text"/>
    <w:basedOn w:val="1"/>
    <w:link w:val="113"/>
    <w:uiPriority w:val="0"/>
    <w:rPr>
      <w:rFonts w:ascii="宋体" w:hAnsi="Courier New"/>
      <w:szCs w:val="20"/>
    </w:rPr>
  </w:style>
  <w:style w:type="paragraph" w:styleId="22">
    <w:name w:val="toc 8"/>
    <w:basedOn w:val="11"/>
    <w:next w:val="1"/>
    <w:uiPriority w:val="0"/>
  </w:style>
  <w:style w:type="paragraph" w:styleId="23">
    <w:name w:val="Balloon Text"/>
    <w:basedOn w:val="1"/>
    <w:link w:val="112"/>
    <w:semiHidden/>
    <w:unhideWhenUsed/>
    <w:uiPriority w:val="99"/>
    <w:rPr>
      <w:sz w:val="18"/>
      <w:szCs w:val="18"/>
    </w:rPr>
  </w:style>
  <w:style w:type="paragraph" w:styleId="24">
    <w:name w:val="footer"/>
    <w:basedOn w:val="1"/>
    <w:link w:val="51"/>
    <w:uiPriority w:val="99"/>
    <w:pPr>
      <w:tabs>
        <w:tab w:val="center" w:pos="4153"/>
        <w:tab w:val="right" w:pos="8306"/>
      </w:tabs>
      <w:snapToGrid w:val="0"/>
      <w:ind w:right="210" w:rightChars="100"/>
      <w:jc w:val="right"/>
    </w:pPr>
    <w:rPr>
      <w:sz w:val="18"/>
      <w:szCs w:val="18"/>
    </w:rPr>
  </w:style>
  <w:style w:type="paragraph" w:styleId="25">
    <w:name w:val="header"/>
    <w:basedOn w:val="1"/>
    <w:link w:val="52"/>
    <w:uiPriority w:val="99"/>
    <w:pPr>
      <w:pBdr>
        <w:bottom w:val="single" w:color="auto" w:sz="6" w:space="1"/>
      </w:pBdr>
      <w:tabs>
        <w:tab w:val="center" w:pos="4153"/>
        <w:tab w:val="right" w:pos="8306"/>
      </w:tabs>
      <w:snapToGrid w:val="0"/>
      <w:jc w:val="center"/>
    </w:pPr>
    <w:rPr>
      <w:sz w:val="18"/>
      <w:szCs w:val="18"/>
    </w:rPr>
  </w:style>
  <w:style w:type="paragraph" w:styleId="26">
    <w:name w:val="footnote text"/>
    <w:basedOn w:val="1"/>
    <w:uiPriority w:val="0"/>
    <w:pPr>
      <w:snapToGrid w:val="0"/>
      <w:jc w:val="left"/>
    </w:pPr>
    <w:rPr>
      <w:sz w:val="18"/>
      <w:szCs w:val="18"/>
    </w:rPr>
  </w:style>
  <w:style w:type="paragraph" w:styleId="27">
    <w:name w:val="toc 9"/>
    <w:basedOn w:val="22"/>
    <w:next w:val="1"/>
    <w:uiPriority w:val="0"/>
  </w:style>
  <w:style w:type="paragraph" w:styleId="28">
    <w:name w:val="HTML Preformatted"/>
    <w:basedOn w:val="1"/>
    <w:uiPriority w:val="0"/>
    <w:rPr>
      <w:rFonts w:ascii="Courier New" w:hAnsi="Courier New" w:cs="Courier New"/>
      <w:sz w:val="20"/>
      <w:szCs w:val="20"/>
    </w:rPr>
  </w:style>
  <w:style w:type="paragraph" w:styleId="29">
    <w:name w:val="Normal (Web)"/>
    <w:basedOn w:val="1"/>
    <w:uiPriority w:val="0"/>
    <w:pPr>
      <w:widowControl/>
      <w:spacing w:before="100" w:beforeAutospacing="1" w:after="100" w:afterAutospacing="1"/>
      <w:jc w:val="left"/>
    </w:pPr>
    <w:rPr>
      <w:rFonts w:ascii="宋体" w:hAnsi="宋体" w:cs="宋体"/>
      <w:kern w:val="0"/>
      <w:sz w:val="24"/>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9"/>
    <w:next w:val="19"/>
    <w:link w:val="118"/>
    <w:semiHidden/>
    <w:unhideWhenUsed/>
    <w:uiPriority w:val="99"/>
    <w:rPr>
      <w:b/>
      <w:bCs/>
    </w:rPr>
  </w:style>
  <w:style w:type="table" w:styleId="33">
    <w:name w:val="Table Grid"/>
    <w:basedOn w:val="32"/>
    <w:unhideWhenUs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5">
    <w:name w:val="page number"/>
    <w:uiPriority w:val="0"/>
    <w:rPr>
      <w:rFonts w:ascii="Times New Roman" w:hAnsi="Times New Roman" w:eastAsia="宋体"/>
      <w:sz w:val="18"/>
    </w:rPr>
  </w:style>
  <w:style w:type="character" w:styleId="36">
    <w:name w:val="HTML Definition"/>
    <w:qFormat/>
    <w:uiPriority w:val="0"/>
    <w:rPr>
      <w:i/>
      <w:iCs/>
    </w:rPr>
  </w:style>
  <w:style w:type="character" w:styleId="37">
    <w:name w:val="HTML Typewriter"/>
    <w:uiPriority w:val="0"/>
    <w:rPr>
      <w:rFonts w:ascii="Courier New" w:hAnsi="Courier New"/>
      <w:sz w:val="20"/>
      <w:szCs w:val="20"/>
    </w:rPr>
  </w:style>
  <w:style w:type="character" w:styleId="38">
    <w:name w:val="HTML Acronym"/>
    <w:basedOn w:val="34"/>
    <w:uiPriority w:val="0"/>
  </w:style>
  <w:style w:type="character" w:styleId="39">
    <w:name w:val="HTML Variable"/>
    <w:uiPriority w:val="0"/>
    <w:rPr>
      <w:i/>
      <w:iCs/>
    </w:rPr>
  </w:style>
  <w:style w:type="character" w:styleId="40">
    <w:name w:val="Hyperlink"/>
    <w:uiPriority w:val="0"/>
    <w:rPr>
      <w:rFonts w:ascii="Times New Roman" w:hAnsi="Times New Roman" w:eastAsia="宋体"/>
      <w:color w:val="auto"/>
      <w:spacing w:val="0"/>
      <w:w w:val="100"/>
      <w:position w:val="0"/>
      <w:sz w:val="21"/>
      <w:u w:val="none"/>
      <w:vertAlign w:val="baseline"/>
    </w:rPr>
  </w:style>
  <w:style w:type="character" w:styleId="41">
    <w:name w:val="HTML Code"/>
    <w:uiPriority w:val="0"/>
    <w:rPr>
      <w:rFonts w:ascii="Courier New" w:hAnsi="Courier New"/>
      <w:sz w:val="20"/>
      <w:szCs w:val="20"/>
    </w:rPr>
  </w:style>
  <w:style w:type="character" w:styleId="42">
    <w:name w:val="annotation reference"/>
    <w:semiHidden/>
    <w:unhideWhenUsed/>
    <w:uiPriority w:val="99"/>
    <w:rPr>
      <w:sz w:val="21"/>
      <w:szCs w:val="21"/>
    </w:rPr>
  </w:style>
  <w:style w:type="character" w:styleId="43">
    <w:name w:val="HTML Cite"/>
    <w:uiPriority w:val="0"/>
    <w:rPr>
      <w:i/>
      <w:iCs/>
    </w:rPr>
  </w:style>
  <w:style w:type="character" w:styleId="44">
    <w:name w:val="footnote reference"/>
    <w:uiPriority w:val="0"/>
    <w:rPr>
      <w:vertAlign w:val="superscript"/>
    </w:rPr>
  </w:style>
  <w:style w:type="character" w:styleId="45">
    <w:name w:val="HTML Keyboard"/>
    <w:uiPriority w:val="0"/>
    <w:rPr>
      <w:rFonts w:ascii="Courier New" w:hAnsi="Courier New"/>
      <w:sz w:val="20"/>
      <w:szCs w:val="20"/>
    </w:rPr>
  </w:style>
  <w:style w:type="character" w:styleId="46">
    <w:name w:val="HTML Sample"/>
    <w:qFormat/>
    <w:uiPriority w:val="0"/>
    <w:rPr>
      <w:rFonts w:ascii="Courier New" w:hAnsi="Courier New"/>
    </w:rPr>
  </w:style>
  <w:style w:type="character" w:customStyle="1" w:styleId="47">
    <w:name w:val="个人答复风格"/>
    <w:uiPriority w:val="0"/>
    <w:rPr>
      <w:rFonts w:ascii="Arial" w:hAnsi="Arial" w:eastAsia="宋体" w:cs="Arial"/>
      <w:color w:val="auto"/>
      <w:sz w:val="20"/>
    </w:rPr>
  </w:style>
  <w:style w:type="character" w:customStyle="1" w:styleId="48">
    <w:name w:val="发布"/>
    <w:uiPriority w:val="0"/>
    <w:rPr>
      <w:rFonts w:ascii="黑体" w:eastAsia="黑体"/>
      <w:spacing w:val="22"/>
      <w:w w:val="100"/>
      <w:position w:val="3"/>
      <w:sz w:val="28"/>
    </w:rPr>
  </w:style>
  <w:style w:type="character" w:customStyle="1" w:styleId="49">
    <w:name w:val="个人撰写风格"/>
    <w:uiPriority w:val="0"/>
    <w:rPr>
      <w:rFonts w:ascii="Arial" w:hAnsi="Arial" w:eastAsia="宋体" w:cs="Arial"/>
      <w:color w:val="auto"/>
      <w:sz w:val="20"/>
    </w:rPr>
  </w:style>
  <w:style w:type="character" w:customStyle="1" w:styleId="50">
    <w:name w:val="style11"/>
    <w:uiPriority w:val="0"/>
    <w:rPr>
      <w:sz w:val="27"/>
      <w:szCs w:val="27"/>
    </w:rPr>
  </w:style>
  <w:style w:type="character" w:customStyle="1" w:styleId="51">
    <w:name w:val="页脚 字符"/>
    <w:link w:val="24"/>
    <w:uiPriority w:val="99"/>
    <w:rPr>
      <w:kern w:val="2"/>
      <w:sz w:val="18"/>
      <w:szCs w:val="18"/>
    </w:rPr>
  </w:style>
  <w:style w:type="character" w:customStyle="1" w:styleId="52">
    <w:name w:val="页眉 字符"/>
    <w:link w:val="25"/>
    <w:uiPriority w:val="99"/>
    <w:rPr>
      <w:kern w:val="2"/>
      <w:sz w:val="18"/>
      <w:szCs w:val="18"/>
    </w:rPr>
  </w:style>
  <w:style w:type="paragraph" w:customStyle="1" w:styleId="53">
    <w:name w:val="四级无标题条"/>
    <w:basedOn w:val="1"/>
    <w:uiPriority w:val="0"/>
    <w:pPr>
      <w:numPr>
        <w:ilvl w:val="5"/>
        <w:numId w:val="1"/>
      </w:numPr>
    </w:pPr>
  </w:style>
  <w:style w:type="paragraph" w:customStyle="1" w:styleId="54">
    <w:name w:val="注："/>
    <w:next w:val="55"/>
    <w:uiPriority w:val="0"/>
    <w:pPr>
      <w:widowControl w:val="0"/>
      <w:numPr>
        <w:ilvl w:val="0"/>
        <w:numId w:val="2"/>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5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6">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7">
    <w:name w:val="实施日期"/>
    <w:basedOn w:val="58"/>
    <w:uiPriority w:val="0"/>
    <w:pPr>
      <w:jc w:val="right"/>
    </w:pPr>
  </w:style>
  <w:style w:type="paragraph" w:customStyle="1" w:styleId="58">
    <w:name w:val="发布日期"/>
    <w:uiPriority w:val="0"/>
    <w:pPr>
      <w:jc w:val="both"/>
    </w:pPr>
    <w:rPr>
      <w:rFonts w:ascii="Times New Roman" w:hAnsi="Times New Roman" w:eastAsia="黑体" w:cs="Times New Roman"/>
      <w:sz w:val="28"/>
      <w:lang w:val="en-US" w:eastAsia="zh-CN" w:bidi="ar-SA"/>
    </w:rPr>
  </w:style>
  <w:style w:type="paragraph" w:customStyle="1" w:styleId="59">
    <w:name w:val="附录二级条标题"/>
    <w:basedOn w:val="60"/>
    <w:next w:val="55"/>
    <w:uiPriority w:val="0"/>
    <w:pPr>
      <w:numPr>
        <w:ilvl w:val="3"/>
      </w:numPr>
      <w:outlineLvl w:val="3"/>
    </w:pPr>
  </w:style>
  <w:style w:type="paragraph" w:customStyle="1" w:styleId="60">
    <w:name w:val="附录一级条标题"/>
    <w:basedOn w:val="61"/>
    <w:next w:val="55"/>
    <w:uiPriority w:val="0"/>
    <w:pPr>
      <w:numPr>
        <w:ilvl w:val="2"/>
      </w:numPr>
      <w:autoSpaceDN w:val="0"/>
      <w:spacing w:beforeLines="0" w:afterLines="0"/>
      <w:outlineLvl w:val="2"/>
    </w:pPr>
  </w:style>
  <w:style w:type="paragraph" w:customStyle="1" w:styleId="61">
    <w:name w:val="附录章标题"/>
    <w:next w:val="55"/>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63">
    <w:name w:val="三级条标题"/>
    <w:basedOn w:val="64"/>
    <w:next w:val="55"/>
    <w:uiPriority w:val="0"/>
    <w:pPr>
      <w:numPr>
        <w:ilvl w:val="4"/>
      </w:numPr>
      <w:outlineLvl w:val="4"/>
    </w:pPr>
  </w:style>
  <w:style w:type="paragraph" w:customStyle="1" w:styleId="64">
    <w:name w:val="二级条标题"/>
    <w:basedOn w:val="65"/>
    <w:next w:val="55"/>
    <w:uiPriority w:val="0"/>
    <w:pPr>
      <w:numPr>
        <w:ilvl w:val="3"/>
      </w:numPr>
      <w:outlineLvl w:val="3"/>
    </w:pPr>
  </w:style>
  <w:style w:type="paragraph" w:customStyle="1" w:styleId="65">
    <w:name w:val="一级条标题"/>
    <w:basedOn w:val="66"/>
    <w:next w:val="55"/>
    <w:uiPriority w:val="0"/>
    <w:pPr>
      <w:numPr>
        <w:ilvl w:val="2"/>
      </w:numPr>
      <w:spacing w:beforeLines="0" w:afterLines="0"/>
      <w:outlineLvl w:val="2"/>
    </w:pPr>
  </w:style>
  <w:style w:type="paragraph" w:customStyle="1" w:styleId="66">
    <w:name w:val="章标题"/>
    <w:next w:val="55"/>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67">
    <w:name w:val="标准标志"/>
    <w:next w:val="1"/>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封面标准号2"/>
    <w:basedOn w:val="69"/>
    <w:uiPriority w:val="0"/>
    <w:pPr>
      <w:adjustRightInd w:val="0"/>
      <w:spacing w:before="357" w:line="280" w:lineRule="exact"/>
    </w:pPr>
  </w:style>
  <w:style w:type="paragraph" w:customStyle="1" w:styleId="69">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71">
    <w:name w:val="列项——"/>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前言、引言标题"/>
    <w:next w:val="1"/>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3">
    <w:name w:val="附录表标题"/>
    <w:next w:val="55"/>
    <w:uiPriority w:val="0"/>
    <w:pPr>
      <w:jc w:val="center"/>
      <w:textAlignment w:val="baseline"/>
    </w:pPr>
    <w:rPr>
      <w:rFonts w:ascii="黑体" w:hAnsi="Times New Roman" w:eastAsia="黑体" w:cs="Times New Roman"/>
      <w:kern w:val="21"/>
      <w:sz w:val="21"/>
      <w:lang w:val="en-US" w:eastAsia="zh-CN" w:bidi="ar-SA"/>
    </w:rPr>
  </w:style>
  <w:style w:type="paragraph" w:customStyle="1" w:styleId="74">
    <w:name w:val="无标题条"/>
    <w:next w:val="55"/>
    <w:uiPriority w:val="0"/>
    <w:pPr>
      <w:jc w:val="both"/>
    </w:pPr>
    <w:rPr>
      <w:rFonts w:ascii="Times New Roman" w:hAnsi="Times New Roman" w:eastAsia="宋体" w:cs="Times New Roman"/>
      <w:sz w:val="21"/>
      <w:lang w:val="en-US" w:eastAsia="zh-CN" w:bidi="ar-SA"/>
    </w:rPr>
  </w:style>
  <w:style w:type="paragraph" w:customStyle="1" w:styleId="75">
    <w:name w:val="四级条标题"/>
    <w:basedOn w:val="63"/>
    <w:next w:val="55"/>
    <w:uiPriority w:val="0"/>
    <w:pPr>
      <w:numPr>
        <w:ilvl w:val="5"/>
      </w:numPr>
      <w:outlineLvl w:val="5"/>
    </w:pPr>
  </w:style>
  <w:style w:type="paragraph" w:customStyle="1" w:styleId="76">
    <w:name w:val="标准书眉一"/>
    <w:uiPriority w:val="0"/>
    <w:pPr>
      <w:jc w:val="both"/>
    </w:pPr>
    <w:rPr>
      <w:rFonts w:ascii="Times New Roman" w:hAnsi="Times New Roman" w:eastAsia="宋体" w:cs="Times New Roman"/>
      <w:lang w:val="en-US" w:eastAsia="zh-CN" w:bidi="ar-SA"/>
    </w:rPr>
  </w:style>
  <w:style w:type="paragraph" w:customStyle="1" w:styleId="77">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
    <w:name w:val="标准称谓"/>
    <w:next w:val="1"/>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9">
    <w:name w:val="标准书眉_偶数页"/>
    <w:basedOn w:val="77"/>
    <w:next w:val="1"/>
    <w:uiPriority w:val="0"/>
    <w:pPr>
      <w:jc w:val="left"/>
    </w:pPr>
  </w:style>
  <w:style w:type="paragraph" w:customStyle="1" w:styleId="80">
    <w:name w:val="列项·"/>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1">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附录三级条标题"/>
    <w:basedOn w:val="59"/>
    <w:next w:val="55"/>
    <w:uiPriority w:val="0"/>
    <w:pPr>
      <w:numPr>
        <w:ilvl w:val="4"/>
      </w:numPr>
      <w:outlineLvl w:val="4"/>
    </w:pPr>
  </w:style>
  <w:style w:type="paragraph" w:customStyle="1" w:styleId="83">
    <w:name w:val="示例"/>
    <w:next w:val="55"/>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4">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5">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86">
    <w:name w:val="图表脚注"/>
    <w:next w:val="55"/>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7">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customStyle="1" w:styleId="88">
    <w:name w:val="附录标识"/>
    <w:basedOn w:val="72"/>
    <w:uiPriority w:val="0"/>
    <w:pPr>
      <w:numPr>
        <w:ilvl w:val="0"/>
        <w:numId w:val="3"/>
      </w:numPr>
      <w:tabs>
        <w:tab w:val="left" w:pos="6405"/>
      </w:tabs>
      <w:spacing w:after="200"/>
    </w:pPr>
    <w:rPr>
      <w:sz w:val="21"/>
    </w:rPr>
  </w:style>
  <w:style w:type="paragraph" w:customStyle="1" w:styleId="89">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90">
    <w:name w:val="文献分类号"/>
    <w:uiPriority w:val="0"/>
    <w:pPr>
      <w:widowControl w:val="0"/>
      <w:jc w:val="both"/>
      <w:textAlignment w:val="center"/>
    </w:pPr>
    <w:rPr>
      <w:rFonts w:ascii="Times New Roman" w:hAnsi="Times New Roman" w:eastAsia="黑体" w:cs="Times New Roman"/>
      <w:sz w:val="21"/>
      <w:lang w:val="en-US" w:eastAsia="zh-CN" w:bidi="ar-SA"/>
    </w:rPr>
  </w:style>
  <w:style w:type="paragraph" w:customStyle="1" w:styleId="91">
    <w:name w:val="正文表标题"/>
    <w:next w:val="55"/>
    <w:uiPriority w:val="0"/>
    <w:pPr>
      <w:numPr>
        <w:ilvl w:val="0"/>
        <w:numId w:val="8"/>
      </w:numPr>
      <w:jc w:val="center"/>
    </w:pPr>
    <w:rPr>
      <w:rFonts w:ascii="黑体" w:hAnsi="Times New Roman" w:eastAsia="黑体" w:cs="Times New Roman"/>
      <w:sz w:val="21"/>
      <w:lang w:val="en-US" w:eastAsia="zh-CN" w:bidi="ar-SA"/>
    </w:rPr>
  </w:style>
  <w:style w:type="paragraph" w:customStyle="1" w:styleId="92">
    <w:name w:val="附录四级条标题"/>
    <w:basedOn w:val="82"/>
    <w:next w:val="55"/>
    <w:uiPriority w:val="0"/>
    <w:pPr>
      <w:numPr>
        <w:ilvl w:val="5"/>
      </w:numPr>
      <w:outlineLvl w:val="5"/>
    </w:pPr>
  </w:style>
  <w:style w:type="paragraph" w:customStyle="1" w:styleId="93">
    <w:name w:val="一级无标题条"/>
    <w:basedOn w:val="1"/>
    <w:uiPriority w:val="0"/>
    <w:pPr>
      <w:numPr>
        <w:ilvl w:val="2"/>
        <w:numId w:val="1"/>
      </w:numPr>
    </w:pPr>
  </w:style>
  <w:style w:type="paragraph" w:customStyle="1" w:styleId="94">
    <w:name w:val="五级无标题条"/>
    <w:basedOn w:val="1"/>
    <w:uiPriority w:val="0"/>
    <w:pPr>
      <w:numPr>
        <w:ilvl w:val="6"/>
        <w:numId w:val="1"/>
      </w:numPr>
    </w:pPr>
  </w:style>
  <w:style w:type="paragraph" w:customStyle="1" w:styleId="95">
    <w:name w:val="附录图标题"/>
    <w:next w:val="55"/>
    <w:uiPriority w:val="0"/>
    <w:pPr>
      <w:jc w:val="center"/>
    </w:pPr>
    <w:rPr>
      <w:rFonts w:ascii="黑体" w:hAnsi="Times New Roman" w:eastAsia="黑体" w:cs="Times New Roman"/>
      <w:sz w:val="21"/>
      <w:lang w:val="en-US" w:eastAsia="zh-CN" w:bidi="ar-SA"/>
    </w:rPr>
  </w:style>
  <w:style w:type="paragraph" w:customStyle="1" w:styleId="96">
    <w:name w:val="封面正文"/>
    <w:uiPriority w:val="0"/>
    <w:pPr>
      <w:jc w:val="both"/>
    </w:pPr>
    <w:rPr>
      <w:rFonts w:ascii="Times New Roman" w:hAnsi="Times New Roman" w:eastAsia="宋体" w:cs="Times New Roman"/>
      <w:lang w:val="en-US" w:eastAsia="zh-CN" w:bidi="ar-SA"/>
    </w:rPr>
  </w:style>
  <w:style w:type="paragraph" w:customStyle="1" w:styleId="97">
    <w:name w:val="标准书脚_偶数页"/>
    <w:uiPriority w:val="0"/>
    <w:pPr>
      <w:spacing w:before="120"/>
      <w:jc w:val="both"/>
    </w:pPr>
    <w:rPr>
      <w:rFonts w:ascii="Times New Roman" w:hAnsi="Times New Roman" w:eastAsia="宋体" w:cs="Times New Roman"/>
      <w:sz w:val="18"/>
      <w:lang w:val="en-US" w:eastAsia="zh-CN" w:bidi="ar-SA"/>
    </w:rPr>
  </w:style>
  <w:style w:type="paragraph" w:customStyle="1" w:styleId="9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99">
    <w:name w:val="三级无标题条"/>
    <w:basedOn w:val="1"/>
    <w:uiPriority w:val="0"/>
    <w:pPr>
      <w:numPr>
        <w:ilvl w:val="4"/>
        <w:numId w:val="1"/>
      </w:numPr>
    </w:pPr>
  </w:style>
  <w:style w:type="paragraph" w:customStyle="1" w:styleId="100">
    <w:name w:val="条文脚注"/>
    <w:basedOn w:val="26"/>
    <w:uiPriority w:val="0"/>
    <w:pPr>
      <w:ind w:left="780" w:leftChars="200" w:hanging="360" w:hangingChars="200"/>
      <w:jc w:val="both"/>
    </w:pPr>
    <w:rPr>
      <w:rFonts w:ascii="宋体"/>
    </w:rPr>
  </w:style>
  <w:style w:type="paragraph" w:customStyle="1" w:styleId="101">
    <w:name w:val="附录五级条标题"/>
    <w:basedOn w:val="92"/>
    <w:next w:val="55"/>
    <w:uiPriority w:val="0"/>
    <w:pPr>
      <w:numPr>
        <w:ilvl w:val="6"/>
      </w:numPr>
      <w:outlineLvl w:val="6"/>
    </w:pPr>
  </w:style>
  <w:style w:type="paragraph" w:customStyle="1" w:styleId="102">
    <w:name w:val="其他发布部门"/>
    <w:basedOn w:val="103"/>
    <w:uiPriority w:val="0"/>
    <w:pPr>
      <w:spacing w:line="0" w:lineRule="atLeast"/>
    </w:pPr>
    <w:rPr>
      <w:rFonts w:ascii="黑体" w:eastAsia="黑体"/>
      <w:b w:val="0"/>
    </w:rPr>
  </w:style>
  <w:style w:type="paragraph" w:customStyle="1" w:styleId="103">
    <w:name w:val="发布部门"/>
    <w:next w:val="55"/>
    <w:uiPriority w:val="0"/>
    <w:pPr>
      <w:jc w:val="center"/>
    </w:pPr>
    <w:rPr>
      <w:rFonts w:ascii="宋体" w:hAnsi="Times New Roman" w:eastAsia="宋体" w:cs="Times New Roman"/>
      <w:b/>
      <w:spacing w:val="20"/>
      <w:w w:val="135"/>
      <w:sz w:val="36"/>
      <w:lang w:val="en-US" w:eastAsia="zh-CN" w:bidi="ar-SA"/>
    </w:rPr>
  </w:style>
  <w:style w:type="paragraph" w:customStyle="1" w:styleId="104">
    <w:name w:val="五级条标题"/>
    <w:basedOn w:val="75"/>
    <w:next w:val="55"/>
    <w:uiPriority w:val="0"/>
    <w:pPr>
      <w:numPr>
        <w:ilvl w:val="6"/>
      </w:numPr>
      <w:outlineLvl w:val="6"/>
    </w:pPr>
  </w:style>
  <w:style w:type="paragraph" w:customStyle="1" w:styleId="105">
    <w:name w:val="目次、标准名称标题"/>
    <w:basedOn w:val="72"/>
    <w:next w:val="55"/>
    <w:uiPriority w:val="0"/>
    <w:pPr>
      <w:numPr>
        <w:numId w:val="0"/>
      </w:numPr>
      <w:spacing w:line="460" w:lineRule="exact"/>
    </w:pPr>
  </w:style>
  <w:style w:type="paragraph" w:customStyle="1" w:styleId="106">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07">
    <w:name w:val="参考文献、索引标题"/>
    <w:basedOn w:val="72"/>
    <w:next w:val="1"/>
    <w:uiPriority w:val="0"/>
    <w:pPr>
      <w:numPr>
        <w:numId w:val="0"/>
      </w:numPr>
      <w:spacing w:after="200"/>
    </w:pPr>
    <w:rPr>
      <w:sz w:val="21"/>
    </w:rPr>
  </w:style>
  <w:style w:type="paragraph" w:customStyle="1" w:styleId="108">
    <w:name w:val="注×："/>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9">
    <w:name w:val="二级无标题条"/>
    <w:basedOn w:val="1"/>
    <w:uiPriority w:val="0"/>
    <w:pPr>
      <w:numPr>
        <w:ilvl w:val="3"/>
        <w:numId w:val="1"/>
      </w:numPr>
    </w:pPr>
  </w:style>
  <w:style w:type="paragraph" w:customStyle="1" w:styleId="110">
    <w:name w:val="正文图标题"/>
    <w:next w:val="55"/>
    <w:uiPriority w:val="0"/>
    <w:pPr>
      <w:numPr>
        <w:ilvl w:val="0"/>
        <w:numId w:val="10"/>
      </w:numPr>
      <w:jc w:val="center"/>
    </w:pPr>
    <w:rPr>
      <w:rFonts w:ascii="黑体" w:hAnsi="Times New Roman" w:eastAsia="黑体" w:cs="Times New Roman"/>
      <w:sz w:val="21"/>
      <w:lang w:val="en-US" w:eastAsia="zh-CN" w:bidi="ar-SA"/>
    </w:rPr>
  </w:style>
  <w:style w:type="paragraph" w:customStyle="1" w:styleId="111">
    <w:name w:val="封面标准代替信息"/>
    <w:basedOn w:val="68"/>
    <w:uiPriority w:val="0"/>
    <w:pPr>
      <w:spacing w:before="57"/>
    </w:pPr>
    <w:rPr>
      <w:rFonts w:ascii="宋体"/>
      <w:sz w:val="21"/>
    </w:rPr>
  </w:style>
  <w:style w:type="character" w:customStyle="1" w:styleId="112">
    <w:name w:val="批注框文本 字符"/>
    <w:link w:val="23"/>
    <w:semiHidden/>
    <w:uiPriority w:val="99"/>
    <w:rPr>
      <w:kern w:val="2"/>
      <w:sz w:val="18"/>
      <w:szCs w:val="18"/>
    </w:rPr>
  </w:style>
  <w:style w:type="character" w:customStyle="1" w:styleId="113">
    <w:name w:val="纯文本 字符"/>
    <w:link w:val="21"/>
    <w:uiPriority w:val="0"/>
    <w:rPr>
      <w:rFonts w:ascii="宋体" w:hAnsi="Courier New"/>
      <w:kern w:val="2"/>
      <w:sz w:val="21"/>
    </w:rPr>
  </w:style>
  <w:style w:type="paragraph" w:customStyle="1" w:styleId="114">
    <w:name w:val="Revision"/>
    <w:hidden/>
    <w:semiHidden/>
    <w:uiPriority w:val="99"/>
    <w:pPr>
      <w:jc w:val="both"/>
    </w:pPr>
    <w:rPr>
      <w:rFonts w:ascii="Times New Roman" w:hAnsi="Times New Roman" w:eastAsia="宋体" w:cs="Times New Roman"/>
      <w:kern w:val="2"/>
      <w:sz w:val="21"/>
      <w:szCs w:val="24"/>
      <w:lang w:val="en-US" w:eastAsia="zh-CN" w:bidi="ar-SA"/>
    </w:rPr>
  </w:style>
  <w:style w:type="paragraph" w:customStyle="1" w:styleId="115">
    <w:name w:val="标准文件_段"/>
    <w:uiPriority w:val="0"/>
    <w:pPr>
      <w:widowControl w:val="0"/>
      <w:autoSpaceDE w:val="0"/>
      <w:autoSpaceDN w:val="0"/>
      <w:adjustRightInd w:val="0"/>
      <w:snapToGrid w:val="0"/>
      <w:spacing w:line="320" w:lineRule="exact"/>
      <w:jc w:val="center"/>
    </w:pPr>
    <w:rPr>
      <w:rFonts w:ascii="黑体" w:hAnsi="宋体" w:eastAsia="黑体" w:cs="Times New Roman"/>
      <w:color w:val="0000CC"/>
      <w:spacing w:val="2"/>
      <w:sz w:val="21"/>
      <w:szCs w:val="21"/>
      <w:lang w:val="en-US" w:eastAsia="zh-CN" w:bidi="ar-SA"/>
    </w:rPr>
  </w:style>
  <w:style w:type="character" w:customStyle="1" w:styleId="116">
    <w:name w:val="文档结构图 字符"/>
    <w:link w:val="18"/>
    <w:semiHidden/>
    <w:uiPriority w:val="99"/>
    <w:rPr>
      <w:rFonts w:ascii="宋体"/>
      <w:kern w:val="2"/>
      <w:sz w:val="18"/>
      <w:szCs w:val="18"/>
    </w:rPr>
  </w:style>
  <w:style w:type="character" w:customStyle="1" w:styleId="117">
    <w:name w:val="批注文字 字符"/>
    <w:link w:val="19"/>
    <w:semiHidden/>
    <w:uiPriority w:val="99"/>
    <w:rPr>
      <w:kern w:val="2"/>
      <w:sz w:val="21"/>
      <w:szCs w:val="24"/>
    </w:rPr>
  </w:style>
  <w:style w:type="character" w:customStyle="1" w:styleId="118">
    <w:name w:val="批注主题 字符"/>
    <w:link w:val="31"/>
    <w:semiHidden/>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5"/>
    <customShpInfo spid="_x0000_s1034"/>
    <customShpInfo spid="_x0000_s1027"/>
    <customShpInfo spid="_x0000_s1028"/>
    <customShpInfo spid="_x0000_s1029"/>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F9AB5-8688-4228-A05A-2526496C57F7}">
  <ds:schemaRefs/>
</ds:datastoreItem>
</file>

<file path=docProps/app.xml><?xml version="1.0" encoding="utf-8"?>
<Properties xmlns="http://schemas.openxmlformats.org/officeDocument/2006/extended-properties" xmlns:vt="http://schemas.openxmlformats.org/officeDocument/2006/docPropsVTypes">
  <Template>Normal.dotm</Template>
  <Company>中国标准研究中心</Company>
  <Pages>10</Pages>
  <Words>958</Words>
  <Characters>5467</Characters>
  <Lines>45</Lines>
  <Paragraphs>12</Paragraphs>
  <TotalTime>125</TotalTime>
  <ScaleCrop>false</ScaleCrop>
  <LinksUpToDate>false</LinksUpToDate>
  <CharactersWithSpaces>6413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2019-09-03T07:01:00Z</dcterms:created>
  <dc:creator>gsd</dc:creator>
  <cp:lastModifiedBy>高兰</cp:lastModifiedBy>
  <cp:lastPrinted>2019-05-28T08:01:00Z</cp:lastPrinted>
  <dcterms:modified xsi:type="dcterms:W3CDTF">2019-09-12T00:18:32Z</dcterms:modified>
  <dc:title> </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