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framePr w:vAnchor="margin" w:hAnchor="page" w:x="1467"/>
        <w:rPr>
          <w:rFonts w:eastAsia="宋体"/>
          <w:color w:val="auto"/>
        </w:rPr>
      </w:pPr>
      <w:r>
        <w:rPr>
          <w:rFonts w:ascii="Times New Roman"/>
          <w:color w:val="auto"/>
        </w:rPr>
        <w:t>ICS</w:t>
      </w:r>
      <w:r>
        <w:rPr>
          <w:rFonts w:hint="eastAsia" w:ascii="MS Mincho" w:hAnsi="MS Mincho" w:eastAsia="MS Mincho" w:cs="MS Mincho"/>
          <w:color w:val="auto"/>
        </w:rPr>
        <w:t> </w:t>
      </w:r>
      <w:r>
        <w:rPr>
          <w:rFonts w:hint="eastAsia" w:ascii="MS Mincho" w:hAnsi="MS Mincho" w:eastAsia="宋体" w:cs="MS Mincho"/>
          <w:color w:val="auto"/>
        </w:rPr>
        <w:t>77.150.99</w:t>
      </w:r>
    </w:p>
    <w:p>
      <w:pPr>
        <w:pStyle w:val="71"/>
        <w:framePr w:vAnchor="margin" w:hAnchor="page" w:x="1467"/>
        <w:rPr>
          <w:color w:val="auto"/>
        </w:rPr>
      </w:pPr>
      <w:r>
        <w:rPr>
          <w:rFonts w:hint="eastAsia"/>
          <w:color w:val="auto"/>
          <w:highlight w:val="red"/>
        </w:rPr>
        <w:t>H 62</w:t>
      </w:r>
      <w:r>
        <w:rPr>
          <w:rFonts w:hint="eastAsia"/>
          <w:color w:val="auto"/>
        </w:rPr>
        <w:t>（再生有色金属及其合金归在H69）</w:t>
      </w:r>
    </w:p>
    <w:p>
      <w:pPr>
        <w:pStyle w:val="46"/>
        <w:framePr/>
        <w:rPr>
          <w:color w:val="auto"/>
        </w:rPr>
      </w:pPr>
      <w:r>
        <w:rPr>
          <w:color w:val="auto"/>
        </w:rPr>
        <w:drawing>
          <wp:inline distT="0" distB="0" distL="114300" distR="114300">
            <wp:extent cx="1437640" cy="719455"/>
            <wp:effectExtent l="0" t="0" r="10160" b="12065"/>
            <wp:docPr id="6"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GB"/>
                    <pic:cNvPicPr>
                      <a:picLocks noChangeAspect="1"/>
                    </pic:cNvPicPr>
                  </pic:nvPicPr>
                  <pic:blipFill>
                    <a:blip r:embed="rId9" cstate="print"/>
                    <a:stretch>
                      <a:fillRect/>
                    </a:stretch>
                  </pic:blipFill>
                  <pic:spPr>
                    <a:xfrm>
                      <a:off x="0" y="0"/>
                      <a:ext cx="1437640" cy="719455"/>
                    </a:xfrm>
                    <a:prstGeom prst="rect">
                      <a:avLst/>
                    </a:prstGeom>
                    <a:noFill/>
                    <a:ln w="9525">
                      <a:noFill/>
                    </a:ln>
                  </pic:spPr>
                </pic:pic>
              </a:graphicData>
            </a:graphic>
          </wp:inline>
        </w:drawing>
      </w:r>
    </w:p>
    <w:p>
      <w:pPr>
        <w:pStyle w:val="48"/>
        <w:framePr/>
        <w:rPr>
          <w:color w:val="auto"/>
        </w:rPr>
      </w:pPr>
      <w:r>
        <w:rPr>
          <w:rFonts w:hint="eastAsia"/>
          <w:color w:val="auto"/>
        </w:rPr>
        <w:t>中华人民共和国国家标准</w:t>
      </w:r>
    </w:p>
    <w:p>
      <w:pPr>
        <w:pStyle w:val="110"/>
        <w:framePr/>
        <w:rPr>
          <w:color w:val="auto"/>
        </w:rPr>
      </w:pPr>
      <w:r>
        <w:rPr>
          <w:rFonts w:ascii="Times New Roman"/>
          <w:color w:val="auto"/>
        </w:rPr>
        <w:t>GB/T</w:t>
      </w:r>
      <w:r>
        <w:rPr>
          <w:rFonts w:hint="eastAsia" w:ascii="Times New Roman"/>
          <w:color w:val="auto"/>
        </w:rPr>
        <w:t xml:space="preserve"> </w:t>
      </w:r>
      <w:r>
        <w:rPr>
          <w:rFonts w:hint="eastAsia"/>
          <w:color w:val="auto"/>
        </w:rPr>
        <w:t>XXXX</w:t>
      </w:r>
      <w:r>
        <w:rPr>
          <w:color w:val="auto"/>
        </w:rPr>
        <w:t>—</w:t>
      </w:r>
      <w:r>
        <w:rPr>
          <w:rFonts w:hint="eastAsia"/>
          <w:color w:val="auto"/>
        </w:rPr>
        <w:t>2019</w:t>
      </w: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47"/>
              <w:framePr/>
              <w:rPr>
                <w:color w:val="auto"/>
              </w:rPr>
            </w:pPr>
            <w:bookmarkStart w:id="0" w:name="DT"/>
            <w:r>
              <w:rPr>
                <w:color w:val="auto"/>
              </w:rPr>
              <w:pict>
                <v:rect id="DT" o:spid="_x0000_s1026" o:spt="1" style="position:absolute;left:0pt;margin-left:372.8pt;margin-top:119.8pt;height:18pt;width:90pt;z-index:-251658240;mso-width-relative:page;mso-height-relative:page;"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VOiDYAAAACwEAAA8AAAAAAAAAAQAgAAAAIgAA&#10;AGRycy9kb3ducmV2LnhtbFBLAQIUABQAAAAIAIdO4kAmsnuslgEAACIDAAAOAAAAAAAAAAEAIAAA&#10;ACcBAABkcnMvZTJvRG9jLnhtbFBLBQYAAAAABgAGAFkBAAAvBQAAAAA=&#10;">
                  <v:path/>
                  <v:fill focussize="0,0"/>
                  <v:stroke on="f"/>
                  <v:imagedata o:title=""/>
                  <o:lock v:ext="edit"/>
                </v:rect>
              </w:pict>
            </w:r>
            <w:bookmarkEnd w:id="0"/>
            <w:r>
              <w:rPr>
                <w:color w:val="auto"/>
              </w:rPr>
              <w:t xml:space="preserve"> </w:t>
            </w:r>
          </w:p>
        </w:tc>
      </w:tr>
    </w:tbl>
    <w:p>
      <w:pPr>
        <w:pStyle w:val="110"/>
        <w:framePr/>
        <w:rPr>
          <w:color w:val="auto"/>
        </w:rPr>
      </w:pPr>
    </w:p>
    <w:p>
      <w:pPr>
        <w:pStyle w:val="110"/>
        <w:framePr/>
        <w:rPr>
          <w:color w:val="auto"/>
        </w:rPr>
      </w:pPr>
    </w:p>
    <w:p>
      <w:pPr>
        <w:pStyle w:val="77"/>
        <w:framePr/>
        <w:rPr>
          <w:color w:val="auto"/>
        </w:rPr>
      </w:pPr>
      <w:r>
        <w:rPr>
          <w:rFonts w:hint="eastAsia"/>
          <w:color w:val="auto"/>
          <w:lang w:val="en-US" w:eastAsia="zh-CN"/>
        </w:rPr>
        <w:t>回收</w:t>
      </w:r>
      <w:r>
        <w:rPr>
          <w:rFonts w:hint="eastAsia"/>
          <w:color w:val="auto"/>
        </w:rPr>
        <w:t>碲原料</w:t>
      </w:r>
    </w:p>
    <w:p>
      <w:pPr>
        <w:pStyle w:val="88"/>
        <w:framePr/>
        <w:rPr>
          <w:rFonts w:hAnsi="宋体" w:cs="宋体"/>
          <w:strike/>
          <w:color w:val="auto"/>
        </w:rPr>
      </w:pPr>
      <w:bookmarkStart w:id="1" w:name="YZBS"/>
      <w:r>
        <w:rPr>
          <w:rFonts w:hint="eastAsia" w:hAnsi="宋体" w:cs="宋体"/>
          <w:b/>
          <w:bCs/>
          <w:color w:val="auto"/>
          <w:shd w:val="clear" w:color="auto" w:fill="FFFFFF"/>
        </w:rPr>
        <w:t xml:space="preserve">Recycled </w:t>
      </w:r>
      <w:r>
        <w:rPr>
          <w:rFonts w:hint="eastAsia" w:hAnsi="宋体" w:cs="宋体"/>
          <w:b/>
          <w:bCs/>
          <w:color w:val="auto"/>
          <w:shd w:val="clear" w:color="auto" w:fill="FFFFFF"/>
        </w:rPr>
        <w:t xml:space="preserve">Tellurium </w:t>
      </w:r>
    </w:p>
    <w:bookmarkEnd w:id="1"/>
    <w:p>
      <w:pPr>
        <w:pStyle w:val="88"/>
        <w:framePr/>
        <w:jc w:val="both"/>
      </w:pPr>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tcPr>
          <w:p>
            <w:pPr>
              <w:pStyle w:val="97"/>
              <w:framePr/>
            </w:pPr>
            <w:r>
              <w:pict>
                <v:rect id="RQ" o:spid="_x0000_s1030" o:spt="1" style="position:absolute;left:0pt;margin-left:173.3pt;margin-top:337.15pt;height:20pt;width:150pt;z-index:-251656192;mso-width-relative:page;mso-height-relative:page;"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9f34NcAAAALAQAADwAAAAAAAAABACAAAAAiAAAA&#10;ZHJzL2Rvd25yZXYueG1sUEsBAhQAFAAAAAgAh07iQNg9gaqWAQAAIgMAAA4AAAAAAAAAAQAgAAAA&#10;JgEAAGRycy9lMm9Eb2MueG1sUEsFBgAAAAAGAAYAWQEAAC4FAAAAAA==&#10;">
                  <v:path/>
                  <v:fill focussize="0,0"/>
                  <v:stroke on="f"/>
                  <v:imagedata o:title=""/>
                  <o:lock v:ext="edit"/>
                  <w10:anchorlock/>
                </v:rect>
              </w:pict>
            </w:r>
            <w:r>
              <w:pict>
                <v:rect id="LB" o:spid="_x0000_s1029" o:spt="1" style="position:absolute;left:0pt;margin-left:193.3pt;margin-top:312.15pt;height:24pt;width:100pt;z-index:-251657216;mso-width-relative:page;mso-height-relative:page;"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3D5MNcAAAALAQAADwAAAAAAAAABACAAAAAiAAAA&#10;ZHJzL2Rvd25yZXYueG1sUEsBAhQAFAAAAAgAh07iQIAYeu2WAQAAIgMAAA4AAAAAAAAAAQAgAAAA&#10;JgEAAGRycy9lMm9Eb2MueG1sUEsFBgAAAAAGAAYAWQEAAC4FAAAAAA==&#10;">
                  <v:path/>
                  <v:fill focussize="0,0"/>
                  <v:stroke on="f"/>
                  <v:imagedata o:title=""/>
                  <o:lock v:ext="edit"/>
                </v:rect>
              </w:pict>
            </w:r>
            <w:r>
              <w:rPr>
                <w:rFonts w:hint="eastAsia"/>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tcPr>
          <w:p>
            <w:pPr>
              <w:pStyle w:val="96"/>
              <w:framePr/>
            </w:pPr>
          </w:p>
        </w:tc>
      </w:tr>
    </w:tbl>
    <w:p>
      <w:pPr>
        <w:pStyle w:val="117"/>
        <w:framePr/>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XX</w:t>
      </w:r>
      <w:r>
        <w:rPr>
          <w:rFonts w:hint="eastAsia"/>
        </w:rPr>
        <w:t>发布</w:t>
      </w:r>
      <w:r>
        <w:pict>
          <v:line id="直线 10" o:spid="_x0000_s1028" o:spt="20" style="position:absolute;left:0pt;margin-left:-0.05pt;margin-top:728.5pt;height:0pt;width:481.9pt;mso-position-vertical-relative:page;z-index:251661312;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5sGUecwBAACOAwAADgAAAAAAAAABACAAAAAlAQAA&#10;ZHJzL2Uyb0RvYy54bWxQSwUGAAAAAAYABgBZAQAAYwUAAAAA&#10;">
            <v:path arrowok="t"/>
            <v:fill focussize="0,0"/>
            <v:stroke/>
            <v:imagedata o:title=""/>
            <o:lock v:ext="edit"/>
            <w10:anchorlock/>
          </v:line>
        </w:pict>
      </w:r>
    </w:p>
    <w:p>
      <w:pPr>
        <w:pStyle w:val="80"/>
        <w:framePr/>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XX</w:t>
      </w:r>
      <w:r>
        <w:rPr>
          <w:rFonts w:hint="eastAsia"/>
        </w:rPr>
        <w:t>实施</w:t>
      </w:r>
    </w:p>
    <w:p>
      <w:pPr>
        <w:pStyle w:val="107"/>
        <w:framePr/>
      </w:pPr>
      <w:r>
        <w:drawing>
          <wp:inline distT="0" distB="0" distL="114300" distR="114300">
            <wp:extent cx="5033010" cy="718185"/>
            <wp:effectExtent l="0" t="0" r="11430" b="13335"/>
            <wp:docPr id="7"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BSendClear"/>
                    <pic:cNvPicPr>
                      <a:picLocks noChangeAspect="1"/>
                    </pic:cNvPicPr>
                  </pic:nvPicPr>
                  <pic:blipFill>
                    <a:blip r:embed="rId10" cstate="print"/>
                    <a:stretch>
                      <a:fillRect/>
                    </a:stretch>
                  </pic:blipFill>
                  <pic:spPr>
                    <a:xfrm>
                      <a:off x="0" y="0"/>
                      <a:ext cx="5033010" cy="718185"/>
                    </a:xfrm>
                    <a:prstGeom prst="rect">
                      <a:avLst/>
                    </a:prstGeom>
                    <a:noFill/>
                    <a:ln w="9525">
                      <a:noFill/>
                    </a:ln>
                  </pic:spPr>
                </pic:pic>
              </a:graphicData>
            </a:graphic>
          </wp:inline>
        </w:drawing>
      </w:r>
    </w:p>
    <w:p>
      <w:pPr>
        <w:pStyle w:val="23"/>
        <w:rPr>
          <w:color w:val="auto"/>
        </w:rPr>
        <w:sectPr>
          <w:footerReference r:id="rId3" w:type="default"/>
          <w:pgSz w:w="11906" w:h="16838"/>
          <w:pgMar w:top="567" w:right="850" w:bottom="1134" w:left="1418" w:header="0" w:footer="0" w:gutter="0"/>
          <w:pgNumType w:start="1"/>
          <w:cols w:space="720" w:num="1"/>
          <w:docGrid w:type="lines" w:linePitch="312" w:charSpace="0"/>
        </w:sectPr>
      </w:pPr>
      <w:r>
        <w:rPr>
          <w:color w:val="auto"/>
        </w:rPr>
        <w:pict>
          <v:line id="直线 11" o:spid="_x0000_s1027" o:spt="20" style="position:absolute;left:0pt;margin-left:-0.05pt;margin-top:184.25pt;height:0pt;width:481.9pt;z-index:251662336;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CfK7aqzQEAAI4DAAAOAAAAAAAAAAEAIAAAACYB&#10;AABkcnMvZTJvRG9jLnhtbFBLBQYAAAAABgAGAFkBAABlBQAAAAA=&#10;">
            <v:path arrowok="t"/>
            <v:fill focussize="0,0"/>
            <v:stroke/>
            <v:imagedata o:title=""/>
            <o:lock v:ext="edit"/>
          </v:line>
        </w:pict>
      </w:r>
      <w:r>
        <w:rPr>
          <w:rFonts w:hint="eastAsia"/>
          <w:color w:val="auto"/>
        </w:rPr>
        <w:t xml:space="preserve"> </w:t>
      </w:r>
      <w:bookmarkStart w:id="20" w:name="_GoBack"/>
      <w:bookmarkEnd w:id="20"/>
    </w:p>
    <w:p>
      <w:pPr>
        <w:pStyle w:val="19"/>
        <w:spacing w:before="78" w:after="78" w:line="360" w:lineRule="auto"/>
        <w:rPr>
          <w:rFonts w:ascii="Times New Roman"/>
          <w:szCs w:val="24"/>
        </w:rPr>
      </w:pPr>
      <w:bookmarkStart w:id="2" w:name="_Toc402950139"/>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r>
      <w:r>
        <w:instrText xml:space="preserve"> HYPERLINK \l "_Toc409252946" </w:instrText>
      </w:r>
      <w:r>
        <w:fldChar w:fldCharType="separate"/>
      </w:r>
      <w:r>
        <w:rPr>
          <w:rStyle w:val="40"/>
          <w:rFonts w:hint="eastAsia"/>
        </w:rPr>
        <w:t>前言</w:t>
      </w:r>
      <w:r>
        <w:tab/>
      </w:r>
      <w:r>
        <w:fldChar w:fldCharType="begin" w:fldLock="1"/>
      </w:r>
      <w:r>
        <w:instrText xml:space="preserve"> PAGEREF _Toc409252946 \h </w:instrText>
      </w:r>
      <w:r>
        <w:fldChar w:fldCharType="separate"/>
      </w:r>
      <w:r>
        <w:t>II</w:t>
      </w:r>
      <w:r>
        <w:fldChar w:fldCharType="end"/>
      </w:r>
      <w:r>
        <w:fldChar w:fldCharType="end"/>
      </w:r>
    </w:p>
    <w:p>
      <w:pPr>
        <w:pStyle w:val="19"/>
        <w:spacing w:before="78" w:after="78" w:line="360" w:lineRule="auto"/>
        <w:rPr>
          <w:rFonts w:ascii="Times New Roman"/>
          <w:szCs w:val="24"/>
        </w:rPr>
      </w:pPr>
      <w:r>
        <w:fldChar w:fldCharType="begin"/>
      </w:r>
      <w:r>
        <w:instrText xml:space="preserve"> HYPERLINK \l "_Toc409252947" </w:instrText>
      </w:r>
      <w:r>
        <w:fldChar w:fldCharType="separate"/>
      </w:r>
      <w:r>
        <w:rPr>
          <w:rStyle w:val="40"/>
        </w:rPr>
        <w:t>1</w:t>
      </w:r>
      <w:r>
        <w:rPr>
          <w:rStyle w:val="40"/>
          <w:rFonts w:hint="eastAsia"/>
        </w:rPr>
        <w:t>　范围</w:t>
      </w:r>
      <w:r>
        <w:tab/>
      </w:r>
      <w:r>
        <w:fldChar w:fldCharType="begin" w:fldLock="1"/>
      </w:r>
      <w:r>
        <w:instrText xml:space="preserve"> PAGEREF _Toc409252947 \h </w:instrText>
      </w:r>
      <w:r>
        <w:fldChar w:fldCharType="separate"/>
      </w:r>
      <w:r>
        <w:t>1</w:t>
      </w:r>
      <w:r>
        <w:fldChar w:fldCharType="end"/>
      </w:r>
      <w:r>
        <w:fldChar w:fldCharType="end"/>
      </w:r>
    </w:p>
    <w:p>
      <w:pPr>
        <w:pStyle w:val="19"/>
        <w:spacing w:before="78" w:after="78" w:line="360" w:lineRule="auto"/>
        <w:rPr>
          <w:rFonts w:ascii="Times New Roman"/>
          <w:szCs w:val="24"/>
        </w:rPr>
      </w:pPr>
      <w:r>
        <w:fldChar w:fldCharType="begin"/>
      </w:r>
      <w:r>
        <w:instrText xml:space="preserve"> HYPERLINK \l "_Toc409252948" </w:instrText>
      </w:r>
      <w:r>
        <w:fldChar w:fldCharType="separate"/>
      </w:r>
      <w:r>
        <w:rPr>
          <w:rStyle w:val="40"/>
        </w:rPr>
        <w:t>2</w:t>
      </w:r>
      <w:r>
        <w:rPr>
          <w:rStyle w:val="40"/>
          <w:rFonts w:hint="eastAsia"/>
        </w:rPr>
        <w:t>　规范性引用文件</w:t>
      </w:r>
      <w:r>
        <w:tab/>
      </w:r>
      <w:r>
        <w:fldChar w:fldCharType="begin" w:fldLock="1"/>
      </w:r>
      <w:r>
        <w:instrText xml:space="preserve"> PAGEREF _Toc409252948 \h </w:instrText>
      </w:r>
      <w:r>
        <w:fldChar w:fldCharType="separate"/>
      </w:r>
      <w:r>
        <w:t>1</w:t>
      </w:r>
      <w:r>
        <w:fldChar w:fldCharType="end"/>
      </w:r>
      <w:r>
        <w:fldChar w:fldCharType="end"/>
      </w:r>
    </w:p>
    <w:p>
      <w:pPr>
        <w:pStyle w:val="19"/>
        <w:spacing w:before="78" w:after="78" w:line="360" w:lineRule="auto"/>
        <w:rPr>
          <w:rFonts w:ascii="Times New Roman"/>
          <w:szCs w:val="24"/>
        </w:rPr>
      </w:pPr>
      <w:r>
        <w:fldChar w:fldCharType="begin"/>
      </w:r>
      <w:r>
        <w:instrText xml:space="preserve"> HYPERLINK \l "_Toc409252950" </w:instrText>
      </w:r>
      <w:r>
        <w:fldChar w:fldCharType="separate"/>
      </w:r>
      <w:r>
        <w:rPr>
          <w:rStyle w:val="40"/>
          <w:rFonts w:hint="eastAsia"/>
        </w:rPr>
        <w:t>3　分类</w:t>
      </w:r>
      <w:r>
        <w:tab/>
      </w:r>
      <w:r>
        <w:rPr>
          <w:rFonts w:hint="eastAsia"/>
        </w:rPr>
        <w:t>2</w:t>
      </w:r>
      <w:r>
        <w:rPr>
          <w:rFonts w:hint="eastAsia"/>
        </w:rPr>
        <w:fldChar w:fldCharType="end"/>
      </w:r>
    </w:p>
    <w:p>
      <w:pPr>
        <w:pStyle w:val="19"/>
        <w:spacing w:before="78" w:after="78" w:line="360" w:lineRule="auto"/>
        <w:rPr>
          <w:rFonts w:ascii="Times New Roman"/>
          <w:szCs w:val="24"/>
        </w:rPr>
      </w:pPr>
      <w:r>
        <w:fldChar w:fldCharType="begin"/>
      </w:r>
      <w:r>
        <w:instrText xml:space="preserve"> HYPERLINK \l "_Toc409252951" </w:instrText>
      </w:r>
      <w:r>
        <w:fldChar w:fldCharType="separate"/>
      </w:r>
      <w:r>
        <w:rPr>
          <w:rStyle w:val="40"/>
          <w:rFonts w:hint="eastAsia"/>
        </w:rPr>
        <w:t>4　要求</w:t>
      </w:r>
      <w:r>
        <w:tab/>
      </w:r>
      <w:r>
        <w:rPr>
          <w:rFonts w:hint="eastAsia"/>
        </w:rPr>
        <w:t>3</w:t>
      </w:r>
      <w:r>
        <w:rPr>
          <w:rFonts w:hint="eastAsia"/>
        </w:rPr>
        <w:fldChar w:fldCharType="end"/>
      </w:r>
    </w:p>
    <w:p>
      <w:pPr>
        <w:pStyle w:val="19"/>
        <w:spacing w:before="78" w:after="78" w:line="360" w:lineRule="auto"/>
        <w:rPr>
          <w:rFonts w:ascii="Times New Roman"/>
          <w:szCs w:val="24"/>
        </w:rPr>
      </w:pPr>
      <w:r>
        <w:fldChar w:fldCharType="begin"/>
      </w:r>
      <w:r>
        <w:instrText xml:space="preserve"> HYPERLINK \l "_Toc409252952" </w:instrText>
      </w:r>
      <w:r>
        <w:fldChar w:fldCharType="separate"/>
      </w:r>
      <w:r>
        <w:rPr>
          <w:rStyle w:val="40"/>
          <w:rFonts w:hint="eastAsia"/>
        </w:rPr>
        <w:t>5　试验方法</w:t>
      </w:r>
      <w:r>
        <w:tab/>
      </w:r>
      <w:r>
        <w:fldChar w:fldCharType="begin" w:fldLock="1"/>
      </w:r>
      <w:r>
        <w:instrText xml:space="preserve"> PAGEREF _Toc409252952 \h </w:instrText>
      </w:r>
      <w:r>
        <w:fldChar w:fldCharType="separate"/>
      </w:r>
      <w:r>
        <w:t>3</w:t>
      </w:r>
      <w:r>
        <w:fldChar w:fldCharType="end"/>
      </w:r>
      <w:r>
        <w:fldChar w:fldCharType="end"/>
      </w:r>
    </w:p>
    <w:p>
      <w:pPr>
        <w:pStyle w:val="19"/>
        <w:spacing w:before="78" w:after="78" w:line="360" w:lineRule="auto"/>
        <w:rPr>
          <w:rFonts w:ascii="Times New Roman"/>
          <w:szCs w:val="24"/>
        </w:rPr>
      </w:pPr>
      <w:r>
        <w:fldChar w:fldCharType="begin"/>
      </w:r>
      <w:r>
        <w:instrText xml:space="preserve"> HYPERLINK \l "_Toc409252953" </w:instrText>
      </w:r>
      <w:r>
        <w:fldChar w:fldCharType="separate"/>
      </w:r>
      <w:r>
        <w:rPr>
          <w:rStyle w:val="40"/>
          <w:rFonts w:hint="eastAsia"/>
        </w:rPr>
        <w:t>6　检验规则</w:t>
      </w:r>
      <w:r>
        <w:tab/>
      </w:r>
      <w:r>
        <w:rPr>
          <w:rFonts w:hint="eastAsia"/>
        </w:rPr>
        <w:t>4</w:t>
      </w:r>
      <w:r>
        <w:rPr>
          <w:rFonts w:hint="eastAsia"/>
        </w:rPr>
        <w:fldChar w:fldCharType="end"/>
      </w:r>
    </w:p>
    <w:p>
      <w:pPr>
        <w:pStyle w:val="19"/>
        <w:spacing w:before="78" w:after="78" w:line="360" w:lineRule="auto"/>
        <w:rPr>
          <w:rFonts w:ascii="Times New Roman"/>
          <w:szCs w:val="24"/>
        </w:rPr>
      </w:pPr>
      <w:r>
        <w:fldChar w:fldCharType="begin"/>
      </w:r>
      <w:r>
        <w:instrText xml:space="preserve"> HYPERLINK \l "_Toc409252954" </w:instrText>
      </w:r>
      <w:r>
        <w:fldChar w:fldCharType="separate"/>
      </w:r>
      <w:r>
        <w:rPr>
          <w:rStyle w:val="40"/>
          <w:rFonts w:hint="eastAsia"/>
        </w:rPr>
        <w:t>7　标志、包装、运输、贮存及质量证明书</w:t>
      </w:r>
      <w:r>
        <w:tab/>
      </w:r>
      <w:r>
        <w:rPr>
          <w:rFonts w:hint="eastAsia"/>
        </w:rPr>
        <w:t>5</w:t>
      </w:r>
      <w:r>
        <w:rPr>
          <w:rFonts w:hint="eastAsia"/>
        </w:rPr>
        <w:fldChar w:fldCharType="end"/>
      </w:r>
    </w:p>
    <w:p>
      <w:pPr>
        <w:pStyle w:val="23"/>
        <w:spacing w:line="360" w:lineRule="auto"/>
      </w:pPr>
      <w:r>
        <w:fldChar w:fldCharType="end"/>
      </w:r>
    </w:p>
    <w:p>
      <w:pPr>
        <w:pStyle w:val="113"/>
      </w:pPr>
      <w:bookmarkStart w:id="3" w:name="_Toc409252946"/>
      <w:r>
        <w:rPr>
          <w:rFonts w:hint="eastAsia"/>
        </w:rPr>
        <w:t>前</w:t>
      </w:r>
      <w:bookmarkStart w:id="4" w:name="BKQY"/>
      <w:r>
        <w:t>  </w:t>
      </w:r>
      <w:r>
        <w:rPr>
          <w:rFonts w:hint="eastAsia"/>
        </w:rPr>
        <w:t>言</w:t>
      </w:r>
      <w:bookmarkEnd w:id="2"/>
      <w:bookmarkEnd w:id="3"/>
      <w:bookmarkEnd w:id="4"/>
    </w:p>
    <w:p>
      <w:pPr>
        <w:widowControl/>
        <w:spacing w:line="360" w:lineRule="auto"/>
        <w:ind w:firstLine="420"/>
        <w:rPr>
          <w:color w:val="000000"/>
          <w:kern w:val="0"/>
          <w:sz w:val="20"/>
          <w:szCs w:val="20"/>
        </w:rPr>
      </w:pPr>
      <w:r>
        <w:rPr>
          <w:rFonts w:hint="eastAsia" w:ascii="宋体" w:hAnsi="宋体"/>
          <w:color w:val="000000"/>
          <w:kern w:val="0"/>
          <w:szCs w:val="21"/>
        </w:rPr>
        <w:t>本标准按照GB/T1.1-2009给出的规则起草。</w:t>
      </w:r>
    </w:p>
    <w:p>
      <w:pPr>
        <w:widowControl/>
        <w:spacing w:line="360" w:lineRule="auto"/>
        <w:ind w:firstLine="420"/>
        <w:rPr>
          <w:rFonts w:ascii="宋体" w:hAnsi="宋体"/>
          <w:color w:val="000000"/>
          <w:kern w:val="0"/>
          <w:szCs w:val="21"/>
        </w:rPr>
      </w:pPr>
      <w:bookmarkStart w:id="5" w:name="前言2"/>
      <w:bookmarkEnd w:id="5"/>
      <w:r>
        <w:rPr>
          <w:rFonts w:hint="eastAsia" w:ascii="宋体" w:hAnsi="宋体"/>
          <w:color w:val="000000"/>
          <w:kern w:val="0"/>
          <w:szCs w:val="21"/>
        </w:rPr>
        <w:t>本标准由中国有色金属工业协会提出。</w:t>
      </w:r>
    </w:p>
    <w:p>
      <w:pPr>
        <w:widowControl/>
        <w:spacing w:line="360" w:lineRule="auto"/>
        <w:ind w:firstLine="420"/>
        <w:rPr>
          <w:rFonts w:ascii="宋体" w:hAnsi="宋体"/>
          <w:color w:val="000000"/>
          <w:kern w:val="0"/>
          <w:szCs w:val="21"/>
        </w:rPr>
      </w:pPr>
      <w:r>
        <w:rPr>
          <w:rFonts w:hint="eastAsia" w:ascii="宋体" w:hAnsi="宋体"/>
          <w:color w:val="000000"/>
          <w:kern w:val="0"/>
          <w:szCs w:val="21"/>
        </w:rPr>
        <w:t>本标准由</w:t>
      </w:r>
      <w:r>
        <w:rPr>
          <w:color w:val="000000"/>
          <w:kern w:val="0"/>
          <w:szCs w:val="21"/>
        </w:rPr>
        <w:t>全国有色金属标准化技术委员会</w:t>
      </w:r>
      <w:r>
        <w:rPr>
          <w:rFonts w:hint="eastAsia"/>
          <w:color w:val="000000"/>
          <w:kern w:val="0"/>
          <w:szCs w:val="21"/>
        </w:rPr>
        <w:t>（SAC/TC 243）</w:t>
      </w:r>
      <w:r>
        <w:rPr>
          <w:rFonts w:hint="eastAsia" w:ascii="宋体" w:hAnsi="宋体"/>
          <w:color w:val="000000"/>
          <w:kern w:val="0"/>
          <w:szCs w:val="21"/>
        </w:rPr>
        <w:t>归口。</w:t>
      </w:r>
    </w:p>
    <w:p>
      <w:pPr>
        <w:widowControl/>
        <w:spacing w:line="360" w:lineRule="auto"/>
        <w:ind w:firstLine="420"/>
        <w:rPr>
          <w:color w:val="000000"/>
          <w:kern w:val="0"/>
          <w:sz w:val="20"/>
          <w:szCs w:val="20"/>
        </w:rPr>
      </w:pPr>
      <w:r>
        <w:rPr>
          <w:rFonts w:hint="eastAsia" w:ascii="宋体" w:hAnsi="宋体"/>
          <w:color w:val="000000"/>
          <w:kern w:val="0"/>
          <w:szCs w:val="21"/>
        </w:rPr>
        <w:t>本标准起草单位：湖南省金润碲业有限公司、永兴县食品药品工商质量监督管理局、广东先导稀材股份有限公司、湖南荣鹏环保科技有限公司、成都中建材光电材料有限公司、永兴鑫裕环保镍业有限公司。</w:t>
      </w:r>
    </w:p>
    <w:p>
      <w:pPr>
        <w:widowControl/>
        <w:spacing w:line="360" w:lineRule="auto"/>
        <w:ind w:firstLine="420"/>
        <w:rPr>
          <w:color w:val="000000"/>
          <w:kern w:val="0"/>
          <w:sz w:val="20"/>
          <w:szCs w:val="20"/>
        </w:rPr>
      </w:pPr>
      <w:r>
        <w:rPr>
          <w:color w:val="000000"/>
          <w:kern w:val="0"/>
          <w:szCs w:val="21"/>
        </w:rPr>
        <w:t>本标准主要起草人：李水林、李俊</w:t>
      </w:r>
      <w:r>
        <w:rPr>
          <w:rFonts w:hint="eastAsia"/>
          <w:color w:val="000000"/>
          <w:kern w:val="0"/>
          <w:szCs w:val="21"/>
        </w:rPr>
        <w:t>、李杰、周宇飞、</w:t>
      </w:r>
      <w:r>
        <w:rPr>
          <w:color w:val="000000"/>
          <w:kern w:val="0"/>
          <w:szCs w:val="21"/>
        </w:rPr>
        <w:t>杨安福、刘文文、</w:t>
      </w:r>
      <w:r>
        <w:rPr>
          <w:rFonts w:hint="eastAsia"/>
          <w:color w:val="000000"/>
          <w:kern w:val="0"/>
          <w:szCs w:val="21"/>
        </w:rPr>
        <w:t>李红贵</w:t>
      </w:r>
      <w:r>
        <w:rPr>
          <w:color w:val="000000"/>
          <w:kern w:val="0"/>
          <w:szCs w:val="21"/>
        </w:rPr>
        <w:t>、</w:t>
      </w:r>
      <w:r>
        <w:rPr>
          <w:rFonts w:hint="eastAsia"/>
          <w:color w:val="000000"/>
          <w:kern w:val="0"/>
          <w:szCs w:val="21"/>
        </w:rPr>
        <w:t>谭小雄、</w:t>
      </w:r>
      <w:r>
        <w:rPr>
          <w:color w:val="000000"/>
          <w:kern w:val="0"/>
          <w:szCs w:val="21"/>
        </w:rPr>
        <w:t>罗细兰、郭承学</w:t>
      </w:r>
      <w:r>
        <w:rPr>
          <w:rFonts w:hint="eastAsia"/>
          <w:color w:val="000000"/>
          <w:kern w:val="0"/>
          <w:szCs w:val="21"/>
        </w:rPr>
        <w:t>、邱传辉、邓跃兴、李振国、</w:t>
      </w:r>
      <w:r>
        <w:rPr>
          <w:color w:val="000000"/>
          <w:kern w:val="0"/>
          <w:szCs w:val="21"/>
        </w:rPr>
        <w:t>陈庚龙、</w:t>
      </w:r>
      <w:r>
        <w:rPr>
          <w:rFonts w:hint="eastAsia"/>
          <w:color w:val="000000"/>
          <w:kern w:val="0"/>
          <w:szCs w:val="21"/>
        </w:rPr>
        <w:t>朱赞芳、郑林、侯千驹、谷丽、张凡</w:t>
      </w:r>
      <w:r>
        <w:rPr>
          <w:color w:val="000000"/>
          <w:kern w:val="0"/>
          <w:szCs w:val="21"/>
        </w:rPr>
        <w:t>。</w:t>
      </w:r>
    </w:p>
    <w:p>
      <w:pPr>
        <w:pStyle w:val="23"/>
        <w:spacing w:line="360" w:lineRule="auto"/>
        <w:sectPr>
          <w:headerReference r:id="rId4" w:type="default"/>
          <w:footerReference r:id="rId5" w:type="default"/>
          <w:pgSz w:w="11906" w:h="16838"/>
          <w:pgMar w:top="567" w:right="1134" w:bottom="1134" w:left="1418" w:header="1418" w:footer="1134" w:gutter="0"/>
          <w:pgNumType w:fmt="upperRoman" w:start="1"/>
          <w:cols w:space="720" w:num="1"/>
          <w:formProt w:val="0"/>
          <w:docGrid w:type="lines" w:linePitch="312" w:charSpace="0"/>
        </w:sectPr>
      </w:pPr>
    </w:p>
    <w:p>
      <w:pPr>
        <w:pStyle w:val="90"/>
        <w:spacing w:line="360" w:lineRule="auto"/>
      </w:pPr>
      <w:r>
        <w:rPr>
          <w:rFonts w:hint="eastAsia"/>
          <w:lang w:val="en-US" w:eastAsia="zh-CN"/>
        </w:rPr>
        <w:t>回收</w:t>
      </w:r>
      <w:r>
        <w:rPr>
          <w:rFonts w:hint="eastAsia"/>
        </w:rPr>
        <w:t>碲原料</w:t>
      </w:r>
    </w:p>
    <w:p>
      <w:pPr>
        <w:pStyle w:val="85"/>
        <w:spacing w:before="312" w:after="312" w:line="360" w:lineRule="auto"/>
        <w:rPr>
          <w:szCs w:val="21"/>
        </w:rPr>
      </w:pPr>
      <w:bookmarkStart w:id="6" w:name="_Toc409252947"/>
      <w:bookmarkStart w:id="7" w:name="_Toc402950140"/>
      <w:bookmarkStart w:id="8" w:name="_Toc402949807"/>
      <w:r>
        <w:rPr>
          <w:rFonts w:hint="eastAsia"/>
          <w:szCs w:val="21"/>
        </w:rPr>
        <w:t>范围</w:t>
      </w:r>
      <w:bookmarkEnd w:id="6"/>
      <w:bookmarkEnd w:id="7"/>
      <w:bookmarkEnd w:id="8"/>
    </w:p>
    <w:p>
      <w:pPr>
        <w:pStyle w:val="23"/>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本标准规定了碲原料的分类、要求、试验方法、检验规则和包装、标志、运输及贮存、质量证明书。</w:t>
      </w:r>
    </w:p>
    <w:p>
      <w:pPr>
        <w:pStyle w:val="23"/>
        <w:spacing w:line="360" w:lineRule="auto"/>
        <w:ind w:left="420" w:leftChars="200"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本标准适用于碲原料的综合回收利用及贸易。</w:t>
      </w:r>
    </w:p>
    <w:p>
      <w:pPr>
        <w:pStyle w:val="85"/>
        <w:spacing w:before="312" w:after="312" w:line="360" w:lineRule="auto"/>
        <w:rPr>
          <w:color w:val="000000" w:themeColor="text1"/>
          <w:szCs w:val="21"/>
          <w14:textFill>
            <w14:solidFill>
              <w14:schemeClr w14:val="tx1"/>
            </w14:solidFill>
          </w14:textFill>
        </w:rPr>
      </w:pPr>
      <w:bookmarkStart w:id="9" w:name="_Toc402949808"/>
      <w:bookmarkStart w:id="10" w:name="_Toc402950141"/>
      <w:bookmarkStart w:id="11" w:name="_Toc409252948"/>
      <w:r>
        <w:rPr>
          <w:rFonts w:hint="eastAsia"/>
          <w:color w:val="000000" w:themeColor="text1"/>
          <w:szCs w:val="21"/>
          <w14:textFill>
            <w14:solidFill>
              <w14:schemeClr w14:val="tx1"/>
            </w14:solidFill>
          </w14:textFill>
        </w:rPr>
        <w:t>规范性引用文件</w:t>
      </w:r>
      <w:bookmarkEnd w:id="9"/>
      <w:bookmarkEnd w:id="10"/>
      <w:bookmarkEnd w:id="11"/>
    </w:p>
    <w:p>
      <w:pPr>
        <w:pStyle w:val="23"/>
        <w:spacing w:line="312"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下列文件对于本文件的应用是必不可少的。凡是注日期的引用文件，仅注日期的版本适用于本文件。凡是不注日期的引用文件，其最新版本（包括所有的修改单）适用于本文件。</w:t>
      </w:r>
    </w:p>
    <w:p>
      <w:pPr>
        <w:pStyle w:val="23"/>
        <w:spacing w:line="312"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 18597 危险废物贮存污染控制标准</w:t>
      </w:r>
    </w:p>
    <w:p>
      <w:pPr>
        <w:pStyle w:val="23"/>
        <w:spacing w:line="312"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 18599 一般工业固体废物贮存、处置污染控制标准</w:t>
      </w: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adjustRightInd w:val="0"/>
        <w:snapToGrid w:val="0"/>
        <w:spacing w:line="312" w:lineRule="auto"/>
        <w:ind w:firstLine="430" w:firstLineChars="205"/>
        <w:jc w:val="left"/>
        <w:rPr>
          <w:rFonts w:ascii="宋体" w:hAnsi="宋体" w:cs="Tahoma"/>
          <w:snapToGrid w:val="0"/>
          <w:color w:val="000000" w:themeColor="text1"/>
          <w:kern w:val="0"/>
          <w:szCs w:val="21"/>
          <w:shd w:val="clear" w:color="auto" w:fill="FFFFFF"/>
          <w14:textFill>
            <w14:solidFill>
              <w14:schemeClr w14:val="tx1"/>
            </w14:solidFill>
          </w14:textFill>
        </w:rPr>
      </w:pPr>
    </w:p>
    <w:p>
      <w:pPr>
        <w:pStyle w:val="85"/>
        <w:spacing w:before="312" w:after="312" w:line="360" w:lineRule="auto"/>
        <w:rPr>
          <w:color w:val="000000" w:themeColor="text1"/>
          <w:szCs w:val="21"/>
          <w14:textFill>
            <w14:solidFill>
              <w14:schemeClr w14:val="tx1"/>
            </w14:solidFill>
          </w14:textFill>
        </w:rPr>
      </w:pPr>
      <w:bookmarkStart w:id="12" w:name="_Toc402949809"/>
      <w:bookmarkEnd w:id="12"/>
      <w:bookmarkStart w:id="13" w:name="_Toc402950142"/>
      <w:bookmarkStart w:id="14" w:name="_Toc409252950"/>
      <w:r>
        <w:rPr>
          <w:rFonts w:hint="eastAsia"/>
          <w:color w:val="000000" w:themeColor="text1"/>
          <w:szCs w:val="21"/>
          <w14:textFill>
            <w14:solidFill>
              <w14:schemeClr w14:val="tx1"/>
            </w14:solidFill>
          </w14:textFill>
        </w:rPr>
        <w:t>分类</w:t>
      </w:r>
      <w:bookmarkEnd w:id="13"/>
      <w:bookmarkEnd w:id="14"/>
    </w:p>
    <w:p>
      <w:pPr>
        <w:adjustRightInd w:val="0"/>
        <w:snapToGrid w:val="0"/>
        <w:spacing w:line="360" w:lineRule="auto"/>
        <w:ind w:firstLine="420" w:firstLineChars="200"/>
        <w:jc w:val="left"/>
        <w:rPr>
          <w:rFonts w:ascii="宋体" w:hAnsi="宋体"/>
          <w:color w:val="000000" w:themeColor="text1"/>
          <w:szCs w:val="21"/>
          <w:highlight w:val="yellow"/>
          <w14:textFill>
            <w14:solidFill>
              <w14:schemeClr w14:val="tx1"/>
            </w14:solidFill>
          </w14:textFill>
        </w:rPr>
      </w:pPr>
      <w:bookmarkStart w:id="15" w:name="_Toc402950143"/>
      <w:r>
        <w:rPr>
          <w:rFonts w:hint="eastAsia" w:ascii="宋体" w:hAnsi="宋体"/>
          <w:color w:val="000000" w:themeColor="text1"/>
          <w:szCs w:val="21"/>
          <w14:textFill>
            <w14:solidFill>
              <w14:schemeClr w14:val="tx1"/>
            </w14:solidFill>
          </w14:textFill>
        </w:rPr>
        <w:t>碲原料按照物理形态及化学性质的特征分为四大类,即Ⅰ类：碲及碲合金物料；Ⅱ类：</w:t>
      </w:r>
      <w:r>
        <w:rPr>
          <w:rFonts w:hint="eastAsia" w:ascii="宋体" w:hAnsi="宋体" w:cs="Arial"/>
          <w:color w:val="000000" w:themeColor="text1"/>
          <w:szCs w:val="21"/>
          <w14:textFill>
            <w14:solidFill>
              <w14:schemeClr w14:val="tx1"/>
            </w14:solidFill>
          </w14:textFill>
        </w:rPr>
        <w:t>碲氧化物物料</w:t>
      </w:r>
      <w:r>
        <w:rPr>
          <w:rFonts w:hint="eastAsia" w:ascii="宋体" w:hAnsi="宋体"/>
          <w:color w:val="000000" w:themeColor="text1"/>
          <w:szCs w:val="21"/>
          <w14:textFill>
            <w14:solidFill>
              <w14:schemeClr w14:val="tx1"/>
            </w14:solidFill>
          </w14:textFill>
        </w:rPr>
        <w:t>；Ⅲ类：碲化物物料；Ⅳ类：含碲盐类物料。</w:t>
      </w:r>
      <w:bookmarkEnd w:id="15"/>
      <w:r>
        <w:rPr>
          <w:rFonts w:hint="eastAsia" w:ascii="宋体" w:hAnsi="宋体"/>
          <w:color w:val="000000" w:themeColor="text1"/>
          <w:szCs w:val="21"/>
          <w14:textFill>
            <w14:solidFill>
              <w14:schemeClr w14:val="tx1"/>
            </w14:solidFill>
          </w14:textFill>
        </w:rPr>
        <w:t>按照每类碲原料的名称及化学成分来区分为不同级别，具体见表1所示。</w:t>
      </w:r>
    </w:p>
    <w:p>
      <w:pPr>
        <w:pStyle w:val="83"/>
        <w:spacing w:before="156" w:after="156"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碲原料的分类</w:t>
      </w:r>
    </w:p>
    <w:tbl>
      <w:tblPr>
        <w:tblStyle w:val="31"/>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84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170" w:type="dxa"/>
            <w:vAlign w:val="center"/>
          </w:tcPr>
          <w:p>
            <w:pPr>
              <w:adjustRightInd w:val="0"/>
              <w:snapToGrid w:val="0"/>
              <w:spacing w:line="360" w:lineRule="auto"/>
              <w:ind w:right="105" w:rightChars="5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类别</w:t>
            </w:r>
          </w:p>
        </w:tc>
        <w:tc>
          <w:tcPr>
            <w:tcW w:w="842" w:type="dxa"/>
            <w:vAlign w:val="center"/>
          </w:tcPr>
          <w:p>
            <w:pPr>
              <w:adjustRightInd w:val="0"/>
              <w:snapToGrid w:val="0"/>
              <w:spacing w:line="360" w:lineRule="auto"/>
              <w:ind w:right="105" w:rightChars="5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级别</w:t>
            </w:r>
          </w:p>
        </w:tc>
        <w:tc>
          <w:tcPr>
            <w:tcW w:w="6668" w:type="dxa"/>
            <w:vAlign w:val="center"/>
          </w:tcPr>
          <w:p>
            <w:pPr>
              <w:adjustRightInd w:val="0"/>
              <w:snapToGrid w:val="0"/>
              <w:spacing w:line="360" w:lineRule="auto"/>
              <w:ind w:right="105" w:rightChars="50"/>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2170" w:type="dxa"/>
            <w:vMerge w:val="restart"/>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Ⅰ类：</w:t>
            </w:r>
          </w:p>
          <w:p>
            <w:pPr>
              <w:adjustRightInd w:val="0"/>
              <w:snapToGrid w:val="0"/>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碲及碲合金</w:t>
            </w:r>
          </w:p>
        </w:tc>
        <w:tc>
          <w:tcPr>
            <w:tcW w:w="842" w:type="dxa"/>
            <w:vAlign w:val="center"/>
          </w:tcPr>
          <w:p>
            <w:pPr>
              <w:adjustRightInd w:val="0"/>
              <w:snapToGrid w:val="0"/>
              <w:spacing w:line="360" w:lineRule="auto"/>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一级</w:t>
            </w:r>
          </w:p>
        </w:tc>
        <w:tc>
          <w:tcPr>
            <w:tcW w:w="6668" w:type="dxa"/>
            <w:vAlign w:val="center"/>
          </w:tcPr>
          <w:p>
            <w:pPr>
              <w:adjustRightInd w:val="0"/>
              <w:snapToGrid w:val="0"/>
              <w:spacing w:line="360" w:lineRule="auto"/>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直接利用碲原料：金属碲产品加工中产生的块、屑、粉等。Te≥95.0%；冶金行业产的海绵碲。 30.0%≤Te＜95.0%。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2170" w:type="dxa"/>
            <w:vMerge w:val="continue"/>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p>
        </w:tc>
        <w:tc>
          <w:tcPr>
            <w:tcW w:w="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二级</w:t>
            </w:r>
          </w:p>
        </w:tc>
        <w:tc>
          <w:tcPr>
            <w:tcW w:w="6668" w:type="dxa"/>
            <w:vAlign w:val="center"/>
          </w:tcPr>
          <w:p>
            <w:pPr>
              <w:adjustRightInd w:val="0"/>
              <w:snapToGrid w:val="0"/>
              <w:spacing w:line="360" w:lineRule="auto"/>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二次加工碲原料：电子行业产的制冷片物料等； 30.0%≤Te＜95.0%。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170" w:type="dxa"/>
            <w:vMerge w:val="continue"/>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p>
        </w:tc>
        <w:tc>
          <w:tcPr>
            <w:tcW w:w="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三级</w:t>
            </w:r>
          </w:p>
        </w:tc>
        <w:tc>
          <w:tcPr>
            <w:tcW w:w="6668" w:type="dxa"/>
            <w:vAlign w:val="center"/>
          </w:tcPr>
          <w:p>
            <w:pPr>
              <w:adjustRightInd w:val="0"/>
              <w:snapToGrid w:val="0"/>
              <w:spacing w:line="360" w:lineRule="auto"/>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多次富集碲原料：铅铋铜碲合金等。1.0%≤Te＜30.0%。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170" w:type="dxa"/>
            <w:vMerge w:val="continue"/>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p>
        </w:tc>
        <w:tc>
          <w:tcPr>
            <w:tcW w:w="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四级</w:t>
            </w:r>
          </w:p>
        </w:tc>
        <w:tc>
          <w:tcPr>
            <w:tcW w:w="6668" w:type="dxa"/>
            <w:vAlign w:val="center"/>
          </w:tcPr>
          <w:p>
            <w:pPr>
              <w:adjustRightInd w:val="0"/>
              <w:snapToGrid w:val="0"/>
              <w:spacing w:line="360" w:lineRule="auto"/>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处理处置碲废料：含碲特种钢物料。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2170" w:type="dxa"/>
            <w:vMerge w:val="restart"/>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Ⅱ类：</w:t>
            </w:r>
          </w:p>
          <w:p>
            <w:pPr>
              <w:adjustRightInd w:val="0"/>
              <w:snapToGrid w:val="0"/>
              <w:ind w:right="105" w:rightChars="50"/>
              <w:jc w:val="center"/>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碲</w:t>
            </w:r>
            <w:r>
              <w:rPr>
                <w:rFonts w:hint="eastAsia" w:ascii="宋体" w:hAnsi="宋体" w:cs="Arial"/>
                <w:color w:val="000000" w:themeColor="text1"/>
                <w:szCs w:val="21"/>
                <w14:textFill>
                  <w14:solidFill>
                    <w14:schemeClr w14:val="tx1"/>
                  </w14:solidFill>
                </w14:textFill>
              </w:rPr>
              <w:t>氧化物</w:t>
            </w:r>
          </w:p>
        </w:tc>
        <w:tc>
          <w:tcPr>
            <w:tcW w:w="842" w:type="dxa"/>
            <w:vAlign w:val="center"/>
          </w:tcPr>
          <w:p>
            <w:pPr>
              <w:adjustRightInd w:val="0"/>
              <w:snapToGrid w:val="0"/>
              <w:spacing w:line="360" w:lineRule="auto"/>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一级</w:t>
            </w:r>
          </w:p>
        </w:tc>
        <w:tc>
          <w:tcPr>
            <w:tcW w:w="6668" w:type="dxa"/>
            <w:vAlign w:val="center"/>
          </w:tcPr>
          <w:p>
            <w:pPr>
              <w:adjustRightInd w:val="0"/>
              <w:snapToGrid w:val="0"/>
              <w:spacing w:line="360" w:lineRule="auto"/>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直接利用碲原料：冶金行业产的亚碲酸盐溶液中和沉淀物（二氧化碲）等。40.0%≤Te＜78.0%。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2170" w:type="dxa"/>
            <w:vMerge w:val="continue"/>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p>
        </w:tc>
        <w:tc>
          <w:tcPr>
            <w:tcW w:w="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二级</w:t>
            </w:r>
          </w:p>
        </w:tc>
        <w:tc>
          <w:tcPr>
            <w:tcW w:w="6668" w:type="dxa"/>
            <w:vAlign w:val="center"/>
          </w:tcPr>
          <w:p>
            <w:pPr>
              <w:adjustRightInd w:val="0"/>
              <w:snapToGrid w:val="0"/>
              <w:spacing w:line="360" w:lineRule="auto"/>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二次加工碲原料：碲电积阳极泥（三氧化碲）等。Te≤20.0%。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2170" w:type="dxa"/>
            <w:vMerge w:val="continue"/>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p>
        </w:tc>
        <w:tc>
          <w:tcPr>
            <w:tcW w:w="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三级</w:t>
            </w:r>
          </w:p>
        </w:tc>
        <w:tc>
          <w:tcPr>
            <w:tcW w:w="6668" w:type="dxa"/>
            <w:vAlign w:val="center"/>
          </w:tcPr>
          <w:p>
            <w:pPr>
              <w:adjustRightInd w:val="0"/>
              <w:snapToGrid w:val="0"/>
              <w:spacing w:line="360" w:lineRule="auto"/>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多次富集碲原料：冶金行业产的含碲氧化物酸泥、烟灰等。0.5%≤Te＜30.0%。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2170" w:type="dxa"/>
            <w:vMerge w:val="restart"/>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Ⅲ类：</w:t>
            </w:r>
          </w:p>
          <w:p>
            <w:pPr>
              <w:adjustRightInd w:val="0"/>
              <w:snapToGrid w:val="0"/>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碲化物</w:t>
            </w:r>
          </w:p>
        </w:tc>
        <w:tc>
          <w:tcPr>
            <w:tcW w:w="842" w:type="dxa"/>
            <w:vAlign w:val="center"/>
          </w:tcPr>
          <w:p>
            <w:pPr>
              <w:adjustRightInd w:val="0"/>
              <w:snapToGrid w:val="0"/>
              <w:spacing w:line="360" w:lineRule="auto"/>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一级</w:t>
            </w:r>
          </w:p>
        </w:tc>
        <w:tc>
          <w:tcPr>
            <w:tcW w:w="6668" w:type="dxa"/>
            <w:vAlign w:val="center"/>
          </w:tcPr>
          <w:p>
            <w:pPr>
              <w:adjustRightInd w:val="0"/>
              <w:snapToGrid w:val="0"/>
              <w:spacing w:line="360" w:lineRule="auto"/>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二次加工碲原料：电子行业产的含碲原料，</w:t>
            </w:r>
            <w:r>
              <w:rPr>
                <w:rFonts w:ascii="宋体" w:hAnsi="宋体"/>
                <w:color w:val="000000" w:themeColor="text1"/>
                <w:szCs w:val="21"/>
                <w14:textFill>
                  <w14:solidFill>
                    <w14:schemeClr w14:val="tx1"/>
                  </w14:solidFill>
                </w14:textFill>
              </w:rPr>
              <w:t>薄膜太阳能行业产</w:t>
            </w:r>
            <w:r>
              <w:rPr>
                <w:rFonts w:hint="eastAsia" w:ascii="宋体" w:hAnsi="宋体"/>
                <w:color w:val="000000" w:themeColor="text1"/>
                <w:szCs w:val="21"/>
                <w14:textFill>
                  <w14:solidFill>
                    <w14:schemeClr w14:val="tx1"/>
                  </w14:solidFill>
                </w14:textFill>
              </w:rPr>
              <w:t>的碲</w:t>
            </w:r>
            <w:r>
              <w:rPr>
                <w:rFonts w:ascii="宋体" w:hAnsi="宋体"/>
                <w:color w:val="000000" w:themeColor="text1"/>
                <w:szCs w:val="21"/>
                <w14:textFill>
                  <w14:solidFill>
                    <w14:schemeClr w14:val="tx1"/>
                  </w14:solidFill>
                </w14:textFill>
              </w:rPr>
              <w:t>化镉、碲锌镉等</w:t>
            </w:r>
            <w:r>
              <w:rPr>
                <w:rFonts w:hint="eastAsia" w:ascii="宋体" w:hAnsi="宋体"/>
                <w:color w:val="000000" w:themeColor="text1"/>
                <w:szCs w:val="21"/>
                <w14:textFill>
                  <w14:solidFill>
                    <w14:schemeClr w14:val="tx1"/>
                  </w14:solidFill>
                </w14:textFill>
              </w:rPr>
              <w:t xml:space="preserve">。5.0%≤Te＜55.0%。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2170" w:type="dxa"/>
            <w:vMerge w:val="continue"/>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p>
        </w:tc>
        <w:tc>
          <w:tcPr>
            <w:tcW w:w="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二级</w:t>
            </w:r>
          </w:p>
        </w:tc>
        <w:tc>
          <w:tcPr>
            <w:tcW w:w="6668" w:type="dxa"/>
            <w:vAlign w:val="center"/>
          </w:tcPr>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多次富集碲原料：冶金行业产含碲化物（碲化铅、</w:t>
            </w:r>
            <w:r>
              <w:rPr>
                <w:rFonts w:hint="eastAsia" w:ascii="宋体" w:hAnsi="宋体" w:cs="宋体"/>
                <w:color w:val="000000" w:themeColor="text1"/>
                <w:szCs w:val="21"/>
                <w14:textFill>
                  <w14:solidFill>
                    <w14:schemeClr w14:val="tx1"/>
                  </w14:solidFill>
                </w14:textFill>
              </w:rPr>
              <w:t>碲化</w:t>
            </w:r>
            <w:r>
              <w:rPr>
                <w:rFonts w:hint="eastAsia" w:ascii="宋体" w:hAnsi="宋体"/>
                <w:color w:val="000000" w:themeColor="text1"/>
                <w:szCs w:val="21"/>
                <w14:textFill>
                  <w14:solidFill>
                    <w14:schemeClr w14:val="tx1"/>
                  </w14:solidFill>
                </w14:textFill>
              </w:rPr>
              <w:t>铋、碲化铜等）物料。1%≤Te＜50.0%。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170" w:type="dxa"/>
            <w:vMerge w:val="continue"/>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p>
        </w:tc>
        <w:tc>
          <w:tcPr>
            <w:tcW w:w="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三级</w:t>
            </w:r>
          </w:p>
        </w:tc>
        <w:tc>
          <w:tcPr>
            <w:tcW w:w="6668" w:type="dxa"/>
            <w:vAlign w:val="center"/>
          </w:tcPr>
          <w:p>
            <w:pPr>
              <w:adjustRightInd w:val="0"/>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处理处置碲废料：光电行业含</w:t>
            </w:r>
            <w:r>
              <w:rPr>
                <w:rFonts w:hint="eastAsia" w:ascii="宋体" w:hAnsi="宋体" w:cs="Arial"/>
                <w:snapToGrid w:val="0"/>
                <w:color w:val="000000" w:themeColor="text1"/>
                <w:kern w:val="0"/>
                <w:szCs w:val="21"/>
                <w:shd w:val="clear" w:color="auto" w:fill="FFFFFF"/>
                <w14:textFill>
                  <w14:solidFill>
                    <w14:schemeClr w14:val="tx1"/>
                  </w14:solidFill>
                </w14:textFill>
              </w:rPr>
              <w:t>碲废电池玻璃等。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2170" w:type="dxa"/>
            <w:vMerge w:val="restart"/>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Ⅳ类：</w:t>
            </w:r>
          </w:p>
          <w:p>
            <w:pPr>
              <w:adjustRightInd w:val="0"/>
              <w:snapToGrid w:val="0"/>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含碲的盐类</w:t>
            </w:r>
          </w:p>
        </w:tc>
        <w:tc>
          <w:tcPr>
            <w:tcW w:w="842" w:type="dxa"/>
            <w:vAlign w:val="center"/>
          </w:tcPr>
          <w:p>
            <w:pPr>
              <w:adjustRightInd w:val="0"/>
              <w:snapToGrid w:val="0"/>
              <w:spacing w:line="360" w:lineRule="auto"/>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一级</w:t>
            </w:r>
          </w:p>
        </w:tc>
        <w:tc>
          <w:tcPr>
            <w:tcW w:w="6668" w:type="dxa"/>
            <w:vAlign w:val="center"/>
          </w:tcPr>
          <w:p>
            <w:pPr>
              <w:adjustRightInd w:val="0"/>
              <w:snapToGrid w:val="0"/>
              <w:spacing w:line="360" w:lineRule="auto"/>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二次加工碲原料：</w:t>
            </w:r>
            <w:r>
              <w:rPr>
                <w:rFonts w:hint="eastAsia" w:ascii="宋体" w:hAnsi="宋体" w:cs="Tahoma"/>
                <w:color w:val="000000" w:themeColor="text1"/>
                <w:szCs w:val="21"/>
                <w14:textFill>
                  <w14:solidFill>
                    <w14:schemeClr w14:val="tx1"/>
                  </w14:solidFill>
                </w14:textFill>
              </w:rPr>
              <w:t>冶金行业产的含</w:t>
            </w:r>
            <w:r>
              <w:rPr>
                <w:rFonts w:ascii="宋体" w:hAnsi="宋体" w:cs="Tahoma"/>
                <w:color w:val="000000" w:themeColor="text1"/>
                <w:szCs w:val="21"/>
                <w14:textFill>
                  <w14:solidFill>
                    <w14:schemeClr w14:val="tx1"/>
                  </w14:solidFill>
                </w14:textFill>
              </w:rPr>
              <w:t>碲</w:t>
            </w:r>
            <w:r>
              <w:rPr>
                <w:rFonts w:hint="eastAsia" w:ascii="宋体" w:hAnsi="宋体" w:cs="Tahoma"/>
                <w:color w:val="000000" w:themeColor="text1"/>
                <w:szCs w:val="21"/>
                <w14:textFill>
                  <w14:solidFill>
                    <w14:schemeClr w14:val="tx1"/>
                  </w14:solidFill>
                </w14:textFill>
              </w:rPr>
              <w:t>酸盐</w:t>
            </w:r>
            <w:r>
              <w:rPr>
                <w:rFonts w:hint="eastAsia" w:ascii="宋体" w:hAnsi="宋体"/>
                <w:color w:val="000000" w:themeColor="text1"/>
                <w:szCs w:val="21"/>
                <w14:textFill>
                  <w14:solidFill>
                    <w14:schemeClr w14:val="tx1"/>
                  </w14:solidFill>
                </w14:textFill>
              </w:rPr>
              <w:t>碱渣（亚碲酸钠）等。2.0%≤Te＜40.0%。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2170" w:type="dxa"/>
            <w:vMerge w:val="continue"/>
            <w:vAlign w:val="center"/>
          </w:tcPr>
          <w:p>
            <w:pPr>
              <w:adjustRightInd w:val="0"/>
              <w:snapToGrid w:val="0"/>
              <w:ind w:right="105" w:rightChars="50"/>
              <w:jc w:val="center"/>
              <w:rPr>
                <w:rFonts w:ascii="宋体" w:hAnsi="宋体"/>
                <w:color w:val="000000" w:themeColor="text1"/>
                <w:szCs w:val="21"/>
                <w14:textFill>
                  <w14:solidFill>
                    <w14:schemeClr w14:val="tx1"/>
                  </w14:solidFill>
                </w14:textFill>
              </w:rPr>
            </w:pPr>
          </w:p>
        </w:tc>
        <w:tc>
          <w:tcPr>
            <w:tcW w:w="84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二级</w:t>
            </w:r>
          </w:p>
        </w:tc>
        <w:tc>
          <w:tcPr>
            <w:tcW w:w="6668" w:type="dxa"/>
            <w:vAlign w:val="center"/>
          </w:tcPr>
          <w:p>
            <w:pPr>
              <w:adjustRightInd w:val="0"/>
              <w:snapToGrid w:val="0"/>
              <w:spacing w:line="360" w:lineRule="auto"/>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多次富集碲原料：含碲</w:t>
            </w:r>
            <w:r>
              <w:rPr>
                <w:rFonts w:hint="eastAsia" w:ascii="宋体" w:hAnsi="宋体" w:cs="Tahoma"/>
                <w:color w:val="000000" w:themeColor="text1"/>
                <w:szCs w:val="21"/>
                <w14:textFill>
                  <w14:solidFill>
                    <w14:schemeClr w14:val="tx1"/>
                  </w14:solidFill>
                </w14:textFill>
              </w:rPr>
              <w:t>酸盐</w:t>
            </w:r>
            <w:r>
              <w:rPr>
                <w:rFonts w:hint="eastAsia" w:ascii="宋体" w:hAnsi="宋体"/>
                <w:color w:val="000000" w:themeColor="text1"/>
                <w:szCs w:val="21"/>
                <w14:textFill>
                  <w14:solidFill>
                    <w14:schemeClr w14:val="tx1"/>
                  </w14:solidFill>
                </w14:textFill>
              </w:rPr>
              <w:t>碱性</w:t>
            </w:r>
            <w:r>
              <w:rPr>
                <w:rFonts w:hint="eastAsia" w:ascii="宋体" w:hAnsi="宋体" w:cs="Tahoma"/>
                <w:color w:val="000000" w:themeColor="text1"/>
                <w:szCs w:val="21"/>
                <w14:textFill>
                  <w14:solidFill>
                    <w14:schemeClr w14:val="tx1"/>
                  </w14:solidFill>
                </w14:textFill>
              </w:rPr>
              <w:t>环保泥、碱性污</w:t>
            </w:r>
            <w:r>
              <w:rPr>
                <w:rFonts w:ascii="宋体" w:hAnsi="宋体" w:cs="Tahoma"/>
                <w:color w:val="000000" w:themeColor="text1"/>
                <w:szCs w:val="21"/>
                <w14:textFill>
                  <w14:solidFill>
                    <w14:schemeClr w14:val="tx1"/>
                  </w14:solidFill>
                </w14:textFill>
              </w:rPr>
              <w:t>泥</w:t>
            </w:r>
            <w:r>
              <w:rPr>
                <w:rFonts w:hint="eastAsia" w:ascii="宋体" w:hAnsi="宋体" w:cs="Tahoma"/>
                <w:color w:val="000000" w:themeColor="text1"/>
                <w:szCs w:val="21"/>
                <w14:textFill>
                  <w14:solidFill>
                    <w14:schemeClr w14:val="tx1"/>
                  </w14:solidFill>
                </w14:textFill>
              </w:rPr>
              <w:t>及碱性废水等。</w:t>
            </w:r>
            <w:r>
              <w:rPr>
                <w:rFonts w:hint="eastAsia" w:ascii="宋体" w:hAnsi="宋体"/>
                <w:color w:val="000000" w:themeColor="text1"/>
                <w:szCs w:val="21"/>
                <w14:textFill>
                  <w14:solidFill>
                    <w14:schemeClr w14:val="tx1"/>
                  </w14:solidFill>
                </w14:textFill>
              </w:rPr>
              <w:t>0.5%≤Te＜25.0%。</w:t>
            </w:r>
          </w:p>
        </w:tc>
      </w:tr>
    </w:tbl>
    <w:p>
      <w:pPr>
        <w:pStyle w:val="85"/>
        <w:spacing w:before="312" w:after="312" w:line="360" w:lineRule="auto"/>
        <w:rPr>
          <w:color w:val="000000" w:themeColor="text1"/>
          <w:szCs w:val="21"/>
          <w14:textFill>
            <w14:solidFill>
              <w14:schemeClr w14:val="tx1"/>
            </w14:solidFill>
          </w14:textFill>
        </w:rPr>
      </w:pPr>
      <w:bookmarkStart w:id="16" w:name="_Toc409252951"/>
      <w:r>
        <w:rPr>
          <w:rFonts w:hint="eastAsia"/>
          <w:color w:val="000000" w:themeColor="text1"/>
          <w:szCs w:val="21"/>
          <w14:textFill>
            <w14:solidFill>
              <w14:schemeClr w14:val="tx1"/>
            </w14:solidFill>
          </w14:textFill>
        </w:rPr>
        <w:t>要求</w:t>
      </w:r>
      <w:bookmarkEnd w:id="16"/>
    </w:p>
    <w:p>
      <w:pPr>
        <w:pStyle w:val="62"/>
        <w:spacing w:before="156" w:after="156"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表1中未列出的其他碲原料，可归入相近的类别中。</w:t>
      </w:r>
    </w:p>
    <w:p>
      <w:pPr>
        <w:pStyle w:val="62"/>
        <w:spacing w:before="156" w:after="156"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块状碲原料最大外形尺寸不作具体规定，但在不妨碍运输的情况下，由供需双方协商确定，并在合同中注明。</w:t>
      </w:r>
    </w:p>
    <w:p>
      <w:pPr>
        <w:pStyle w:val="85"/>
        <w:spacing w:before="312" w:after="312" w:line="360" w:lineRule="auto"/>
        <w:rPr>
          <w:color w:val="000000" w:themeColor="text1"/>
          <w:szCs w:val="21"/>
          <w14:textFill>
            <w14:solidFill>
              <w14:schemeClr w14:val="tx1"/>
            </w14:solidFill>
          </w14:textFill>
        </w:rPr>
      </w:pPr>
      <w:bookmarkStart w:id="17" w:name="_Toc409252952"/>
      <w:r>
        <w:rPr>
          <w:rFonts w:hint="eastAsia"/>
          <w:color w:val="000000" w:themeColor="text1"/>
          <w:szCs w:val="21"/>
          <w14:textFill>
            <w14:solidFill>
              <w14:schemeClr w14:val="tx1"/>
            </w14:solidFill>
          </w14:textFill>
        </w:rPr>
        <w:t>试验方法</w:t>
      </w:r>
      <w:bookmarkEnd w:id="17"/>
    </w:p>
    <w:p>
      <w:pPr>
        <w:pStyle w:val="62"/>
        <w:spacing w:before="156" w:after="156"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碲原料的形状与洁净程度可通过目视检验。</w:t>
      </w:r>
    </w:p>
    <w:p>
      <w:pPr>
        <w:pStyle w:val="62"/>
        <w:spacing w:before="156" w:after="156" w:line="360" w:lineRule="auto"/>
        <w:rPr>
          <w:rFonts w:ascii="lucida Grande" w:hAnsi="lucida Grande" w:eastAsia="宋体" w:cs="宋体"/>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碲原料的化学成分分析由供需双方协商确定，并在合同中注明。</w:t>
      </w:r>
    </w:p>
    <w:p>
      <w:pPr>
        <w:pStyle w:val="62"/>
        <w:spacing w:before="156" w:after="156"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碲原料中杂质的扣除方法、碲原料外形尺寸及单块重量的测量方法等未规定的试验方法由供需双方协商确定。</w:t>
      </w:r>
    </w:p>
    <w:p>
      <w:pPr>
        <w:pStyle w:val="85"/>
        <w:spacing w:before="312" w:after="312" w:line="360" w:lineRule="auto"/>
        <w:rPr>
          <w:color w:val="000000" w:themeColor="text1"/>
          <w:szCs w:val="21"/>
          <w14:textFill>
            <w14:solidFill>
              <w14:schemeClr w14:val="tx1"/>
            </w14:solidFill>
          </w14:textFill>
        </w:rPr>
      </w:pPr>
      <w:bookmarkStart w:id="18" w:name="_Toc409252953"/>
      <w:r>
        <w:rPr>
          <w:rFonts w:hint="eastAsia"/>
          <w:color w:val="000000" w:themeColor="text1"/>
          <w:szCs w:val="21"/>
          <w14:textFill>
            <w14:solidFill>
              <w14:schemeClr w14:val="tx1"/>
            </w14:solidFill>
          </w14:textFill>
        </w:rPr>
        <w:t>检验规则</w:t>
      </w:r>
      <w:bookmarkEnd w:id="18"/>
    </w:p>
    <w:p>
      <w:pPr>
        <w:pStyle w:val="62"/>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检查和验收</w:t>
      </w:r>
    </w:p>
    <w:p>
      <w:pPr>
        <w:pStyle w:val="61"/>
        <w:spacing w:before="156" w:after="156"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碲原料宜供方质量检验部门进行检验，也可委托其他检验部门进行检验，保证其质量符合本标准及合同（或订货单）的规定。</w:t>
      </w:r>
    </w:p>
    <w:p>
      <w:pPr>
        <w:pStyle w:val="61"/>
        <w:spacing w:before="156" w:after="156"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需方对收到的碲原料按本标准及订货单（或合同）的规定进行检验，如果检验结果与本标准或订货单（或合同）规定不符时，应单独封存，并在收到之日起30天内向供方提出，由供需双方协商解决。</w:t>
      </w:r>
    </w:p>
    <w:p>
      <w:pPr>
        <w:pStyle w:val="62"/>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组批</w:t>
      </w:r>
    </w:p>
    <w:p>
      <w:pPr>
        <w:pStyle w:val="61"/>
        <w:numPr>
          <w:ilvl w:val="0"/>
          <w:numId w:val="0"/>
        </w:numPr>
        <w:spacing w:before="156" w:after="156" w:line="360"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碲原料应成批提交检验，每批应由同一类别、组别、级别的物料组成，批重不限。</w:t>
      </w:r>
    </w:p>
    <w:p>
      <w:pPr>
        <w:pStyle w:val="62"/>
        <w:spacing w:before="156" w:after="156" w:line="360" w:lineRule="auto"/>
        <w:rPr>
          <w:rFonts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取样</w:t>
      </w:r>
    </w:p>
    <w:p>
      <w:pPr>
        <w:spacing w:line="360" w:lineRule="auto"/>
        <w:ind w:firstLine="420" w:firstLineChars="200"/>
        <w:rPr>
          <w:rFonts w:ascii="宋体" w:hAnsi="宋体" w:cs="宋体"/>
          <w:color w:val="000000" w:themeColor="text1"/>
          <w:szCs w:val="21"/>
          <w14:textFill>
            <w14:solidFill>
              <w14:schemeClr w14:val="tx1"/>
            </w14:solidFill>
          </w14:textFill>
        </w:rPr>
      </w:pPr>
      <w:bookmarkStart w:id="19" w:name="_Toc409252954"/>
      <w:r>
        <w:rPr>
          <w:rFonts w:hint="eastAsia" w:ascii="宋体" w:hAnsi="宋体" w:cs="宋体"/>
          <w:color w:val="000000" w:themeColor="text1"/>
          <w:szCs w:val="21"/>
          <w14:textFill>
            <w14:solidFill>
              <w14:schemeClr w14:val="tx1"/>
            </w14:solidFill>
          </w14:textFill>
        </w:rPr>
        <w:t>根据含碲原料的性质、状态可分为固体物料、液态物料两种。</w:t>
      </w:r>
      <w:r>
        <w:rPr>
          <w:rFonts w:hint="eastAsia"/>
          <w:color w:val="000000" w:themeColor="text1"/>
          <w:szCs w:val="21"/>
          <w14:textFill>
            <w14:solidFill>
              <w14:schemeClr w14:val="tx1"/>
            </w14:solidFill>
          </w14:textFill>
        </w:rPr>
        <w:t>取样由供需双方协商确定，并在合同中注明。</w:t>
      </w:r>
    </w:p>
    <w:p>
      <w:pPr>
        <w:pStyle w:val="85"/>
        <w:spacing w:before="312" w:after="312"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标志、包装、运输、贮存及质量证明书</w:t>
      </w:r>
      <w:bookmarkEnd w:id="19"/>
    </w:p>
    <w:p>
      <w:pPr>
        <w:pStyle w:val="62"/>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标志</w:t>
      </w:r>
    </w:p>
    <w:p>
      <w:pPr>
        <w:pStyle w:val="23"/>
        <w:spacing w:line="360" w:lineRule="auto"/>
        <w:ind w:firstLine="199" w:firstLineChars="9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每批碲原料均要附有标签，其上注明：</w:t>
      </w:r>
    </w:p>
    <w:p>
      <w:pPr>
        <w:pStyle w:val="12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供方名称；</w:t>
      </w:r>
    </w:p>
    <w:p>
      <w:pPr>
        <w:pStyle w:val="12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碲原料名称；</w:t>
      </w:r>
    </w:p>
    <w:p>
      <w:pPr>
        <w:pStyle w:val="120"/>
        <w:numPr>
          <w:ilvl w:val="0"/>
          <w:numId w:val="18"/>
        </w:num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碲原料类别、组别、级别；</w:t>
      </w:r>
    </w:p>
    <w:p>
      <w:pPr>
        <w:pStyle w:val="12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批号；</w:t>
      </w:r>
    </w:p>
    <w:p>
      <w:pPr>
        <w:pStyle w:val="12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批重；</w:t>
      </w:r>
    </w:p>
    <w:p>
      <w:pPr>
        <w:pStyle w:val="12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本标准编号；</w:t>
      </w:r>
    </w:p>
    <w:p>
      <w:pPr>
        <w:pStyle w:val="62"/>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包装</w:t>
      </w:r>
    </w:p>
    <w:p>
      <w:pPr>
        <w:pStyle w:val="61"/>
        <w:spacing w:before="156" w:after="156"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经供需双方确定，碲原料可以打包或压块方式供货，碲及碲合金屑、碲渣均应包装后交货。</w:t>
      </w:r>
    </w:p>
    <w:p>
      <w:pPr>
        <w:pStyle w:val="61"/>
        <w:spacing w:before="156" w:after="156"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废液必须有良好的包装，防止废液的泄露。</w:t>
      </w:r>
    </w:p>
    <w:p>
      <w:pPr>
        <w:pStyle w:val="61"/>
        <w:spacing w:before="156" w:after="156"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包装方式、尺寸与重量由供需双方协商确定，并在合同中注明。</w:t>
      </w:r>
    </w:p>
    <w:p>
      <w:pPr>
        <w:pStyle w:val="62"/>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运输和贮存</w:t>
      </w:r>
    </w:p>
    <w:p>
      <w:pPr>
        <w:pStyle w:val="61"/>
        <w:spacing w:before="156" w:after="156"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不同类别的碲原料在运输过程中不应混装。</w:t>
      </w:r>
    </w:p>
    <w:p>
      <w:pPr>
        <w:pStyle w:val="61"/>
        <w:spacing w:before="156" w:after="156"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碲原料在运输、装卸、堆放过程中，严禁混入爆炸物、易燃物、垃圾，也不得用以上物品污染的装卸工具装运，有特需要求时，应有防雨、防雪、防火设施。</w:t>
      </w:r>
    </w:p>
    <w:p>
      <w:pPr>
        <w:pStyle w:val="23"/>
        <w:ind w:firstLine="0" w:firstLineChars="0"/>
        <w:rPr>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8</w:t>
      </w:r>
      <w:r>
        <w:rPr>
          <w:rFonts w:hint="eastAsia" w:hAnsi="宋体"/>
          <w:color w:val="000000" w:themeColor="text1"/>
          <w:szCs w:val="21"/>
          <w14:textFill>
            <w14:solidFill>
              <w14:schemeClr w14:val="tx1"/>
            </w14:solidFill>
          </w14:textFill>
        </w:rPr>
        <w:t>.3.3  如涉及到一般固体废物和危险废物可参照GB 18599、GB 18597标准。</w:t>
      </w:r>
    </w:p>
    <w:p>
      <w:pPr>
        <w:pStyle w:val="62"/>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质量证明书</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每批碲原料在交货时，必须附有质量证明书，</w:t>
      </w:r>
      <w:r>
        <w:rPr>
          <w:rFonts w:hint="eastAsia"/>
          <w:color w:val="000000" w:themeColor="text1"/>
          <w:szCs w:val="21"/>
          <w14:textFill>
            <w14:solidFill>
              <w14:schemeClr w14:val="tx1"/>
            </w14:solidFill>
          </w14:textFill>
        </w:rPr>
        <w:t>其上注明</w:t>
      </w:r>
      <w:r>
        <w:rPr>
          <w:rFonts w:hint="eastAsia" w:ascii="宋体" w:hAnsi="宋体"/>
          <w:color w:val="000000" w:themeColor="text1"/>
          <w:szCs w:val="21"/>
          <w14:textFill>
            <w14:solidFill>
              <w14:schemeClr w14:val="tx1"/>
            </w14:solidFill>
          </w14:textFill>
        </w:rPr>
        <w:t>：</w:t>
      </w:r>
    </w:p>
    <w:p>
      <w:pPr>
        <w:pStyle w:val="120"/>
        <w:numPr>
          <w:ilvl w:val="0"/>
          <w:numId w:val="19"/>
        </w:num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供方名称；</w:t>
      </w:r>
    </w:p>
    <w:p>
      <w:pPr>
        <w:pStyle w:val="12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碲原料名称、类别、级别；</w:t>
      </w:r>
    </w:p>
    <w:p>
      <w:pPr>
        <w:pStyle w:val="12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批号及批重；</w:t>
      </w:r>
    </w:p>
    <w:p>
      <w:pPr>
        <w:pStyle w:val="12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检验结果；</w:t>
      </w:r>
    </w:p>
    <w:p>
      <w:pPr>
        <w:pStyle w:val="12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发货日期；</w:t>
      </w:r>
    </w:p>
    <w:p>
      <w:pPr>
        <w:pStyle w:val="12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质量检验部门印记；</w:t>
      </w:r>
    </w:p>
    <w:p>
      <w:pPr>
        <w:pStyle w:val="12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本标准编号；</w:t>
      </w:r>
    </w:p>
    <w:p>
      <w:pPr>
        <w:pStyle w:val="103"/>
        <w:jc w:val="both"/>
        <w:rPr>
          <w:color w:val="000000" w:themeColor="text1"/>
          <w14:textFill>
            <w14:solidFill>
              <w14:schemeClr w14:val="tx1"/>
            </w14:solidFill>
          </w14:textFill>
        </w:rPr>
      </w:pPr>
    </w:p>
    <w:sectPr>
      <w:headerReference r:id="rId6" w:type="default"/>
      <w:footerReference r:id="rId7" w:type="default"/>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lucida Grand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52" o:spid="_x0000_s2052"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pPr>
    <w:r>
      <w:pict>
        <v:shape id="_x0000_s2051" o:spid="_x0000_s2051"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103"/>
                </w:pPr>
                <w:r>
                  <w:fldChar w:fldCharType="begin"/>
                </w:r>
                <w:r>
                  <w:instrText xml:space="preserve"> PAGE  \* MERGEFORMAT </w:instrText>
                </w:r>
                <w:r>
                  <w:fldChar w:fldCharType="separate"/>
                </w:r>
                <w:r>
                  <w:t>II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rPr>
        <w:rStyle w:val="36"/>
      </w:rPr>
    </w:pPr>
    <w:r>
      <w:pict>
        <v:shape id="_x0000_s2049" o:spid="_x0000_s2049"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path/>
          <v:fill on="f" focussize="0,0"/>
          <v:stroke on="f" weight="0.5pt"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pPr>
    <w:r>
      <w:t>GB/T XXXXX—</w:t>
    </w:r>
    <w:r>
      <w:rPr>
        <w:rFonts w:hint="eastAsia"/>
      </w:rPr>
      <w:t>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pPr>
    <w:r>
      <w:t>GB/T XXXXX—</w:t>
    </w:r>
    <w:r>
      <w:rPr>
        <w:rFonts w:hint="eastAsia"/>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2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3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8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1"/>
      <w:suff w:val="nothing"/>
      <w:lvlText w:val="%1.%2.%3　"/>
      <w:lvlJc w:val="left"/>
      <w:pPr>
        <w:ind w:left="1134"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1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15"/>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2"/>
      <w:suff w:val="nothing"/>
      <w:lvlText w:val="%1——"/>
      <w:lvlJc w:val="left"/>
      <w:pPr>
        <w:ind w:left="833" w:hanging="408"/>
      </w:pPr>
      <w:rPr>
        <w:rFonts w:hint="eastAsia"/>
      </w:rPr>
    </w:lvl>
    <w:lvl w:ilvl="1" w:tentative="0">
      <w:start w:val="1"/>
      <w:numFmt w:val="bullet"/>
      <w:pStyle w:val="105"/>
      <w:lvlText w:val=""/>
      <w:lvlJc w:val="left"/>
      <w:pPr>
        <w:tabs>
          <w:tab w:val="left" w:pos="760"/>
        </w:tabs>
        <w:ind w:left="1264" w:hanging="413"/>
      </w:pPr>
      <w:rPr>
        <w:rFonts w:hint="default" w:ascii="Symbol" w:hAnsi="Symbol"/>
        <w:color w:val="auto"/>
      </w:rPr>
    </w:lvl>
    <w:lvl w:ilvl="2" w:tentative="0">
      <w:start w:val="1"/>
      <w:numFmt w:val="bullet"/>
      <w:pStyle w:val="8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2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2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0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8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7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8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78"/>
      <w:lvlText w:val="%1)"/>
      <w:lvlJc w:val="left"/>
      <w:pPr>
        <w:tabs>
          <w:tab w:val="left" w:pos="839"/>
        </w:tabs>
        <w:ind w:left="839" w:hanging="419"/>
      </w:pPr>
      <w:rPr>
        <w:rFonts w:hint="eastAsia" w:ascii="宋体" w:eastAsia="宋体"/>
        <w:b w:val="0"/>
        <w:i w:val="0"/>
        <w:sz w:val="21"/>
      </w:rPr>
    </w:lvl>
    <w:lvl w:ilvl="1" w:tentative="0">
      <w:start w:val="1"/>
      <w:numFmt w:val="decimal"/>
      <w:pStyle w:val="13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4"/>
  </w:num>
  <w:num w:numId="3">
    <w:abstractNumId w:val="16"/>
  </w:num>
  <w:num w:numId="4">
    <w:abstractNumId w:val="5"/>
  </w:num>
  <w:num w:numId="5">
    <w:abstractNumId w:val="11"/>
  </w:num>
  <w:num w:numId="6">
    <w:abstractNumId w:val="12"/>
  </w:num>
  <w:num w:numId="7">
    <w:abstractNumId w:val="15"/>
  </w:num>
  <w:num w:numId="8">
    <w:abstractNumId w:val="13"/>
  </w:num>
  <w:num w:numId="9">
    <w:abstractNumId w:val="10"/>
  </w:num>
  <w:num w:numId="10">
    <w:abstractNumId w:val="7"/>
  </w:num>
  <w:num w:numId="11">
    <w:abstractNumId w:val="6"/>
  </w:num>
  <w:num w:numId="12">
    <w:abstractNumId w:val="9"/>
  </w:num>
  <w:num w:numId="13">
    <w:abstractNumId w:val="3"/>
  </w:num>
  <w:num w:numId="14">
    <w:abstractNumId w:val="1"/>
  </w:num>
  <w:num w:numId="15">
    <w:abstractNumId w:val="0"/>
  </w:num>
  <w:num w:numId="16">
    <w:abstractNumId w:val="2"/>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E4E6580"/>
    <w:rsid w:val="00000244"/>
    <w:rsid w:val="0000185F"/>
    <w:rsid w:val="0000586F"/>
    <w:rsid w:val="00013D86"/>
    <w:rsid w:val="00013E02"/>
    <w:rsid w:val="00014FAE"/>
    <w:rsid w:val="0002143C"/>
    <w:rsid w:val="00021C1A"/>
    <w:rsid w:val="000258FC"/>
    <w:rsid w:val="00025A65"/>
    <w:rsid w:val="00026C31"/>
    <w:rsid w:val="00027280"/>
    <w:rsid w:val="000308FB"/>
    <w:rsid w:val="000320A7"/>
    <w:rsid w:val="00034709"/>
    <w:rsid w:val="000347A2"/>
    <w:rsid w:val="00035925"/>
    <w:rsid w:val="00054B0A"/>
    <w:rsid w:val="00054CE0"/>
    <w:rsid w:val="00063AD4"/>
    <w:rsid w:val="00066F4A"/>
    <w:rsid w:val="00067CDF"/>
    <w:rsid w:val="00074FBE"/>
    <w:rsid w:val="000820D6"/>
    <w:rsid w:val="00083A09"/>
    <w:rsid w:val="0009005E"/>
    <w:rsid w:val="00091AD0"/>
    <w:rsid w:val="00092857"/>
    <w:rsid w:val="00097A44"/>
    <w:rsid w:val="000A20A9"/>
    <w:rsid w:val="000A48B1"/>
    <w:rsid w:val="000B3071"/>
    <w:rsid w:val="000B3143"/>
    <w:rsid w:val="000B58B1"/>
    <w:rsid w:val="000B688C"/>
    <w:rsid w:val="000C6B05"/>
    <w:rsid w:val="000C6DD6"/>
    <w:rsid w:val="000C73D4"/>
    <w:rsid w:val="000D2795"/>
    <w:rsid w:val="000D3D4C"/>
    <w:rsid w:val="000D4F51"/>
    <w:rsid w:val="000D5CC3"/>
    <w:rsid w:val="000D718B"/>
    <w:rsid w:val="000E0C46"/>
    <w:rsid w:val="000F030C"/>
    <w:rsid w:val="000F129C"/>
    <w:rsid w:val="000F1DCC"/>
    <w:rsid w:val="000F5751"/>
    <w:rsid w:val="000F6444"/>
    <w:rsid w:val="001056DE"/>
    <w:rsid w:val="001118DA"/>
    <w:rsid w:val="001124C0"/>
    <w:rsid w:val="0012445B"/>
    <w:rsid w:val="00125788"/>
    <w:rsid w:val="0013175F"/>
    <w:rsid w:val="00136DCB"/>
    <w:rsid w:val="0014011B"/>
    <w:rsid w:val="00140B56"/>
    <w:rsid w:val="001512B4"/>
    <w:rsid w:val="001620A5"/>
    <w:rsid w:val="00164E53"/>
    <w:rsid w:val="0016699D"/>
    <w:rsid w:val="001673D4"/>
    <w:rsid w:val="0017089F"/>
    <w:rsid w:val="00175159"/>
    <w:rsid w:val="00176208"/>
    <w:rsid w:val="00176DB2"/>
    <w:rsid w:val="0018211B"/>
    <w:rsid w:val="001840D3"/>
    <w:rsid w:val="001900F8"/>
    <w:rsid w:val="00190C93"/>
    <w:rsid w:val="00191258"/>
    <w:rsid w:val="00192680"/>
    <w:rsid w:val="00193037"/>
    <w:rsid w:val="00193A2C"/>
    <w:rsid w:val="001A288E"/>
    <w:rsid w:val="001B56FA"/>
    <w:rsid w:val="001B6DC2"/>
    <w:rsid w:val="001C149C"/>
    <w:rsid w:val="001C21AC"/>
    <w:rsid w:val="001C47BA"/>
    <w:rsid w:val="001C59EA"/>
    <w:rsid w:val="001D406C"/>
    <w:rsid w:val="001D41EE"/>
    <w:rsid w:val="001D7E17"/>
    <w:rsid w:val="001E0380"/>
    <w:rsid w:val="001E13B1"/>
    <w:rsid w:val="001E3866"/>
    <w:rsid w:val="001E7C66"/>
    <w:rsid w:val="001F3A19"/>
    <w:rsid w:val="001F46B9"/>
    <w:rsid w:val="002006F3"/>
    <w:rsid w:val="002118B1"/>
    <w:rsid w:val="00215C43"/>
    <w:rsid w:val="00215ED2"/>
    <w:rsid w:val="0022412C"/>
    <w:rsid w:val="002247B2"/>
    <w:rsid w:val="002247E8"/>
    <w:rsid w:val="00234467"/>
    <w:rsid w:val="00237D8D"/>
    <w:rsid w:val="00241DA2"/>
    <w:rsid w:val="00243F30"/>
    <w:rsid w:val="00247FEE"/>
    <w:rsid w:val="00250E7D"/>
    <w:rsid w:val="002555FE"/>
    <w:rsid w:val="002563B6"/>
    <w:rsid w:val="002565D5"/>
    <w:rsid w:val="00256D24"/>
    <w:rsid w:val="002622C0"/>
    <w:rsid w:val="00267F1C"/>
    <w:rsid w:val="00273D41"/>
    <w:rsid w:val="00277892"/>
    <w:rsid w:val="002778AE"/>
    <w:rsid w:val="002808D0"/>
    <w:rsid w:val="0028269A"/>
    <w:rsid w:val="00283590"/>
    <w:rsid w:val="002841DC"/>
    <w:rsid w:val="00286973"/>
    <w:rsid w:val="00294E70"/>
    <w:rsid w:val="002A1924"/>
    <w:rsid w:val="002A536C"/>
    <w:rsid w:val="002A60BF"/>
    <w:rsid w:val="002A6A81"/>
    <w:rsid w:val="002A7420"/>
    <w:rsid w:val="002B0F12"/>
    <w:rsid w:val="002B1308"/>
    <w:rsid w:val="002B29BB"/>
    <w:rsid w:val="002B4554"/>
    <w:rsid w:val="002B73E5"/>
    <w:rsid w:val="002C72D8"/>
    <w:rsid w:val="002D11FA"/>
    <w:rsid w:val="002E0DDF"/>
    <w:rsid w:val="002E2906"/>
    <w:rsid w:val="002E2C37"/>
    <w:rsid w:val="002E3062"/>
    <w:rsid w:val="002E5635"/>
    <w:rsid w:val="002E64C3"/>
    <w:rsid w:val="002E6A2C"/>
    <w:rsid w:val="002F1D8C"/>
    <w:rsid w:val="002F21DA"/>
    <w:rsid w:val="00301F39"/>
    <w:rsid w:val="003066A6"/>
    <w:rsid w:val="00320EE5"/>
    <w:rsid w:val="0032158E"/>
    <w:rsid w:val="00325926"/>
    <w:rsid w:val="00327A8A"/>
    <w:rsid w:val="00331052"/>
    <w:rsid w:val="00336610"/>
    <w:rsid w:val="0034129A"/>
    <w:rsid w:val="00343F73"/>
    <w:rsid w:val="00345060"/>
    <w:rsid w:val="00346F4E"/>
    <w:rsid w:val="0035323B"/>
    <w:rsid w:val="00355623"/>
    <w:rsid w:val="003609D2"/>
    <w:rsid w:val="00363F22"/>
    <w:rsid w:val="00365CFE"/>
    <w:rsid w:val="00366447"/>
    <w:rsid w:val="00375564"/>
    <w:rsid w:val="00383191"/>
    <w:rsid w:val="00385D6D"/>
    <w:rsid w:val="00386DED"/>
    <w:rsid w:val="003912E7"/>
    <w:rsid w:val="00393947"/>
    <w:rsid w:val="003A2275"/>
    <w:rsid w:val="003A6A4F"/>
    <w:rsid w:val="003A7088"/>
    <w:rsid w:val="003B00DF"/>
    <w:rsid w:val="003B1275"/>
    <w:rsid w:val="003B1778"/>
    <w:rsid w:val="003B3883"/>
    <w:rsid w:val="003C11CB"/>
    <w:rsid w:val="003C75F3"/>
    <w:rsid w:val="003C78A3"/>
    <w:rsid w:val="003D4715"/>
    <w:rsid w:val="003E07FB"/>
    <w:rsid w:val="003E1867"/>
    <w:rsid w:val="003E5729"/>
    <w:rsid w:val="003F4EE0"/>
    <w:rsid w:val="003F7E2F"/>
    <w:rsid w:val="00402153"/>
    <w:rsid w:val="00402F44"/>
    <w:rsid w:val="00402FC1"/>
    <w:rsid w:val="00422EE9"/>
    <w:rsid w:val="00425082"/>
    <w:rsid w:val="00431DEB"/>
    <w:rsid w:val="0044547E"/>
    <w:rsid w:val="00446B29"/>
    <w:rsid w:val="00453F9A"/>
    <w:rsid w:val="00470BCD"/>
    <w:rsid w:val="00471E91"/>
    <w:rsid w:val="00474675"/>
    <w:rsid w:val="0047470C"/>
    <w:rsid w:val="004963C5"/>
    <w:rsid w:val="004A35F9"/>
    <w:rsid w:val="004B24C1"/>
    <w:rsid w:val="004C0527"/>
    <w:rsid w:val="004C292F"/>
    <w:rsid w:val="004D2F6A"/>
    <w:rsid w:val="004D4E4E"/>
    <w:rsid w:val="00500497"/>
    <w:rsid w:val="00500EB8"/>
    <w:rsid w:val="005034D5"/>
    <w:rsid w:val="00507047"/>
    <w:rsid w:val="00507230"/>
    <w:rsid w:val="00510280"/>
    <w:rsid w:val="00513D73"/>
    <w:rsid w:val="00514A43"/>
    <w:rsid w:val="005174E5"/>
    <w:rsid w:val="00522393"/>
    <w:rsid w:val="00522620"/>
    <w:rsid w:val="005251B2"/>
    <w:rsid w:val="00525656"/>
    <w:rsid w:val="005317B7"/>
    <w:rsid w:val="00534C02"/>
    <w:rsid w:val="0054264B"/>
    <w:rsid w:val="00543786"/>
    <w:rsid w:val="00544778"/>
    <w:rsid w:val="0054672B"/>
    <w:rsid w:val="005533D7"/>
    <w:rsid w:val="005678BF"/>
    <w:rsid w:val="005703DE"/>
    <w:rsid w:val="00575E96"/>
    <w:rsid w:val="0058464E"/>
    <w:rsid w:val="00596B01"/>
    <w:rsid w:val="005A01CB"/>
    <w:rsid w:val="005A58FF"/>
    <w:rsid w:val="005A5EAF"/>
    <w:rsid w:val="005A64C0"/>
    <w:rsid w:val="005B0A88"/>
    <w:rsid w:val="005B3433"/>
    <w:rsid w:val="005B3C11"/>
    <w:rsid w:val="005C02CF"/>
    <w:rsid w:val="005C18FE"/>
    <w:rsid w:val="005C1C28"/>
    <w:rsid w:val="005C6DB5"/>
    <w:rsid w:val="005E19E7"/>
    <w:rsid w:val="005F09FC"/>
    <w:rsid w:val="005F3A7C"/>
    <w:rsid w:val="005F525E"/>
    <w:rsid w:val="005F5F08"/>
    <w:rsid w:val="005F64A1"/>
    <w:rsid w:val="006079F9"/>
    <w:rsid w:val="006143EA"/>
    <w:rsid w:val="0061716C"/>
    <w:rsid w:val="006243A1"/>
    <w:rsid w:val="0062676E"/>
    <w:rsid w:val="00632E56"/>
    <w:rsid w:val="00633C22"/>
    <w:rsid w:val="00635CBA"/>
    <w:rsid w:val="0064338B"/>
    <w:rsid w:val="00646542"/>
    <w:rsid w:val="006504F4"/>
    <w:rsid w:val="00654BC9"/>
    <w:rsid w:val="006552FD"/>
    <w:rsid w:val="00662CF2"/>
    <w:rsid w:val="00663AF3"/>
    <w:rsid w:val="00666B6C"/>
    <w:rsid w:val="00677781"/>
    <w:rsid w:val="00682682"/>
    <w:rsid w:val="00682702"/>
    <w:rsid w:val="006900FB"/>
    <w:rsid w:val="00691C6F"/>
    <w:rsid w:val="00692368"/>
    <w:rsid w:val="00694D4D"/>
    <w:rsid w:val="006A2BDF"/>
    <w:rsid w:val="006A2EBC"/>
    <w:rsid w:val="006A5519"/>
    <w:rsid w:val="006A5BF3"/>
    <w:rsid w:val="006A5EA0"/>
    <w:rsid w:val="006A6E75"/>
    <w:rsid w:val="006A783B"/>
    <w:rsid w:val="006A7B33"/>
    <w:rsid w:val="006B4E13"/>
    <w:rsid w:val="006B75DD"/>
    <w:rsid w:val="006C3A68"/>
    <w:rsid w:val="006C67E0"/>
    <w:rsid w:val="006C7808"/>
    <w:rsid w:val="006C7ABA"/>
    <w:rsid w:val="006D0D60"/>
    <w:rsid w:val="006D1122"/>
    <w:rsid w:val="006D3C00"/>
    <w:rsid w:val="006E3675"/>
    <w:rsid w:val="006E4A7F"/>
    <w:rsid w:val="006F24C5"/>
    <w:rsid w:val="006F4985"/>
    <w:rsid w:val="006F4993"/>
    <w:rsid w:val="00704DF6"/>
    <w:rsid w:val="0070651C"/>
    <w:rsid w:val="00710EFA"/>
    <w:rsid w:val="00710F8A"/>
    <w:rsid w:val="00712B06"/>
    <w:rsid w:val="00712BA0"/>
    <w:rsid w:val="007132A3"/>
    <w:rsid w:val="00716421"/>
    <w:rsid w:val="00722AEA"/>
    <w:rsid w:val="00724EFB"/>
    <w:rsid w:val="00736FAE"/>
    <w:rsid w:val="0074143D"/>
    <w:rsid w:val="007419C3"/>
    <w:rsid w:val="007467A7"/>
    <w:rsid w:val="007469DD"/>
    <w:rsid w:val="0074741B"/>
    <w:rsid w:val="0074759E"/>
    <w:rsid w:val="00747866"/>
    <w:rsid w:val="007478EA"/>
    <w:rsid w:val="00750B48"/>
    <w:rsid w:val="0075415C"/>
    <w:rsid w:val="00755F8C"/>
    <w:rsid w:val="00756204"/>
    <w:rsid w:val="00763502"/>
    <w:rsid w:val="00774DFF"/>
    <w:rsid w:val="00775ED4"/>
    <w:rsid w:val="007913AB"/>
    <w:rsid w:val="007914F7"/>
    <w:rsid w:val="00792AE1"/>
    <w:rsid w:val="007B1625"/>
    <w:rsid w:val="007B706E"/>
    <w:rsid w:val="007B71EB"/>
    <w:rsid w:val="007C4C4D"/>
    <w:rsid w:val="007C6205"/>
    <w:rsid w:val="007C686A"/>
    <w:rsid w:val="007C728E"/>
    <w:rsid w:val="007D2C53"/>
    <w:rsid w:val="007D36D7"/>
    <w:rsid w:val="007D3D60"/>
    <w:rsid w:val="007E1980"/>
    <w:rsid w:val="007E4B76"/>
    <w:rsid w:val="007E5EA8"/>
    <w:rsid w:val="007F0CF1"/>
    <w:rsid w:val="007F12A5"/>
    <w:rsid w:val="007F4005"/>
    <w:rsid w:val="007F4CF1"/>
    <w:rsid w:val="007F758D"/>
    <w:rsid w:val="007F7D52"/>
    <w:rsid w:val="0080654C"/>
    <w:rsid w:val="008071C6"/>
    <w:rsid w:val="00814E84"/>
    <w:rsid w:val="00814E9F"/>
    <w:rsid w:val="00817A00"/>
    <w:rsid w:val="0083296D"/>
    <w:rsid w:val="00835DB3"/>
    <w:rsid w:val="0083617B"/>
    <w:rsid w:val="008371BD"/>
    <w:rsid w:val="00842DA3"/>
    <w:rsid w:val="008504A8"/>
    <w:rsid w:val="0085282E"/>
    <w:rsid w:val="008552B3"/>
    <w:rsid w:val="00857535"/>
    <w:rsid w:val="0086402C"/>
    <w:rsid w:val="0087198C"/>
    <w:rsid w:val="00872C1F"/>
    <w:rsid w:val="00873B42"/>
    <w:rsid w:val="008845DF"/>
    <w:rsid w:val="008856D8"/>
    <w:rsid w:val="00892E82"/>
    <w:rsid w:val="00896A90"/>
    <w:rsid w:val="008B0FC9"/>
    <w:rsid w:val="008B14E2"/>
    <w:rsid w:val="008C1B58"/>
    <w:rsid w:val="008C39AE"/>
    <w:rsid w:val="008C590D"/>
    <w:rsid w:val="008D2007"/>
    <w:rsid w:val="008D3625"/>
    <w:rsid w:val="008E031B"/>
    <w:rsid w:val="008E7029"/>
    <w:rsid w:val="008E7BD4"/>
    <w:rsid w:val="008E7EF6"/>
    <w:rsid w:val="008F1F98"/>
    <w:rsid w:val="008F43AE"/>
    <w:rsid w:val="008F6758"/>
    <w:rsid w:val="009040DD"/>
    <w:rsid w:val="00905B47"/>
    <w:rsid w:val="009108DE"/>
    <w:rsid w:val="0091331C"/>
    <w:rsid w:val="00914FC0"/>
    <w:rsid w:val="0091791C"/>
    <w:rsid w:val="009279DE"/>
    <w:rsid w:val="00930116"/>
    <w:rsid w:val="00930801"/>
    <w:rsid w:val="009376DF"/>
    <w:rsid w:val="0094212C"/>
    <w:rsid w:val="0095450F"/>
    <w:rsid w:val="00954689"/>
    <w:rsid w:val="009563B5"/>
    <w:rsid w:val="00956E8D"/>
    <w:rsid w:val="009576AA"/>
    <w:rsid w:val="009617C9"/>
    <w:rsid w:val="00961C93"/>
    <w:rsid w:val="00965324"/>
    <w:rsid w:val="0097091E"/>
    <w:rsid w:val="00970CE0"/>
    <w:rsid w:val="009760D3"/>
    <w:rsid w:val="00977132"/>
    <w:rsid w:val="00981A4B"/>
    <w:rsid w:val="00982501"/>
    <w:rsid w:val="00983850"/>
    <w:rsid w:val="009873F0"/>
    <w:rsid w:val="009877D3"/>
    <w:rsid w:val="00990ECF"/>
    <w:rsid w:val="00991046"/>
    <w:rsid w:val="00991D3C"/>
    <w:rsid w:val="00994E8F"/>
    <w:rsid w:val="009951DC"/>
    <w:rsid w:val="009959BB"/>
    <w:rsid w:val="00996566"/>
    <w:rsid w:val="00997158"/>
    <w:rsid w:val="009A1D49"/>
    <w:rsid w:val="009A3A7C"/>
    <w:rsid w:val="009A7FBB"/>
    <w:rsid w:val="009B10DC"/>
    <w:rsid w:val="009B2ADB"/>
    <w:rsid w:val="009B603A"/>
    <w:rsid w:val="009B690B"/>
    <w:rsid w:val="009C2D0E"/>
    <w:rsid w:val="009C3DAC"/>
    <w:rsid w:val="009C42E0"/>
    <w:rsid w:val="009D12D6"/>
    <w:rsid w:val="009D5362"/>
    <w:rsid w:val="009D6814"/>
    <w:rsid w:val="009D6E43"/>
    <w:rsid w:val="009E1415"/>
    <w:rsid w:val="009E2338"/>
    <w:rsid w:val="009E6116"/>
    <w:rsid w:val="009E75EA"/>
    <w:rsid w:val="009E776A"/>
    <w:rsid w:val="00A02E43"/>
    <w:rsid w:val="00A04132"/>
    <w:rsid w:val="00A065F9"/>
    <w:rsid w:val="00A07F34"/>
    <w:rsid w:val="00A13DAF"/>
    <w:rsid w:val="00A22154"/>
    <w:rsid w:val="00A25C38"/>
    <w:rsid w:val="00A35F17"/>
    <w:rsid w:val="00A36BBE"/>
    <w:rsid w:val="00A4307A"/>
    <w:rsid w:val="00A47EBB"/>
    <w:rsid w:val="00A51CDD"/>
    <w:rsid w:val="00A55F07"/>
    <w:rsid w:val="00A6730D"/>
    <w:rsid w:val="00A71625"/>
    <w:rsid w:val="00A71B9B"/>
    <w:rsid w:val="00A736E7"/>
    <w:rsid w:val="00A74CDC"/>
    <w:rsid w:val="00A75099"/>
    <w:rsid w:val="00A751C7"/>
    <w:rsid w:val="00A82FF6"/>
    <w:rsid w:val="00A85E4A"/>
    <w:rsid w:val="00A87844"/>
    <w:rsid w:val="00A9183B"/>
    <w:rsid w:val="00A96B00"/>
    <w:rsid w:val="00AA038C"/>
    <w:rsid w:val="00AA4700"/>
    <w:rsid w:val="00AA7A09"/>
    <w:rsid w:val="00AB3B50"/>
    <w:rsid w:val="00AB477A"/>
    <w:rsid w:val="00AC05B1"/>
    <w:rsid w:val="00AC1879"/>
    <w:rsid w:val="00AC4F04"/>
    <w:rsid w:val="00AC7973"/>
    <w:rsid w:val="00AD0865"/>
    <w:rsid w:val="00AD356C"/>
    <w:rsid w:val="00AE2914"/>
    <w:rsid w:val="00AE6D15"/>
    <w:rsid w:val="00B00957"/>
    <w:rsid w:val="00B02D55"/>
    <w:rsid w:val="00B04182"/>
    <w:rsid w:val="00B058DD"/>
    <w:rsid w:val="00B07AE3"/>
    <w:rsid w:val="00B1023D"/>
    <w:rsid w:val="00B11430"/>
    <w:rsid w:val="00B353EB"/>
    <w:rsid w:val="00B356EC"/>
    <w:rsid w:val="00B439C4"/>
    <w:rsid w:val="00B4535E"/>
    <w:rsid w:val="00B45749"/>
    <w:rsid w:val="00B46167"/>
    <w:rsid w:val="00B479E5"/>
    <w:rsid w:val="00B52A8C"/>
    <w:rsid w:val="00B52E16"/>
    <w:rsid w:val="00B636A8"/>
    <w:rsid w:val="00B64C23"/>
    <w:rsid w:val="00B665C6"/>
    <w:rsid w:val="00B805AF"/>
    <w:rsid w:val="00B861D4"/>
    <w:rsid w:val="00B869EC"/>
    <w:rsid w:val="00B875A8"/>
    <w:rsid w:val="00B9397A"/>
    <w:rsid w:val="00B95D33"/>
    <w:rsid w:val="00B9633D"/>
    <w:rsid w:val="00BA2EBE"/>
    <w:rsid w:val="00BB0F28"/>
    <w:rsid w:val="00BB2D0E"/>
    <w:rsid w:val="00BB458A"/>
    <w:rsid w:val="00BD00D3"/>
    <w:rsid w:val="00BD1659"/>
    <w:rsid w:val="00BD3AA9"/>
    <w:rsid w:val="00BD4A18"/>
    <w:rsid w:val="00BD6DB2"/>
    <w:rsid w:val="00BE11CF"/>
    <w:rsid w:val="00BE21AB"/>
    <w:rsid w:val="00BE55CB"/>
    <w:rsid w:val="00BE5B80"/>
    <w:rsid w:val="00BE6D0D"/>
    <w:rsid w:val="00BE76BD"/>
    <w:rsid w:val="00BF0C4E"/>
    <w:rsid w:val="00BF617A"/>
    <w:rsid w:val="00BF72EC"/>
    <w:rsid w:val="00C0379D"/>
    <w:rsid w:val="00C03931"/>
    <w:rsid w:val="00C05FE3"/>
    <w:rsid w:val="00C11BC4"/>
    <w:rsid w:val="00C17087"/>
    <w:rsid w:val="00C2136D"/>
    <w:rsid w:val="00C214EE"/>
    <w:rsid w:val="00C2314B"/>
    <w:rsid w:val="00C24971"/>
    <w:rsid w:val="00C26BE5"/>
    <w:rsid w:val="00C26E4D"/>
    <w:rsid w:val="00C27909"/>
    <w:rsid w:val="00C27B03"/>
    <w:rsid w:val="00C312BC"/>
    <w:rsid w:val="00C314B2"/>
    <w:rsid w:val="00C314E1"/>
    <w:rsid w:val="00C34397"/>
    <w:rsid w:val="00C4095D"/>
    <w:rsid w:val="00C44075"/>
    <w:rsid w:val="00C601D2"/>
    <w:rsid w:val="00C65BCC"/>
    <w:rsid w:val="00C66970"/>
    <w:rsid w:val="00C865A5"/>
    <w:rsid w:val="00C8691C"/>
    <w:rsid w:val="00C9045A"/>
    <w:rsid w:val="00CA168A"/>
    <w:rsid w:val="00CA357E"/>
    <w:rsid w:val="00CA44F9"/>
    <w:rsid w:val="00CA4A69"/>
    <w:rsid w:val="00CA640C"/>
    <w:rsid w:val="00CB4CB5"/>
    <w:rsid w:val="00CC3E0C"/>
    <w:rsid w:val="00CC58D3"/>
    <w:rsid w:val="00CC7673"/>
    <w:rsid w:val="00CC784D"/>
    <w:rsid w:val="00CD2F51"/>
    <w:rsid w:val="00CF0A2F"/>
    <w:rsid w:val="00CF59AD"/>
    <w:rsid w:val="00CF5F9C"/>
    <w:rsid w:val="00D006A9"/>
    <w:rsid w:val="00D0337B"/>
    <w:rsid w:val="00D05E2C"/>
    <w:rsid w:val="00D079B2"/>
    <w:rsid w:val="00D114E9"/>
    <w:rsid w:val="00D1621B"/>
    <w:rsid w:val="00D40F36"/>
    <w:rsid w:val="00D4248F"/>
    <w:rsid w:val="00D429C6"/>
    <w:rsid w:val="00D47748"/>
    <w:rsid w:val="00D54CC3"/>
    <w:rsid w:val="00D55867"/>
    <w:rsid w:val="00D6041A"/>
    <w:rsid w:val="00D633EB"/>
    <w:rsid w:val="00D638B8"/>
    <w:rsid w:val="00D660B2"/>
    <w:rsid w:val="00D80FF7"/>
    <w:rsid w:val="00D82FF7"/>
    <w:rsid w:val="00D83DCA"/>
    <w:rsid w:val="00D847FE"/>
    <w:rsid w:val="00D964EA"/>
    <w:rsid w:val="00D966D0"/>
    <w:rsid w:val="00DA0C59"/>
    <w:rsid w:val="00DA3125"/>
    <w:rsid w:val="00DA3991"/>
    <w:rsid w:val="00DA5386"/>
    <w:rsid w:val="00DB54E5"/>
    <w:rsid w:val="00DB7E6C"/>
    <w:rsid w:val="00DC010C"/>
    <w:rsid w:val="00DC425C"/>
    <w:rsid w:val="00DD5A29"/>
    <w:rsid w:val="00DD5D9D"/>
    <w:rsid w:val="00DD738A"/>
    <w:rsid w:val="00DE34FC"/>
    <w:rsid w:val="00DE35CB"/>
    <w:rsid w:val="00DE60EB"/>
    <w:rsid w:val="00DE7247"/>
    <w:rsid w:val="00DF21E9"/>
    <w:rsid w:val="00E00F14"/>
    <w:rsid w:val="00E01CD3"/>
    <w:rsid w:val="00E06386"/>
    <w:rsid w:val="00E17D10"/>
    <w:rsid w:val="00E2252F"/>
    <w:rsid w:val="00E24EB4"/>
    <w:rsid w:val="00E320ED"/>
    <w:rsid w:val="00E33AFB"/>
    <w:rsid w:val="00E34218"/>
    <w:rsid w:val="00E41246"/>
    <w:rsid w:val="00E46282"/>
    <w:rsid w:val="00E46701"/>
    <w:rsid w:val="00E5216E"/>
    <w:rsid w:val="00E64569"/>
    <w:rsid w:val="00E71263"/>
    <w:rsid w:val="00E73C21"/>
    <w:rsid w:val="00E74219"/>
    <w:rsid w:val="00E82344"/>
    <w:rsid w:val="00E828C8"/>
    <w:rsid w:val="00E84C82"/>
    <w:rsid w:val="00E84D64"/>
    <w:rsid w:val="00E87408"/>
    <w:rsid w:val="00E914C4"/>
    <w:rsid w:val="00E91769"/>
    <w:rsid w:val="00E92479"/>
    <w:rsid w:val="00E934F5"/>
    <w:rsid w:val="00E96961"/>
    <w:rsid w:val="00EA325B"/>
    <w:rsid w:val="00EA72EC"/>
    <w:rsid w:val="00EB11CB"/>
    <w:rsid w:val="00EB275A"/>
    <w:rsid w:val="00EB786A"/>
    <w:rsid w:val="00EC1578"/>
    <w:rsid w:val="00EC1C72"/>
    <w:rsid w:val="00EC3CC9"/>
    <w:rsid w:val="00EC680A"/>
    <w:rsid w:val="00ED187B"/>
    <w:rsid w:val="00ED2459"/>
    <w:rsid w:val="00ED475A"/>
    <w:rsid w:val="00EE2A89"/>
    <w:rsid w:val="00EE2BED"/>
    <w:rsid w:val="00EE374B"/>
    <w:rsid w:val="00EF2108"/>
    <w:rsid w:val="00EF2D1F"/>
    <w:rsid w:val="00EF4310"/>
    <w:rsid w:val="00F017AE"/>
    <w:rsid w:val="00F11BB5"/>
    <w:rsid w:val="00F1417B"/>
    <w:rsid w:val="00F16411"/>
    <w:rsid w:val="00F25CEB"/>
    <w:rsid w:val="00F34B99"/>
    <w:rsid w:val="00F35D35"/>
    <w:rsid w:val="00F430D5"/>
    <w:rsid w:val="00F52DAB"/>
    <w:rsid w:val="00F543F0"/>
    <w:rsid w:val="00F57252"/>
    <w:rsid w:val="00F65A10"/>
    <w:rsid w:val="00F7211A"/>
    <w:rsid w:val="00F81D29"/>
    <w:rsid w:val="00F91C4D"/>
    <w:rsid w:val="00F92FD9"/>
    <w:rsid w:val="00FA18A5"/>
    <w:rsid w:val="00FA4FE6"/>
    <w:rsid w:val="00FA6684"/>
    <w:rsid w:val="00FA731E"/>
    <w:rsid w:val="00FB2B38"/>
    <w:rsid w:val="00FB65DB"/>
    <w:rsid w:val="00FC6358"/>
    <w:rsid w:val="00FD320D"/>
    <w:rsid w:val="00FD65F8"/>
    <w:rsid w:val="00FE23DE"/>
    <w:rsid w:val="00FE7FFA"/>
    <w:rsid w:val="00FF09FC"/>
    <w:rsid w:val="00FF4AB1"/>
    <w:rsid w:val="01697E90"/>
    <w:rsid w:val="021869A8"/>
    <w:rsid w:val="0D3321D4"/>
    <w:rsid w:val="0D4943CE"/>
    <w:rsid w:val="0E21235E"/>
    <w:rsid w:val="125B15F4"/>
    <w:rsid w:val="127D533A"/>
    <w:rsid w:val="180F2756"/>
    <w:rsid w:val="1984567A"/>
    <w:rsid w:val="1B1A001B"/>
    <w:rsid w:val="20971EE2"/>
    <w:rsid w:val="215422D2"/>
    <w:rsid w:val="26226B57"/>
    <w:rsid w:val="27554520"/>
    <w:rsid w:val="2B79622B"/>
    <w:rsid w:val="2DA20E51"/>
    <w:rsid w:val="2DD03EF0"/>
    <w:rsid w:val="2F5F2CBF"/>
    <w:rsid w:val="2FD973F0"/>
    <w:rsid w:val="31AA4BF2"/>
    <w:rsid w:val="32920955"/>
    <w:rsid w:val="338437CE"/>
    <w:rsid w:val="33A712BA"/>
    <w:rsid w:val="348831AC"/>
    <w:rsid w:val="38F70A17"/>
    <w:rsid w:val="393D3FA0"/>
    <w:rsid w:val="3BA34757"/>
    <w:rsid w:val="3BC51668"/>
    <w:rsid w:val="3C74258B"/>
    <w:rsid w:val="3DD45881"/>
    <w:rsid w:val="3E0D3AC7"/>
    <w:rsid w:val="3ECC622A"/>
    <w:rsid w:val="40412635"/>
    <w:rsid w:val="42C06251"/>
    <w:rsid w:val="46260023"/>
    <w:rsid w:val="47285ABB"/>
    <w:rsid w:val="47A26037"/>
    <w:rsid w:val="480D54F1"/>
    <w:rsid w:val="48312A2A"/>
    <w:rsid w:val="4DAB6AD6"/>
    <w:rsid w:val="4DFB168D"/>
    <w:rsid w:val="4E4E6580"/>
    <w:rsid w:val="4EE94DBE"/>
    <w:rsid w:val="4FC173A6"/>
    <w:rsid w:val="52CB53A0"/>
    <w:rsid w:val="53A22571"/>
    <w:rsid w:val="58976E1E"/>
    <w:rsid w:val="5A0E25BE"/>
    <w:rsid w:val="5A8F15E4"/>
    <w:rsid w:val="5E584616"/>
    <w:rsid w:val="5F5A59F3"/>
    <w:rsid w:val="5FAC490F"/>
    <w:rsid w:val="61C85D35"/>
    <w:rsid w:val="64402AF3"/>
    <w:rsid w:val="653674BC"/>
    <w:rsid w:val="65A97E41"/>
    <w:rsid w:val="666050CD"/>
    <w:rsid w:val="67AB2CAF"/>
    <w:rsid w:val="697A29E8"/>
    <w:rsid w:val="6C1B3BDD"/>
    <w:rsid w:val="6D2D42AA"/>
    <w:rsid w:val="6E4D32DD"/>
    <w:rsid w:val="6EFE7E9D"/>
    <w:rsid w:val="71577847"/>
    <w:rsid w:val="71DA05C6"/>
    <w:rsid w:val="728C2083"/>
    <w:rsid w:val="735C1997"/>
    <w:rsid w:val="772763A8"/>
    <w:rsid w:val="7A7A2426"/>
    <w:rsid w:val="7DC6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Body Text Indent 2"/>
    <w:basedOn w:val="1"/>
    <w:link w:val="142"/>
    <w:unhideWhenUsed/>
    <w:qFormat/>
    <w:uiPriority w:val="0"/>
    <w:pPr>
      <w:ind w:firstLine="562" w:firstLineChars="200"/>
    </w:pPr>
    <w:rPr>
      <w:rFonts w:eastAsia="仿宋_GB2312"/>
      <w:b/>
      <w:bCs/>
      <w:sz w:val="28"/>
    </w:rPr>
  </w:style>
  <w:style w:type="paragraph" w:styleId="15">
    <w:name w:val="endnote text"/>
    <w:basedOn w:val="1"/>
    <w:semiHidden/>
    <w:qFormat/>
    <w:uiPriority w:val="0"/>
    <w:pPr>
      <w:snapToGrid w:val="0"/>
      <w:jc w:val="left"/>
    </w:pPr>
  </w:style>
  <w:style w:type="paragraph" w:styleId="16">
    <w:name w:val="Balloon Text"/>
    <w:basedOn w:val="1"/>
    <w:semiHidden/>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1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Strong"/>
    <w:basedOn w:val="33"/>
    <w:qFormat/>
    <w:uiPriority w:val="0"/>
    <w:rPr>
      <w:b/>
    </w:rPr>
  </w:style>
  <w:style w:type="character" w:styleId="35">
    <w:name w:val="endnote reference"/>
    <w:basedOn w:val="33"/>
    <w:semiHidden/>
    <w:qFormat/>
    <w:uiPriority w:val="0"/>
    <w:rPr>
      <w:vertAlign w:val="superscript"/>
    </w:rPr>
  </w:style>
  <w:style w:type="character" w:styleId="36">
    <w:name w:val="page number"/>
    <w:basedOn w:val="33"/>
    <w:qFormat/>
    <w:uiPriority w:val="0"/>
    <w:rPr>
      <w:rFonts w:ascii="Times New Roman" w:hAnsi="Times New Roman" w:eastAsia="宋体"/>
      <w:sz w:val="18"/>
    </w:rPr>
  </w:style>
  <w:style w:type="character" w:styleId="37">
    <w:name w:val="FollowedHyperlink"/>
    <w:basedOn w:val="33"/>
    <w:qFormat/>
    <w:uiPriority w:val="0"/>
    <w:rPr>
      <w:color w:val="800080"/>
      <w:u w:val="none"/>
    </w:rPr>
  </w:style>
  <w:style w:type="character" w:styleId="38">
    <w:name w:val="Emphasis"/>
    <w:basedOn w:val="33"/>
    <w:qFormat/>
    <w:uiPriority w:val="0"/>
    <w:rPr>
      <w:color w:val="CC0000"/>
      <w:sz w:val="24"/>
      <w:szCs w:val="24"/>
    </w:rPr>
  </w:style>
  <w:style w:type="character" w:styleId="39">
    <w:name w:val="HTML Definition"/>
    <w:basedOn w:val="33"/>
    <w:qFormat/>
    <w:uiPriority w:val="0"/>
    <w:rPr>
      <w:i/>
    </w:rPr>
  </w:style>
  <w:style w:type="character" w:styleId="40">
    <w:name w:val="Hyperlink"/>
    <w:basedOn w:val="33"/>
    <w:qFormat/>
    <w:uiPriority w:val="0"/>
    <w:rPr>
      <w:color w:val="0000FF"/>
      <w:spacing w:val="0"/>
      <w:w w:val="100"/>
      <w:szCs w:val="21"/>
      <w:u w:val="single"/>
    </w:rPr>
  </w:style>
  <w:style w:type="character" w:styleId="41">
    <w:name w:val="HTML Code"/>
    <w:basedOn w:val="33"/>
    <w:qFormat/>
    <w:uiPriority w:val="0"/>
    <w:rPr>
      <w:rFonts w:ascii="Consolas" w:hAnsi="Consolas" w:eastAsia="Consolas" w:cs="Consolas"/>
      <w:color w:val="C7254E"/>
      <w:sz w:val="21"/>
      <w:szCs w:val="21"/>
      <w:shd w:val="clear" w:color="auto" w:fill="F9F2F4"/>
    </w:rPr>
  </w:style>
  <w:style w:type="character" w:styleId="42">
    <w:name w:val="footnote reference"/>
    <w:basedOn w:val="33"/>
    <w:semiHidden/>
    <w:qFormat/>
    <w:uiPriority w:val="0"/>
    <w:rPr>
      <w:vertAlign w:val="superscript"/>
    </w:rPr>
  </w:style>
  <w:style w:type="character" w:styleId="43">
    <w:name w:val="HTML Keyboard"/>
    <w:basedOn w:val="33"/>
    <w:qFormat/>
    <w:uiPriority w:val="0"/>
    <w:rPr>
      <w:rFonts w:hint="default" w:ascii="Consolas" w:hAnsi="Consolas" w:eastAsia="Consolas" w:cs="Consolas"/>
      <w:color w:val="FFFFFF"/>
      <w:sz w:val="21"/>
      <w:szCs w:val="21"/>
      <w:shd w:val="clear" w:color="auto" w:fill="333333"/>
    </w:rPr>
  </w:style>
  <w:style w:type="character" w:styleId="44">
    <w:name w:val="HTML Sample"/>
    <w:basedOn w:val="33"/>
    <w:qFormat/>
    <w:uiPriority w:val="0"/>
    <w:rPr>
      <w:rFonts w:hint="default" w:ascii="Consolas" w:hAnsi="Consolas" w:eastAsia="Consolas" w:cs="Consolas"/>
      <w:sz w:val="21"/>
      <w:szCs w:val="21"/>
    </w:rPr>
  </w:style>
  <w:style w:type="paragraph" w:customStyle="1" w:styleId="45">
    <w:name w:val="其他标准标志"/>
    <w:basedOn w:val="46"/>
    <w:qFormat/>
    <w:uiPriority w:val="0"/>
    <w:pPr>
      <w:framePr w:w="6101" w:vAnchor="page" w:hAnchor="page" w:x="4673" w:y="942"/>
    </w:pPr>
    <w:rPr>
      <w:w w:val="130"/>
    </w:rPr>
  </w:style>
  <w:style w:type="paragraph" w:customStyle="1" w:styleId="4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9">
    <w:name w:val="附录四级无"/>
    <w:basedOn w:val="50"/>
    <w:qFormat/>
    <w:uiPriority w:val="0"/>
    <w:pPr>
      <w:tabs>
        <w:tab w:val="left" w:pos="360"/>
      </w:tabs>
      <w:spacing w:beforeLines="0" w:afterLines="0"/>
    </w:pPr>
    <w:rPr>
      <w:rFonts w:ascii="宋体" w:eastAsia="宋体"/>
      <w:szCs w:val="21"/>
    </w:rPr>
  </w:style>
  <w:style w:type="paragraph" w:customStyle="1" w:styleId="50">
    <w:name w:val="附录四级条标题"/>
    <w:basedOn w:val="51"/>
    <w:next w:val="23"/>
    <w:qFormat/>
    <w:uiPriority w:val="0"/>
    <w:pPr>
      <w:numPr>
        <w:ilvl w:val="5"/>
      </w:numPr>
      <w:tabs>
        <w:tab w:val="left" w:pos="360"/>
      </w:tabs>
      <w:outlineLvl w:val="5"/>
    </w:pPr>
  </w:style>
  <w:style w:type="paragraph" w:customStyle="1" w:styleId="51">
    <w:name w:val="附录三级条标题"/>
    <w:basedOn w:val="52"/>
    <w:next w:val="23"/>
    <w:qFormat/>
    <w:uiPriority w:val="0"/>
    <w:pPr>
      <w:numPr>
        <w:ilvl w:val="4"/>
      </w:numPr>
      <w:tabs>
        <w:tab w:val="left" w:pos="360"/>
      </w:tabs>
      <w:outlineLvl w:val="4"/>
    </w:pPr>
  </w:style>
  <w:style w:type="paragraph" w:customStyle="1" w:styleId="52">
    <w:name w:val="附录二级条标题"/>
    <w:basedOn w:val="1"/>
    <w:next w:val="23"/>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3">
    <w:name w:val="附录三级无"/>
    <w:basedOn w:val="51"/>
    <w:qFormat/>
    <w:uiPriority w:val="0"/>
    <w:pPr>
      <w:tabs>
        <w:tab w:val="clear" w:pos="360"/>
      </w:tabs>
      <w:spacing w:beforeLines="0" w:afterLines="0"/>
    </w:pPr>
    <w:rPr>
      <w:rFonts w:ascii="宋体" w:eastAsia="宋体"/>
      <w:szCs w:val="21"/>
    </w:rPr>
  </w:style>
  <w:style w:type="paragraph" w:customStyle="1" w:styleId="54">
    <w:name w:val="附录一级条标题"/>
    <w:basedOn w:val="55"/>
    <w:next w:val="23"/>
    <w:qFormat/>
    <w:uiPriority w:val="0"/>
    <w:pPr>
      <w:numPr>
        <w:ilvl w:val="2"/>
      </w:numPr>
      <w:tabs>
        <w:tab w:val="left" w:pos="360"/>
      </w:tabs>
      <w:autoSpaceDN w:val="0"/>
      <w:spacing w:beforeLines="50" w:afterLines="50"/>
      <w:outlineLvl w:val="2"/>
    </w:pPr>
  </w:style>
  <w:style w:type="paragraph" w:customStyle="1" w:styleId="55">
    <w:name w:val="附录章标题"/>
    <w:next w:val="23"/>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6">
    <w:name w:val="注：（正文）"/>
    <w:basedOn w:val="57"/>
    <w:next w:val="23"/>
    <w:qFormat/>
    <w:uiPriority w:val="0"/>
  </w:style>
  <w:style w:type="paragraph" w:customStyle="1" w:styleId="57">
    <w:name w:val="注："/>
    <w:next w:val="23"/>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59">
    <w:name w:val="四级条标题"/>
    <w:basedOn w:val="60"/>
    <w:next w:val="23"/>
    <w:qFormat/>
    <w:uiPriority w:val="0"/>
    <w:pPr>
      <w:numPr>
        <w:ilvl w:val="4"/>
      </w:numPr>
      <w:outlineLvl w:val="5"/>
    </w:pPr>
  </w:style>
  <w:style w:type="paragraph" w:customStyle="1" w:styleId="60">
    <w:name w:val="三级条标题"/>
    <w:basedOn w:val="61"/>
    <w:next w:val="23"/>
    <w:qFormat/>
    <w:uiPriority w:val="0"/>
    <w:pPr>
      <w:numPr>
        <w:ilvl w:val="3"/>
      </w:numPr>
      <w:outlineLvl w:val="4"/>
    </w:pPr>
  </w:style>
  <w:style w:type="paragraph" w:customStyle="1" w:styleId="61">
    <w:name w:val="二级条标题"/>
    <w:basedOn w:val="62"/>
    <w:next w:val="23"/>
    <w:qFormat/>
    <w:uiPriority w:val="0"/>
    <w:pPr>
      <w:numPr>
        <w:ilvl w:val="2"/>
      </w:numPr>
      <w:spacing w:before="50" w:after="50"/>
      <w:ind w:left="0"/>
      <w:outlineLvl w:val="3"/>
    </w:pPr>
  </w:style>
  <w:style w:type="paragraph" w:customStyle="1" w:styleId="62">
    <w:name w:val="一级条标题"/>
    <w:next w:val="23"/>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63">
    <w:name w:val="条文脚注"/>
    <w:basedOn w:val="24"/>
    <w:qFormat/>
    <w:uiPriority w:val="0"/>
    <w:pPr>
      <w:numPr>
        <w:numId w:val="0"/>
      </w:numPr>
      <w:jc w:val="both"/>
    </w:pPr>
  </w:style>
  <w:style w:type="paragraph" w:customStyle="1" w:styleId="64">
    <w:name w:val="封面正文"/>
    <w:qFormat/>
    <w:uiPriority w:val="0"/>
    <w:pPr>
      <w:jc w:val="both"/>
    </w:pPr>
    <w:rPr>
      <w:rFonts w:ascii="Times New Roman" w:hAnsi="Times New Roman" w:eastAsia="宋体" w:cs="Times New Roman"/>
      <w:lang w:val="en-US" w:eastAsia="zh-CN" w:bidi="ar-SA"/>
    </w:rPr>
  </w:style>
  <w:style w:type="paragraph" w:customStyle="1" w:styleId="65">
    <w:name w:val="三级无"/>
    <w:basedOn w:val="60"/>
    <w:qFormat/>
    <w:uiPriority w:val="0"/>
    <w:pPr>
      <w:spacing w:beforeLines="0" w:afterLines="0"/>
    </w:pPr>
    <w:rPr>
      <w:rFonts w:ascii="宋体" w:eastAsia="宋体"/>
    </w:rPr>
  </w:style>
  <w:style w:type="paragraph" w:customStyle="1" w:styleId="66">
    <w:name w:val="正文公式编号制表符"/>
    <w:basedOn w:val="23"/>
    <w:next w:val="23"/>
    <w:qFormat/>
    <w:uiPriority w:val="0"/>
    <w:pPr>
      <w:ind w:firstLine="0" w:firstLineChars="0"/>
    </w:pPr>
  </w:style>
  <w:style w:type="paragraph" w:customStyle="1" w:styleId="67">
    <w:name w:val="示例后文字"/>
    <w:basedOn w:val="23"/>
    <w:next w:val="23"/>
    <w:qFormat/>
    <w:uiPriority w:val="0"/>
    <w:pPr>
      <w:ind w:firstLine="360"/>
    </w:pPr>
    <w:rPr>
      <w:sz w:val="18"/>
    </w:rPr>
  </w:style>
  <w:style w:type="paragraph" w:customStyle="1" w:styleId="68">
    <w:name w:val="正文图标题"/>
    <w:next w:val="23"/>
    <w:qFormat/>
    <w:uiPriority w:val="0"/>
    <w:pPr>
      <w:numPr>
        <w:ilvl w:val="0"/>
        <w:numId w:val="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0">
    <w:name w:val="附录一级无"/>
    <w:basedOn w:val="54"/>
    <w:qFormat/>
    <w:uiPriority w:val="0"/>
    <w:pPr>
      <w:tabs>
        <w:tab w:val="clear" w:pos="360"/>
      </w:tabs>
      <w:spacing w:beforeLines="0" w:afterLines="0"/>
    </w:pPr>
    <w:rPr>
      <w:rFonts w:ascii="宋体" w:eastAsia="宋体"/>
      <w:szCs w:val="21"/>
    </w:rPr>
  </w:style>
  <w:style w:type="paragraph" w:customStyle="1" w:styleId="7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2">
    <w:name w:val="二级无"/>
    <w:basedOn w:val="61"/>
    <w:qFormat/>
    <w:uiPriority w:val="0"/>
    <w:pPr>
      <w:spacing w:beforeLines="0" w:afterLines="0"/>
    </w:pPr>
    <w:rPr>
      <w:rFonts w:ascii="宋体" w:eastAsia="宋体"/>
    </w:rPr>
  </w:style>
  <w:style w:type="paragraph" w:customStyle="1" w:styleId="73">
    <w:name w:val="附录表标题"/>
    <w:basedOn w:val="1"/>
    <w:next w:val="23"/>
    <w:qFormat/>
    <w:uiPriority w:val="0"/>
    <w:pPr>
      <w:numPr>
        <w:ilvl w:val="1"/>
        <w:numId w:val="6"/>
      </w:numPr>
      <w:tabs>
        <w:tab w:val="left" w:pos="180"/>
      </w:tabs>
      <w:spacing w:beforeLines="50" w:afterLines="50"/>
      <w:ind w:left="0" w:firstLine="0"/>
      <w:jc w:val="center"/>
    </w:pPr>
    <w:rPr>
      <w:rFonts w:ascii="黑体" w:eastAsia="黑体"/>
      <w:szCs w:val="21"/>
    </w:rPr>
  </w:style>
  <w:style w:type="paragraph" w:customStyle="1" w:styleId="7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5">
    <w:name w:val="附录二级无"/>
    <w:basedOn w:val="52"/>
    <w:qFormat/>
    <w:uiPriority w:val="0"/>
    <w:pPr>
      <w:tabs>
        <w:tab w:val="clear" w:pos="360"/>
      </w:tabs>
      <w:spacing w:beforeLines="0" w:afterLines="0"/>
    </w:pPr>
    <w:rPr>
      <w:rFonts w:ascii="宋体" w:eastAsia="宋体"/>
      <w:szCs w:val="21"/>
    </w:rPr>
  </w:style>
  <w:style w:type="paragraph" w:customStyle="1" w:styleId="76">
    <w:name w:val="封面标准英文名称"/>
    <w:basedOn w:val="77"/>
    <w:qFormat/>
    <w:uiPriority w:val="0"/>
    <w:pPr>
      <w:framePr/>
      <w:spacing w:before="370" w:line="400" w:lineRule="exact"/>
    </w:pPr>
    <w:rPr>
      <w:rFonts w:ascii="Times New Roman"/>
      <w:sz w:val="28"/>
      <w:szCs w:val="28"/>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79">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0">
    <w:name w:val="其他实施日期"/>
    <w:basedOn w:val="81"/>
    <w:qFormat/>
    <w:uiPriority w:val="0"/>
    <w:pPr>
      <w:framePr/>
    </w:pPr>
  </w:style>
  <w:style w:type="paragraph" w:customStyle="1" w:styleId="81">
    <w:name w:val="实施日期"/>
    <w:basedOn w:val="82"/>
    <w:qFormat/>
    <w:uiPriority w:val="0"/>
    <w:pPr>
      <w:framePr w:vAnchor="page" w:hAnchor="text"/>
      <w:jc w:val="right"/>
    </w:p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正文表标题"/>
    <w:next w:val="23"/>
    <w:qFormat/>
    <w:uiPriority w:val="0"/>
    <w:pPr>
      <w:numPr>
        <w:ilvl w:val="0"/>
        <w:numId w:val="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4">
    <w:name w:val="示例×："/>
    <w:basedOn w:val="85"/>
    <w:qFormat/>
    <w:uiPriority w:val="0"/>
    <w:pPr>
      <w:numPr>
        <w:numId w:val="9"/>
      </w:numPr>
      <w:spacing w:beforeLines="0" w:afterLines="0"/>
      <w:outlineLvl w:val="9"/>
    </w:pPr>
    <w:rPr>
      <w:rFonts w:ascii="宋体" w:eastAsia="宋体"/>
      <w:sz w:val="18"/>
      <w:szCs w:val="18"/>
    </w:rPr>
  </w:style>
  <w:style w:type="paragraph" w:customStyle="1" w:styleId="85">
    <w:name w:val="章标题"/>
    <w:next w:val="23"/>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86">
    <w:name w:val="列项◆（三级）"/>
    <w:basedOn w:val="1"/>
    <w:qFormat/>
    <w:uiPriority w:val="0"/>
    <w:pPr>
      <w:numPr>
        <w:ilvl w:val="2"/>
        <w:numId w:val="10"/>
      </w:numPr>
    </w:pPr>
    <w:rPr>
      <w:rFonts w:ascii="宋体"/>
      <w:szCs w:val="21"/>
    </w:rPr>
  </w:style>
  <w:style w:type="paragraph" w:customStyle="1" w:styleId="8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8">
    <w:name w:val="封面一致性程度标识"/>
    <w:basedOn w:val="76"/>
    <w:qFormat/>
    <w:uiPriority w:val="0"/>
    <w:pPr>
      <w:framePr/>
      <w:spacing w:before="440"/>
    </w:pPr>
    <w:rPr>
      <w:rFonts w:ascii="宋体" w:eastAsia="宋体"/>
    </w:rPr>
  </w:style>
  <w:style w:type="paragraph" w:customStyle="1" w:styleId="89">
    <w:name w:val="图标脚注说明"/>
    <w:basedOn w:val="23"/>
    <w:qFormat/>
    <w:uiPriority w:val="0"/>
    <w:pPr>
      <w:ind w:left="840" w:hanging="420" w:firstLineChars="0"/>
    </w:pPr>
    <w:rPr>
      <w:sz w:val="18"/>
      <w:szCs w:val="18"/>
    </w:rPr>
  </w:style>
  <w:style w:type="paragraph" w:customStyle="1" w:styleId="90">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1">
    <w:name w:val="标准书眉_偶数页"/>
    <w:basedOn w:val="87"/>
    <w:next w:val="1"/>
    <w:qFormat/>
    <w:uiPriority w:val="0"/>
    <w:pPr>
      <w:jc w:val="left"/>
    </w:pPr>
  </w:style>
  <w:style w:type="paragraph" w:customStyle="1" w:styleId="92">
    <w:name w:val="附录五级条标题"/>
    <w:basedOn w:val="50"/>
    <w:next w:val="23"/>
    <w:qFormat/>
    <w:uiPriority w:val="0"/>
    <w:pPr>
      <w:numPr>
        <w:ilvl w:val="6"/>
      </w:numPr>
      <w:outlineLvl w:val="6"/>
    </w:pPr>
  </w:style>
  <w:style w:type="paragraph" w:customStyle="1" w:styleId="93">
    <w:name w:val="附录表标号"/>
    <w:basedOn w:val="1"/>
    <w:next w:val="23"/>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94">
    <w:name w:val="附录标识"/>
    <w:basedOn w:val="1"/>
    <w:next w:val="23"/>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封面标准文稿编辑信息2"/>
    <w:basedOn w:val="96"/>
    <w:qFormat/>
    <w:uiPriority w:val="0"/>
    <w:pPr>
      <w:framePr w:y="4469"/>
    </w:pPr>
  </w:style>
  <w:style w:type="paragraph" w:customStyle="1" w:styleId="96">
    <w:name w:val="封面标准文稿编辑信息"/>
    <w:basedOn w:val="97"/>
    <w:qFormat/>
    <w:uiPriority w:val="0"/>
    <w:pPr>
      <w:framePr/>
      <w:spacing w:before="180" w:line="180" w:lineRule="exact"/>
    </w:pPr>
    <w:rPr>
      <w:sz w:val="21"/>
    </w:rPr>
  </w:style>
  <w:style w:type="paragraph" w:customStyle="1" w:styleId="97">
    <w:name w:val="封面标准文稿类别"/>
    <w:basedOn w:val="88"/>
    <w:qFormat/>
    <w:uiPriority w:val="0"/>
    <w:pPr>
      <w:framePr/>
      <w:spacing w:after="160" w:line="240" w:lineRule="auto"/>
    </w:pPr>
    <w:rPr>
      <w:sz w:val="24"/>
    </w:rPr>
  </w:style>
  <w:style w:type="paragraph" w:customStyle="1" w:styleId="98">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四级无"/>
    <w:basedOn w:val="59"/>
    <w:qFormat/>
    <w:uiPriority w:val="0"/>
    <w:pPr>
      <w:spacing w:beforeLines="0" w:afterLines="0"/>
    </w:pPr>
    <w:rPr>
      <w:rFonts w:ascii="宋体" w:eastAsia="宋体"/>
    </w:rPr>
  </w:style>
  <w:style w:type="paragraph" w:customStyle="1" w:styleId="100">
    <w:name w:val="封面标准文稿类别2"/>
    <w:basedOn w:val="97"/>
    <w:qFormat/>
    <w:uiPriority w:val="0"/>
    <w:pPr>
      <w:framePr w:y="4469"/>
    </w:pPr>
  </w:style>
  <w:style w:type="paragraph" w:customStyle="1" w:styleId="10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2">
    <w:name w:val="一级无"/>
    <w:basedOn w:val="62"/>
    <w:qFormat/>
    <w:uiPriority w:val="0"/>
    <w:pPr>
      <w:spacing w:beforeLines="0" w:afterLines="0"/>
    </w:pPr>
    <w:rPr>
      <w:rFonts w:ascii="宋体" w:eastAsia="宋体"/>
    </w:rPr>
  </w:style>
  <w:style w:type="paragraph" w:customStyle="1" w:styleId="10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4">
    <w:name w:val="终结线"/>
    <w:basedOn w:val="1"/>
    <w:qFormat/>
    <w:uiPriority w:val="0"/>
    <w:pPr>
      <w:framePr w:hSpace="181" w:vSpace="181" w:wrap="around" w:vAnchor="text" w:hAnchor="margin" w:xAlign="center" w:y="285"/>
    </w:pPr>
  </w:style>
  <w:style w:type="paragraph" w:customStyle="1" w:styleId="105">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06">
    <w:name w:val="其他发布部门"/>
    <w:basedOn w:val="107"/>
    <w:qFormat/>
    <w:uiPriority w:val="0"/>
    <w:pPr>
      <w:framePr w:y="15310"/>
      <w:spacing w:line="0" w:lineRule="atLeast"/>
    </w:pPr>
    <w:rPr>
      <w:rFonts w:ascii="黑体" w:eastAsia="黑体"/>
      <w:b w:val="0"/>
    </w:rPr>
  </w:style>
  <w:style w:type="paragraph" w:customStyle="1" w:styleId="107">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8">
    <w:name w:val="附录图标题"/>
    <w:basedOn w:val="1"/>
    <w:next w:val="23"/>
    <w:qFormat/>
    <w:uiPriority w:val="0"/>
    <w:pPr>
      <w:numPr>
        <w:ilvl w:val="1"/>
        <w:numId w:val="11"/>
      </w:numPr>
      <w:tabs>
        <w:tab w:val="left" w:pos="363"/>
      </w:tabs>
      <w:spacing w:beforeLines="50" w:afterLines="50"/>
      <w:ind w:left="0" w:firstLine="0"/>
      <w:jc w:val="center"/>
    </w:pPr>
    <w:rPr>
      <w:rFonts w:ascii="黑体" w:eastAsia="黑体"/>
      <w:szCs w:val="21"/>
    </w:rPr>
  </w:style>
  <w:style w:type="paragraph" w:customStyle="1" w:styleId="109">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1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1">
    <w:name w:val="图表脚注说明"/>
    <w:basedOn w:val="1"/>
    <w:qFormat/>
    <w:uiPriority w:val="0"/>
    <w:pPr>
      <w:numPr>
        <w:ilvl w:val="0"/>
        <w:numId w:val="13"/>
      </w:numPr>
    </w:pPr>
    <w:rPr>
      <w:rFonts w:ascii="宋体"/>
      <w:sz w:val="18"/>
      <w:szCs w:val="18"/>
    </w:rPr>
  </w:style>
  <w:style w:type="paragraph" w:customStyle="1" w:styleId="112">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13">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附录五级无"/>
    <w:basedOn w:val="92"/>
    <w:qFormat/>
    <w:uiPriority w:val="0"/>
    <w:pPr>
      <w:tabs>
        <w:tab w:val="clear" w:pos="360"/>
      </w:tabs>
      <w:spacing w:beforeLines="0" w:afterLines="0"/>
    </w:pPr>
    <w:rPr>
      <w:rFonts w:ascii="宋体" w:eastAsia="宋体"/>
      <w:szCs w:val="21"/>
    </w:rPr>
  </w:style>
  <w:style w:type="paragraph" w:customStyle="1" w:styleId="115">
    <w:name w:val="附录图标号"/>
    <w:basedOn w:val="1"/>
    <w:qFormat/>
    <w:uiPriority w:val="0"/>
    <w:pPr>
      <w:keepNext/>
      <w:pageBreakBefore/>
      <w:widowControl/>
      <w:numPr>
        <w:ilvl w:val="0"/>
        <w:numId w:val="11"/>
      </w:numPr>
      <w:spacing w:line="14" w:lineRule="exact"/>
      <w:ind w:left="0" w:firstLine="363"/>
      <w:jc w:val="center"/>
      <w:outlineLvl w:val="0"/>
    </w:pPr>
    <w:rPr>
      <w:color w:val="FFFFFF"/>
    </w:rPr>
  </w:style>
  <w:style w:type="paragraph" w:customStyle="1" w:styleId="116">
    <w:name w:val="封面一致性程度标识2"/>
    <w:basedOn w:val="88"/>
    <w:qFormat/>
    <w:uiPriority w:val="0"/>
    <w:pPr>
      <w:framePr w:y="4469"/>
    </w:pPr>
  </w:style>
  <w:style w:type="paragraph" w:customStyle="1" w:styleId="117">
    <w:name w:val="其他发布日期"/>
    <w:basedOn w:val="82"/>
    <w:qFormat/>
    <w:uiPriority w:val="0"/>
    <w:pPr>
      <w:framePr w:vAnchor="page" w:hAnchor="text" w:x="1419"/>
    </w:pPr>
  </w:style>
  <w:style w:type="paragraph" w:customStyle="1" w:styleId="118">
    <w:name w:val="附录标题"/>
    <w:basedOn w:val="23"/>
    <w:next w:val="23"/>
    <w:qFormat/>
    <w:uiPriority w:val="0"/>
    <w:pPr>
      <w:ind w:firstLine="0" w:firstLineChars="0"/>
      <w:jc w:val="center"/>
    </w:pPr>
    <w:rPr>
      <w:rFonts w:ascii="黑体" w:eastAsia="黑体"/>
    </w:rPr>
  </w:style>
  <w:style w:type="paragraph" w:customStyle="1" w:styleId="119">
    <w:name w:val="封面标准英文名称2"/>
    <w:basedOn w:val="76"/>
    <w:qFormat/>
    <w:uiPriority w:val="0"/>
    <w:pPr>
      <w:framePr w:y="4469"/>
    </w:pPr>
  </w:style>
  <w:style w:type="paragraph" w:customStyle="1" w:styleId="120">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21">
    <w:name w:val="五级无"/>
    <w:basedOn w:val="122"/>
    <w:qFormat/>
    <w:uiPriority w:val="0"/>
    <w:pPr>
      <w:spacing w:beforeLines="0" w:afterLines="0"/>
    </w:pPr>
    <w:rPr>
      <w:rFonts w:ascii="宋体" w:eastAsia="宋体"/>
    </w:rPr>
  </w:style>
  <w:style w:type="paragraph" w:customStyle="1" w:styleId="122">
    <w:name w:val="五级条标题"/>
    <w:basedOn w:val="59"/>
    <w:next w:val="23"/>
    <w:qFormat/>
    <w:uiPriority w:val="0"/>
    <w:pPr>
      <w:numPr>
        <w:ilvl w:val="5"/>
      </w:numPr>
      <w:outlineLvl w:val="6"/>
    </w:pPr>
  </w:style>
  <w:style w:type="paragraph" w:customStyle="1" w:styleId="123">
    <w:name w:val="首示例"/>
    <w:next w:val="23"/>
    <w:link w:val="13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24">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25">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26">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27">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0">
    <w:name w:val="封面标准名称2"/>
    <w:basedOn w:val="77"/>
    <w:qFormat/>
    <w:uiPriority w:val="0"/>
    <w:pPr>
      <w:framePr w:y="4469"/>
      <w:spacing w:beforeLines="630"/>
    </w:pPr>
  </w:style>
  <w:style w:type="paragraph" w:customStyle="1" w:styleId="131">
    <w:name w:val="示例"/>
    <w:next w:val="101"/>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132">
    <w:name w:val="附录公式"/>
    <w:basedOn w:val="23"/>
    <w:next w:val="23"/>
    <w:link w:val="146"/>
    <w:qFormat/>
    <w:uiPriority w:val="0"/>
  </w:style>
  <w:style w:type="paragraph" w:customStyle="1" w:styleId="13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4">
    <w:name w:val="标准书眉一"/>
    <w:qFormat/>
    <w:uiPriority w:val="0"/>
    <w:pPr>
      <w:jc w:val="both"/>
    </w:pPr>
    <w:rPr>
      <w:rFonts w:ascii="Times New Roman" w:hAnsi="Times New Roman" w:eastAsia="宋体" w:cs="Times New Roman"/>
      <w:lang w:val="en-US" w:eastAsia="zh-CN" w:bidi="ar-SA"/>
    </w:rPr>
  </w:style>
  <w:style w:type="paragraph" w:customStyle="1" w:styleId="135">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136">
    <w:name w:val="注×：（正文）"/>
    <w:qFormat/>
    <w:uiPriority w:val="0"/>
    <w:pPr>
      <w:numPr>
        <w:ilvl w:val="0"/>
        <w:numId w:val="17"/>
      </w:numPr>
      <w:jc w:val="both"/>
    </w:pPr>
    <w:rPr>
      <w:rFonts w:ascii="宋体" w:hAnsi="Times New Roman" w:eastAsia="宋体" w:cs="Times New Roman"/>
      <w:sz w:val="18"/>
      <w:szCs w:val="18"/>
      <w:lang w:val="en-US" w:eastAsia="zh-CN" w:bidi="ar-SA"/>
    </w:rPr>
  </w:style>
  <w:style w:type="character" w:customStyle="1" w:styleId="137">
    <w:name w:val="first-child"/>
    <w:basedOn w:val="33"/>
    <w:qFormat/>
    <w:uiPriority w:val="0"/>
  </w:style>
  <w:style w:type="character" w:customStyle="1" w:styleId="138">
    <w:name w:val="首示例 Char"/>
    <w:basedOn w:val="33"/>
    <w:link w:val="123"/>
    <w:qFormat/>
    <w:uiPriority w:val="0"/>
    <w:rPr>
      <w:rFonts w:ascii="宋体" w:hAnsi="宋体"/>
      <w:kern w:val="2"/>
      <w:sz w:val="18"/>
      <w:szCs w:val="18"/>
      <w:lang w:val="en-US" w:eastAsia="zh-CN" w:bidi="ar-SA"/>
    </w:rPr>
  </w:style>
  <w:style w:type="character" w:customStyle="1" w:styleId="139">
    <w:name w:val="段 Char"/>
    <w:basedOn w:val="33"/>
    <w:link w:val="23"/>
    <w:qFormat/>
    <w:uiPriority w:val="0"/>
    <w:rPr>
      <w:rFonts w:ascii="宋体"/>
      <w:sz w:val="21"/>
      <w:lang w:val="en-US" w:eastAsia="zh-CN" w:bidi="ar-SA"/>
    </w:rPr>
  </w:style>
  <w:style w:type="character" w:customStyle="1" w:styleId="140">
    <w:name w:val="high-light-bg"/>
    <w:basedOn w:val="33"/>
    <w:qFormat/>
    <w:uiPriority w:val="0"/>
  </w:style>
  <w:style w:type="character" w:customStyle="1" w:styleId="141">
    <w:name w:val="layui-layer-tabnow"/>
    <w:basedOn w:val="33"/>
    <w:qFormat/>
    <w:uiPriority w:val="0"/>
    <w:rPr>
      <w:bdr w:val="single" w:color="CCCCCC" w:sz="4" w:space="0"/>
      <w:shd w:val="clear" w:color="auto" w:fill="FFFFFF"/>
    </w:rPr>
  </w:style>
  <w:style w:type="character" w:customStyle="1" w:styleId="142">
    <w:name w:val="正文文本缩进 2 Char"/>
    <w:basedOn w:val="33"/>
    <w:link w:val="14"/>
    <w:semiHidden/>
    <w:qFormat/>
    <w:uiPriority w:val="0"/>
    <w:rPr>
      <w:rFonts w:eastAsia="仿宋_GB2312"/>
      <w:b/>
      <w:bCs/>
      <w:kern w:val="2"/>
      <w:sz w:val="28"/>
      <w:szCs w:val="24"/>
      <w:lang w:val="en-US" w:eastAsia="zh-CN" w:bidi="ar-SA"/>
    </w:rPr>
  </w:style>
  <w:style w:type="character" w:customStyle="1" w:styleId="143">
    <w:name w:val="发布"/>
    <w:basedOn w:val="33"/>
    <w:qFormat/>
    <w:uiPriority w:val="0"/>
    <w:rPr>
      <w:rFonts w:ascii="黑体" w:eastAsia="黑体"/>
      <w:spacing w:val="85"/>
      <w:w w:val="100"/>
      <w:position w:val="3"/>
      <w:sz w:val="28"/>
      <w:szCs w:val="28"/>
    </w:rPr>
  </w:style>
  <w:style w:type="character" w:customStyle="1" w:styleId="144">
    <w:name w:val="apple-converted-space"/>
    <w:basedOn w:val="33"/>
    <w:qFormat/>
    <w:uiPriority w:val="0"/>
  </w:style>
  <w:style w:type="character" w:customStyle="1" w:styleId="145">
    <w:name w:val="headline-content4"/>
    <w:basedOn w:val="33"/>
    <w:qFormat/>
    <w:uiPriority w:val="0"/>
  </w:style>
  <w:style w:type="character" w:customStyle="1" w:styleId="146">
    <w:name w:val="附录公式 Char"/>
    <w:basedOn w:val="139"/>
    <w:link w:val="13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426;\Desktop\&#37329;&#28070;&#30898;&#24223;&#26009;&#26631;&#20934;&#25991;&#20214;\&#30898;&#24223;&#26009;&#26631;&#2093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1"/>
    <customShpInfo spid="_x0000_s2049"/>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C7D4A-7702-4A45-A5BB-FD13E77AB20E}">
  <ds:schemaRefs/>
</ds:datastoreItem>
</file>

<file path=docProps/app.xml><?xml version="1.0" encoding="utf-8"?>
<Properties xmlns="http://schemas.openxmlformats.org/officeDocument/2006/extended-properties" xmlns:vt="http://schemas.openxmlformats.org/officeDocument/2006/docPropsVTypes">
  <Template>碲废料标准</Template>
  <Pages>8</Pages>
  <Words>447</Words>
  <Characters>2550</Characters>
  <Lines>21</Lines>
  <Paragraphs>5</Paragraphs>
  <TotalTime>5427</TotalTime>
  <ScaleCrop>false</ScaleCrop>
  <LinksUpToDate>false</LinksUpToDate>
  <CharactersWithSpaces>2992</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2018-09-10T09:32:00Z</dcterms:created>
  <dc:creator>萨拉巴</dc:creator>
  <cp:lastModifiedBy>萨拉巴</cp:lastModifiedBy>
  <cp:lastPrinted>2018-09-15T01:06:00Z</cp:lastPrinted>
  <dcterms:modified xsi:type="dcterms:W3CDTF">2019-08-17T08:06:35Z</dcterms:modified>
  <dc:title>标准名称</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