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0"/>
      </w:pPr>
      <w:r>
        <w:rPr>
          <w:rFonts w:ascii="Times New Roman"/>
        </w:rPr>
        <w:t>ICS</w:t>
      </w:r>
      <w:r>
        <w:rPr>
          <w:rFonts w:hAnsi="黑体"/>
        </w:rPr>
        <w:t> </w:t>
      </w:r>
      <w:r>
        <w:fldChar w:fldCharType="begin">
          <w:ffData>
            <w:name w:val="ICS"/>
            <w:enabled/>
            <w:calcOnExit w:val="0"/>
            <w:helpText w:type="text" w:val="请输入正确的ICS号："/>
            <w:textInput>
              <w:default w:val="点击此处添加ICS号"/>
            </w:textInput>
          </w:ffData>
        </w:fldChar>
      </w:r>
      <w:bookmarkStart w:id="0" w:name="ICS"/>
      <w:r>
        <w:instrText xml:space="preserve"> FORMTEXT </w:instrText>
      </w:r>
      <w:r>
        <w:fldChar w:fldCharType="separate"/>
      </w:r>
      <w:r>
        <w:rPr>
          <w:rFonts w:hint="eastAsia"/>
        </w:rPr>
        <w:t>77.160</w:t>
      </w:r>
      <w:r>
        <w:fldChar w:fldCharType="end"/>
      </w:r>
      <w:bookmarkEnd w:id="0"/>
    </w:p>
    <w:p>
      <w:pPr>
        <w:pStyle w:val="120"/>
      </w:pPr>
      <w:r>
        <w:fldChar w:fldCharType="begin">
          <w:ffData>
            <w:name w:val="WXFLH"/>
            <w:enabled/>
            <w:calcOnExit w:val="0"/>
            <w:helpText w:type="text" w:val="请输入中国标准文献分类号："/>
            <w:textInput>
              <w:default w:val="点击此处添加中国标准文献分类号"/>
            </w:textInput>
          </w:ffData>
        </w:fldChar>
      </w:r>
      <w:bookmarkStart w:id="1" w:name="WXFLH"/>
      <w:r>
        <w:instrText xml:space="preserve"> FORMTEXT </w:instrText>
      </w:r>
      <w:r>
        <w:fldChar w:fldCharType="separate"/>
      </w:r>
      <w:r>
        <w:rPr>
          <w:rFonts w:hint="eastAsia"/>
        </w:rPr>
        <w:t>H</w:t>
      </w:r>
      <w:r>
        <w:rPr>
          <w:rFonts w:hint="eastAsia"/>
          <w:lang w:val="en-US" w:eastAsia="zh-CN"/>
        </w:rPr>
        <w:t xml:space="preserve"> 71</w:t>
      </w:r>
      <w:r>
        <w:fldChar w:fldCharType="end"/>
      </w:r>
      <w:bookmarkEnd w:id="1"/>
    </w:p>
    <w:p>
      <w:pPr>
        <w:pStyle w:val="63"/>
      </w:pPr>
      <w:r>
        <w:drawing>
          <wp:inline distT="0" distB="0" distL="0" distR="0">
            <wp:extent cx="1440815" cy="716915"/>
            <wp:effectExtent l="19050" t="0" r="6985" b="0"/>
            <wp:docPr id="1" name="图片 1" descr="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GB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815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64"/>
      </w:pPr>
      <w:r>
        <w:rPr>
          <w:rFonts w:hint="eastAsia"/>
        </w:rPr>
        <w:t>中华人民共和国国家标准</w:t>
      </w:r>
    </w:p>
    <w:p>
      <w:pPr>
        <w:pStyle w:val="44"/>
      </w:pPr>
      <w:r>
        <w:rPr>
          <w:rFonts w:ascii="Times New Roman"/>
        </w:rPr>
        <w:t xml:space="preserve">GB/T </w:t>
      </w:r>
      <w:r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bookmarkStart w:id="2" w:name="StdNo1"/>
      <w:r>
        <w:instrText xml:space="preserve"> FORMTEXT </w:instrText>
      </w:r>
      <w:r>
        <w:fldChar w:fldCharType="separate"/>
      </w:r>
      <w:r>
        <w:rPr>
          <w:rFonts w:hint="eastAsia"/>
          <w:lang w:val="en-US" w:eastAsia="zh-CN"/>
        </w:rPr>
        <w:t>XX</w:t>
      </w:r>
      <w:r>
        <w:rPr>
          <w:rFonts w:hint="eastAsia"/>
        </w:rPr>
        <w:t>XX</w:t>
      </w:r>
      <w:r>
        <w:fldChar w:fldCharType="end"/>
      </w:r>
      <w:bookmarkEnd w:id="2"/>
      <w:r>
        <w:t>—</w:t>
      </w:r>
      <w: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3" w:name="StdNo2"/>
      <w:r>
        <w:instrText xml:space="preserve"> FORMTEXT </w:instrText>
      </w:r>
      <w:r>
        <w:fldChar w:fldCharType="separate"/>
      </w:r>
      <w:r>
        <w:rPr>
          <w:rFonts w:hint="eastAsia"/>
          <w:lang w:val="en-US" w:eastAsia="zh-CN"/>
        </w:rPr>
        <w:t>20</w:t>
      </w:r>
      <w:r>
        <w:t>XX</w:t>
      </w:r>
      <w:r>
        <w:fldChar w:fldCharType="end"/>
      </w:r>
      <w:bookmarkEnd w:id="3"/>
    </w:p>
    <w:tbl>
      <w:tblPr>
        <w:tblStyle w:val="30"/>
        <w:tblW w:w="93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73"/>
            </w:pPr>
            <w:r>
              <w:pict>
                <v:rect id="DT" o:spid="_x0000_s1036" o:spt="1" style="position:absolute;left:0pt;margin-left:372.8pt;margin-top:2.7pt;height:18pt;width:90pt;z-index:-251658240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</v:rect>
              </w:pict>
            </w:r>
            <w:r>
              <w:fldChar w:fldCharType="begin">
                <w:ffData>
                  <w:name w:val="DT"/>
                  <w:enabled/>
                  <w:calcOnExit w:val="0"/>
                  <w:entryMacro w:val="ShowHelp4"/>
                  <w:textInput/>
                </w:ffData>
              </w:fldChar>
            </w:r>
            <w:bookmarkStart w:id="4" w:name="DT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4"/>
          </w:p>
        </w:tc>
      </w:tr>
    </w:tbl>
    <w:p>
      <w:pPr>
        <w:pStyle w:val="44"/>
      </w:pPr>
    </w:p>
    <w:p>
      <w:pPr>
        <w:pStyle w:val="44"/>
      </w:pPr>
    </w:p>
    <w:p>
      <w:pPr>
        <w:pStyle w:val="75"/>
      </w:pPr>
      <w:r>
        <w:fldChar w:fldCharType="begin">
          <w:ffData>
            <w:name w:val="StdName"/>
            <w:enabled/>
            <w:calcOnExit w:val="0"/>
            <w:textInput>
              <w:default w:val="点击此处添加标准名称"/>
            </w:textInput>
          </w:ffData>
        </w:fldChar>
      </w:r>
      <w:bookmarkStart w:id="5" w:name="StdName"/>
      <w:r>
        <w:instrText xml:space="preserve"> FORMTEXT </w:instrText>
      </w:r>
      <w:r>
        <w:fldChar w:fldCharType="separate"/>
      </w:r>
      <w:r>
        <w:rPr>
          <w:rFonts w:hint="eastAsia"/>
        </w:rPr>
        <w:t>增材制造用球形钴铬合金粉</w:t>
      </w:r>
      <w:r>
        <w:fldChar w:fldCharType="end"/>
      </w:r>
      <w:bookmarkEnd w:id="5"/>
    </w:p>
    <w:p>
      <w:pPr>
        <w:pStyle w:val="76"/>
      </w:pPr>
      <w:r>
        <w:fldChar w:fldCharType="begin">
          <w:ffData>
            <w:name w:val="StdEnglishName"/>
            <w:enabled/>
            <w:calcOnExit w:val="0"/>
            <w:textInput>
              <w:default w:val="点击此处添加标准英文译名"/>
            </w:textInput>
          </w:ffData>
        </w:fldChar>
      </w:r>
      <w:bookmarkStart w:id="6" w:name="StdEnglishName"/>
      <w:r>
        <w:instrText xml:space="preserve"> FORMTEXT </w:instrText>
      </w:r>
      <w:r>
        <w:fldChar w:fldCharType="separate"/>
      </w:r>
      <w:r>
        <w:t>Spherical Co-Cr alloy powder for additive manufacturing</w:t>
      </w:r>
      <w:r>
        <w:fldChar w:fldCharType="end"/>
      </w:r>
      <w:bookmarkEnd w:id="6"/>
    </w:p>
    <w:p>
      <w:pPr>
        <w:pStyle w:val="77"/>
      </w:pPr>
      <w:r>
        <w:fldChar w:fldCharType="begin">
          <w:ffData>
            <w:name w:val="YZBS"/>
            <w:enabled/>
            <w:calcOnExit w:val="0"/>
            <w:textInput>
              <w:default w:val="点击此处添加与国际标准一致性程度的标识"/>
            </w:textInput>
          </w:ffData>
        </w:fldChar>
      </w:r>
      <w:bookmarkStart w:id="7" w:name="YZBS"/>
      <w:r>
        <w:instrText xml:space="preserve"> FORMTEXT </w:instrText>
      </w:r>
      <w:r>
        <w:fldChar w:fldCharType="separate"/>
      </w:r>
      <w:r>
        <w:rPr>
          <w:rFonts w:hint="eastAsia"/>
          <w:lang w:eastAsia="zh-CN"/>
        </w:rPr>
        <w:t>(预审稿</w:t>
      </w:r>
      <w:r>
        <w:rPr>
          <w:rFonts w:hint="eastAsia"/>
          <w:lang w:val="en-US" w:eastAsia="zh-CN"/>
        </w:rPr>
        <w:t>)</w:t>
      </w:r>
      <w:r>
        <w:fldChar w:fldCharType="end"/>
      </w:r>
      <w:bookmarkEnd w:id="7"/>
    </w:p>
    <w:tbl>
      <w:tblPr>
        <w:tblStyle w:val="30"/>
        <w:tblW w:w="98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78"/>
            </w:pPr>
            <w:r>
              <w:pict>
                <v:rect id="RQ" o:spid="_x0000_s1038" o:spt="1" style="position:absolute;left:0pt;margin-left:173.3pt;margin-top:45.15pt;height:20pt;width:150pt;z-index:-251657216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  <w10:anchorlock/>
                </v:rect>
              </w:pict>
            </w:r>
            <w:r>
              <w:pict>
                <v:rect id="LB" o:spid="_x0000_s1037" o:spt="1" style="position:absolute;left:0pt;margin-left:193.3pt;margin-top:20.15pt;height:24pt;width:100pt;z-index:-251658240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</v:rect>
              </w:pict>
            </w:r>
            <w:r>
              <w:fldChar w:fldCharType="begin">
                <w:ffData>
                  <w:name w:val="LB"/>
                  <w:enabled/>
                  <w:calcOnExit w:val="0"/>
                  <w:ddList>
                    <w:result w:val="5"/>
                    <w:listEntry w:val="文稿版次选择"/>
                    <w:listEntry w:val="（工作组讨论稿）"/>
                    <w:listEntry w:val="（征求意见稿）"/>
                    <w:listEntry w:val="（送审讨论稿）"/>
                    <w:listEntry w:val="（送审稿）"/>
                    <w:listEntry w:val="（报批稿）"/>
                  </w:ddList>
                </w:ffData>
              </w:fldChar>
            </w:r>
            <w:bookmarkStart w:id="8" w:name="LB"/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8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79"/>
            </w:pPr>
            <w:r>
              <w:fldChar w:fldCharType="begin">
                <w:ffData>
                  <w:name w:val="WCRQ"/>
                  <w:enabled/>
                  <w:calcOnExit w:val="0"/>
                  <w:textInput/>
                </w:ffData>
              </w:fldChar>
            </w:r>
            <w:bookmarkStart w:id="9" w:name="WCRQ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9"/>
          </w:p>
        </w:tc>
      </w:tr>
    </w:tbl>
    <w:p>
      <w:pPr>
        <w:pStyle w:val="127"/>
      </w:pPr>
      <w:r>
        <w:rPr>
          <w:rFonts w:ascii="黑体"/>
        </w:rPr>
        <w:fldChar w:fldCharType="begin">
          <w:ffData>
            <w:name w:val="FY"/>
            <w:enabled/>
            <w:calcOnExit w:val="0"/>
            <w:entryMacro w:val="ShowHelp8"/>
            <w:textInput>
              <w:default w:val="XXXX"/>
              <w:maxLength w:val="4"/>
            </w:textInput>
          </w:ffData>
        </w:fldChar>
      </w:r>
      <w:bookmarkStart w:id="10" w:name="FY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hint="eastAsia" w:ascii="黑体"/>
        </w:rPr>
        <w:t>20XX</w:t>
      </w:r>
      <w:r>
        <w:rPr>
          <w:rFonts w:ascii="黑体"/>
        </w:rPr>
        <w:fldChar w:fldCharType="end"/>
      </w:r>
      <w:bookmarkEnd w:id="10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FM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bookmarkStart w:id="11" w:name="FM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1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FD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bookmarkStart w:id="12" w:name="FD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2"/>
      <w:r>
        <w:rPr>
          <w:rFonts w:hint="eastAsia"/>
        </w:rPr>
        <w:t>发布</w:t>
      </w:r>
      <w:r>
        <w:pict>
          <v:line id="_x0000_s1034" o:spid="_x0000_s1034" o:spt="20" style="position:absolute;left:0pt;margin-left:-0.05pt;margin-top:728.5pt;height:0pt;width:481.9pt;mso-position-vertical-relative:page;z-index:251656192;mso-width-relative:page;mso-height-relative:page;" coordsize="21600,21600">
            <v:path arrowok="t"/>
            <v:fill focussize="0,0"/>
            <v:stroke/>
            <v:imagedata o:title=""/>
            <o:lock v:ext="edit"/>
            <w10:anchorlock/>
          </v:line>
        </w:pict>
      </w:r>
    </w:p>
    <w:p>
      <w:pPr>
        <w:pStyle w:val="128"/>
      </w:pPr>
      <w:r>
        <w:rPr>
          <w:rFonts w:ascii="黑体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XXXX"/>
              <w:maxLength w:val="4"/>
            </w:textInput>
          </w:ffData>
        </w:fldChar>
      </w:r>
      <w:bookmarkStart w:id="13" w:name="SY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hint="eastAsia" w:ascii="黑体"/>
        </w:rPr>
        <w:t>20XX</w:t>
      </w:r>
      <w:r>
        <w:rPr>
          <w:rFonts w:ascii="黑体"/>
        </w:rPr>
        <w:fldChar w:fldCharType="end"/>
      </w:r>
      <w:bookmarkEnd w:id="13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bookmarkStart w:id="14" w:name="SM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4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bookmarkStart w:id="15" w:name="SD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5"/>
      <w:r>
        <w:rPr>
          <w:rFonts w:hint="eastAsia"/>
        </w:rPr>
        <w:t>实施</w:t>
      </w:r>
    </w:p>
    <w:p>
      <w:pPr>
        <w:pStyle w:val="71"/>
      </w:pPr>
      <w:r>
        <w:drawing>
          <wp:inline distT="0" distB="0" distL="0" distR="0">
            <wp:extent cx="5033010" cy="716915"/>
            <wp:effectExtent l="19050" t="0" r="0" b="0"/>
            <wp:docPr id="2" name="图片 2" descr="GBSendCl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GBSendClear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3010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2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567" w:right="850" w:bottom="1134" w:left="1418" w:header="0" w:footer="0" w:gutter="0"/>
          <w:pgNumType w:start="1"/>
          <w:cols w:space="425" w:num="1"/>
          <w:docGrid w:type="lines" w:linePitch="312" w:charSpace="0"/>
        </w:sectPr>
      </w:pPr>
      <w:r>
        <w:pict>
          <v:line id="_x0000_s1035" o:spid="_x0000_s1035" o:spt="20" style="position:absolute;left:0pt;margin-left:-0.05pt;margin-top:184.25pt;height:0pt;width:481.9pt;z-index:25165721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pStyle w:val="109"/>
      </w:pPr>
      <w:r>
        <w:rPr>
          <w:rFonts w:hint="eastAsia"/>
        </w:rPr>
        <w:t>前</w:t>
      </w:r>
      <w:bookmarkStart w:id="16" w:name="BKQY"/>
      <w:r>
        <w:rPr>
          <w:rFonts w:hAnsi="黑体"/>
        </w:rPr>
        <w:t>  </w:t>
      </w:r>
      <w:r>
        <w:rPr>
          <w:rFonts w:hint="eastAsia"/>
        </w:rPr>
        <w:t>言</w:t>
      </w:r>
      <w:bookmarkEnd w:id="16"/>
    </w:p>
    <w:p>
      <w:pPr>
        <w:pStyle w:val="22"/>
      </w:pPr>
      <w:r>
        <w:rPr>
          <w:rFonts w:hint="eastAsia"/>
        </w:rPr>
        <w:t>本标准按照GB/T 1.1-2009给出的规则起草。</w:t>
      </w:r>
    </w:p>
    <w:p>
      <w:pPr>
        <w:pStyle w:val="22"/>
      </w:pPr>
      <w:r>
        <w:rPr>
          <w:rFonts w:hint="eastAsia"/>
        </w:rPr>
        <w:t xml:space="preserve">本标准由中国有色金属工业协会提出。 </w:t>
      </w:r>
    </w:p>
    <w:p>
      <w:pPr>
        <w:pStyle w:val="22"/>
      </w:pPr>
      <w:r>
        <w:rPr>
          <w:rFonts w:hint="eastAsia"/>
        </w:rPr>
        <w:t xml:space="preserve">本标准由全国有色金属标准化技术委员会(SAC/TC243)归口。 </w:t>
      </w:r>
    </w:p>
    <w:p>
      <w:pPr>
        <w:pStyle w:val="22"/>
        <w:rPr>
          <w:rFonts w:hint="eastAsia" w:eastAsia="宋体"/>
          <w:lang w:eastAsia="zh-CN"/>
        </w:rPr>
      </w:pPr>
      <w:r>
        <w:rPr>
          <w:rFonts w:hint="eastAsia"/>
        </w:rPr>
        <w:t>本标准负责起草单位：广东省材料与加工研究所</w:t>
      </w:r>
      <w:r>
        <w:rPr>
          <w:rFonts w:hint="eastAsia"/>
          <w:lang w:eastAsia="zh-CN"/>
        </w:rPr>
        <w:t>、西北有色金属研究院电子所、西安赛隆金属材料有限责任公司、北京康普锡威科技有限公司、北京矿冶科技集团有限公司、西安欧中科技有限公司、中国航发上海商用航空发动机制造有限责任公司、中航迈特粉冶科技</w:t>
      </w:r>
      <w:r>
        <w:rPr>
          <w:rFonts w:hint="eastAsia"/>
          <w:lang w:val="en-US" w:eastAsia="zh-CN"/>
        </w:rPr>
        <w:t>(北京)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有限公司、西北工业大学材料学院、广东省工业分析检测中心、无锡市产品质量监督检验院</w:t>
      </w:r>
    </w:p>
    <w:p>
      <w:pPr>
        <w:pStyle w:val="22"/>
        <w:rPr>
          <w:rFonts w:hint="eastAsia" w:eastAsia="宋体"/>
          <w:lang w:eastAsia="zh-CN"/>
        </w:rPr>
        <w:sectPr>
          <w:headerReference r:id="rId9" w:type="default"/>
          <w:footerReference r:id="rId10" w:type="default"/>
          <w:pgSz w:w="11906" w:h="16838"/>
          <w:pgMar w:top="567" w:right="1134" w:bottom="1134" w:left="1418" w:header="1418" w:footer="1134" w:gutter="0"/>
          <w:pgNumType w:fmt="upperRoman" w:start="1"/>
          <w:cols w:space="425" w:num="1"/>
          <w:formProt w:val="0"/>
          <w:docGrid w:type="lines" w:linePitch="312" w:charSpace="0"/>
        </w:sectPr>
      </w:pPr>
      <w:r>
        <w:rPr>
          <w:rFonts w:hint="eastAsia"/>
        </w:rPr>
        <w:t>本标准主要起草人：</w:t>
      </w:r>
      <w:r>
        <w:rPr>
          <w:rFonts w:hint="eastAsia"/>
          <w:lang w:eastAsia="zh-CN"/>
        </w:rPr>
        <w:t>刘辛、毛新华</w:t>
      </w:r>
    </w:p>
    <w:p>
      <w:pPr>
        <w:pStyle w:val="47"/>
      </w:pPr>
      <w:r>
        <w:rPr>
          <w:rFonts w:hint="eastAsia"/>
        </w:rPr>
        <w:t>增</w:t>
      </w:r>
      <w:bookmarkStart w:id="17" w:name="StandardName"/>
      <w:r>
        <w:rPr>
          <w:rFonts w:hint="eastAsia"/>
        </w:rPr>
        <w:t>材制造用球形钴铬合金粉</w:t>
      </w:r>
      <w:bookmarkEnd w:id="17"/>
    </w:p>
    <w:p>
      <w:pPr>
        <w:pStyle w:val="42"/>
        <w:spacing w:before="312" w:after="312"/>
      </w:pPr>
      <w:r>
        <w:rPr>
          <w:rFonts w:hint="eastAsia"/>
        </w:rPr>
        <w:t>范围</w:t>
      </w:r>
    </w:p>
    <w:p>
      <w:pPr>
        <w:pStyle w:val="22"/>
      </w:pPr>
      <w:r>
        <w:t>本标准</w:t>
      </w:r>
      <w:r>
        <w:rPr>
          <w:rFonts w:hint="eastAsia"/>
        </w:rPr>
        <w:t>规定了钴铬合金粉末的要求、试验方法、检验规则及标志、包装、运输、贮存、质量证明书和合同（或订货单）内容。</w:t>
      </w:r>
    </w:p>
    <w:p>
      <w:pPr>
        <w:pStyle w:val="22"/>
      </w:pPr>
      <w:r>
        <w:rPr>
          <w:rFonts w:hint="eastAsia"/>
        </w:rPr>
        <w:t>本标准适用于增材制造用的钴铬合金粉末。</w:t>
      </w:r>
    </w:p>
    <w:p>
      <w:pPr>
        <w:pStyle w:val="42"/>
        <w:spacing w:before="312" w:after="312"/>
      </w:pPr>
      <w:r>
        <w:rPr>
          <w:rFonts w:hint="eastAsia"/>
        </w:rPr>
        <w:t>规范性引用文件</w:t>
      </w:r>
    </w:p>
    <w:p>
      <w:pPr>
        <w:pStyle w:val="22"/>
      </w:pPr>
      <w:r>
        <w:rPr>
          <w:rFonts w:hint="eastAsia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>
      <w:pPr>
        <w:pStyle w:val="22"/>
        <w:rPr>
          <w:szCs w:val="22"/>
        </w:rPr>
      </w:pPr>
      <w:r>
        <w:rPr>
          <w:rFonts w:hint="eastAsia"/>
          <w:szCs w:val="22"/>
        </w:rPr>
        <w:t>GB/T 223.5 钢铁 酸溶硅和全硅含量的测定 还原型硅钼酸盐分光光度法 硅量测定</w:t>
      </w:r>
    </w:p>
    <w:p>
      <w:pPr>
        <w:pStyle w:val="22"/>
        <w:rPr>
          <w:szCs w:val="22"/>
        </w:rPr>
      </w:pPr>
      <w:r>
        <w:rPr>
          <w:rFonts w:hint="eastAsia"/>
          <w:szCs w:val="22"/>
        </w:rPr>
        <w:t xml:space="preserve">GB/T 223.11 钢铁及合金 铬含量的测定 可视滴定或电位滴定法 </w:t>
      </w:r>
    </w:p>
    <w:p>
      <w:pPr>
        <w:pStyle w:val="22"/>
        <w:rPr>
          <w:szCs w:val="22"/>
        </w:rPr>
      </w:pPr>
      <w:r>
        <w:rPr>
          <w:rFonts w:hint="eastAsia"/>
          <w:szCs w:val="22"/>
        </w:rPr>
        <w:t xml:space="preserve">GB/T 223.23 钢铁及合金 镍含量的测定 丁二酮肟分光光度法 镍量测定 </w:t>
      </w:r>
    </w:p>
    <w:p>
      <w:pPr>
        <w:pStyle w:val="22"/>
        <w:rPr>
          <w:szCs w:val="22"/>
        </w:rPr>
      </w:pPr>
      <w:bookmarkStart w:id="18" w:name="OLE_LINK1"/>
      <w:r>
        <w:rPr>
          <w:rFonts w:hint="eastAsia"/>
          <w:szCs w:val="22"/>
        </w:rPr>
        <w:t>GB/T 223.28 钢铁及合金化学分析方法α-安息香肟重量法</w:t>
      </w:r>
      <w:bookmarkEnd w:id="18"/>
      <w:r>
        <w:rPr>
          <w:rFonts w:hint="eastAsia"/>
          <w:szCs w:val="22"/>
        </w:rPr>
        <w:t xml:space="preserve"> 钼量测定</w:t>
      </w:r>
    </w:p>
    <w:p>
      <w:pPr>
        <w:pStyle w:val="22"/>
        <w:rPr>
          <w:szCs w:val="22"/>
        </w:rPr>
      </w:pPr>
      <w:r>
        <w:rPr>
          <w:rFonts w:hint="eastAsia"/>
          <w:szCs w:val="22"/>
        </w:rPr>
        <w:t>GB/T 223.43 钢铁及合金 钨含量的测定 重量法和分光光度法 钨量测定</w:t>
      </w:r>
    </w:p>
    <w:p>
      <w:pPr>
        <w:pStyle w:val="22"/>
        <w:rPr>
          <w:szCs w:val="22"/>
        </w:rPr>
      </w:pPr>
      <w:r>
        <w:rPr>
          <w:rFonts w:hint="eastAsia"/>
          <w:szCs w:val="22"/>
        </w:rPr>
        <w:t>GB/T 223.</w:t>
      </w:r>
      <w:r>
        <w:rPr>
          <w:rFonts w:hint="eastAsia"/>
          <w:szCs w:val="22"/>
          <w:lang w:val="en-US" w:eastAsia="zh-CN"/>
        </w:rPr>
        <w:t>59</w:t>
      </w:r>
      <w:r>
        <w:rPr>
          <w:rFonts w:hint="eastAsia"/>
          <w:szCs w:val="22"/>
        </w:rPr>
        <w:t xml:space="preserve"> 钢铁及合金化学分析方法 磷钼酸铵容量法 磷量测定 </w:t>
      </w:r>
    </w:p>
    <w:p>
      <w:pPr>
        <w:pStyle w:val="22"/>
        <w:rPr>
          <w:szCs w:val="22"/>
        </w:rPr>
      </w:pPr>
      <w:r>
        <w:rPr>
          <w:rFonts w:hint="eastAsia"/>
          <w:szCs w:val="22"/>
        </w:rPr>
        <w:t>GB/T 223.64 钢铁及合金 锰含量的测定 火焰原子吸收光谱法 锰量测定</w:t>
      </w:r>
    </w:p>
    <w:p>
      <w:pPr>
        <w:pStyle w:val="22"/>
        <w:rPr>
          <w:szCs w:val="22"/>
        </w:rPr>
      </w:pPr>
      <w:r>
        <w:rPr>
          <w:rFonts w:hint="eastAsia"/>
          <w:szCs w:val="22"/>
        </w:rPr>
        <w:t xml:space="preserve">GB/T 223.70 钢铁及合金 铁含量的测定 邻二氮杂菲分光光度法 铁量测定  </w:t>
      </w:r>
    </w:p>
    <w:p>
      <w:pPr>
        <w:pStyle w:val="22"/>
        <w:rPr>
          <w:rFonts w:hint="eastAsia"/>
          <w:szCs w:val="22"/>
        </w:rPr>
      </w:pPr>
      <w:r>
        <w:rPr>
          <w:rFonts w:hint="eastAsia"/>
          <w:szCs w:val="22"/>
        </w:rPr>
        <w:t xml:space="preserve">GB/T 1479.1 金属粉末松装密度的测定 第1部分：漏斗法 </w:t>
      </w:r>
    </w:p>
    <w:p>
      <w:pPr>
        <w:pStyle w:val="22"/>
        <w:rPr>
          <w:rFonts w:hint="eastAsia"/>
          <w:szCs w:val="22"/>
        </w:rPr>
      </w:pPr>
      <w:r>
        <w:rPr>
          <w:rFonts w:hint="eastAsia" w:ascii="宋体" w:hAnsi="宋体" w:eastAsia="宋体" w:cs="宋体"/>
          <w:szCs w:val="22"/>
        </w:rPr>
        <w:t xml:space="preserve">GB/T </w:t>
      </w:r>
      <w:r>
        <w:rPr>
          <w:rFonts w:hint="eastAsia" w:ascii="宋体" w:hAnsi="宋体" w:eastAsia="宋体" w:cs="宋体"/>
          <w:szCs w:val="22"/>
          <w:lang w:val="en-US" w:eastAsia="zh-CN"/>
        </w:rPr>
        <w:t>5162</w:t>
      </w:r>
      <w:r>
        <w:rPr>
          <w:rFonts w:hint="eastAsia" w:hAnsi="宋体" w:cs="宋体"/>
          <w:szCs w:val="22"/>
          <w:lang w:val="en-US" w:eastAsia="zh-CN"/>
        </w:rPr>
        <w:t xml:space="preserve">  金属粉末 振实密度的测定</w:t>
      </w:r>
    </w:p>
    <w:p>
      <w:pPr>
        <w:pStyle w:val="22"/>
        <w:rPr>
          <w:szCs w:val="22"/>
        </w:rPr>
      </w:pPr>
      <w:r>
        <w:rPr>
          <w:rFonts w:hint="eastAsia"/>
          <w:szCs w:val="22"/>
        </w:rPr>
        <w:t xml:space="preserve">GB/T 1482 金属粉末流动性的测定标准漏斗法（霍尔流速计） </w:t>
      </w:r>
    </w:p>
    <w:p>
      <w:pPr>
        <w:pStyle w:val="22"/>
        <w:rPr>
          <w:szCs w:val="22"/>
        </w:rPr>
      </w:pPr>
      <w:r>
        <w:rPr>
          <w:rFonts w:hint="eastAsia"/>
          <w:szCs w:val="22"/>
        </w:rPr>
        <w:t>GB/T 5314 粉末冶金用粉末 取样方法</w:t>
      </w:r>
    </w:p>
    <w:p>
      <w:pPr>
        <w:pStyle w:val="22"/>
        <w:rPr>
          <w:szCs w:val="22"/>
        </w:rPr>
      </w:pPr>
      <w:r>
        <w:rPr>
          <w:rFonts w:hint="eastAsia"/>
          <w:szCs w:val="22"/>
        </w:rPr>
        <w:t xml:space="preserve">GB/T 14265 金属材料中氧、氮、碳和硫分析方法通则 </w:t>
      </w:r>
    </w:p>
    <w:p>
      <w:pPr>
        <w:pStyle w:val="22"/>
        <w:rPr>
          <w:rFonts w:hint="default" w:eastAsia="宋体"/>
          <w:szCs w:val="22"/>
          <w:lang w:val="en-US" w:eastAsia="zh-CN"/>
        </w:rPr>
      </w:pPr>
      <w:r>
        <w:rPr>
          <w:rFonts w:hint="eastAsia"/>
          <w:szCs w:val="22"/>
        </w:rPr>
        <w:t xml:space="preserve">GB/T </w:t>
      </w:r>
      <w:r>
        <w:rPr>
          <w:rFonts w:hint="eastAsia"/>
          <w:szCs w:val="22"/>
          <w:lang w:val="en-US" w:eastAsia="zh-CN"/>
        </w:rPr>
        <w:t>223.20 钢铁及合金化学分析方法 电位滴定法测定钴量</w:t>
      </w:r>
    </w:p>
    <w:p>
      <w:pPr>
        <w:pStyle w:val="22"/>
        <w:rPr>
          <w:szCs w:val="22"/>
        </w:rPr>
      </w:pPr>
      <w:r>
        <w:rPr>
          <w:rFonts w:hint="eastAsia"/>
          <w:szCs w:val="22"/>
        </w:rPr>
        <w:t xml:space="preserve">GB/T 19077.1 粒度分析 激光衍射法 第1部分：通则 </w:t>
      </w:r>
    </w:p>
    <w:p>
      <w:pPr>
        <w:pStyle w:val="42"/>
        <w:spacing w:before="312" w:after="312"/>
      </w:pPr>
      <w:r>
        <w:rPr>
          <w:rFonts w:hint="eastAsia"/>
        </w:rPr>
        <w:t>要求</w:t>
      </w:r>
    </w:p>
    <w:p>
      <w:pPr>
        <w:pStyle w:val="39"/>
        <w:spacing w:before="156" w:after="156"/>
      </w:pPr>
      <w:r>
        <w:rPr>
          <w:rFonts w:hint="eastAsia"/>
        </w:rPr>
        <w:t>化学成分</w:t>
      </w:r>
    </w:p>
    <w:p>
      <w:pPr>
        <w:pStyle w:val="22"/>
        <w:rPr>
          <w:rFonts w:hAnsi="宋体"/>
        </w:rPr>
      </w:pPr>
      <w:r>
        <w:rPr>
          <w:rFonts w:hint="eastAsia"/>
        </w:rPr>
        <w:t>产品的化学成分</w:t>
      </w:r>
      <w:r>
        <w:rPr>
          <w:rFonts w:hint="eastAsia" w:hAnsi="宋体"/>
        </w:rPr>
        <w:t>应符合表</w:t>
      </w:r>
      <w:r>
        <w:rPr>
          <w:rFonts w:hint="eastAsia" w:hAnsi="宋体"/>
          <w:lang w:val="en-US" w:eastAsia="zh-CN"/>
        </w:rPr>
        <w:t>1</w:t>
      </w:r>
      <w:r>
        <w:rPr>
          <w:rFonts w:hint="eastAsia" w:hAnsi="宋体"/>
        </w:rPr>
        <w:t>的规定。</w:t>
      </w:r>
    </w:p>
    <w:p>
      <w:pPr>
        <w:pStyle w:val="123"/>
        <w:numPr>
          <w:ilvl w:val="0"/>
          <w:numId w:val="0"/>
        </w:numPr>
        <w:spacing w:before="156" w:after="156"/>
        <w:jc w:val="center"/>
      </w:pPr>
      <w:r>
        <w:rPr>
          <w:rFonts w:hint="eastAsia" w:hAnsi="宋体"/>
        </w:rPr>
        <w:t xml:space="preserve">表1   </w:t>
      </w:r>
      <w:r>
        <w:rPr>
          <w:rFonts w:hint="eastAsia"/>
        </w:rPr>
        <w:t xml:space="preserve">产品的化学成分 </w:t>
      </w:r>
    </w:p>
    <w:tbl>
      <w:tblPr>
        <w:tblStyle w:val="31"/>
        <w:tblW w:w="9017" w:type="dxa"/>
        <w:jc w:val="center"/>
        <w:tblInd w:w="-4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658"/>
        <w:gridCol w:w="755"/>
        <w:gridCol w:w="615"/>
        <w:gridCol w:w="606"/>
        <w:gridCol w:w="594"/>
        <w:gridCol w:w="630"/>
        <w:gridCol w:w="675"/>
        <w:gridCol w:w="585"/>
        <w:gridCol w:w="630"/>
        <w:gridCol w:w="705"/>
        <w:gridCol w:w="690"/>
        <w:gridCol w:w="721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2" w:type="dxa"/>
            <w:vMerge w:val="restart"/>
            <w:noWrap w:val="0"/>
            <w:vAlign w:val="center"/>
          </w:tcPr>
          <w:p>
            <w:pPr>
              <w:pStyle w:val="22"/>
              <w:spacing w:line="360" w:lineRule="auto"/>
              <w:ind w:left="0" w:leftChars="0" w:firstLine="0" w:firstLineChars="0"/>
              <w:jc w:val="center"/>
              <w:rPr>
                <w:rFonts w:hint="eastAsia" w:eastAsia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牌号</w:t>
            </w:r>
          </w:p>
        </w:tc>
        <w:tc>
          <w:tcPr>
            <w:tcW w:w="7865" w:type="dxa"/>
            <w:gridSpan w:val="13"/>
            <w:noWrap w:val="0"/>
            <w:vAlign w:val="center"/>
          </w:tcPr>
          <w:p>
            <w:pPr>
              <w:pStyle w:val="22"/>
              <w:spacing w:line="360" w:lineRule="auto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化学成分(质量分数)/%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jc w:val="center"/>
        </w:trPr>
        <w:tc>
          <w:tcPr>
            <w:tcW w:w="1152" w:type="dxa"/>
            <w:vMerge w:val="continue"/>
            <w:noWrap w:val="0"/>
            <w:vAlign w:val="center"/>
          </w:tcPr>
          <w:p>
            <w:pPr>
              <w:pStyle w:val="22"/>
              <w:spacing w:line="360" w:lineRule="auto"/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3228" w:type="dxa"/>
            <w:gridSpan w:val="5"/>
            <w:noWrap w:val="0"/>
            <w:vAlign w:val="center"/>
          </w:tcPr>
          <w:p>
            <w:pPr>
              <w:pStyle w:val="22"/>
              <w:spacing w:line="360" w:lineRule="auto"/>
              <w:jc w:val="center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主要成分</w:t>
            </w:r>
          </w:p>
        </w:tc>
        <w:tc>
          <w:tcPr>
            <w:tcW w:w="4636" w:type="dxa"/>
            <w:gridSpan w:val="7"/>
            <w:noWrap w:val="0"/>
            <w:vAlign w:val="center"/>
          </w:tcPr>
          <w:p>
            <w:pPr>
              <w:pStyle w:val="22"/>
              <w:spacing w:line="360" w:lineRule="auto"/>
              <w:jc w:val="center"/>
              <w:rPr>
                <w:rFonts w:hint="eastAsia" w:eastAsia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杂质元素，不大于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jc w:val="center"/>
        </w:trPr>
        <w:tc>
          <w:tcPr>
            <w:tcW w:w="1152" w:type="dxa"/>
            <w:vMerge w:val="continue"/>
            <w:noWrap w:val="0"/>
            <w:vAlign w:val="center"/>
          </w:tcPr>
          <w:p>
            <w:pPr>
              <w:pStyle w:val="22"/>
              <w:spacing w:line="360" w:lineRule="auto"/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pStyle w:val="22"/>
              <w:spacing w:line="360" w:lineRule="auto"/>
              <w:ind w:left="0" w:leftChars="0" w:firstLine="0" w:firstLineChars="0"/>
              <w:jc w:val="center"/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Co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pStyle w:val="22"/>
              <w:spacing w:line="360" w:lineRule="auto"/>
              <w:ind w:left="0" w:leftChars="0" w:firstLine="0" w:firstLineChars="0"/>
              <w:jc w:val="center"/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Cr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pStyle w:val="22"/>
              <w:spacing w:line="360" w:lineRule="auto"/>
              <w:ind w:left="0" w:leftChars="0" w:firstLine="0" w:firstLineChars="0"/>
              <w:jc w:val="center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W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pStyle w:val="22"/>
              <w:spacing w:line="360" w:lineRule="auto"/>
              <w:ind w:left="0" w:leftChars="0" w:firstLine="0" w:firstLineChars="0"/>
              <w:jc w:val="center"/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Mo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pStyle w:val="22"/>
              <w:spacing w:line="360" w:lineRule="auto"/>
              <w:ind w:left="0" w:leftChars="0" w:firstLine="0" w:firstLineChars="0"/>
              <w:jc w:val="center"/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Si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pStyle w:val="22"/>
              <w:spacing w:line="360" w:lineRule="auto"/>
              <w:ind w:left="0" w:leftChars="0" w:firstLine="0" w:firstLineChars="0"/>
              <w:jc w:val="center"/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Ni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pStyle w:val="22"/>
              <w:spacing w:line="360" w:lineRule="auto"/>
              <w:ind w:left="0" w:leftChars="0" w:firstLine="0" w:firstLineChars="0"/>
              <w:jc w:val="center"/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Fe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pStyle w:val="22"/>
              <w:spacing w:line="360" w:lineRule="auto"/>
              <w:ind w:left="0" w:leftChars="0" w:firstLine="0" w:firstLineChars="0"/>
              <w:jc w:val="center"/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Mn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pStyle w:val="22"/>
              <w:spacing w:line="360" w:lineRule="auto"/>
              <w:ind w:left="0" w:leftChars="0" w:firstLine="0" w:firstLineChars="0"/>
              <w:jc w:val="center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C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pStyle w:val="22"/>
              <w:spacing w:line="360" w:lineRule="auto"/>
              <w:ind w:left="0" w:leftChars="0" w:firstLine="0" w:firstLineChars="0"/>
              <w:jc w:val="center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P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pStyle w:val="22"/>
              <w:spacing w:line="360" w:lineRule="auto"/>
              <w:ind w:left="0" w:leftChars="0" w:firstLine="0" w:firstLineChars="0"/>
              <w:jc w:val="center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O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pStyle w:val="22"/>
              <w:spacing w:line="360" w:lineRule="auto"/>
              <w:ind w:left="0" w:leftChars="0" w:firstLine="0" w:firstLineChars="0"/>
              <w:jc w:val="center"/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jc w:val="center"/>
        </w:trPr>
        <w:tc>
          <w:tcPr>
            <w:tcW w:w="1152" w:type="dxa"/>
            <w:noWrap w:val="0"/>
            <w:vAlign w:val="center"/>
          </w:tcPr>
          <w:p>
            <w:pPr>
              <w:pStyle w:val="22"/>
              <w:spacing w:line="360" w:lineRule="auto"/>
              <w:ind w:left="0" w:leftChars="0" w:firstLine="0" w:firstLineChars="0"/>
              <w:jc w:val="center"/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Co-Cr-W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pStyle w:val="22"/>
              <w:spacing w:line="360" w:lineRule="auto"/>
              <w:ind w:left="0" w:leftChars="0" w:firstLine="0" w:firstLineChars="0"/>
              <w:jc w:val="center"/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余量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pStyle w:val="22"/>
              <w:spacing w:line="360" w:lineRule="auto"/>
              <w:ind w:left="0" w:leftChars="0" w:firstLine="0" w:firstLineChars="0"/>
              <w:jc w:val="center"/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26.0-30.0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pStyle w:val="22"/>
              <w:spacing w:line="360" w:lineRule="auto"/>
              <w:ind w:left="0" w:leftChars="0" w:firstLine="0" w:firstLineChars="0"/>
              <w:jc w:val="center"/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8.0-10.0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pStyle w:val="22"/>
              <w:spacing w:line="360" w:lineRule="auto"/>
              <w:ind w:left="0" w:leftChars="0" w:firstLine="0" w:firstLineChars="0"/>
              <w:jc w:val="center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-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pStyle w:val="22"/>
              <w:spacing w:line="360" w:lineRule="auto"/>
              <w:ind w:left="0" w:leftChars="0" w:firstLine="0" w:firstLineChars="0"/>
              <w:jc w:val="center"/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0.8-1.5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pStyle w:val="22"/>
              <w:spacing w:line="360" w:lineRule="auto"/>
              <w:ind w:left="0" w:leftChars="0" w:firstLine="0" w:firstLineChars="0"/>
              <w:jc w:val="center"/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0.3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pStyle w:val="22"/>
              <w:spacing w:line="360" w:lineRule="auto"/>
              <w:ind w:left="0" w:leftChars="0" w:firstLine="0" w:firstLineChars="0"/>
              <w:jc w:val="center"/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0.5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pStyle w:val="22"/>
              <w:spacing w:line="360" w:lineRule="auto"/>
              <w:ind w:left="0" w:leftChars="0" w:firstLine="0" w:firstLineChars="0"/>
              <w:jc w:val="center"/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0.3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pStyle w:val="22"/>
              <w:spacing w:line="360" w:lineRule="auto"/>
              <w:ind w:left="0" w:leftChars="0" w:firstLine="0" w:firstLineChars="0"/>
              <w:jc w:val="center"/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0.1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pStyle w:val="22"/>
              <w:spacing w:line="360" w:lineRule="auto"/>
              <w:ind w:left="0" w:leftChars="0" w:firstLine="0" w:firstLineChars="0"/>
              <w:jc w:val="center"/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0.03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pStyle w:val="22"/>
              <w:spacing w:line="360" w:lineRule="auto"/>
              <w:ind w:left="0" w:leftChars="0" w:firstLine="0" w:firstLineChars="0"/>
              <w:jc w:val="center"/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0.05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pStyle w:val="22"/>
              <w:spacing w:line="360" w:lineRule="auto"/>
              <w:ind w:left="0" w:leftChars="0" w:firstLine="0" w:firstLineChars="0"/>
              <w:jc w:val="center"/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jc w:val="center"/>
        </w:trPr>
        <w:tc>
          <w:tcPr>
            <w:tcW w:w="1152" w:type="dxa"/>
            <w:noWrap w:val="0"/>
            <w:vAlign w:val="center"/>
          </w:tcPr>
          <w:p>
            <w:pPr>
              <w:pStyle w:val="22"/>
              <w:spacing w:line="360" w:lineRule="auto"/>
              <w:ind w:left="0" w:leftChars="0" w:firstLine="0" w:firstLineChars="0"/>
              <w:jc w:val="center"/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Co-Cr-Mo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pStyle w:val="22"/>
              <w:spacing w:line="360" w:lineRule="auto"/>
              <w:ind w:left="0" w:leftChars="0" w:firstLine="0" w:firstLineChars="0"/>
              <w:jc w:val="center"/>
              <w:rPr>
                <w:rFonts w:hint="eastAsia" w:eastAsia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余量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pStyle w:val="22"/>
              <w:spacing w:line="360" w:lineRule="auto"/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26.0-30.0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pStyle w:val="22"/>
              <w:spacing w:line="360" w:lineRule="auto"/>
              <w:ind w:left="0" w:leftChars="0" w:firstLine="0" w:firstLineChars="0"/>
              <w:jc w:val="center"/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  <w:t>≤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0.2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pStyle w:val="22"/>
              <w:spacing w:line="360" w:lineRule="auto"/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4.0-7.0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pStyle w:val="22"/>
              <w:spacing w:line="360" w:lineRule="auto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  <w:t>≤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1.2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pStyle w:val="22"/>
              <w:spacing w:line="360" w:lineRule="auto"/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0.5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pStyle w:val="22"/>
              <w:spacing w:line="360" w:lineRule="auto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0.75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pStyle w:val="22"/>
              <w:spacing w:line="360" w:lineRule="auto"/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0.3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pStyle w:val="22"/>
              <w:spacing w:line="360" w:lineRule="auto"/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0.4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pStyle w:val="22"/>
              <w:spacing w:line="360" w:lineRule="auto"/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0.03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pStyle w:val="22"/>
              <w:spacing w:line="360" w:lineRule="auto"/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0.05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pStyle w:val="22"/>
              <w:spacing w:line="360" w:lineRule="auto"/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jc w:val="center"/>
        </w:trPr>
        <w:tc>
          <w:tcPr>
            <w:tcW w:w="1152" w:type="dxa"/>
            <w:noWrap w:val="0"/>
            <w:vAlign w:val="center"/>
          </w:tcPr>
          <w:p>
            <w:pPr>
              <w:pStyle w:val="22"/>
              <w:spacing w:line="360" w:lineRule="auto"/>
              <w:ind w:left="0" w:leftChars="0" w:firstLine="0" w:firstLineChars="0"/>
              <w:jc w:val="center"/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Co-Cr-W-Mo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pStyle w:val="22"/>
              <w:spacing w:line="360" w:lineRule="auto"/>
              <w:ind w:left="0" w:leftChars="0" w:firstLine="0" w:firstLineChars="0"/>
              <w:jc w:val="center"/>
              <w:rPr>
                <w:rFonts w:hint="eastAsia" w:eastAsia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余量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pStyle w:val="22"/>
              <w:spacing w:line="360" w:lineRule="auto"/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26.0-30.0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pStyle w:val="22"/>
              <w:spacing w:line="360" w:lineRule="auto"/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4.0-7.0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pStyle w:val="22"/>
              <w:spacing w:line="360" w:lineRule="auto"/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4.0-7.0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pStyle w:val="22"/>
              <w:spacing w:line="360" w:lineRule="auto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  <w:t>≤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1.2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pStyle w:val="22"/>
              <w:spacing w:line="360" w:lineRule="auto"/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0.5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pStyle w:val="22"/>
              <w:spacing w:line="360" w:lineRule="auto"/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0.5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pStyle w:val="22"/>
              <w:spacing w:line="360" w:lineRule="auto"/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0.3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pStyle w:val="22"/>
              <w:spacing w:line="360" w:lineRule="auto"/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0.1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pStyle w:val="22"/>
              <w:spacing w:line="360" w:lineRule="auto"/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0.03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pStyle w:val="22"/>
              <w:spacing w:line="360" w:lineRule="auto"/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0.05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pStyle w:val="22"/>
              <w:spacing w:line="360" w:lineRule="auto"/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jc w:val="center"/>
        </w:trPr>
        <w:tc>
          <w:tcPr>
            <w:tcW w:w="9016" w:type="dxa"/>
            <w:gridSpan w:val="13"/>
            <w:noWrap w:val="0"/>
            <w:vAlign w:val="center"/>
          </w:tcPr>
          <w:p>
            <w:pPr>
              <w:pStyle w:val="22"/>
              <w:spacing w:line="360" w:lineRule="auto"/>
              <w:ind w:left="0" w:leftChars="0" w:firstLine="0" w:firstLineChars="0"/>
              <w:jc w:val="left"/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  <w:t>注：产品的化学成分可根据用户的特殊要求进行调整。</w:t>
            </w:r>
          </w:p>
        </w:tc>
      </w:tr>
    </w:tbl>
    <w:p>
      <w:pPr>
        <w:pStyle w:val="22"/>
        <w:rPr>
          <w:rFonts w:hAnsi="宋体"/>
        </w:rPr>
      </w:pPr>
    </w:p>
    <w:p>
      <w:pPr>
        <w:pStyle w:val="39"/>
        <w:spacing w:before="156" w:after="156"/>
      </w:pPr>
      <w:r>
        <w:rPr>
          <w:rFonts w:hint="eastAsia"/>
          <w:lang w:eastAsia="zh-CN"/>
        </w:rPr>
        <w:t>粒度</w:t>
      </w:r>
    </w:p>
    <w:p>
      <w:pPr>
        <w:pStyle w:val="22"/>
        <w:rPr>
          <w:rFonts w:hint="eastAsia" w:hAnsi="宋体" w:cs="宋体"/>
          <w:lang w:val="en-US" w:eastAsia="zh-CN"/>
        </w:rPr>
      </w:pPr>
      <w:r>
        <w:rPr>
          <w:rFonts w:hint="eastAsia"/>
          <w:lang w:eastAsia="zh-CN"/>
        </w:rPr>
        <w:t>产品按用途分为</w:t>
      </w:r>
      <w:r>
        <w:rPr>
          <w:rFonts w:hint="eastAsia" w:ascii="宋体" w:hAnsi="宋体" w:eastAsia="宋体" w:cs="宋体"/>
          <w:lang w:eastAsia="zh-CN"/>
        </w:rPr>
        <w:t>Ⅲ</w:t>
      </w:r>
      <w:r>
        <w:rPr>
          <w:rFonts w:hint="eastAsia" w:hAnsi="宋体" w:cs="宋体"/>
          <w:lang w:eastAsia="zh-CN"/>
        </w:rPr>
        <w:t>类，其粒度应符合表</w:t>
      </w:r>
      <w:r>
        <w:rPr>
          <w:rFonts w:hint="eastAsia" w:hAnsi="宋体" w:cs="宋体"/>
          <w:lang w:val="en-US" w:eastAsia="zh-CN"/>
        </w:rPr>
        <w:t>2的规定。</w:t>
      </w:r>
    </w:p>
    <w:p>
      <w:pPr>
        <w:pStyle w:val="22"/>
        <w:jc w:val="center"/>
        <w:rPr>
          <w:rFonts w:hint="default" w:hAnsi="宋体" w:cs="宋体"/>
          <w:lang w:val="en-US" w:eastAsia="zh-CN"/>
        </w:rPr>
      </w:pPr>
      <w:r>
        <w:rPr>
          <w:rFonts w:hint="eastAsia" w:hAnsi="宋体" w:cs="宋体"/>
          <w:lang w:val="en-US" w:eastAsia="zh-CN"/>
        </w:rPr>
        <w:t>表2 产品的粒度</w:t>
      </w:r>
    </w:p>
    <w:tbl>
      <w:tblPr>
        <w:tblStyle w:val="31"/>
        <w:tblW w:w="95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080"/>
        <w:gridCol w:w="3195"/>
        <w:gridCol w:w="1110"/>
        <w:gridCol w:w="3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  <w:vAlign w:val="center"/>
          </w:tcPr>
          <w:p>
            <w:pPr>
              <w:pStyle w:val="22"/>
              <w:ind w:left="0" w:leftChars="0" w:firstLine="0" w:firstLineChars="0"/>
              <w:jc w:val="center"/>
              <w:rPr>
                <w:rFonts w:hint="default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18"/>
                <w:szCs w:val="18"/>
                <w:vertAlign w:val="baseline"/>
                <w:lang w:val="en-US" w:eastAsia="zh-CN"/>
              </w:rPr>
              <w:t>分类</w:t>
            </w:r>
          </w:p>
        </w:tc>
        <w:tc>
          <w:tcPr>
            <w:tcW w:w="1080" w:type="dxa"/>
            <w:vAlign w:val="center"/>
          </w:tcPr>
          <w:p>
            <w:pPr>
              <w:pStyle w:val="22"/>
              <w:ind w:left="0" w:leftChars="0" w:firstLine="0" w:firstLineChars="0"/>
              <w:jc w:val="center"/>
              <w:rPr>
                <w:rFonts w:hint="default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18"/>
                <w:szCs w:val="18"/>
                <w:vertAlign w:val="baseline"/>
                <w:lang w:val="en-US" w:eastAsia="zh-CN"/>
              </w:rPr>
              <w:t>粒度范围</w:t>
            </w:r>
          </w:p>
        </w:tc>
        <w:tc>
          <w:tcPr>
            <w:tcW w:w="3195" w:type="dxa"/>
            <w:vAlign w:val="center"/>
          </w:tcPr>
          <w:p>
            <w:pPr>
              <w:pStyle w:val="22"/>
              <w:jc w:val="center"/>
              <w:rPr>
                <w:rFonts w:hint="default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18"/>
                <w:szCs w:val="18"/>
                <w:vertAlign w:val="baseline"/>
                <w:lang w:val="en-US" w:eastAsia="zh-CN"/>
              </w:rPr>
              <w:t>粒度组成</w:t>
            </w:r>
          </w:p>
        </w:tc>
        <w:tc>
          <w:tcPr>
            <w:tcW w:w="1110" w:type="dxa"/>
            <w:vAlign w:val="center"/>
          </w:tcPr>
          <w:p>
            <w:pPr>
              <w:pStyle w:val="22"/>
              <w:ind w:left="0" w:leftChars="0" w:firstLine="0" w:firstLineChars="0"/>
              <w:jc w:val="center"/>
              <w:rPr>
                <w:rFonts w:hint="default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18"/>
                <w:szCs w:val="18"/>
                <w:vertAlign w:val="baseline"/>
                <w:lang w:val="en-US" w:eastAsia="zh-CN"/>
              </w:rPr>
              <w:t>D</w:t>
            </w:r>
            <w:r>
              <w:rPr>
                <w:rFonts w:hint="eastAsia" w:hAnsi="宋体" w:cs="宋体"/>
                <w:sz w:val="18"/>
                <w:szCs w:val="18"/>
                <w:vertAlign w:val="subscript"/>
                <w:lang w:val="en-US" w:eastAsia="zh-CN"/>
              </w:rPr>
              <w:t>50</w:t>
            </w:r>
          </w:p>
        </w:tc>
        <w:tc>
          <w:tcPr>
            <w:tcW w:w="3531" w:type="dxa"/>
            <w:vAlign w:val="center"/>
          </w:tcPr>
          <w:p>
            <w:pPr>
              <w:pStyle w:val="22"/>
              <w:ind w:left="0" w:leftChars="0" w:firstLine="0" w:firstLineChars="0"/>
              <w:jc w:val="center"/>
              <w:rPr>
                <w:rFonts w:hint="default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18"/>
                <w:szCs w:val="18"/>
                <w:vertAlign w:val="baseline"/>
                <w:lang w:val="en-US" w:eastAsia="zh-CN"/>
              </w:rPr>
              <w:t>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  <w:vAlign w:val="center"/>
          </w:tcPr>
          <w:p>
            <w:pPr>
              <w:pStyle w:val="2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Ⅰ</w:t>
            </w:r>
          </w:p>
        </w:tc>
        <w:tc>
          <w:tcPr>
            <w:tcW w:w="1080" w:type="dxa"/>
            <w:vAlign w:val="center"/>
          </w:tcPr>
          <w:p>
            <w:pPr>
              <w:pStyle w:val="22"/>
              <w:ind w:left="0" w:leftChars="0" w:firstLine="0" w:firstLineChars="0"/>
              <w:jc w:val="center"/>
              <w:rPr>
                <w:rFonts w:hint="default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18"/>
                <w:szCs w:val="18"/>
                <w:vertAlign w:val="baseli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~</w:t>
            </w:r>
            <w:r>
              <w:rPr>
                <w:rFonts w:hint="eastAsia" w:hAnsi="宋体" w:cs="宋体"/>
                <w:sz w:val="18"/>
                <w:szCs w:val="18"/>
                <w:vertAlign w:val="baseline"/>
                <w:lang w:val="en-US" w:eastAsia="zh-CN"/>
              </w:rPr>
              <w:t>63</w:t>
            </w:r>
            <w:r>
              <w:rPr>
                <w:rFonts w:hint="default" w:ascii="Calibri" w:hAnsi="Calibri" w:cs="Calibri"/>
                <w:sz w:val="18"/>
                <w:szCs w:val="18"/>
                <w:vertAlign w:val="baseline"/>
                <w:lang w:val="en-US" w:eastAsia="zh-CN"/>
              </w:rPr>
              <w:t>μ</w:t>
            </w:r>
            <w:r>
              <w:rPr>
                <w:rFonts w:hint="eastAsia" w:hAnsi="宋体" w:cs="宋体"/>
                <w:sz w:val="18"/>
                <w:szCs w:val="18"/>
                <w:vertAlign w:val="baseline"/>
                <w:lang w:val="en-US" w:eastAsia="zh-CN"/>
              </w:rPr>
              <w:t>m</w:t>
            </w:r>
          </w:p>
        </w:tc>
        <w:tc>
          <w:tcPr>
            <w:tcW w:w="3195" w:type="dxa"/>
            <w:vAlign w:val="center"/>
          </w:tcPr>
          <w:p>
            <w:pPr>
              <w:pStyle w:val="22"/>
              <w:ind w:left="0" w:leftChars="0" w:firstLine="0" w:firstLineChars="0"/>
              <w:jc w:val="center"/>
              <w:rPr>
                <w:rFonts w:hint="default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&gt;</w:t>
            </w:r>
            <w:r>
              <w:rPr>
                <w:rFonts w:hint="eastAsia" w:hAnsi="宋体" w:cs="宋体"/>
                <w:sz w:val="18"/>
                <w:szCs w:val="18"/>
                <w:vertAlign w:val="baseline"/>
                <w:lang w:val="en-US" w:eastAsia="zh-CN"/>
              </w:rPr>
              <w:t>63</w:t>
            </w:r>
            <w:r>
              <w:rPr>
                <w:rFonts w:hint="default" w:ascii="Calibri" w:hAnsi="Calibri" w:cs="Calibri"/>
                <w:sz w:val="18"/>
                <w:szCs w:val="18"/>
                <w:vertAlign w:val="baseline"/>
                <w:lang w:val="en-US" w:eastAsia="zh-CN"/>
              </w:rPr>
              <w:t>μ</w:t>
            </w:r>
            <w:r>
              <w:rPr>
                <w:rFonts w:hint="eastAsia" w:hAnsi="宋体" w:cs="宋体"/>
                <w:sz w:val="18"/>
                <w:szCs w:val="18"/>
                <w:vertAlign w:val="baseline"/>
                <w:lang w:val="en-US" w:eastAsia="zh-CN"/>
              </w:rPr>
              <w:t>m不大于5%</w:t>
            </w:r>
          </w:p>
        </w:tc>
        <w:tc>
          <w:tcPr>
            <w:tcW w:w="1110" w:type="dxa"/>
            <w:vAlign w:val="center"/>
          </w:tcPr>
          <w:p>
            <w:pPr>
              <w:pStyle w:val="22"/>
              <w:ind w:left="0" w:leftChars="0" w:firstLine="0" w:firstLineChars="0"/>
              <w:jc w:val="center"/>
              <w:rPr>
                <w:rFonts w:hint="default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18"/>
                <w:szCs w:val="18"/>
                <w:vertAlign w:val="baseline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~</w:t>
            </w:r>
            <w:r>
              <w:rPr>
                <w:rFonts w:hint="eastAsia" w:hAnsi="宋体" w:cs="宋体"/>
                <w:sz w:val="18"/>
                <w:szCs w:val="18"/>
                <w:vertAlign w:val="baseline"/>
                <w:lang w:val="en-US" w:eastAsia="zh-CN"/>
              </w:rPr>
              <w:t>45</w:t>
            </w:r>
            <w:r>
              <w:rPr>
                <w:rFonts w:hint="default" w:ascii="Calibri" w:hAnsi="Calibri" w:cs="Calibri"/>
                <w:sz w:val="18"/>
                <w:szCs w:val="18"/>
                <w:vertAlign w:val="baseline"/>
                <w:lang w:val="en-US" w:eastAsia="zh-CN"/>
              </w:rPr>
              <w:t>μ</w:t>
            </w:r>
            <w:r>
              <w:rPr>
                <w:rFonts w:hint="eastAsia" w:hAnsi="宋体" w:cs="宋体"/>
                <w:sz w:val="18"/>
                <w:szCs w:val="18"/>
                <w:vertAlign w:val="baseline"/>
                <w:lang w:val="en-US" w:eastAsia="zh-CN"/>
              </w:rPr>
              <w:t>m</w:t>
            </w:r>
          </w:p>
        </w:tc>
        <w:tc>
          <w:tcPr>
            <w:tcW w:w="3531" w:type="dxa"/>
            <w:vAlign w:val="center"/>
          </w:tcPr>
          <w:p>
            <w:pPr>
              <w:pStyle w:val="22"/>
              <w:ind w:left="0" w:leftChars="0" w:firstLine="0" w:firstLineChars="0"/>
              <w:jc w:val="center"/>
              <w:rPr>
                <w:rFonts w:hint="default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18"/>
                <w:szCs w:val="18"/>
                <w:vertAlign w:val="baseline"/>
                <w:lang w:val="en-US" w:eastAsia="zh-CN"/>
              </w:rPr>
              <w:t>适用于粉末床熔融选区激光增材制造领域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  <w:vAlign w:val="center"/>
          </w:tcPr>
          <w:p>
            <w:pPr>
              <w:pStyle w:val="2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Ⅱ</w:t>
            </w:r>
          </w:p>
        </w:tc>
        <w:tc>
          <w:tcPr>
            <w:tcW w:w="1080" w:type="dxa"/>
            <w:vAlign w:val="center"/>
          </w:tcPr>
          <w:p>
            <w:pPr>
              <w:pStyle w:val="22"/>
              <w:ind w:left="0" w:leftChars="0" w:firstLine="0" w:firstLineChars="0"/>
              <w:jc w:val="center"/>
              <w:rPr>
                <w:rFonts w:hint="default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18"/>
                <w:szCs w:val="18"/>
                <w:vertAlign w:val="baseline"/>
                <w:lang w:val="en-US" w:eastAsia="zh-CN"/>
              </w:rPr>
              <w:t>45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~</w:t>
            </w:r>
            <w:r>
              <w:rPr>
                <w:rFonts w:hint="eastAsia" w:hAnsi="宋体" w:cs="宋体"/>
                <w:sz w:val="18"/>
                <w:szCs w:val="18"/>
                <w:vertAlign w:val="baseline"/>
                <w:lang w:val="en-US" w:eastAsia="zh-CN"/>
              </w:rPr>
              <w:t>150</w:t>
            </w:r>
            <w:r>
              <w:rPr>
                <w:rFonts w:hint="default" w:ascii="Calibri" w:hAnsi="Calibri" w:cs="Calibri"/>
                <w:sz w:val="18"/>
                <w:szCs w:val="18"/>
                <w:vertAlign w:val="baseline"/>
                <w:lang w:val="en-US" w:eastAsia="zh-CN"/>
              </w:rPr>
              <w:t>μ</w:t>
            </w:r>
            <w:r>
              <w:rPr>
                <w:rFonts w:hint="eastAsia" w:hAnsi="宋体" w:cs="宋体"/>
                <w:sz w:val="18"/>
                <w:szCs w:val="18"/>
                <w:vertAlign w:val="baseline"/>
                <w:lang w:val="en-US" w:eastAsia="zh-CN"/>
              </w:rPr>
              <w:t>m</w:t>
            </w:r>
          </w:p>
        </w:tc>
        <w:tc>
          <w:tcPr>
            <w:tcW w:w="3195" w:type="dxa"/>
            <w:vAlign w:val="center"/>
          </w:tcPr>
          <w:p>
            <w:pPr>
              <w:pStyle w:val="22"/>
              <w:ind w:left="0" w:leftChars="0" w:firstLine="0" w:firstLineChars="0"/>
              <w:jc w:val="center"/>
              <w:rPr>
                <w:rFonts w:hint="default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  <w:t>≤</w:t>
            </w:r>
            <w:r>
              <w:rPr>
                <w:rFonts w:hint="eastAsia" w:hAnsi="宋体" w:cs="宋体"/>
                <w:sz w:val="18"/>
                <w:szCs w:val="18"/>
                <w:vertAlign w:val="baseline"/>
                <w:lang w:val="en-US" w:eastAsia="zh-CN"/>
              </w:rPr>
              <w:t>45</w:t>
            </w:r>
            <w:r>
              <w:rPr>
                <w:rFonts w:hint="default" w:ascii="Calibri" w:hAnsi="Calibri" w:cs="Calibri"/>
                <w:sz w:val="18"/>
                <w:szCs w:val="18"/>
                <w:vertAlign w:val="baseline"/>
                <w:lang w:val="en-US" w:eastAsia="zh-CN"/>
              </w:rPr>
              <w:t>μ</w:t>
            </w:r>
            <w:r>
              <w:rPr>
                <w:rFonts w:hint="eastAsia" w:hAnsi="宋体" w:cs="宋体"/>
                <w:sz w:val="18"/>
                <w:szCs w:val="18"/>
                <w:vertAlign w:val="baseline"/>
                <w:lang w:val="en-US" w:eastAsia="zh-CN"/>
              </w:rPr>
              <w:t>m不大于5%，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&gt;</w:t>
            </w:r>
            <w:r>
              <w:rPr>
                <w:rFonts w:hint="eastAsia" w:hAnsi="宋体" w:cs="宋体"/>
                <w:sz w:val="18"/>
                <w:szCs w:val="18"/>
                <w:vertAlign w:val="baseline"/>
                <w:lang w:val="en-US" w:eastAsia="zh-CN"/>
              </w:rPr>
              <w:t>150</w:t>
            </w:r>
            <w:r>
              <w:rPr>
                <w:rFonts w:hint="default" w:ascii="Calibri" w:hAnsi="Calibri" w:cs="Calibri"/>
                <w:sz w:val="18"/>
                <w:szCs w:val="18"/>
                <w:vertAlign w:val="baseline"/>
                <w:lang w:val="en-US" w:eastAsia="zh-CN"/>
              </w:rPr>
              <w:t>μ</w:t>
            </w:r>
            <w:r>
              <w:rPr>
                <w:rFonts w:hint="eastAsia" w:hAnsi="宋体" w:cs="宋体"/>
                <w:sz w:val="18"/>
                <w:szCs w:val="18"/>
                <w:vertAlign w:val="baseline"/>
                <w:lang w:val="en-US" w:eastAsia="zh-CN"/>
              </w:rPr>
              <w:t>m不大于5%</w:t>
            </w:r>
          </w:p>
        </w:tc>
        <w:tc>
          <w:tcPr>
            <w:tcW w:w="1110" w:type="dxa"/>
            <w:vAlign w:val="center"/>
          </w:tcPr>
          <w:p>
            <w:pPr>
              <w:pStyle w:val="22"/>
              <w:ind w:left="0" w:leftChars="0" w:firstLine="0" w:firstLineChars="0"/>
              <w:jc w:val="center"/>
              <w:rPr>
                <w:rFonts w:hint="default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18"/>
                <w:szCs w:val="18"/>
                <w:vertAlign w:val="baseline"/>
                <w:lang w:val="en-US" w:eastAsia="zh-CN"/>
              </w:rPr>
              <w:t>63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~</w:t>
            </w:r>
            <w:r>
              <w:rPr>
                <w:rFonts w:hint="eastAsia" w:hAnsi="宋体" w:cs="宋体"/>
                <w:sz w:val="18"/>
                <w:szCs w:val="18"/>
                <w:vertAlign w:val="baseline"/>
                <w:lang w:val="en-US" w:eastAsia="zh-CN"/>
              </w:rPr>
              <w:t>105</w:t>
            </w:r>
            <w:r>
              <w:rPr>
                <w:rFonts w:hint="default" w:ascii="Calibri" w:hAnsi="Calibri" w:cs="Calibri"/>
                <w:sz w:val="18"/>
                <w:szCs w:val="18"/>
                <w:vertAlign w:val="baseline"/>
                <w:lang w:val="en-US" w:eastAsia="zh-CN"/>
              </w:rPr>
              <w:t>μ</w:t>
            </w:r>
            <w:r>
              <w:rPr>
                <w:rFonts w:hint="eastAsia" w:hAnsi="宋体" w:cs="宋体"/>
                <w:sz w:val="18"/>
                <w:szCs w:val="18"/>
                <w:vertAlign w:val="baseline"/>
                <w:lang w:val="en-US" w:eastAsia="zh-CN"/>
              </w:rPr>
              <w:t>m</w:t>
            </w:r>
          </w:p>
        </w:tc>
        <w:tc>
          <w:tcPr>
            <w:tcW w:w="3531" w:type="dxa"/>
            <w:vAlign w:val="center"/>
          </w:tcPr>
          <w:p>
            <w:pPr>
              <w:pStyle w:val="22"/>
              <w:ind w:left="0" w:leftChars="0" w:firstLine="0" w:firstLineChars="0"/>
              <w:jc w:val="center"/>
              <w:rPr>
                <w:rFonts w:hint="default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18"/>
                <w:szCs w:val="18"/>
                <w:vertAlign w:val="baseline"/>
                <w:lang w:val="en-US" w:eastAsia="zh-CN"/>
              </w:rPr>
              <w:t>适用于粉末床熔融电子束增材制造领域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  <w:vAlign w:val="center"/>
          </w:tcPr>
          <w:p>
            <w:pPr>
              <w:pStyle w:val="22"/>
              <w:ind w:left="0" w:leftChars="0" w:firstLine="0" w:firstLineChars="0"/>
              <w:jc w:val="center"/>
              <w:rPr>
                <w:rFonts w:hint="default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Ⅲ</w:t>
            </w:r>
          </w:p>
        </w:tc>
        <w:tc>
          <w:tcPr>
            <w:tcW w:w="1080" w:type="dxa"/>
            <w:vAlign w:val="center"/>
          </w:tcPr>
          <w:p>
            <w:pPr>
              <w:pStyle w:val="22"/>
              <w:ind w:left="0" w:leftChars="0" w:firstLine="0" w:firstLineChars="0"/>
              <w:jc w:val="center"/>
              <w:rPr>
                <w:rFonts w:hint="default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18"/>
                <w:szCs w:val="18"/>
                <w:vertAlign w:val="baseline"/>
                <w:lang w:val="en-US" w:eastAsia="zh-CN"/>
              </w:rPr>
              <w:t>45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~</w:t>
            </w:r>
            <w:r>
              <w:rPr>
                <w:rFonts w:hint="eastAsia" w:hAnsi="宋体" w:cs="宋体"/>
                <w:sz w:val="18"/>
                <w:szCs w:val="18"/>
                <w:vertAlign w:val="baseline"/>
                <w:lang w:val="en-US" w:eastAsia="zh-CN"/>
              </w:rPr>
              <w:t>180</w:t>
            </w:r>
            <w:r>
              <w:rPr>
                <w:rFonts w:hint="default" w:ascii="Calibri" w:hAnsi="Calibri" w:cs="Calibri"/>
                <w:sz w:val="18"/>
                <w:szCs w:val="18"/>
                <w:vertAlign w:val="baseline"/>
                <w:lang w:val="en-US" w:eastAsia="zh-CN"/>
              </w:rPr>
              <w:t>μ</w:t>
            </w:r>
            <w:r>
              <w:rPr>
                <w:rFonts w:hint="eastAsia" w:hAnsi="宋体" w:cs="宋体"/>
                <w:sz w:val="18"/>
                <w:szCs w:val="18"/>
                <w:vertAlign w:val="baseline"/>
                <w:lang w:val="en-US" w:eastAsia="zh-CN"/>
              </w:rPr>
              <w:t>m</w:t>
            </w:r>
          </w:p>
        </w:tc>
        <w:tc>
          <w:tcPr>
            <w:tcW w:w="3195" w:type="dxa"/>
            <w:vAlign w:val="center"/>
          </w:tcPr>
          <w:p>
            <w:pPr>
              <w:pStyle w:val="22"/>
              <w:ind w:left="0" w:leftChars="0" w:firstLine="0" w:firstLineChars="0"/>
              <w:jc w:val="center"/>
              <w:rPr>
                <w:rFonts w:hint="default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  <w:t>≤</w:t>
            </w:r>
            <w:r>
              <w:rPr>
                <w:rFonts w:hint="eastAsia" w:hAnsi="宋体" w:cs="宋体"/>
                <w:sz w:val="18"/>
                <w:szCs w:val="18"/>
                <w:vertAlign w:val="baseline"/>
                <w:lang w:val="en-US" w:eastAsia="zh-CN"/>
              </w:rPr>
              <w:t>45</w:t>
            </w:r>
            <w:r>
              <w:rPr>
                <w:rFonts w:hint="default" w:ascii="Calibri" w:hAnsi="Calibri" w:cs="Calibri"/>
                <w:sz w:val="18"/>
                <w:szCs w:val="18"/>
                <w:vertAlign w:val="baseline"/>
                <w:lang w:val="en-US" w:eastAsia="zh-CN"/>
              </w:rPr>
              <w:t>μ</w:t>
            </w:r>
            <w:r>
              <w:rPr>
                <w:rFonts w:hint="eastAsia" w:hAnsi="宋体" w:cs="宋体"/>
                <w:sz w:val="18"/>
                <w:szCs w:val="18"/>
                <w:vertAlign w:val="baseline"/>
                <w:lang w:val="en-US" w:eastAsia="zh-CN"/>
              </w:rPr>
              <w:t>m不大于5%，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&gt;</w:t>
            </w:r>
            <w:r>
              <w:rPr>
                <w:rFonts w:hint="eastAsia" w:hAnsi="宋体" w:cs="宋体"/>
                <w:sz w:val="18"/>
                <w:szCs w:val="18"/>
                <w:vertAlign w:val="baseline"/>
                <w:lang w:val="en-US" w:eastAsia="zh-CN"/>
              </w:rPr>
              <w:t>180</w:t>
            </w:r>
            <w:r>
              <w:rPr>
                <w:rFonts w:hint="default" w:ascii="Calibri" w:hAnsi="Calibri" w:cs="Calibri"/>
                <w:sz w:val="18"/>
                <w:szCs w:val="18"/>
                <w:vertAlign w:val="baseline"/>
                <w:lang w:val="en-US" w:eastAsia="zh-CN"/>
              </w:rPr>
              <w:t>μ</w:t>
            </w:r>
            <w:r>
              <w:rPr>
                <w:rFonts w:hint="eastAsia" w:hAnsi="宋体" w:cs="宋体"/>
                <w:sz w:val="18"/>
                <w:szCs w:val="18"/>
                <w:vertAlign w:val="baseline"/>
                <w:lang w:val="en-US" w:eastAsia="zh-CN"/>
              </w:rPr>
              <w:t>m不大于5%</w:t>
            </w:r>
          </w:p>
        </w:tc>
        <w:tc>
          <w:tcPr>
            <w:tcW w:w="1110" w:type="dxa"/>
            <w:vAlign w:val="center"/>
          </w:tcPr>
          <w:p>
            <w:pPr>
              <w:pStyle w:val="22"/>
              <w:ind w:left="0" w:leftChars="0" w:firstLine="0" w:firstLineChars="0"/>
              <w:jc w:val="center"/>
              <w:rPr>
                <w:rFonts w:hint="default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18"/>
                <w:szCs w:val="18"/>
                <w:vertAlign w:val="baseline"/>
                <w:lang w:val="en-US" w:eastAsia="zh-CN"/>
              </w:rPr>
              <w:t>63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~</w:t>
            </w:r>
            <w:r>
              <w:rPr>
                <w:rFonts w:hint="eastAsia" w:hAnsi="宋体" w:cs="宋体"/>
                <w:sz w:val="18"/>
                <w:szCs w:val="18"/>
                <w:vertAlign w:val="baseline"/>
                <w:lang w:val="en-US" w:eastAsia="zh-CN"/>
              </w:rPr>
              <w:t>150</w:t>
            </w:r>
            <w:r>
              <w:rPr>
                <w:rFonts w:hint="default" w:ascii="Calibri" w:hAnsi="Calibri" w:cs="Calibri"/>
                <w:sz w:val="18"/>
                <w:szCs w:val="18"/>
                <w:vertAlign w:val="baseline"/>
                <w:lang w:val="en-US" w:eastAsia="zh-CN"/>
              </w:rPr>
              <w:t>μ</w:t>
            </w:r>
            <w:r>
              <w:rPr>
                <w:rFonts w:hint="eastAsia" w:hAnsi="宋体" w:cs="宋体"/>
                <w:sz w:val="18"/>
                <w:szCs w:val="18"/>
                <w:vertAlign w:val="baseline"/>
                <w:lang w:val="en-US" w:eastAsia="zh-CN"/>
              </w:rPr>
              <w:t>m</w:t>
            </w:r>
          </w:p>
        </w:tc>
        <w:tc>
          <w:tcPr>
            <w:tcW w:w="3531" w:type="dxa"/>
            <w:vAlign w:val="center"/>
          </w:tcPr>
          <w:p>
            <w:pPr>
              <w:pStyle w:val="22"/>
              <w:ind w:left="0" w:leftChars="0" w:firstLine="0" w:firstLineChars="0"/>
              <w:jc w:val="center"/>
              <w:rPr>
                <w:rFonts w:hint="default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18"/>
                <w:szCs w:val="18"/>
                <w:vertAlign w:val="baseline"/>
                <w:lang w:val="en-US" w:eastAsia="zh-CN"/>
              </w:rPr>
              <w:t>适用于定向能量沉积增材制造领域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0" w:type="dxa"/>
            <w:gridSpan w:val="5"/>
            <w:vAlign w:val="center"/>
          </w:tcPr>
          <w:p>
            <w:pPr>
              <w:pStyle w:val="22"/>
              <w:ind w:left="0" w:leftChars="0" w:firstLine="0" w:firstLineChars="0"/>
              <w:jc w:val="left"/>
              <w:rPr>
                <w:rFonts w:hint="default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18"/>
                <w:szCs w:val="18"/>
                <w:vertAlign w:val="baseline"/>
                <w:lang w:val="en-US" w:eastAsia="zh-CN"/>
              </w:rPr>
              <w:t>注：产品粒度可根据用户的特殊要求进行调整。</w:t>
            </w:r>
          </w:p>
        </w:tc>
      </w:tr>
    </w:tbl>
    <w:p>
      <w:pPr>
        <w:pStyle w:val="22"/>
        <w:rPr>
          <w:rFonts w:hint="default" w:hAnsi="宋体" w:cs="宋体"/>
          <w:lang w:val="en-US" w:eastAsia="zh-CN"/>
        </w:rPr>
      </w:pPr>
    </w:p>
    <w:p>
      <w:pPr>
        <w:pStyle w:val="39"/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松装密度</w:t>
      </w:r>
    </w:p>
    <w:p>
      <w:pPr>
        <w:pStyle w:val="39"/>
        <w:numPr>
          <w:ilvl w:val="1"/>
          <w:numId w:val="0"/>
        </w:numPr>
        <w:bidi w:val="0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产品的松装密度应符合表3的规定。</w:t>
      </w:r>
    </w:p>
    <w:p>
      <w:pPr>
        <w:pStyle w:val="123"/>
        <w:numPr>
          <w:ilvl w:val="0"/>
          <w:numId w:val="0"/>
        </w:numPr>
        <w:spacing w:before="156" w:after="156"/>
        <w:jc w:val="center"/>
        <w:rPr>
          <w:rFonts w:hint="eastAsia" w:eastAsia="黑体"/>
          <w:lang w:eastAsia="zh-CN"/>
        </w:rPr>
      </w:pPr>
      <w:r>
        <w:rPr>
          <w:rFonts w:hint="eastAsia"/>
        </w:rPr>
        <w:t>表</w:t>
      </w:r>
      <w:r>
        <w:rPr>
          <w:rFonts w:hint="eastAsia"/>
          <w:lang w:val="en-US" w:eastAsia="zh-CN"/>
        </w:rPr>
        <w:t xml:space="preserve">3  </w:t>
      </w:r>
      <w:r>
        <w:rPr>
          <w:rFonts w:hint="eastAsia"/>
        </w:rPr>
        <w:t>产品的</w:t>
      </w:r>
      <w:r>
        <w:rPr>
          <w:rFonts w:hint="eastAsia"/>
          <w:lang w:eastAsia="zh-CN"/>
        </w:rPr>
        <w:t>松装密度</w:t>
      </w:r>
    </w:p>
    <w:tbl>
      <w:tblPr>
        <w:tblStyle w:val="30"/>
        <w:tblW w:w="957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535"/>
        <w:gridCol w:w="2833"/>
        <w:gridCol w:w="23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2535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hint="default" w:ascii="宋体"/>
                <w:sz w:val="18"/>
                <w:lang w:val="en-US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Ⅰ</w:t>
            </w: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类</w:t>
            </w:r>
          </w:p>
        </w:tc>
        <w:tc>
          <w:tcPr>
            <w:tcW w:w="2833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Ⅱ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类</w:t>
            </w:r>
          </w:p>
        </w:tc>
        <w:tc>
          <w:tcPr>
            <w:tcW w:w="2393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Ⅲ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bottom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hint="default" w:ascii="宋体" w:eastAsia="宋体"/>
                <w:sz w:val="18"/>
                <w:lang w:val="en-US" w:eastAsia="zh-CN"/>
              </w:rPr>
            </w:pPr>
            <w:r>
              <w:rPr>
                <w:rFonts w:hint="eastAsia" w:ascii="宋体"/>
                <w:sz w:val="18"/>
                <w:lang w:eastAsia="zh-CN"/>
              </w:rPr>
              <w:t>松装密度</w:t>
            </w:r>
            <w:r>
              <w:rPr>
                <w:rFonts w:hint="eastAsia" w:ascii="宋体"/>
                <w:sz w:val="18"/>
                <w:lang w:val="en-US" w:eastAsia="zh-CN"/>
              </w:rPr>
              <w:t>/g/cm</w:t>
            </w:r>
            <w:r>
              <w:rPr>
                <w:rFonts w:hint="eastAsia" w:ascii="宋体"/>
                <w:sz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2535" w:type="dxa"/>
            <w:tcBorders>
              <w:top w:val="single" w:color="auto" w:sz="4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≥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2833" w:type="dxa"/>
            <w:tcBorders>
              <w:top w:val="single" w:color="auto" w:sz="4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≥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2393" w:type="dxa"/>
            <w:tcBorders>
              <w:top w:val="single" w:color="auto" w:sz="4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≥4.0</w:t>
            </w:r>
          </w:p>
        </w:tc>
      </w:tr>
    </w:tbl>
    <w:p>
      <w:pPr>
        <w:pStyle w:val="39"/>
        <w:spacing w:before="156" w:after="156"/>
      </w:pPr>
      <w:r>
        <w:rPr>
          <w:rFonts w:hint="eastAsia"/>
          <w:lang w:eastAsia="zh-CN"/>
        </w:rPr>
        <w:t>振实密度</w:t>
      </w:r>
    </w:p>
    <w:p>
      <w:pPr>
        <w:pStyle w:val="39"/>
        <w:numPr>
          <w:ilvl w:val="1"/>
          <w:numId w:val="0"/>
        </w:numPr>
        <w:bidi w:val="0"/>
        <w:ind w:leftChars="0"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产品的振实密度应符合表4的规定。</w:t>
      </w:r>
    </w:p>
    <w:p>
      <w:pPr>
        <w:pStyle w:val="123"/>
        <w:numPr>
          <w:ilvl w:val="0"/>
          <w:numId w:val="0"/>
        </w:numPr>
        <w:spacing w:before="156" w:after="156"/>
        <w:jc w:val="center"/>
        <w:rPr>
          <w:rFonts w:hint="eastAsia" w:eastAsia="黑体"/>
          <w:lang w:eastAsia="zh-CN"/>
        </w:rPr>
      </w:pPr>
      <w:r>
        <w:rPr>
          <w:rFonts w:hint="eastAsia"/>
        </w:rPr>
        <w:t>表</w:t>
      </w:r>
      <w:r>
        <w:rPr>
          <w:rFonts w:hint="eastAsia"/>
          <w:lang w:val="en-US" w:eastAsia="zh-CN"/>
        </w:rPr>
        <w:t xml:space="preserve">4  </w:t>
      </w:r>
      <w:r>
        <w:rPr>
          <w:rFonts w:hint="eastAsia"/>
        </w:rPr>
        <w:t>产品的</w:t>
      </w:r>
      <w:r>
        <w:rPr>
          <w:rFonts w:hint="eastAsia"/>
          <w:lang w:eastAsia="zh-CN"/>
        </w:rPr>
        <w:t>振实密度</w:t>
      </w:r>
    </w:p>
    <w:tbl>
      <w:tblPr>
        <w:tblStyle w:val="30"/>
        <w:tblW w:w="957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535"/>
        <w:gridCol w:w="2833"/>
        <w:gridCol w:w="23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2535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hint="default" w:ascii="宋体"/>
                <w:sz w:val="18"/>
                <w:lang w:val="en-US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Ⅰ</w:t>
            </w: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类</w:t>
            </w:r>
          </w:p>
        </w:tc>
        <w:tc>
          <w:tcPr>
            <w:tcW w:w="2833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Ⅱ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类</w:t>
            </w:r>
          </w:p>
        </w:tc>
        <w:tc>
          <w:tcPr>
            <w:tcW w:w="2393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Ⅲ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bottom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hint="default" w:ascii="宋体" w:eastAsia="宋体"/>
                <w:sz w:val="18"/>
                <w:lang w:val="en-US" w:eastAsia="zh-CN"/>
              </w:rPr>
            </w:pPr>
            <w:r>
              <w:rPr>
                <w:rFonts w:hint="eastAsia" w:ascii="宋体"/>
                <w:sz w:val="18"/>
                <w:lang w:eastAsia="zh-CN"/>
              </w:rPr>
              <w:t>振实密度</w:t>
            </w:r>
            <w:r>
              <w:rPr>
                <w:rFonts w:hint="eastAsia" w:ascii="宋体"/>
                <w:sz w:val="18"/>
                <w:lang w:val="en-US" w:eastAsia="zh-CN"/>
              </w:rPr>
              <w:t>/g/cm</w:t>
            </w:r>
            <w:r>
              <w:rPr>
                <w:rFonts w:hint="eastAsia" w:ascii="宋体"/>
                <w:sz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2535" w:type="dxa"/>
            <w:tcBorders>
              <w:top w:val="single" w:color="auto" w:sz="4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≥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5.0</w:t>
            </w:r>
          </w:p>
        </w:tc>
        <w:tc>
          <w:tcPr>
            <w:tcW w:w="2833" w:type="dxa"/>
            <w:tcBorders>
              <w:top w:val="single" w:color="auto" w:sz="4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≥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5.0</w:t>
            </w:r>
          </w:p>
        </w:tc>
        <w:tc>
          <w:tcPr>
            <w:tcW w:w="2393" w:type="dxa"/>
            <w:tcBorders>
              <w:top w:val="single" w:color="auto" w:sz="4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≥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/>
                <w:sz w:val="18"/>
                <w:szCs w:val="18"/>
              </w:rPr>
              <w:t>.0</w:t>
            </w:r>
          </w:p>
        </w:tc>
      </w:tr>
    </w:tbl>
    <w:p>
      <w:pPr>
        <w:pStyle w:val="22"/>
        <w:ind w:left="0" w:leftChars="0" w:firstLine="0" w:firstLineChars="0"/>
      </w:pPr>
    </w:p>
    <w:p>
      <w:pPr>
        <w:pStyle w:val="39"/>
        <w:spacing w:before="156" w:after="156"/>
      </w:pPr>
      <w:r>
        <w:rPr>
          <w:rFonts w:hint="eastAsia"/>
          <w:lang w:eastAsia="zh-CN"/>
        </w:rPr>
        <w:t>流动性</w:t>
      </w:r>
    </w:p>
    <w:p>
      <w:pPr>
        <w:pStyle w:val="39"/>
        <w:numPr>
          <w:ilvl w:val="1"/>
          <w:numId w:val="0"/>
        </w:numPr>
        <w:bidi w:val="0"/>
        <w:ind w:leftChars="0"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产品的流动性应符合表5的规定。</w:t>
      </w:r>
    </w:p>
    <w:p>
      <w:pPr>
        <w:pStyle w:val="123"/>
        <w:numPr>
          <w:ilvl w:val="0"/>
          <w:numId w:val="0"/>
        </w:numPr>
        <w:spacing w:before="156" w:after="156"/>
        <w:jc w:val="center"/>
        <w:rPr>
          <w:rFonts w:hint="eastAsia" w:eastAsia="黑体"/>
          <w:lang w:eastAsia="zh-CN"/>
        </w:rPr>
      </w:pPr>
      <w:r>
        <w:rPr>
          <w:rFonts w:hint="eastAsia"/>
        </w:rPr>
        <w:t>表</w:t>
      </w:r>
      <w:r>
        <w:rPr>
          <w:rFonts w:hint="eastAsia"/>
          <w:lang w:val="en-US" w:eastAsia="zh-CN"/>
        </w:rPr>
        <w:t xml:space="preserve">5  </w:t>
      </w:r>
      <w:r>
        <w:rPr>
          <w:rFonts w:hint="eastAsia"/>
        </w:rPr>
        <w:t>产品的</w:t>
      </w:r>
      <w:r>
        <w:rPr>
          <w:rFonts w:hint="eastAsia"/>
          <w:lang w:eastAsia="zh-CN"/>
        </w:rPr>
        <w:t>流动性</w:t>
      </w:r>
    </w:p>
    <w:tbl>
      <w:tblPr>
        <w:tblStyle w:val="30"/>
        <w:tblW w:w="957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535"/>
        <w:gridCol w:w="2833"/>
        <w:gridCol w:w="23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2535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hint="default" w:ascii="宋体"/>
                <w:sz w:val="18"/>
                <w:lang w:val="en-US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Ⅰ</w:t>
            </w: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类</w:t>
            </w:r>
          </w:p>
        </w:tc>
        <w:tc>
          <w:tcPr>
            <w:tcW w:w="2833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Ⅱ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类</w:t>
            </w:r>
          </w:p>
        </w:tc>
        <w:tc>
          <w:tcPr>
            <w:tcW w:w="2393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Ⅲ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bottom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hint="default" w:ascii="宋体" w:eastAsia="宋体"/>
                <w:sz w:val="18"/>
                <w:lang w:val="en-US" w:eastAsia="zh-CN"/>
              </w:rPr>
            </w:pPr>
            <w:r>
              <w:rPr>
                <w:rFonts w:hint="eastAsia" w:ascii="宋体"/>
                <w:sz w:val="18"/>
                <w:lang w:eastAsia="zh-CN"/>
              </w:rPr>
              <w:t>流动性</w:t>
            </w:r>
            <w:r>
              <w:rPr>
                <w:rFonts w:hint="eastAsia" w:ascii="宋体"/>
                <w:sz w:val="18"/>
                <w:lang w:val="en-US" w:eastAsia="zh-CN"/>
              </w:rPr>
              <w:t>/s/50g</w:t>
            </w:r>
          </w:p>
        </w:tc>
        <w:tc>
          <w:tcPr>
            <w:tcW w:w="2535" w:type="dxa"/>
            <w:tcBorders>
              <w:top w:val="single" w:color="auto" w:sz="4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≤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25.0</w:t>
            </w:r>
          </w:p>
        </w:tc>
        <w:tc>
          <w:tcPr>
            <w:tcW w:w="2833" w:type="dxa"/>
            <w:tcBorders>
              <w:top w:val="single" w:color="auto" w:sz="4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≤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25.0</w:t>
            </w:r>
          </w:p>
        </w:tc>
        <w:tc>
          <w:tcPr>
            <w:tcW w:w="2393" w:type="dxa"/>
            <w:tcBorders>
              <w:top w:val="single" w:color="auto" w:sz="4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≤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25.0</w:t>
            </w:r>
          </w:p>
        </w:tc>
      </w:tr>
    </w:tbl>
    <w:p>
      <w:pPr>
        <w:pStyle w:val="22"/>
      </w:pPr>
    </w:p>
    <w:p>
      <w:pPr>
        <w:pStyle w:val="39"/>
        <w:spacing w:before="156" w:after="156"/>
      </w:pPr>
      <w:r>
        <w:rPr>
          <w:rFonts w:hint="eastAsia"/>
          <w:lang w:eastAsia="zh-CN"/>
        </w:rPr>
        <w:t>球形度</w:t>
      </w:r>
    </w:p>
    <w:p>
      <w:pPr>
        <w:pStyle w:val="22"/>
      </w:pPr>
      <w:r>
        <w:rPr>
          <w:rFonts w:hint="eastAsia"/>
          <w:lang w:eastAsia="zh-CN"/>
        </w:rPr>
        <w:t>产品形貌为球形或类球形，球形度标准与检测方法由供需双方协商解决。</w:t>
      </w:r>
    </w:p>
    <w:p>
      <w:pPr>
        <w:pStyle w:val="39"/>
        <w:spacing w:before="156" w:after="156"/>
      </w:pPr>
      <w:r>
        <w:rPr>
          <w:rFonts w:hint="eastAsia"/>
        </w:rPr>
        <w:t>外观质量</w:t>
      </w:r>
    </w:p>
    <w:p>
      <w:pPr>
        <w:pStyle w:val="22"/>
      </w:pPr>
      <w:r>
        <w:rPr>
          <w:rFonts w:hint="eastAsia"/>
        </w:rPr>
        <w:t>产品外观</w:t>
      </w:r>
      <w:r>
        <w:rPr>
          <w:rFonts w:hint="eastAsia" w:hAnsi="宋体"/>
        </w:rPr>
        <w:t>应呈灰色或青灰色，颗粒表面无微粉聚集，无目视可见夹杂物。</w:t>
      </w:r>
    </w:p>
    <w:p>
      <w:pPr>
        <w:pStyle w:val="42"/>
        <w:spacing w:before="312" w:after="312"/>
      </w:pPr>
      <w:r>
        <w:rPr>
          <w:rFonts w:hint="eastAsia"/>
        </w:rPr>
        <w:t>试验方法</w:t>
      </w:r>
    </w:p>
    <w:p>
      <w:pPr>
        <w:pStyle w:val="39"/>
        <w:spacing w:before="156" w:after="156"/>
      </w:pPr>
      <w:r>
        <w:rPr>
          <w:rFonts w:hint="eastAsia" w:ascii="宋体" w:hAnsi="宋体" w:eastAsia="宋体"/>
          <w:b/>
          <w:szCs w:val="20"/>
        </w:rPr>
        <w:t>化学成分</w:t>
      </w:r>
    </w:p>
    <w:p>
      <w:pPr>
        <w:pStyle w:val="43"/>
        <w:bidi w:val="0"/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CN"/>
        </w:rPr>
        <w:t>产品的</w:t>
      </w:r>
      <w:r>
        <w:rPr>
          <w:rFonts w:hint="eastAsia" w:ascii="宋体" w:hAnsi="宋体" w:eastAsia="宋体" w:cs="宋体"/>
          <w:lang w:val="en-US" w:eastAsia="zh-CN"/>
        </w:rPr>
        <w:t>Co含量分析按</w:t>
      </w:r>
      <w:r>
        <w:rPr>
          <w:rFonts w:hint="eastAsia" w:ascii="宋体" w:hAnsi="宋体" w:eastAsia="宋体" w:cs="宋体"/>
        </w:rPr>
        <w:t xml:space="preserve">GB/T </w:t>
      </w:r>
      <w:r>
        <w:rPr>
          <w:rFonts w:hint="eastAsia" w:ascii="宋体" w:hAnsi="宋体" w:eastAsia="宋体" w:cs="宋体"/>
          <w:lang w:val="en-US" w:eastAsia="zh-CN"/>
        </w:rPr>
        <w:t>223.20的规定进行。</w:t>
      </w:r>
    </w:p>
    <w:p>
      <w:pPr>
        <w:pStyle w:val="43"/>
        <w:bidi w:val="0"/>
        <w:ind w:left="0" w:leftChars="0"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产品的Mo含量分析按GB/T 223.28的规定进行。</w:t>
      </w:r>
    </w:p>
    <w:p>
      <w:pPr>
        <w:pStyle w:val="43"/>
        <w:bidi w:val="0"/>
        <w:ind w:left="0" w:leftChars="0"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产品的Cr含量分析按GB/T 223.11的规定进行。</w:t>
      </w:r>
    </w:p>
    <w:p>
      <w:pPr>
        <w:pStyle w:val="43"/>
        <w:bidi w:val="0"/>
        <w:ind w:left="0" w:leftChars="0"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产品的W含量分析按GB/T 223.43的规定进行。</w:t>
      </w:r>
    </w:p>
    <w:p>
      <w:pPr>
        <w:pStyle w:val="43"/>
        <w:bidi w:val="0"/>
        <w:ind w:left="0" w:leftChars="0" w:firstLine="0" w:firstLineChars="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产品的Si含量分析按GB/T 223.5的规定进行。</w:t>
      </w:r>
    </w:p>
    <w:p>
      <w:pPr>
        <w:pStyle w:val="43"/>
        <w:bidi w:val="0"/>
        <w:ind w:left="0" w:leftChars="0"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产品的Ni含量分析按GB/T 223.23的规定进行。</w:t>
      </w:r>
    </w:p>
    <w:p>
      <w:pPr>
        <w:pStyle w:val="43"/>
        <w:bidi w:val="0"/>
        <w:ind w:left="0" w:leftChars="0"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产品的Fe含量分析按GB/T 223.70的规定进行。</w:t>
      </w:r>
    </w:p>
    <w:p>
      <w:pPr>
        <w:pStyle w:val="43"/>
        <w:bidi w:val="0"/>
        <w:ind w:left="0" w:leftChars="0" w:firstLine="0" w:firstLineChars="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产品的C、O</w:t>
      </w:r>
      <w:r>
        <w:rPr>
          <w:rFonts w:hint="eastAsia" w:ascii="宋体" w:hAnsi="宋体" w:eastAsia="宋体" w:cs="宋体"/>
          <w:color w:val="auto"/>
          <w:lang w:eastAsia="zh-CN"/>
        </w:rPr>
        <w:t>、</w:t>
      </w:r>
      <w:r>
        <w:rPr>
          <w:rFonts w:hint="eastAsia" w:ascii="宋体" w:hAnsi="宋体" w:eastAsia="宋体" w:cs="宋体"/>
          <w:color w:val="auto"/>
          <w:lang w:val="en-US" w:eastAsia="zh-CN"/>
        </w:rPr>
        <w:t>N</w:t>
      </w:r>
      <w:r>
        <w:rPr>
          <w:rFonts w:hint="eastAsia" w:ascii="宋体" w:hAnsi="宋体" w:eastAsia="宋体" w:cs="宋体"/>
          <w:color w:val="auto"/>
        </w:rPr>
        <w:t>含量分析按GB/T 14265的规定进行。</w:t>
      </w:r>
    </w:p>
    <w:p>
      <w:pPr>
        <w:pStyle w:val="43"/>
        <w:bidi w:val="0"/>
        <w:ind w:left="0" w:leftChars="0" w:firstLine="0" w:firstLineChars="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产品的P含量分析按GB/T 223.</w:t>
      </w:r>
      <w:r>
        <w:rPr>
          <w:rFonts w:hint="eastAsia" w:ascii="宋体" w:hAnsi="宋体" w:eastAsia="宋体" w:cs="宋体"/>
          <w:color w:val="auto"/>
          <w:lang w:val="en-US" w:eastAsia="zh-CN"/>
        </w:rPr>
        <w:t>59</w:t>
      </w:r>
      <w:r>
        <w:rPr>
          <w:rFonts w:hint="eastAsia" w:ascii="宋体" w:hAnsi="宋体" w:eastAsia="宋体" w:cs="宋体"/>
          <w:color w:val="auto"/>
        </w:rPr>
        <w:t>的规定进行。</w:t>
      </w:r>
    </w:p>
    <w:p>
      <w:pPr>
        <w:pStyle w:val="43"/>
        <w:bidi w:val="0"/>
        <w:ind w:left="0" w:leftChars="0"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产品的Mn含量分析按GB/T 223.64的规定进行。</w:t>
      </w:r>
    </w:p>
    <w:p>
      <w:pPr>
        <w:pStyle w:val="39"/>
        <w:spacing w:before="156" w:after="156"/>
        <w:rPr>
          <w:rFonts w:ascii="宋体" w:hAnsi="宋体" w:eastAsia="宋体"/>
          <w:b/>
          <w:szCs w:val="20"/>
        </w:rPr>
      </w:pPr>
      <w:r>
        <w:rPr>
          <w:rFonts w:hint="eastAsia" w:ascii="宋体" w:hAnsi="宋体" w:eastAsia="宋体"/>
          <w:b/>
          <w:szCs w:val="20"/>
        </w:rPr>
        <w:t>物理性能</w:t>
      </w:r>
    </w:p>
    <w:p>
      <w:pPr>
        <w:pStyle w:val="43"/>
        <w:spacing w:before="156" w:after="156"/>
        <w:rPr>
          <w:rFonts w:hAnsi="宋体"/>
          <w:szCs w:val="22"/>
        </w:rPr>
      </w:pPr>
      <w:r>
        <w:rPr>
          <w:rFonts w:ascii="宋体" w:hAnsi="宋体" w:eastAsia="宋体"/>
          <w:szCs w:val="20"/>
        </w:rPr>
        <w:t>产品粒度组成的测定按GB/T 19077.1的规定进行。</w:t>
      </w:r>
    </w:p>
    <w:p>
      <w:pPr>
        <w:pStyle w:val="43"/>
        <w:spacing w:before="156" w:after="156"/>
        <w:rPr>
          <w:rFonts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</w:rPr>
        <w:t>产品松装密度的测定按GB/T 1479.1的规定进行。</w:t>
      </w:r>
    </w:p>
    <w:p>
      <w:pPr>
        <w:pStyle w:val="43"/>
        <w:spacing w:before="156" w:after="156"/>
      </w:pPr>
      <w:r>
        <w:rPr>
          <w:rFonts w:hint="eastAsia" w:ascii="宋体" w:hAnsi="宋体" w:eastAsia="宋体" w:cs="宋体"/>
          <w:szCs w:val="22"/>
        </w:rPr>
        <w:t>产品</w:t>
      </w:r>
      <w:r>
        <w:rPr>
          <w:rFonts w:hint="eastAsia" w:ascii="宋体" w:hAnsi="宋体" w:eastAsia="宋体" w:cs="宋体"/>
          <w:szCs w:val="22"/>
          <w:lang w:eastAsia="zh-CN"/>
        </w:rPr>
        <w:t>振实</w:t>
      </w:r>
      <w:r>
        <w:rPr>
          <w:rFonts w:hint="eastAsia" w:ascii="宋体" w:hAnsi="宋体" w:eastAsia="宋体" w:cs="宋体"/>
          <w:szCs w:val="22"/>
        </w:rPr>
        <w:t xml:space="preserve">密度的测定按GB/T </w:t>
      </w:r>
      <w:r>
        <w:rPr>
          <w:rFonts w:hint="eastAsia" w:ascii="宋体" w:hAnsi="宋体" w:eastAsia="宋体" w:cs="宋体"/>
          <w:szCs w:val="22"/>
          <w:lang w:val="en-US" w:eastAsia="zh-CN"/>
        </w:rPr>
        <w:t>5162</w:t>
      </w:r>
      <w:r>
        <w:rPr>
          <w:rFonts w:hint="eastAsia" w:ascii="宋体" w:hAnsi="宋体" w:eastAsia="宋体" w:cs="宋体"/>
          <w:szCs w:val="22"/>
        </w:rPr>
        <w:t>的规定进行。</w:t>
      </w:r>
    </w:p>
    <w:p>
      <w:pPr>
        <w:pStyle w:val="43"/>
        <w:spacing w:before="156" w:after="156"/>
      </w:pPr>
      <w:r>
        <w:rPr>
          <w:rFonts w:hint="eastAsia" w:ascii="宋体" w:hAnsi="宋体" w:eastAsia="宋体" w:cs="宋体"/>
          <w:szCs w:val="22"/>
        </w:rPr>
        <w:t>产品流动性的测定按GB/T 1482的规定进行。</w:t>
      </w:r>
    </w:p>
    <w:p>
      <w:pPr>
        <w:pStyle w:val="39"/>
        <w:spacing w:before="156" w:after="156"/>
        <w:rPr>
          <w:rFonts w:ascii="宋体" w:hAnsi="宋体" w:eastAsia="宋体"/>
          <w:b/>
          <w:szCs w:val="20"/>
        </w:rPr>
      </w:pPr>
      <w:r>
        <w:rPr>
          <w:rFonts w:hint="eastAsia" w:ascii="宋体" w:hAnsi="宋体" w:eastAsia="宋体"/>
          <w:b/>
          <w:szCs w:val="20"/>
          <w:lang w:eastAsia="zh-CN"/>
        </w:rPr>
        <w:t>球形度</w:t>
      </w:r>
    </w:p>
    <w:p>
      <w:pPr>
        <w:pStyle w:val="22"/>
      </w:pPr>
      <w:r>
        <w:rPr>
          <w:rFonts w:hint="eastAsia"/>
          <w:lang w:eastAsia="zh-CN"/>
        </w:rPr>
        <w:t>球形度检测方法由供需双方协商解决。</w:t>
      </w:r>
    </w:p>
    <w:p>
      <w:pPr>
        <w:pStyle w:val="39"/>
        <w:spacing w:before="156" w:after="156"/>
        <w:rPr>
          <w:rFonts w:ascii="宋体" w:hAnsi="宋体" w:eastAsia="宋体"/>
          <w:b/>
          <w:szCs w:val="20"/>
        </w:rPr>
      </w:pPr>
      <w:r>
        <w:rPr>
          <w:rFonts w:hint="eastAsia" w:ascii="宋体" w:hAnsi="宋体" w:eastAsia="宋体"/>
          <w:b/>
          <w:szCs w:val="20"/>
        </w:rPr>
        <w:t>外观质量</w:t>
      </w:r>
    </w:p>
    <w:p>
      <w:pPr>
        <w:pStyle w:val="39"/>
        <w:numPr>
          <w:ilvl w:val="0"/>
          <w:numId w:val="0"/>
        </w:numPr>
        <w:spacing w:before="156" w:after="156"/>
        <w:ind w:firstLine="630" w:firstLineChars="300"/>
        <w:rPr>
          <w:rFonts w:ascii="宋体" w:hAnsi="宋体" w:eastAsia="宋体"/>
          <w:szCs w:val="20"/>
        </w:rPr>
      </w:pPr>
      <w:r>
        <w:rPr>
          <w:rFonts w:ascii="宋体" w:hAnsi="宋体" w:eastAsia="宋体"/>
          <w:szCs w:val="20"/>
        </w:rPr>
        <w:t>产品外观质量用目视检验，产品形状用</w:t>
      </w:r>
      <w:r>
        <w:rPr>
          <w:rFonts w:hint="eastAsia" w:ascii="宋体" w:hAnsi="宋体" w:eastAsia="宋体"/>
          <w:szCs w:val="20"/>
        </w:rPr>
        <w:t>100</w:t>
      </w:r>
      <w:r>
        <w:rPr>
          <w:rFonts w:ascii="宋体" w:hAnsi="宋体" w:eastAsia="宋体"/>
          <w:szCs w:val="20"/>
        </w:rPr>
        <w:t>倍显微镜</w:t>
      </w:r>
      <w:r>
        <w:rPr>
          <w:rFonts w:hint="eastAsia" w:ascii="宋体" w:hAnsi="宋体" w:eastAsia="宋体"/>
          <w:szCs w:val="20"/>
        </w:rPr>
        <w:t>检查。</w:t>
      </w:r>
    </w:p>
    <w:p>
      <w:pPr>
        <w:pStyle w:val="42"/>
        <w:spacing w:before="312" w:after="312"/>
      </w:pPr>
      <w:r>
        <w:rPr>
          <w:rFonts w:hint="eastAsia"/>
        </w:rPr>
        <w:t>检验规则</w:t>
      </w:r>
    </w:p>
    <w:p>
      <w:pPr>
        <w:pStyle w:val="39"/>
        <w:spacing w:before="156" w:after="156"/>
      </w:pPr>
      <w:r>
        <w:rPr>
          <w:rFonts w:hint="eastAsia"/>
        </w:rPr>
        <w:t>检查和验收</w:t>
      </w:r>
    </w:p>
    <w:p>
      <w:pPr>
        <w:pStyle w:val="43"/>
        <w:spacing w:before="156" w:after="156"/>
        <w:rPr>
          <w:rFonts w:ascii="宋体" w:hAnsi="宋体" w:eastAsia="宋体"/>
          <w:szCs w:val="20"/>
        </w:rPr>
      </w:pPr>
      <w:r>
        <w:rPr>
          <w:rFonts w:hint="eastAsia" w:ascii="宋体" w:hAnsi="宋体" w:eastAsia="宋体"/>
          <w:szCs w:val="20"/>
        </w:rPr>
        <w:t>产品应由供方进行检验，保证产品质量符合本标准及合同(或订货单)的规定，并填写产品质量证明书。</w:t>
      </w:r>
    </w:p>
    <w:p>
      <w:pPr>
        <w:pStyle w:val="43"/>
        <w:spacing w:before="156" w:after="156"/>
        <w:rPr>
          <w:rFonts w:ascii="宋体" w:hAnsi="宋体" w:eastAsia="宋体"/>
          <w:szCs w:val="20"/>
        </w:rPr>
      </w:pPr>
      <w:r>
        <w:rPr>
          <w:rFonts w:hint="eastAsia" w:ascii="宋体" w:hAnsi="宋体" w:eastAsia="宋体"/>
          <w:szCs w:val="20"/>
        </w:rPr>
        <w:t>需方应对收到的产品按本标准的规定进行检验，如检验结果与本标准及合同（或订货单）规定不符时，应在</w:t>
      </w:r>
      <w:r>
        <w:rPr>
          <w:rFonts w:ascii="宋体" w:hAnsi="宋体" w:eastAsia="宋体"/>
          <w:szCs w:val="20"/>
        </w:rPr>
        <w:t>收到产品之日起60天内向供方提出，由供需双方协商解决。如需仲裁，仲裁取样在需方由供需双方共同进行。</w:t>
      </w:r>
    </w:p>
    <w:p>
      <w:pPr>
        <w:pStyle w:val="39"/>
        <w:spacing w:before="156" w:after="156"/>
      </w:pPr>
      <w:r>
        <w:rPr>
          <w:rFonts w:hint="eastAsia"/>
        </w:rPr>
        <w:t>组批</w:t>
      </w:r>
    </w:p>
    <w:p>
      <w:pPr>
        <w:pStyle w:val="22"/>
        <w:rPr>
          <w:rFonts w:hAnsi="宋体"/>
        </w:rPr>
      </w:pPr>
      <w:r>
        <w:rPr>
          <w:rFonts w:hint="eastAsia"/>
        </w:rPr>
        <w:t>产品应</w:t>
      </w:r>
      <w:r>
        <w:rPr>
          <w:rFonts w:hint="eastAsia" w:hAnsi="宋体"/>
        </w:rPr>
        <w:t>成批提交验收，每批产品由</w:t>
      </w:r>
      <w:r>
        <w:rPr>
          <w:rFonts w:hint="eastAsia" w:hAnsi="宋体"/>
          <w:lang w:eastAsia="zh-CN"/>
        </w:rPr>
        <w:t>同一牌号、</w:t>
      </w:r>
      <w:r>
        <w:rPr>
          <w:rFonts w:hint="eastAsia" w:hAnsi="宋体"/>
        </w:rPr>
        <w:t>同一生产工艺、同一粒度规格的产品组成。每批重量不大于200kg。</w:t>
      </w:r>
    </w:p>
    <w:p>
      <w:pPr>
        <w:pStyle w:val="39"/>
        <w:spacing w:before="156" w:after="156"/>
      </w:pPr>
      <w:r>
        <w:rPr>
          <w:rFonts w:hint="eastAsia"/>
        </w:rPr>
        <w:t>检验项目及取样</w:t>
      </w:r>
    </w:p>
    <w:p>
      <w:pPr>
        <w:pStyle w:val="22"/>
        <w:rPr>
          <w:rFonts w:hAnsi="宋体"/>
        </w:rPr>
      </w:pPr>
      <w:r>
        <w:rPr>
          <w:rFonts w:hint="eastAsia"/>
        </w:rPr>
        <w:t>每批产品</w:t>
      </w:r>
      <w:r>
        <w:rPr>
          <w:rFonts w:hint="eastAsia" w:hAnsi="宋体"/>
        </w:rPr>
        <w:t>的检验项目及取样数量应符合表4的规定。</w:t>
      </w:r>
    </w:p>
    <w:tbl>
      <w:tblPr>
        <w:tblStyle w:val="30"/>
        <w:tblW w:w="957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2392"/>
        <w:gridCol w:w="2393"/>
        <w:gridCol w:w="23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tcBorders>
              <w:top w:val="single" w:color="auto" w:sz="8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检验项目</w:t>
            </w:r>
          </w:p>
        </w:tc>
        <w:tc>
          <w:tcPr>
            <w:tcW w:w="2392" w:type="dxa"/>
            <w:tcBorders>
              <w:top w:val="single" w:color="auto" w:sz="8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取样方法</w:t>
            </w:r>
          </w:p>
        </w:tc>
        <w:tc>
          <w:tcPr>
            <w:tcW w:w="2393" w:type="dxa"/>
            <w:tcBorders>
              <w:top w:val="single" w:color="auto" w:sz="8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要求的章条号</w:t>
            </w:r>
          </w:p>
        </w:tc>
        <w:tc>
          <w:tcPr>
            <w:tcW w:w="2393" w:type="dxa"/>
            <w:tcBorders>
              <w:top w:val="single" w:color="auto" w:sz="8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试验方法章条号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化学成分</w:t>
            </w:r>
          </w:p>
        </w:tc>
        <w:tc>
          <w:tcPr>
            <w:tcW w:w="239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按GB/T5314规定</w:t>
            </w:r>
          </w:p>
        </w:tc>
        <w:tc>
          <w:tcPr>
            <w:tcW w:w="239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eastAsia="宋体"/>
                <w:sz w:val="18"/>
                <w:lang w:eastAsia="zh-CN"/>
              </w:rPr>
            </w:pPr>
            <w:r>
              <w:rPr>
                <w:rFonts w:hint="eastAsia" w:ascii="宋体"/>
                <w:sz w:val="18"/>
              </w:rPr>
              <w:t>3.</w:t>
            </w:r>
            <w:r>
              <w:rPr>
                <w:rFonts w:hint="eastAsia" w:ascii="宋体"/>
                <w:sz w:val="18"/>
                <w:lang w:val="en-US" w:eastAsia="zh-CN"/>
              </w:rPr>
              <w:t>1</w:t>
            </w:r>
          </w:p>
        </w:tc>
        <w:tc>
          <w:tcPr>
            <w:tcW w:w="23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4.1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粒度</w:t>
            </w:r>
          </w:p>
        </w:tc>
        <w:tc>
          <w:tcPr>
            <w:tcW w:w="239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按GB/T5314规定</w:t>
            </w:r>
          </w:p>
        </w:tc>
        <w:tc>
          <w:tcPr>
            <w:tcW w:w="239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eastAsia="宋体"/>
                <w:sz w:val="18"/>
                <w:lang w:eastAsia="zh-CN"/>
              </w:rPr>
            </w:pPr>
            <w:r>
              <w:rPr>
                <w:rFonts w:hint="eastAsia" w:ascii="宋体"/>
                <w:sz w:val="18"/>
              </w:rPr>
              <w:t>3.</w:t>
            </w:r>
            <w:r>
              <w:rPr>
                <w:rFonts w:hint="eastAsia" w:ascii="宋体"/>
                <w:sz w:val="18"/>
                <w:lang w:val="en-US" w:eastAsia="zh-CN"/>
              </w:rPr>
              <w:t>2</w:t>
            </w:r>
          </w:p>
        </w:tc>
        <w:tc>
          <w:tcPr>
            <w:tcW w:w="23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4.2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松装密度</w:t>
            </w:r>
          </w:p>
        </w:tc>
        <w:tc>
          <w:tcPr>
            <w:tcW w:w="239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按GB/T5314规定</w:t>
            </w:r>
          </w:p>
        </w:tc>
        <w:tc>
          <w:tcPr>
            <w:tcW w:w="239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宋体" w:eastAsia="宋体"/>
                <w:sz w:val="18"/>
                <w:lang w:val="en-US" w:eastAsia="zh-CN"/>
              </w:rPr>
            </w:pPr>
            <w:r>
              <w:rPr>
                <w:rFonts w:hint="eastAsia" w:ascii="宋体"/>
                <w:sz w:val="18"/>
                <w:lang w:val="en-US" w:eastAsia="zh-CN"/>
              </w:rPr>
              <w:t>3.3</w:t>
            </w:r>
          </w:p>
        </w:tc>
        <w:tc>
          <w:tcPr>
            <w:tcW w:w="23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宋体" w:eastAsia="宋体"/>
                <w:sz w:val="18"/>
                <w:lang w:val="en-US" w:eastAsia="zh-CN"/>
              </w:rPr>
            </w:pPr>
            <w:r>
              <w:rPr>
                <w:rFonts w:hint="eastAsia" w:ascii="宋体"/>
                <w:sz w:val="18"/>
                <w:lang w:val="en-US" w:eastAsia="zh-CN"/>
              </w:rPr>
              <w:t>4.2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振实密度</w:t>
            </w:r>
          </w:p>
        </w:tc>
        <w:tc>
          <w:tcPr>
            <w:tcW w:w="239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按GB/T5314规定</w:t>
            </w:r>
          </w:p>
        </w:tc>
        <w:tc>
          <w:tcPr>
            <w:tcW w:w="239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宋体" w:eastAsia="宋体"/>
                <w:sz w:val="18"/>
                <w:lang w:val="en-US" w:eastAsia="zh-CN"/>
              </w:rPr>
            </w:pPr>
            <w:r>
              <w:rPr>
                <w:rFonts w:hint="eastAsia" w:ascii="宋体"/>
                <w:sz w:val="18"/>
                <w:lang w:val="en-US" w:eastAsia="zh-CN"/>
              </w:rPr>
              <w:t>3.4</w:t>
            </w:r>
          </w:p>
        </w:tc>
        <w:tc>
          <w:tcPr>
            <w:tcW w:w="23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宋体" w:eastAsia="宋体"/>
                <w:sz w:val="18"/>
                <w:lang w:val="en-US" w:eastAsia="zh-CN"/>
              </w:rPr>
            </w:pPr>
            <w:r>
              <w:rPr>
                <w:rFonts w:hint="eastAsia" w:ascii="宋体"/>
                <w:sz w:val="18"/>
                <w:lang w:val="en-US" w:eastAsia="zh-CN"/>
              </w:rPr>
              <w:t>4.2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流动性</w:t>
            </w:r>
          </w:p>
        </w:tc>
        <w:tc>
          <w:tcPr>
            <w:tcW w:w="239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按GB/T5314规定</w:t>
            </w:r>
          </w:p>
        </w:tc>
        <w:tc>
          <w:tcPr>
            <w:tcW w:w="239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宋体" w:eastAsia="宋体"/>
                <w:sz w:val="18"/>
                <w:lang w:val="en-US" w:eastAsia="zh-CN"/>
              </w:rPr>
            </w:pPr>
            <w:r>
              <w:rPr>
                <w:rFonts w:hint="eastAsia" w:ascii="宋体"/>
                <w:sz w:val="18"/>
                <w:lang w:val="en-US" w:eastAsia="zh-CN"/>
              </w:rPr>
              <w:t>3.5</w:t>
            </w:r>
          </w:p>
        </w:tc>
        <w:tc>
          <w:tcPr>
            <w:tcW w:w="23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宋体" w:eastAsia="宋体"/>
                <w:sz w:val="18"/>
                <w:lang w:val="en-US" w:eastAsia="zh-CN"/>
              </w:rPr>
            </w:pPr>
            <w:r>
              <w:rPr>
                <w:rFonts w:hint="eastAsia" w:ascii="宋体"/>
                <w:sz w:val="18"/>
                <w:lang w:val="en-US" w:eastAsia="zh-CN"/>
              </w:rPr>
              <w:t>4.2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球形度</w:t>
            </w:r>
          </w:p>
        </w:tc>
        <w:tc>
          <w:tcPr>
            <w:tcW w:w="239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按GB/T5314规定</w:t>
            </w:r>
          </w:p>
        </w:tc>
        <w:tc>
          <w:tcPr>
            <w:tcW w:w="239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宋体" w:eastAsia="宋体"/>
                <w:sz w:val="18"/>
                <w:lang w:val="en-US" w:eastAsia="zh-CN"/>
              </w:rPr>
            </w:pPr>
            <w:r>
              <w:rPr>
                <w:rFonts w:hint="eastAsia" w:ascii="宋体"/>
                <w:sz w:val="18"/>
                <w:lang w:val="en-US" w:eastAsia="zh-CN"/>
              </w:rPr>
              <w:t>3.6</w:t>
            </w:r>
          </w:p>
        </w:tc>
        <w:tc>
          <w:tcPr>
            <w:tcW w:w="23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宋体" w:eastAsia="宋体"/>
                <w:sz w:val="18"/>
                <w:lang w:val="en-US" w:eastAsia="zh-CN"/>
              </w:rPr>
            </w:pPr>
            <w:r>
              <w:rPr>
                <w:rFonts w:hint="eastAsia" w:ascii="宋体"/>
                <w:sz w:val="18"/>
                <w:lang w:val="en-US" w:eastAsia="zh-CN"/>
              </w:rPr>
              <w:t>4.3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/>
                <w:sz w:val="18"/>
              </w:rPr>
              <w:t>外观质量</w:t>
            </w:r>
          </w:p>
        </w:tc>
        <w:tc>
          <w:tcPr>
            <w:tcW w:w="239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  <w:szCs w:val="21"/>
              </w:rPr>
              <w:t>逐 瓶（件）</w:t>
            </w:r>
          </w:p>
        </w:tc>
        <w:tc>
          <w:tcPr>
            <w:tcW w:w="239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eastAsia="宋体"/>
                <w:sz w:val="18"/>
                <w:lang w:eastAsia="zh-CN"/>
              </w:rPr>
            </w:pPr>
            <w:r>
              <w:rPr>
                <w:rFonts w:hint="eastAsia" w:ascii="宋体"/>
                <w:sz w:val="18"/>
              </w:rPr>
              <w:t>3.</w:t>
            </w:r>
            <w:r>
              <w:rPr>
                <w:rFonts w:hint="eastAsia" w:ascii="宋体"/>
                <w:sz w:val="18"/>
                <w:lang w:val="en-US" w:eastAsia="zh-CN"/>
              </w:rPr>
              <w:t>7</w:t>
            </w:r>
          </w:p>
        </w:tc>
        <w:tc>
          <w:tcPr>
            <w:tcW w:w="23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eastAsia="宋体"/>
                <w:sz w:val="18"/>
                <w:lang w:eastAsia="zh-CN"/>
              </w:rPr>
            </w:pPr>
            <w:r>
              <w:rPr>
                <w:rFonts w:hint="eastAsia" w:ascii="宋体"/>
                <w:sz w:val="18"/>
              </w:rPr>
              <w:t>4.</w:t>
            </w:r>
            <w:r>
              <w:rPr>
                <w:rFonts w:hint="eastAsia" w:ascii="宋体"/>
                <w:sz w:val="18"/>
                <w:lang w:val="en-US" w:eastAsia="zh-CN"/>
              </w:rPr>
              <w:t>4</w:t>
            </w:r>
          </w:p>
        </w:tc>
      </w:tr>
    </w:tbl>
    <w:p>
      <w:pPr>
        <w:pStyle w:val="39"/>
        <w:spacing w:before="156" w:after="156"/>
      </w:pPr>
      <w:r>
        <w:rPr>
          <w:rFonts w:hint="eastAsia"/>
        </w:rPr>
        <w:t>检验结果判定</w:t>
      </w:r>
    </w:p>
    <w:p>
      <w:pPr>
        <w:pStyle w:val="43"/>
        <w:spacing w:before="156" w:after="156"/>
        <w:rPr>
          <w:rFonts w:ascii="宋体" w:hAnsi="宋体" w:eastAsia="宋体"/>
          <w:szCs w:val="20"/>
        </w:rPr>
      </w:pPr>
      <w:r>
        <w:rPr>
          <w:rFonts w:hint="eastAsia" w:ascii="宋体" w:hAnsi="宋体" w:eastAsia="宋体"/>
          <w:szCs w:val="20"/>
        </w:rPr>
        <w:t>化学成分检验不合格，则在该批产品中另取双倍数量的试样对该不合格项进行重复检验，若重复检验仍有结果不合格时，则判该批产品为不合格。</w:t>
      </w:r>
    </w:p>
    <w:p>
      <w:pPr>
        <w:pStyle w:val="43"/>
        <w:spacing w:before="156" w:after="156"/>
        <w:rPr>
          <w:rFonts w:ascii="宋体" w:hAnsi="宋体" w:eastAsia="宋体"/>
          <w:szCs w:val="20"/>
        </w:rPr>
      </w:pPr>
      <w:r>
        <w:rPr>
          <w:rFonts w:hint="eastAsia" w:ascii="宋体" w:hAnsi="宋体" w:eastAsia="宋体"/>
          <w:szCs w:val="20"/>
        </w:rPr>
        <w:t>物理性能检验不合格，则在该批产品中另取双倍数量的试样对该不合格项进行重复检验，若重复检验仍有结果不合格时，则判该批产品为不合格。</w:t>
      </w:r>
    </w:p>
    <w:p>
      <w:pPr>
        <w:pStyle w:val="43"/>
        <w:spacing w:before="156" w:after="156"/>
        <w:rPr>
          <w:rFonts w:ascii="宋体" w:hAnsi="宋体"/>
        </w:rPr>
      </w:pPr>
      <w:r>
        <w:rPr>
          <w:rFonts w:hint="eastAsia" w:ascii="宋体" w:hAnsi="宋体" w:eastAsia="宋体"/>
          <w:szCs w:val="20"/>
        </w:rPr>
        <w:t>外观质量检验结果不合格，则判该瓶产品为不合格</w:t>
      </w:r>
      <w:r>
        <w:rPr>
          <w:rFonts w:hint="eastAsia" w:ascii="宋体" w:hAnsi="宋体"/>
        </w:rPr>
        <w:t>。</w:t>
      </w:r>
    </w:p>
    <w:p>
      <w:pPr>
        <w:pStyle w:val="42"/>
        <w:spacing w:before="312" w:after="312"/>
      </w:pPr>
      <w:r>
        <w:rPr>
          <w:rFonts w:hint="eastAsia"/>
        </w:rPr>
        <w:t>标志、包装、运输、贮存和质量证明书</w:t>
      </w:r>
    </w:p>
    <w:p>
      <w:pPr>
        <w:pStyle w:val="39"/>
        <w:spacing w:before="156" w:after="156"/>
      </w:pPr>
      <w:r>
        <w:rPr>
          <w:rFonts w:hint="eastAsia"/>
        </w:rPr>
        <w:t>标志</w:t>
      </w:r>
    </w:p>
    <w:p>
      <w:pPr>
        <w:pStyle w:val="43"/>
        <w:numPr>
          <w:ilvl w:val="2"/>
          <w:numId w:val="0"/>
        </w:numPr>
        <w:spacing w:before="156" w:after="156"/>
        <w:ind w:leftChars="0"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在包装好的产品桶上应附有标志，其上注明：</w:t>
      </w:r>
    </w:p>
    <w:p>
      <w:pPr>
        <w:pStyle w:val="56"/>
      </w:pPr>
      <w:r>
        <w:rPr>
          <w:rFonts w:hint="eastAsia"/>
        </w:rPr>
        <w:t>供方名称或商标；</w:t>
      </w:r>
    </w:p>
    <w:p>
      <w:pPr>
        <w:pStyle w:val="56"/>
      </w:pPr>
      <w:r>
        <w:rPr>
          <w:rFonts w:hint="eastAsia"/>
        </w:rPr>
        <w:t>产品牌号；</w:t>
      </w:r>
    </w:p>
    <w:p>
      <w:pPr>
        <w:pStyle w:val="56"/>
      </w:pPr>
      <w:r>
        <w:rPr>
          <w:rFonts w:hint="eastAsia"/>
        </w:rPr>
        <w:t>产品批号；</w:t>
      </w:r>
    </w:p>
    <w:p>
      <w:pPr>
        <w:pStyle w:val="56"/>
      </w:pPr>
      <w:r>
        <w:rPr>
          <w:rFonts w:hint="eastAsia"/>
        </w:rPr>
        <w:t>重量；</w:t>
      </w:r>
    </w:p>
    <w:p>
      <w:pPr>
        <w:pStyle w:val="56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</w:rPr>
        <w:t>包装日期</w:t>
      </w:r>
      <w:r>
        <w:rPr>
          <w:rFonts w:hint="eastAsia"/>
          <w:lang w:eastAsia="zh-CN"/>
        </w:rPr>
        <w:t>；</w:t>
      </w:r>
    </w:p>
    <w:p>
      <w:pPr>
        <w:pStyle w:val="56"/>
        <w:rPr>
          <w:rFonts w:hint="default" w:hAnsi="Times New Roman" w:cs="Times New Roman"/>
          <w:szCs w:val="22"/>
          <w:lang w:val="en-US" w:eastAsia="zh-CN"/>
        </w:rPr>
      </w:pPr>
      <w:r>
        <w:rPr>
          <w:rFonts w:hint="eastAsia" w:hAnsi="Times New Roman" w:cs="Times New Roman"/>
          <w:szCs w:val="22"/>
          <w:lang w:val="en-US" w:eastAsia="zh-CN"/>
        </w:rPr>
        <w:t>“易燃”、“防火”、“防潮”、“向上”、“禁止翻滚”等标识；</w:t>
      </w:r>
    </w:p>
    <w:p>
      <w:pPr>
        <w:pStyle w:val="56"/>
        <w:rPr>
          <w:rFonts w:hint="eastAsia" w:hAnsi="Times New Roman" w:cs="Times New Roman"/>
          <w:szCs w:val="22"/>
        </w:rPr>
      </w:pPr>
      <w:r>
        <w:rPr>
          <w:rFonts w:hint="eastAsia" w:hAnsi="Times New Roman" w:cs="Times New Roman"/>
          <w:szCs w:val="22"/>
          <w:lang w:val="en-US" w:eastAsia="zh-CN"/>
        </w:rPr>
        <w:t>其他。</w:t>
      </w:r>
    </w:p>
    <w:p>
      <w:pPr>
        <w:pStyle w:val="39"/>
        <w:spacing w:before="156" w:after="156"/>
      </w:pPr>
      <w:r>
        <w:rPr>
          <w:rFonts w:hint="eastAsia"/>
        </w:rPr>
        <w:t>包装</w:t>
      </w:r>
    </w:p>
    <w:p>
      <w:pPr>
        <w:pStyle w:val="22"/>
        <w:rPr>
          <w:rFonts w:hint="eastAsia" w:hAnsi="宋体" w:cs="Times New Roman"/>
          <w:szCs w:val="22"/>
        </w:rPr>
      </w:pPr>
      <w:r>
        <w:rPr>
          <w:rFonts w:hint="eastAsia" w:hAnsi="宋体" w:cs="Times New Roman"/>
          <w:szCs w:val="22"/>
          <w:lang w:val="en-US" w:eastAsia="zh-CN"/>
        </w:rPr>
        <w:t>产品应以洁净的塑料桶、金属瓶或金属桶等为容器单元，采取充惰性气体保护封装或者真空包装，或采用厚塑料袋抽真空塑封，包装过程中应严格控制环境避免污染。产品包装重量分1Kg、2Kg、5Kg、10Kg四种规格，也可以根据需方需要进行包装。包装容器应保证其在运输过程中的完整性，且不易破损、受潮或者使产品接触到外来污染物。</w:t>
      </w:r>
    </w:p>
    <w:p>
      <w:pPr>
        <w:pStyle w:val="39"/>
        <w:spacing w:before="156" w:after="156"/>
      </w:pPr>
      <w:r>
        <w:rPr>
          <w:rFonts w:hint="eastAsia"/>
        </w:rPr>
        <w:t>运输贮存</w:t>
      </w:r>
    </w:p>
    <w:p>
      <w:pPr>
        <w:pStyle w:val="22"/>
        <w:rPr>
          <w:rFonts w:hint="eastAsia" w:hAnsi="宋体" w:cs="Times New Roman"/>
          <w:szCs w:val="22"/>
          <w:lang w:val="en-US" w:eastAsia="zh-CN"/>
        </w:rPr>
      </w:pPr>
      <w:r>
        <w:rPr>
          <w:rFonts w:hint="eastAsia" w:hAnsi="宋体" w:cs="Times New Roman"/>
          <w:szCs w:val="22"/>
          <w:lang w:val="en-US" w:eastAsia="zh-CN"/>
        </w:rPr>
        <w:t>产品应在有遮盖物的环境下进行运输，运输过程中应防止雨淋受潮、严禁剧烈碰撞和机械挤压，搬运过程应轻装轻卸、切勿倒置，严禁接近火种及火源。</w:t>
      </w:r>
    </w:p>
    <w:p>
      <w:pPr>
        <w:pStyle w:val="22"/>
        <w:rPr>
          <w:rFonts w:hAnsi="宋体"/>
          <w:color w:val="FF0000"/>
        </w:rPr>
      </w:pPr>
      <w:r>
        <w:rPr>
          <w:rFonts w:hint="eastAsia" w:hAnsi="宋体" w:cs="Times New Roman"/>
          <w:szCs w:val="22"/>
          <w:lang w:val="en-US" w:eastAsia="zh-CN"/>
        </w:rPr>
        <w:t>产品应</w:t>
      </w:r>
      <w:r>
        <w:rPr>
          <w:rFonts w:hint="eastAsia"/>
        </w:rPr>
        <w:t>贮存</w:t>
      </w:r>
      <w:r>
        <w:rPr>
          <w:rFonts w:hint="eastAsia"/>
          <w:lang w:eastAsia="zh-CN"/>
        </w:rPr>
        <w:t>在通风、干燥、阴凉、无腐蚀性侵蚀的环境中，严禁与氧化剂、酸类、碱类一起存放，并避免阳光直晒。</w:t>
      </w:r>
    </w:p>
    <w:p>
      <w:pPr>
        <w:pStyle w:val="39"/>
        <w:spacing w:before="156" w:after="156"/>
      </w:pPr>
      <w:r>
        <w:rPr>
          <w:rFonts w:hint="eastAsia"/>
        </w:rPr>
        <w:t>质量证明书</w:t>
      </w:r>
    </w:p>
    <w:p>
      <w:pPr>
        <w:pStyle w:val="22"/>
        <w:rPr>
          <w:rFonts w:hAnsi="宋体"/>
        </w:rPr>
      </w:pPr>
      <w:r>
        <w:rPr>
          <w:rFonts w:hint="eastAsia"/>
        </w:rPr>
        <w:t>每批</w:t>
      </w:r>
      <w:r>
        <w:rPr>
          <w:rFonts w:hint="eastAsia" w:hAnsi="宋体"/>
        </w:rPr>
        <w:t>产品应附有质量证明书，其中注明：</w:t>
      </w:r>
    </w:p>
    <w:p>
      <w:pPr>
        <w:pStyle w:val="56"/>
        <w:numPr>
          <w:ilvl w:val="0"/>
          <w:numId w:val="18"/>
        </w:numPr>
      </w:pPr>
      <w:r>
        <w:rPr>
          <w:rFonts w:hint="eastAsia"/>
        </w:rPr>
        <w:t>供方名称、地址；</w:t>
      </w:r>
    </w:p>
    <w:p>
      <w:pPr>
        <w:pStyle w:val="56"/>
        <w:numPr>
          <w:ilvl w:val="0"/>
          <w:numId w:val="18"/>
        </w:numPr>
      </w:pPr>
      <w:r>
        <w:rPr>
          <w:rFonts w:hint="eastAsia"/>
        </w:rPr>
        <w:t>产品名称；</w:t>
      </w:r>
    </w:p>
    <w:p>
      <w:pPr>
        <w:pStyle w:val="56"/>
        <w:numPr>
          <w:ilvl w:val="0"/>
          <w:numId w:val="18"/>
        </w:numPr>
      </w:pPr>
      <w:r>
        <w:rPr>
          <w:rFonts w:hint="eastAsia"/>
          <w:lang w:eastAsia="zh-CN"/>
        </w:rPr>
        <w:t>产品牌号</w:t>
      </w:r>
    </w:p>
    <w:p>
      <w:pPr>
        <w:pStyle w:val="56"/>
        <w:numPr>
          <w:ilvl w:val="0"/>
          <w:numId w:val="18"/>
        </w:numPr>
      </w:pPr>
      <w:r>
        <w:rPr>
          <w:rFonts w:hint="eastAsia"/>
        </w:rPr>
        <w:t>产品批号；</w:t>
      </w:r>
    </w:p>
    <w:p>
      <w:pPr>
        <w:pStyle w:val="56"/>
        <w:numPr>
          <w:ilvl w:val="0"/>
          <w:numId w:val="18"/>
        </w:numPr>
      </w:pPr>
      <w:r>
        <w:rPr>
          <w:rFonts w:hint="eastAsia"/>
          <w:lang w:eastAsia="zh-CN"/>
        </w:rPr>
        <w:t>粒度范围；</w:t>
      </w:r>
    </w:p>
    <w:p>
      <w:pPr>
        <w:pStyle w:val="56"/>
        <w:numPr>
          <w:ilvl w:val="0"/>
          <w:numId w:val="18"/>
        </w:numPr>
      </w:pPr>
      <w:r>
        <w:rPr>
          <w:rFonts w:hint="eastAsia"/>
        </w:rPr>
        <w:t>净重和数量；</w:t>
      </w:r>
    </w:p>
    <w:p>
      <w:pPr>
        <w:pStyle w:val="56"/>
        <w:numPr>
          <w:ilvl w:val="0"/>
          <w:numId w:val="18"/>
        </w:numPr>
      </w:pPr>
      <w:r>
        <w:rPr>
          <w:rFonts w:hint="eastAsia"/>
        </w:rPr>
        <w:t>各项检验结果；</w:t>
      </w:r>
    </w:p>
    <w:p>
      <w:pPr>
        <w:pStyle w:val="56"/>
        <w:numPr>
          <w:ilvl w:val="0"/>
          <w:numId w:val="18"/>
        </w:numPr>
      </w:pPr>
      <w:r>
        <w:rPr>
          <w:rFonts w:hint="eastAsia"/>
        </w:rPr>
        <w:t>本标准编号；</w:t>
      </w:r>
    </w:p>
    <w:p>
      <w:pPr>
        <w:pStyle w:val="56"/>
        <w:numPr>
          <w:ilvl w:val="0"/>
          <w:numId w:val="18"/>
        </w:numPr>
      </w:pPr>
      <w:r>
        <w:rPr>
          <w:rFonts w:hint="eastAsia"/>
        </w:rPr>
        <w:t>出厂日期。</w:t>
      </w:r>
    </w:p>
    <w:p>
      <w:pPr>
        <w:pStyle w:val="42"/>
        <w:spacing w:before="312" w:after="312"/>
      </w:pPr>
      <w:r>
        <w:rPr>
          <w:rFonts w:hint="eastAsia"/>
        </w:rPr>
        <w:t>合同（或订货单）内容</w:t>
      </w:r>
    </w:p>
    <w:p>
      <w:pPr>
        <w:pStyle w:val="22"/>
      </w:pPr>
      <w:r>
        <w:rPr>
          <w:rFonts w:hint="eastAsia"/>
        </w:rPr>
        <w:t>订购本标准所列产品的合同（或订货单）应包括下列内容：</w:t>
      </w:r>
    </w:p>
    <w:p>
      <w:pPr>
        <w:pStyle w:val="56"/>
        <w:numPr>
          <w:ilvl w:val="0"/>
          <w:numId w:val="19"/>
        </w:numPr>
      </w:pPr>
      <w:r>
        <w:rPr>
          <w:rFonts w:hint="eastAsia"/>
        </w:rPr>
        <w:t>产品名称；</w:t>
      </w:r>
    </w:p>
    <w:p>
      <w:pPr>
        <w:pStyle w:val="56"/>
        <w:numPr>
          <w:ilvl w:val="0"/>
          <w:numId w:val="19"/>
        </w:numPr>
      </w:pPr>
      <w:r>
        <w:rPr>
          <w:rFonts w:hint="eastAsia"/>
          <w:lang w:eastAsia="zh-CN"/>
        </w:rPr>
        <w:t>产品牌号；</w:t>
      </w:r>
    </w:p>
    <w:p>
      <w:pPr>
        <w:pStyle w:val="56"/>
        <w:numPr>
          <w:ilvl w:val="0"/>
          <w:numId w:val="19"/>
        </w:numPr>
      </w:pPr>
      <w:r>
        <w:rPr>
          <w:rFonts w:hint="eastAsia"/>
          <w:lang w:eastAsia="zh-CN"/>
        </w:rPr>
        <w:t>粒度范围；</w:t>
      </w:r>
    </w:p>
    <w:p>
      <w:pPr>
        <w:pStyle w:val="56"/>
        <w:numPr>
          <w:ilvl w:val="0"/>
          <w:numId w:val="19"/>
        </w:numPr>
      </w:pPr>
      <w:r>
        <w:rPr>
          <w:rFonts w:hint="eastAsia"/>
        </w:rPr>
        <w:t>产品净重；</w:t>
      </w:r>
    </w:p>
    <w:p>
      <w:pPr>
        <w:pStyle w:val="56"/>
        <w:numPr>
          <w:ilvl w:val="0"/>
          <w:numId w:val="19"/>
        </w:numPr>
      </w:pPr>
      <w:r>
        <w:rPr>
          <w:rFonts w:hint="eastAsia"/>
        </w:rPr>
        <w:t>本标准编号；</w:t>
      </w:r>
    </w:p>
    <w:p>
      <w:pPr>
        <w:pStyle w:val="56"/>
        <w:numPr>
          <w:ilvl w:val="0"/>
          <w:numId w:val="19"/>
        </w:numPr>
      </w:pPr>
      <w:r>
        <w:rPr>
          <w:rFonts w:hint="eastAsia"/>
        </w:rPr>
        <w:t>其他。</w:t>
      </w:r>
    </w:p>
    <w:p>
      <w:pPr>
        <w:pStyle w:val="22"/>
        <w:ind w:firstLine="0" w:firstLineChars="0"/>
      </w:pPr>
    </w:p>
    <w:p>
      <w:pPr>
        <w:pStyle w:val="126"/>
      </w:pPr>
      <w:r>
        <w:t>_________________________________</w:t>
      </w:r>
    </w:p>
    <w:sectPr>
      <w:pgSz w:w="11906" w:h="16838"/>
      <w:pgMar w:top="567" w:right="1134" w:bottom="1134" w:left="1418" w:header="1418" w:footer="1134" w:gutter="0"/>
      <w:pgNumType w:start="1"/>
      <w:cols w:space="425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0"/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1"/>
    </w:pPr>
    <w:r>
      <w:t>GB/T 20XX—XXXX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02AD"/>
    <w:multiLevelType w:val="multilevel"/>
    <w:tmpl w:val="079102AD"/>
    <w:lvl w:ilvl="0" w:tentative="0">
      <w:start w:val="1"/>
      <w:numFmt w:val="decimal"/>
      <w:pStyle w:val="55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093C6778"/>
    <w:lvl w:ilvl="0" w:tentative="0">
      <w:start w:val="1"/>
      <w:numFmt w:val="decimal"/>
      <w:pStyle w:val="113"/>
      <w:suff w:val="nothing"/>
      <w:lvlText w:val="示例%1："/>
      <w:lvlJc w:val="left"/>
      <w:pPr>
        <w:ind w:left="0" w:firstLine="397"/>
      </w:pPr>
      <w:rPr>
        <w:rFonts w:hint="eastAsia" w:ascii="黑体" w:eastAsia="黑体"/>
        <w:sz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0AE367E9"/>
    <w:lvl w:ilvl="0" w:tentative="0">
      <w:start w:val="1"/>
      <w:numFmt w:val="none"/>
      <w:pStyle w:val="49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3">
    <w:nsid w:val="0DDE2B46"/>
    <w:multiLevelType w:val="multilevel"/>
    <w:tmpl w:val="0DDE2B46"/>
    <w:lvl w:ilvl="0" w:tentative="0">
      <w:start w:val="1"/>
      <w:numFmt w:val="lowerLetter"/>
      <w:pStyle w:val="118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4">
    <w:nsid w:val="1DBF583A"/>
    <w:multiLevelType w:val="multilevel"/>
    <w:tmpl w:val="1DBF583A"/>
    <w:lvl w:ilvl="0" w:tentative="0">
      <w:start w:val="1"/>
      <w:numFmt w:val="decimal"/>
      <w:pStyle w:val="62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5">
    <w:nsid w:val="1FC91163"/>
    <w:multiLevelType w:val="multilevel"/>
    <w:tmpl w:val="1FC91163"/>
    <w:lvl w:ilvl="0" w:tentative="0">
      <w:start w:val="1"/>
      <w:numFmt w:val="decimal"/>
      <w:pStyle w:val="42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3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43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48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52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53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6">
    <w:nsid w:val="2A8F7113"/>
    <w:multiLevelType w:val="multilevel"/>
    <w:tmpl w:val="2A8F7113"/>
    <w:lvl w:ilvl="0" w:tentative="0">
      <w:start w:val="1"/>
      <w:numFmt w:val="upperLetter"/>
      <w:pStyle w:val="95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96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7">
    <w:nsid w:val="2C5917C3"/>
    <w:multiLevelType w:val="multilevel"/>
    <w:tmpl w:val="2C5917C3"/>
    <w:lvl w:ilvl="0" w:tentative="0">
      <w:start w:val="1"/>
      <w:numFmt w:val="none"/>
      <w:pStyle w:val="45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46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57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8">
    <w:nsid w:val="3D733618"/>
    <w:multiLevelType w:val="multilevel"/>
    <w:tmpl w:val="3D733618"/>
    <w:lvl w:ilvl="0" w:tentative="0">
      <w:start w:val="1"/>
      <w:numFmt w:val="decimal"/>
      <w:pStyle w:val="23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9">
    <w:nsid w:val="44C50F90"/>
    <w:multiLevelType w:val="multilevel"/>
    <w:tmpl w:val="44C50F90"/>
    <w:lvl w:ilvl="0" w:tentative="0">
      <w:start w:val="1"/>
      <w:numFmt w:val="lowerLetter"/>
      <w:pStyle w:val="56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1" w:tentative="0">
      <w:start w:val="1"/>
      <w:numFmt w:val="decimal"/>
      <w:pStyle w:val="51"/>
      <w:lvlText w:val="%2)"/>
      <w:lvlJc w:val="left"/>
      <w:pPr>
        <w:tabs>
          <w:tab w:val="left" w:pos="1259"/>
        </w:tabs>
        <w:ind w:left="1259" w:hanging="420"/>
      </w:pPr>
      <w:rPr>
        <w:rFonts w:hint="eastAsia" w:ascii="宋体" w:hAnsi="宋体" w:eastAsia="宋体"/>
        <w:b w:val="0"/>
        <w:i w:val="0"/>
        <w:sz w:val="20"/>
      </w:rPr>
    </w:lvl>
    <w:lvl w:ilvl="2" w:tentative="0">
      <w:start w:val="1"/>
      <w:numFmt w:val="decimal"/>
      <w:pStyle w:val="58"/>
      <w:lvlText w:val="(%3)"/>
      <w:lvlJc w:val="left"/>
      <w:pPr>
        <w:tabs>
          <w:tab w:val="left" w:pos="0"/>
        </w:tabs>
        <w:ind w:left="1678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hint="eastAsia"/>
      </w:rPr>
    </w:lvl>
  </w:abstractNum>
  <w:abstractNum w:abstractNumId="10">
    <w:nsid w:val="4B733A5F"/>
    <w:multiLevelType w:val="multilevel"/>
    <w:tmpl w:val="4B733A5F"/>
    <w:lvl w:ilvl="0" w:tentative="0">
      <w:start w:val="1"/>
      <w:numFmt w:val="decimal"/>
      <w:pStyle w:val="59"/>
      <w:suff w:val="nothing"/>
      <w:lvlText w:val="示例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1">
    <w:nsid w:val="557C2AF5"/>
    <w:multiLevelType w:val="multilevel"/>
    <w:tmpl w:val="557C2AF5"/>
    <w:lvl w:ilvl="0" w:tentative="0">
      <w:start w:val="1"/>
      <w:numFmt w:val="decimal"/>
      <w:pStyle w:val="125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2">
    <w:nsid w:val="60B55DC2"/>
    <w:multiLevelType w:val="multilevel"/>
    <w:tmpl w:val="60B55DC2"/>
    <w:lvl w:ilvl="0" w:tentative="0">
      <w:start w:val="1"/>
      <w:numFmt w:val="upperLetter"/>
      <w:pStyle w:val="83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84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3">
    <w:nsid w:val="646260FA"/>
    <w:multiLevelType w:val="multilevel"/>
    <w:tmpl w:val="646260FA"/>
    <w:lvl w:ilvl="0" w:tentative="0">
      <w:start w:val="1"/>
      <w:numFmt w:val="decimal"/>
      <w:pStyle w:val="123"/>
      <w:suff w:val="nothing"/>
      <w:lvlText w:val="表%1　"/>
      <w:lvlJc w:val="left"/>
      <w:pPr>
        <w:ind w:left="4962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4">
    <w:nsid w:val="657D3FBC"/>
    <w:multiLevelType w:val="multilevel"/>
    <w:tmpl w:val="657D3FBC"/>
    <w:lvl w:ilvl="0" w:tentative="0">
      <w:start w:val="1"/>
      <w:numFmt w:val="upperLetter"/>
      <w:pStyle w:val="81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9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100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85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90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93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97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5">
    <w:nsid w:val="6D6C07CD"/>
    <w:multiLevelType w:val="multilevel"/>
    <w:tmpl w:val="6D6C07CD"/>
    <w:lvl w:ilvl="0" w:tentative="0">
      <w:start w:val="1"/>
      <w:numFmt w:val="lowerLetter"/>
      <w:pStyle w:val="102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92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6">
    <w:nsid w:val="6DBF04F4"/>
    <w:multiLevelType w:val="multilevel"/>
    <w:tmpl w:val="6DBF04F4"/>
    <w:lvl w:ilvl="0" w:tentative="0">
      <w:start w:val="1"/>
      <w:numFmt w:val="none"/>
      <w:pStyle w:val="54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2"/>
  </w:num>
  <w:num w:numId="5">
    <w:abstractNumId w:val="9"/>
  </w:num>
  <w:num w:numId="6">
    <w:abstractNumId w:val="16"/>
  </w:num>
  <w:num w:numId="7">
    <w:abstractNumId w:val="0"/>
  </w:num>
  <w:num w:numId="8">
    <w:abstractNumId w:val="10"/>
  </w:num>
  <w:num w:numId="9">
    <w:abstractNumId w:val="4"/>
  </w:num>
  <w:num w:numId="10">
    <w:abstractNumId w:val="14"/>
  </w:num>
  <w:num w:numId="11">
    <w:abstractNumId w:val="12"/>
  </w:num>
  <w:num w:numId="12">
    <w:abstractNumId w:val="15"/>
  </w:num>
  <w:num w:numId="13">
    <w:abstractNumId w:val="6"/>
  </w:num>
  <w:num w:numId="14">
    <w:abstractNumId w:val="1"/>
  </w:num>
  <w:num w:numId="15">
    <w:abstractNumId w:val="3"/>
  </w:num>
  <w:num w:numId="16">
    <w:abstractNumId w:val="13"/>
  </w:num>
  <w:num w:numId="17">
    <w:abstractNumId w:val="11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attachedTemplate r:id="rId1"/>
  <w:documentProtection w:edit="forms" w:enforcement="1" w:cryptProviderType="rsaFull" w:cryptAlgorithmClass="hash" w:cryptAlgorithmType="typeAny" w:cryptAlgorithmSid="4" w:cryptSpinCount="100000" w:hash="mmpdycthbQOe77UPgkZ20+Vqiyw=" w:salt="G1PY3Z7TH/G9ey2IrPD2ZQ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1A22"/>
    <w:rsid w:val="00000244"/>
    <w:rsid w:val="0000185F"/>
    <w:rsid w:val="0000586F"/>
    <w:rsid w:val="00013D86"/>
    <w:rsid w:val="00013E02"/>
    <w:rsid w:val="0002143C"/>
    <w:rsid w:val="00025610"/>
    <w:rsid w:val="00025A65"/>
    <w:rsid w:val="00026C31"/>
    <w:rsid w:val="00027280"/>
    <w:rsid w:val="000320A7"/>
    <w:rsid w:val="00035925"/>
    <w:rsid w:val="00056673"/>
    <w:rsid w:val="00067CDF"/>
    <w:rsid w:val="00074FBE"/>
    <w:rsid w:val="00083A09"/>
    <w:rsid w:val="0009005E"/>
    <w:rsid w:val="00092857"/>
    <w:rsid w:val="000A20A9"/>
    <w:rsid w:val="000A48B1"/>
    <w:rsid w:val="000B3143"/>
    <w:rsid w:val="000C6B05"/>
    <w:rsid w:val="000C6DD6"/>
    <w:rsid w:val="000C73D4"/>
    <w:rsid w:val="000D3D4C"/>
    <w:rsid w:val="000D4F51"/>
    <w:rsid w:val="000D718B"/>
    <w:rsid w:val="000E0C46"/>
    <w:rsid w:val="000F030C"/>
    <w:rsid w:val="000F129C"/>
    <w:rsid w:val="001056DE"/>
    <w:rsid w:val="0011107A"/>
    <w:rsid w:val="001124C0"/>
    <w:rsid w:val="0013175F"/>
    <w:rsid w:val="00144613"/>
    <w:rsid w:val="001512B4"/>
    <w:rsid w:val="001620A5"/>
    <w:rsid w:val="00164E53"/>
    <w:rsid w:val="0016699D"/>
    <w:rsid w:val="00175159"/>
    <w:rsid w:val="00176208"/>
    <w:rsid w:val="00181A1B"/>
    <w:rsid w:val="00181A22"/>
    <w:rsid w:val="0018211B"/>
    <w:rsid w:val="001840D3"/>
    <w:rsid w:val="001900F8"/>
    <w:rsid w:val="00191258"/>
    <w:rsid w:val="00192680"/>
    <w:rsid w:val="00193037"/>
    <w:rsid w:val="00193A2C"/>
    <w:rsid w:val="001A288E"/>
    <w:rsid w:val="001B6DC2"/>
    <w:rsid w:val="001C149C"/>
    <w:rsid w:val="001C21AC"/>
    <w:rsid w:val="001C47BA"/>
    <w:rsid w:val="001C59EA"/>
    <w:rsid w:val="001D406C"/>
    <w:rsid w:val="001D41EE"/>
    <w:rsid w:val="001D491D"/>
    <w:rsid w:val="001E0380"/>
    <w:rsid w:val="001E13B1"/>
    <w:rsid w:val="001F3A19"/>
    <w:rsid w:val="00217EB6"/>
    <w:rsid w:val="00234467"/>
    <w:rsid w:val="00237D8D"/>
    <w:rsid w:val="00241DA2"/>
    <w:rsid w:val="00247FEE"/>
    <w:rsid w:val="00250E7D"/>
    <w:rsid w:val="002565D5"/>
    <w:rsid w:val="002622C0"/>
    <w:rsid w:val="002778AE"/>
    <w:rsid w:val="0028269A"/>
    <w:rsid w:val="00283590"/>
    <w:rsid w:val="00286973"/>
    <w:rsid w:val="00294E70"/>
    <w:rsid w:val="002A1924"/>
    <w:rsid w:val="002A7420"/>
    <w:rsid w:val="002B0F12"/>
    <w:rsid w:val="002B1308"/>
    <w:rsid w:val="002B4554"/>
    <w:rsid w:val="002C72D8"/>
    <w:rsid w:val="002D11FA"/>
    <w:rsid w:val="002E0DDF"/>
    <w:rsid w:val="002E2906"/>
    <w:rsid w:val="002E5635"/>
    <w:rsid w:val="002E64C3"/>
    <w:rsid w:val="002E6A2C"/>
    <w:rsid w:val="002F1D8C"/>
    <w:rsid w:val="002F21DA"/>
    <w:rsid w:val="00301F39"/>
    <w:rsid w:val="00314B3B"/>
    <w:rsid w:val="00325926"/>
    <w:rsid w:val="00327A8A"/>
    <w:rsid w:val="00336610"/>
    <w:rsid w:val="00343F73"/>
    <w:rsid w:val="00345060"/>
    <w:rsid w:val="0035323B"/>
    <w:rsid w:val="003609D2"/>
    <w:rsid w:val="00361439"/>
    <w:rsid w:val="00363F22"/>
    <w:rsid w:val="00375564"/>
    <w:rsid w:val="00383191"/>
    <w:rsid w:val="00386DED"/>
    <w:rsid w:val="003912E7"/>
    <w:rsid w:val="00393947"/>
    <w:rsid w:val="003A2275"/>
    <w:rsid w:val="003A6A4F"/>
    <w:rsid w:val="003A7088"/>
    <w:rsid w:val="003B00DF"/>
    <w:rsid w:val="003B1275"/>
    <w:rsid w:val="003B1778"/>
    <w:rsid w:val="003B46E8"/>
    <w:rsid w:val="003C11CB"/>
    <w:rsid w:val="003C75F3"/>
    <w:rsid w:val="003C78A3"/>
    <w:rsid w:val="003E1867"/>
    <w:rsid w:val="003E5729"/>
    <w:rsid w:val="003F4EE0"/>
    <w:rsid w:val="00402153"/>
    <w:rsid w:val="00402FC1"/>
    <w:rsid w:val="00425082"/>
    <w:rsid w:val="00431DEB"/>
    <w:rsid w:val="00443899"/>
    <w:rsid w:val="00446B29"/>
    <w:rsid w:val="00453F9A"/>
    <w:rsid w:val="00471E91"/>
    <w:rsid w:val="00474675"/>
    <w:rsid w:val="0047470C"/>
    <w:rsid w:val="004A35F9"/>
    <w:rsid w:val="004B24C1"/>
    <w:rsid w:val="004C292F"/>
    <w:rsid w:val="005040FB"/>
    <w:rsid w:val="00510280"/>
    <w:rsid w:val="00513D73"/>
    <w:rsid w:val="00514A43"/>
    <w:rsid w:val="005174E5"/>
    <w:rsid w:val="00522393"/>
    <w:rsid w:val="00522620"/>
    <w:rsid w:val="00525656"/>
    <w:rsid w:val="00534C02"/>
    <w:rsid w:val="0054264B"/>
    <w:rsid w:val="00543786"/>
    <w:rsid w:val="005533D7"/>
    <w:rsid w:val="005703DE"/>
    <w:rsid w:val="0058464E"/>
    <w:rsid w:val="005A01CB"/>
    <w:rsid w:val="005A58FF"/>
    <w:rsid w:val="005A5EAF"/>
    <w:rsid w:val="005A600D"/>
    <w:rsid w:val="005A64C0"/>
    <w:rsid w:val="005B3C11"/>
    <w:rsid w:val="005C1C28"/>
    <w:rsid w:val="005C6DB5"/>
    <w:rsid w:val="005E19E7"/>
    <w:rsid w:val="0061716C"/>
    <w:rsid w:val="006243A1"/>
    <w:rsid w:val="00632E56"/>
    <w:rsid w:val="00635CBA"/>
    <w:rsid w:val="0064338B"/>
    <w:rsid w:val="00646542"/>
    <w:rsid w:val="006504F4"/>
    <w:rsid w:val="00654BC9"/>
    <w:rsid w:val="006552FD"/>
    <w:rsid w:val="00663AF3"/>
    <w:rsid w:val="00666B6C"/>
    <w:rsid w:val="00682682"/>
    <w:rsid w:val="00682702"/>
    <w:rsid w:val="00692368"/>
    <w:rsid w:val="006A2EBC"/>
    <w:rsid w:val="006A5EA0"/>
    <w:rsid w:val="006A783B"/>
    <w:rsid w:val="006A7B33"/>
    <w:rsid w:val="006B4E13"/>
    <w:rsid w:val="006B75DD"/>
    <w:rsid w:val="006C67E0"/>
    <w:rsid w:val="006C7ABA"/>
    <w:rsid w:val="006D0D60"/>
    <w:rsid w:val="006D1122"/>
    <w:rsid w:val="006D3C00"/>
    <w:rsid w:val="006E3675"/>
    <w:rsid w:val="006E4A7F"/>
    <w:rsid w:val="006E7C6B"/>
    <w:rsid w:val="006F329E"/>
    <w:rsid w:val="00704DF6"/>
    <w:rsid w:val="0070651C"/>
    <w:rsid w:val="0071175C"/>
    <w:rsid w:val="007132A3"/>
    <w:rsid w:val="00716421"/>
    <w:rsid w:val="00724EFB"/>
    <w:rsid w:val="007404C7"/>
    <w:rsid w:val="007419C3"/>
    <w:rsid w:val="007467A7"/>
    <w:rsid w:val="007469DD"/>
    <w:rsid w:val="007469F5"/>
    <w:rsid w:val="0074741B"/>
    <w:rsid w:val="0074759E"/>
    <w:rsid w:val="007478EA"/>
    <w:rsid w:val="0075415C"/>
    <w:rsid w:val="00756D06"/>
    <w:rsid w:val="00763502"/>
    <w:rsid w:val="007913AB"/>
    <w:rsid w:val="007914F7"/>
    <w:rsid w:val="007B1625"/>
    <w:rsid w:val="007B706E"/>
    <w:rsid w:val="007B71EB"/>
    <w:rsid w:val="007C40DC"/>
    <w:rsid w:val="007C6205"/>
    <w:rsid w:val="007C686A"/>
    <w:rsid w:val="007C728E"/>
    <w:rsid w:val="007D2C53"/>
    <w:rsid w:val="007D3D60"/>
    <w:rsid w:val="007E1980"/>
    <w:rsid w:val="007E4B76"/>
    <w:rsid w:val="007E5EA8"/>
    <w:rsid w:val="007F0CF1"/>
    <w:rsid w:val="007F12A5"/>
    <w:rsid w:val="007F4CF1"/>
    <w:rsid w:val="007F758D"/>
    <w:rsid w:val="007F7D52"/>
    <w:rsid w:val="0080654C"/>
    <w:rsid w:val="008071C6"/>
    <w:rsid w:val="00817A00"/>
    <w:rsid w:val="00835DB3"/>
    <w:rsid w:val="0083617B"/>
    <w:rsid w:val="008371BD"/>
    <w:rsid w:val="00837985"/>
    <w:rsid w:val="008504A8"/>
    <w:rsid w:val="0085282E"/>
    <w:rsid w:val="0087198C"/>
    <w:rsid w:val="00872C1F"/>
    <w:rsid w:val="00873B42"/>
    <w:rsid w:val="00877AB2"/>
    <w:rsid w:val="008856D8"/>
    <w:rsid w:val="00892E82"/>
    <w:rsid w:val="008A1227"/>
    <w:rsid w:val="008C1B58"/>
    <w:rsid w:val="008C39AE"/>
    <w:rsid w:val="008C590D"/>
    <w:rsid w:val="008E031B"/>
    <w:rsid w:val="008E7029"/>
    <w:rsid w:val="008E7EF6"/>
    <w:rsid w:val="008F1F98"/>
    <w:rsid w:val="008F6758"/>
    <w:rsid w:val="009040DD"/>
    <w:rsid w:val="00905B47"/>
    <w:rsid w:val="00905F0C"/>
    <w:rsid w:val="0091331C"/>
    <w:rsid w:val="009279DE"/>
    <w:rsid w:val="00930116"/>
    <w:rsid w:val="0093620D"/>
    <w:rsid w:val="0094212C"/>
    <w:rsid w:val="00954689"/>
    <w:rsid w:val="009617C9"/>
    <w:rsid w:val="00961C93"/>
    <w:rsid w:val="00965324"/>
    <w:rsid w:val="0097091E"/>
    <w:rsid w:val="009760D3"/>
    <w:rsid w:val="00977132"/>
    <w:rsid w:val="00981A4B"/>
    <w:rsid w:val="00982501"/>
    <w:rsid w:val="009877D3"/>
    <w:rsid w:val="00994E8F"/>
    <w:rsid w:val="009951DC"/>
    <w:rsid w:val="009959BB"/>
    <w:rsid w:val="00997158"/>
    <w:rsid w:val="009A3A7C"/>
    <w:rsid w:val="009B2ADB"/>
    <w:rsid w:val="009B603A"/>
    <w:rsid w:val="009C2D0E"/>
    <w:rsid w:val="009C3DAC"/>
    <w:rsid w:val="009C42E0"/>
    <w:rsid w:val="009D5362"/>
    <w:rsid w:val="009E1415"/>
    <w:rsid w:val="009E6116"/>
    <w:rsid w:val="00A02E43"/>
    <w:rsid w:val="00A065F9"/>
    <w:rsid w:val="00A07D05"/>
    <w:rsid w:val="00A07F34"/>
    <w:rsid w:val="00A22154"/>
    <w:rsid w:val="00A25C38"/>
    <w:rsid w:val="00A36BBE"/>
    <w:rsid w:val="00A4307A"/>
    <w:rsid w:val="00A47EBB"/>
    <w:rsid w:val="00A51CDD"/>
    <w:rsid w:val="00A63B73"/>
    <w:rsid w:val="00A6730D"/>
    <w:rsid w:val="00A71625"/>
    <w:rsid w:val="00A71B9B"/>
    <w:rsid w:val="00A751C7"/>
    <w:rsid w:val="00A87844"/>
    <w:rsid w:val="00AA038C"/>
    <w:rsid w:val="00AA31BD"/>
    <w:rsid w:val="00AA7A09"/>
    <w:rsid w:val="00AB3B50"/>
    <w:rsid w:val="00AC05B1"/>
    <w:rsid w:val="00AD356C"/>
    <w:rsid w:val="00AE2914"/>
    <w:rsid w:val="00AE6D15"/>
    <w:rsid w:val="00B027D2"/>
    <w:rsid w:val="00B04182"/>
    <w:rsid w:val="00B07AE3"/>
    <w:rsid w:val="00B11430"/>
    <w:rsid w:val="00B353EB"/>
    <w:rsid w:val="00B376A2"/>
    <w:rsid w:val="00B439C4"/>
    <w:rsid w:val="00B4535E"/>
    <w:rsid w:val="00B52A8C"/>
    <w:rsid w:val="00B636A8"/>
    <w:rsid w:val="00B665C6"/>
    <w:rsid w:val="00B805AF"/>
    <w:rsid w:val="00B869EC"/>
    <w:rsid w:val="00B9397A"/>
    <w:rsid w:val="00B9633D"/>
    <w:rsid w:val="00BA2EBE"/>
    <w:rsid w:val="00BB0F28"/>
    <w:rsid w:val="00BB458A"/>
    <w:rsid w:val="00BD00D3"/>
    <w:rsid w:val="00BD1659"/>
    <w:rsid w:val="00BD3AA9"/>
    <w:rsid w:val="00BD4A18"/>
    <w:rsid w:val="00BD6DB2"/>
    <w:rsid w:val="00BE11CF"/>
    <w:rsid w:val="00BE21AB"/>
    <w:rsid w:val="00BE55CB"/>
    <w:rsid w:val="00BF617A"/>
    <w:rsid w:val="00C0379D"/>
    <w:rsid w:val="00C03931"/>
    <w:rsid w:val="00C05FE3"/>
    <w:rsid w:val="00C2136D"/>
    <w:rsid w:val="00C214EE"/>
    <w:rsid w:val="00C2314B"/>
    <w:rsid w:val="00C24971"/>
    <w:rsid w:val="00C26BE5"/>
    <w:rsid w:val="00C26E4D"/>
    <w:rsid w:val="00C27909"/>
    <w:rsid w:val="00C27B03"/>
    <w:rsid w:val="00C314E1"/>
    <w:rsid w:val="00C34397"/>
    <w:rsid w:val="00C4095D"/>
    <w:rsid w:val="00C601D2"/>
    <w:rsid w:val="00C65BCC"/>
    <w:rsid w:val="00C66970"/>
    <w:rsid w:val="00C8691C"/>
    <w:rsid w:val="00CA168A"/>
    <w:rsid w:val="00CA357E"/>
    <w:rsid w:val="00CA44F9"/>
    <w:rsid w:val="00CA4A69"/>
    <w:rsid w:val="00CC3E0C"/>
    <w:rsid w:val="00CC58D3"/>
    <w:rsid w:val="00CC784D"/>
    <w:rsid w:val="00CC7D55"/>
    <w:rsid w:val="00D0337B"/>
    <w:rsid w:val="00D079B2"/>
    <w:rsid w:val="00D114E9"/>
    <w:rsid w:val="00D429C6"/>
    <w:rsid w:val="00D4646A"/>
    <w:rsid w:val="00D47748"/>
    <w:rsid w:val="00D54CC3"/>
    <w:rsid w:val="00D6041A"/>
    <w:rsid w:val="00D633EB"/>
    <w:rsid w:val="00D82FF7"/>
    <w:rsid w:val="00D847FE"/>
    <w:rsid w:val="00D964EA"/>
    <w:rsid w:val="00D966D0"/>
    <w:rsid w:val="00DA0C59"/>
    <w:rsid w:val="00DA3991"/>
    <w:rsid w:val="00DB7E6C"/>
    <w:rsid w:val="00DD5A29"/>
    <w:rsid w:val="00DD5D9D"/>
    <w:rsid w:val="00DE23F1"/>
    <w:rsid w:val="00DE35CB"/>
    <w:rsid w:val="00DF21E9"/>
    <w:rsid w:val="00E00F14"/>
    <w:rsid w:val="00E06386"/>
    <w:rsid w:val="00E24EB4"/>
    <w:rsid w:val="00E320ED"/>
    <w:rsid w:val="00E33AFB"/>
    <w:rsid w:val="00E34218"/>
    <w:rsid w:val="00E4394E"/>
    <w:rsid w:val="00E46282"/>
    <w:rsid w:val="00E5216E"/>
    <w:rsid w:val="00E82344"/>
    <w:rsid w:val="00E84C82"/>
    <w:rsid w:val="00E84D64"/>
    <w:rsid w:val="00E87408"/>
    <w:rsid w:val="00E914C4"/>
    <w:rsid w:val="00E934F5"/>
    <w:rsid w:val="00E96961"/>
    <w:rsid w:val="00E97411"/>
    <w:rsid w:val="00EA72EC"/>
    <w:rsid w:val="00EB11CB"/>
    <w:rsid w:val="00EB275A"/>
    <w:rsid w:val="00EB786A"/>
    <w:rsid w:val="00EC1578"/>
    <w:rsid w:val="00EC1C72"/>
    <w:rsid w:val="00EC3CC9"/>
    <w:rsid w:val="00EC680A"/>
    <w:rsid w:val="00EE2BED"/>
    <w:rsid w:val="00EE374B"/>
    <w:rsid w:val="00F11BB5"/>
    <w:rsid w:val="00F1417B"/>
    <w:rsid w:val="00F34B99"/>
    <w:rsid w:val="00F52DAB"/>
    <w:rsid w:val="00F543F0"/>
    <w:rsid w:val="00F81D29"/>
    <w:rsid w:val="00F825C7"/>
    <w:rsid w:val="00F91C4D"/>
    <w:rsid w:val="00F92FD9"/>
    <w:rsid w:val="00FA13C8"/>
    <w:rsid w:val="00FA6684"/>
    <w:rsid w:val="00FA731E"/>
    <w:rsid w:val="00FB2B38"/>
    <w:rsid w:val="00FC6358"/>
    <w:rsid w:val="00FD320D"/>
    <w:rsid w:val="00FE23DE"/>
    <w:rsid w:val="12B147C1"/>
    <w:rsid w:val="142D785A"/>
    <w:rsid w:val="396E03EE"/>
    <w:rsid w:val="3AB57BAC"/>
    <w:rsid w:val="3F8E474E"/>
    <w:rsid w:val="435C2729"/>
    <w:rsid w:val="7F01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2">
    <w:name w:val="Default Paragraph Font"/>
    <w:semiHidden/>
    <w:unhideWhenUsed/>
    <w:uiPriority w:val="1"/>
  </w:style>
  <w:style w:type="table" w:default="1" w:styleId="3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b/>
      <w:bCs/>
      <w:sz w:val="28"/>
    </w:rPr>
  </w:style>
  <w:style w:type="paragraph" w:styleId="3">
    <w:name w:val="toc 7"/>
    <w:basedOn w:val="1"/>
    <w:next w:val="1"/>
    <w:semiHidden/>
    <w:qFormat/>
    <w:uiPriority w:val="0"/>
    <w:pPr>
      <w:tabs>
        <w:tab w:val="right" w:leader="dot" w:pos="9241"/>
      </w:tabs>
      <w:ind w:firstLine="500" w:firstLineChars="500"/>
      <w:jc w:val="left"/>
    </w:pPr>
    <w:rPr>
      <w:rFonts w:ascii="宋体"/>
      <w:szCs w:val="21"/>
    </w:rPr>
  </w:style>
  <w:style w:type="paragraph" w:styleId="4">
    <w:name w:val="index 8"/>
    <w:basedOn w:val="1"/>
    <w:next w:val="1"/>
    <w:qFormat/>
    <w:uiPriority w:val="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5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6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7">
    <w:name w:val="Document Map"/>
    <w:basedOn w:val="1"/>
    <w:semiHidden/>
    <w:qFormat/>
    <w:uiPriority w:val="0"/>
    <w:pPr>
      <w:shd w:val="clear" w:color="auto" w:fill="000080"/>
    </w:pPr>
  </w:style>
  <w:style w:type="paragraph" w:styleId="8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9">
    <w:name w:val="index 4"/>
    <w:basedOn w:val="1"/>
    <w:next w:val="1"/>
    <w:qFormat/>
    <w:uiPriority w:val="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10">
    <w:name w:val="toc 5"/>
    <w:basedOn w:val="1"/>
    <w:next w:val="1"/>
    <w:semiHidden/>
    <w:qFormat/>
    <w:uiPriority w:val="0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11">
    <w:name w:val="toc 3"/>
    <w:basedOn w:val="1"/>
    <w:next w:val="1"/>
    <w:semiHidden/>
    <w:qFormat/>
    <w:uiPriority w:val="0"/>
    <w:pPr>
      <w:tabs>
        <w:tab w:val="right" w:leader="dot" w:pos="9241"/>
      </w:tabs>
      <w:ind w:firstLine="100" w:firstLineChars="100"/>
      <w:jc w:val="left"/>
    </w:pPr>
    <w:rPr>
      <w:rFonts w:ascii="宋体"/>
      <w:szCs w:val="21"/>
    </w:rPr>
  </w:style>
  <w:style w:type="paragraph" w:styleId="12">
    <w:name w:val="toc 8"/>
    <w:basedOn w:val="1"/>
    <w:next w:val="1"/>
    <w:semiHidden/>
    <w:uiPriority w:val="0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styleId="13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14">
    <w:name w:val="endnote text"/>
    <w:basedOn w:val="1"/>
    <w:semiHidden/>
    <w:qFormat/>
    <w:uiPriority w:val="0"/>
    <w:pPr>
      <w:snapToGrid w:val="0"/>
      <w:jc w:val="left"/>
    </w:pPr>
  </w:style>
  <w:style w:type="paragraph" w:styleId="15">
    <w:name w:val="Balloon Text"/>
    <w:basedOn w:val="1"/>
    <w:link w:val="134"/>
    <w:uiPriority w:val="0"/>
    <w:rPr>
      <w:sz w:val="18"/>
      <w:szCs w:val="18"/>
    </w:rPr>
  </w:style>
  <w:style w:type="paragraph" w:styleId="16">
    <w:name w:val="footer"/>
    <w:basedOn w:val="1"/>
    <w:qFormat/>
    <w:uiPriority w:val="0"/>
    <w:pPr>
      <w:snapToGrid w:val="0"/>
      <w:ind w:right="210" w:rightChars="100"/>
      <w:jc w:val="right"/>
    </w:pPr>
    <w:rPr>
      <w:sz w:val="18"/>
      <w:szCs w:val="18"/>
    </w:rPr>
  </w:style>
  <w:style w:type="paragraph" w:styleId="17">
    <w:name w:val="head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8">
    <w:name w:val="toc 1"/>
    <w:basedOn w:val="1"/>
    <w:next w:val="1"/>
    <w:semiHidden/>
    <w:qFormat/>
    <w:uiPriority w:val="0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19">
    <w:name w:val="toc 4"/>
    <w:basedOn w:val="1"/>
    <w:next w:val="1"/>
    <w:semiHidden/>
    <w:uiPriority w:val="0"/>
    <w:pPr>
      <w:tabs>
        <w:tab w:val="right" w:leader="dot" w:pos="9241"/>
      </w:tabs>
      <w:ind w:firstLine="200" w:firstLineChars="200"/>
      <w:jc w:val="left"/>
    </w:pPr>
    <w:rPr>
      <w:rFonts w:ascii="宋体"/>
      <w:szCs w:val="21"/>
    </w:rPr>
  </w:style>
  <w:style w:type="paragraph" w:styleId="20">
    <w:name w:val="index heading"/>
    <w:basedOn w:val="1"/>
    <w:next w:val="21"/>
    <w:qFormat/>
    <w:uiPriority w:val="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21">
    <w:name w:val="index 1"/>
    <w:basedOn w:val="1"/>
    <w:next w:val="22"/>
    <w:qFormat/>
    <w:uiPriority w:val="0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22">
    <w:name w:val="段"/>
    <w:link w:val="38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3">
    <w:name w:val="footnote text"/>
    <w:basedOn w:val="1"/>
    <w:qFormat/>
    <w:uiPriority w:val="0"/>
    <w:pPr>
      <w:numPr>
        <w:ilvl w:val="0"/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24">
    <w:name w:val="toc 6"/>
    <w:basedOn w:val="1"/>
    <w:next w:val="1"/>
    <w:semiHidden/>
    <w:qFormat/>
    <w:uiPriority w:val="0"/>
    <w:pPr>
      <w:tabs>
        <w:tab w:val="right" w:leader="dot" w:pos="9241"/>
      </w:tabs>
      <w:ind w:firstLine="400" w:firstLineChars="400"/>
      <w:jc w:val="left"/>
    </w:pPr>
    <w:rPr>
      <w:rFonts w:ascii="宋体"/>
      <w:szCs w:val="21"/>
    </w:rPr>
  </w:style>
  <w:style w:type="paragraph" w:styleId="25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26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7">
    <w:name w:val="toc 2"/>
    <w:basedOn w:val="1"/>
    <w:next w:val="1"/>
    <w:semiHidden/>
    <w:qFormat/>
    <w:uiPriority w:val="0"/>
    <w:pPr>
      <w:tabs>
        <w:tab w:val="right" w:leader="dot" w:pos="9242"/>
      </w:tabs>
    </w:pPr>
    <w:rPr>
      <w:rFonts w:ascii="宋体"/>
      <w:szCs w:val="21"/>
    </w:rPr>
  </w:style>
  <w:style w:type="paragraph" w:styleId="28">
    <w:name w:val="toc 9"/>
    <w:basedOn w:val="1"/>
    <w:next w:val="1"/>
    <w:semiHidden/>
    <w:qFormat/>
    <w:uiPriority w:val="0"/>
    <w:pPr>
      <w:ind w:left="1470"/>
      <w:jc w:val="left"/>
    </w:pPr>
    <w:rPr>
      <w:sz w:val="20"/>
      <w:szCs w:val="20"/>
    </w:rPr>
  </w:style>
  <w:style w:type="paragraph" w:styleId="29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/>
      <w:sz w:val="20"/>
      <w:szCs w:val="20"/>
    </w:rPr>
  </w:style>
  <w:style w:type="table" w:styleId="31">
    <w:name w:val="Table Grid"/>
    <w:basedOn w:val="30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3">
    <w:name w:val="endnote reference"/>
    <w:basedOn w:val="32"/>
    <w:semiHidden/>
    <w:qFormat/>
    <w:uiPriority w:val="0"/>
    <w:rPr>
      <w:vertAlign w:val="superscript"/>
    </w:rPr>
  </w:style>
  <w:style w:type="character" w:styleId="34">
    <w:name w:val="page number"/>
    <w:basedOn w:val="32"/>
    <w:qFormat/>
    <w:uiPriority w:val="0"/>
    <w:rPr>
      <w:rFonts w:ascii="Times New Roman" w:hAnsi="Times New Roman" w:eastAsia="宋体"/>
      <w:sz w:val="18"/>
    </w:rPr>
  </w:style>
  <w:style w:type="character" w:styleId="35">
    <w:name w:val="FollowedHyperlink"/>
    <w:basedOn w:val="32"/>
    <w:qFormat/>
    <w:uiPriority w:val="0"/>
    <w:rPr>
      <w:color w:val="800080"/>
      <w:u w:val="single"/>
    </w:rPr>
  </w:style>
  <w:style w:type="character" w:styleId="36">
    <w:name w:val="Hyperlink"/>
    <w:basedOn w:val="32"/>
    <w:qFormat/>
    <w:uiPriority w:val="0"/>
    <w:rPr>
      <w:color w:val="0000FF"/>
      <w:spacing w:val="0"/>
      <w:w w:val="100"/>
      <w:szCs w:val="21"/>
      <w:u w:val="single"/>
    </w:rPr>
  </w:style>
  <w:style w:type="character" w:styleId="37">
    <w:name w:val="footnote reference"/>
    <w:basedOn w:val="32"/>
    <w:semiHidden/>
    <w:qFormat/>
    <w:uiPriority w:val="0"/>
    <w:rPr>
      <w:vertAlign w:val="superscript"/>
    </w:rPr>
  </w:style>
  <w:style w:type="character" w:customStyle="1" w:styleId="38">
    <w:name w:val="段 Char"/>
    <w:basedOn w:val="32"/>
    <w:link w:val="22"/>
    <w:qFormat/>
    <w:uiPriority w:val="0"/>
    <w:rPr>
      <w:rFonts w:ascii="宋体"/>
      <w:sz w:val="21"/>
      <w:lang w:val="en-US" w:eastAsia="zh-CN" w:bidi="ar-SA"/>
    </w:rPr>
  </w:style>
  <w:style w:type="paragraph" w:customStyle="1" w:styleId="39">
    <w:name w:val="一级条标题"/>
    <w:next w:val="22"/>
    <w:qFormat/>
    <w:uiPriority w:val="0"/>
    <w:pPr>
      <w:numPr>
        <w:ilvl w:val="1"/>
        <w:numId w:val="2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0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1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2">
    <w:name w:val="章标题"/>
    <w:next w:val="22"/>
    <w:qFormat/>
    <w:uiPriority w:val="0"/>
    <w:pPr>
      <w:numPr>
        <w:ilvl w:val="0"/>
        <w:numId w:val="2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3">
    <w:name w:val="二级条标题"/>
    <w:basedOn w:val="39"/>
    <w:next w:val="22"/>
    <w:uiPriority w:val="0"/>
    <w:pPr>
      <w:numPr>
        <w:ilvl w:val="2"/>
      </w:numPr>
      <w:spacing w:before="50" w:after="50"/>
      <w:outlineLvl w:val="3"/>
    </w:pPr>
  </w:style>
  <w:style w:type="paragraph" w:customStyle="1" w:styleId="44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45">
    <w:name w:val="列项——（一级）"/>
    <w:qFormat/>
    <w:uiPriority w:val="0"/>
    <w:pPr>
      <w:widowControl w:val="0"/>
      <w:numPr>
        <w:ilvl w:val="0"/>
        <w:numId w:val="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6">
    <w:name w:val="列项●（二级）"/>
    <w:qFormat/>
    <w:uiPriority w:val="0"/>
    <w:pPr>
      <w:numPr>
        <w:ilvl w:val="1"/>
        <w:numId w:val="3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7">
    <w:name w:val="目次、标准名称标题"/>
    <w:basedOn w:val="1"/>
    <w:next w:val="22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48">
    <w:name w:val="三级条标题"/>
    <w:basedOn w:val="43"/>
    <w:next w:val="22"/>
    <w:qFormat/>
    <w:uiPriority w:val="0"/>
    <w:pPr>
      <w:numPr>
        <w:ilvl w:val="3"/>
      </w:numPr>
      <w:outlineLvl w:val="4"/>
    </w:pPr>
  </w:style>
  <w:style w:type="paragraph" w:customStyle="1" w:styleId="49">
    <w:name w:val="示例"/>
    <w:next w:val="50"/>
    <w:qFormat/>
    <w:uiPriority w:val="0"/>
    <w:pPr>
      <w:widowControl w:val="0"/>
      <w:numPr>
        <w:ilvl w:val="0"/>
        <w:numId w:val="4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0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1">
    <w:name w:val="数字编号列项（二级）"/>
    <w:qFormat/>
    <w:uiPriority w:val="0"/>
    <w:pPr>
      <w:numPr>
        <w:ilvl w:val="1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2">
    <w:name w:val="四级条标题"/>
    <w:basedOn w:val="48"/>
    <w:next w:val="22"/>
    <w:qFormat/>
    <w:uiPriority w:val="0"/>
    <w:pPr>
      <w:numPr>
        <w:ilvl w:val="4"/>
      </w:numPr>
      <w:outlineLvl w:val="5"/>
    </w:pPr>
  </w:style>
  <w:style w:type="paragraph" w:customStyle="1" w:styleId="53">
    <w:name w:val="五级条标题"/>
    <w:basedOn w:val="52"/>
    <w:next w:val="22"/>
    <w:qFormat/>
    <w:uiPriority w:val="0"/>
    <w:pPr>
      <w:numPr>
        <w:ilvl w:val="5"/>
      </w:numPr>
      <w:outlineLvl w:val="6"/>
    </w:pPr>
  </w:style>
  <w:style w:type="paragraph" w:customStyle="1" w:styleId="54">
    <w:name w:val="注："/>
    <w:next w:val="22"/>
    <w:qFormat/>
    <w:uiPriority w:val="0"/>
    <w:pPr>
      <w:widowControl w:val="0"/>
      <w:numPr>
        <w:ilvl w:val="0"/>
        <w:numId w:val="6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5">
    <w:name w:val="注×："/>
    <w:qFormat/>
    <w:uiPriority w:val="0"/>
    <w:pPr>
      <w:widowControl w:val="0"/>
      <w:numPr>
        <w:ilvl w:val="0"/>
        <w:numId w:val="7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6">
    <w:name w:val="字母编号列项（一级）"/>
    <w:qFormat/>
    <w:uiPriority w:val="0"/>
    <w:pPr>
      <w:numPr>
        <w:ilvl w:val="0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7">
    <w:name w:val="列项◆（三级）"/>
    <w:basedOn w:val="1"/>
    <w:qFormat/>
    <w:uiPriority w:val="0"/>
    <w:pPr>
      <w:numPr>
        <w:ilvl w:val="2"/>
        <w:numId w:val="3"/>
      </w:numPr>
    </w:pPr>
    <w:rPr>
      <w:rFonts w:ascii="宋体"/>
      <w:szCs w:val="21"/>
    </w:rPr>
  </w:style>
  <w:style w:type="paragraph" w:customStyle="1" w:styleId="58">
    <w:name w:val="编号列项（三级）"/>
    <w:qFormat/>
    <w:uiPriority w:val="0"/>
    <w:pPr>
      <w:numPr>
        <w:ilvl w:val="2"/>
        <w:numId w:val="5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9">
    <w:name w:val="示例×："/>
    <w:basedOn w:val="42"/>
    <w:qFormat/>
    <w:uiPriority w:val="0"/>
    <w:pPr>
      <w:numPr>
        <w:numId w:val="8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60">
    <w:name w:val="二级无"/>
    <w:basedOn w:val="43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61">
    <w:name w:val="注：（正文）"/>
    <w:basedOn w:val="54"/>
    <w:next w:val="22"/>
    <w:qFormat/>
    <w:uiPriority w:val="0"/>
  </w:style>
  <w:style w:type="paragraph" w:customStyle="1" w:styleId="62">
    <w:name w:val="注×：（正文）"/>
    <w:qFormat/>
    <w:uiPriority w:val="0"/>
    <w:pPr>
      <w:numPr>
        <w:ilvl w:val="0"/>
        <w:numId w:val="9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3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64">
    <w:name w:val="标准称谓"/>
    <w:next w:val="1"/>
    <w:qFormat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65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6">
    <w:name w:val="标准书眉_偶数页"/>
    <w:basedOn w:val="41"/>
    <w:next w:val="1"/>
    <w:qFormat/>
    <w:uiPriority w:val="0"/>
    <w:pPr>
      <w:jc w:val="left"/>
    </w:pPr>
  </w:style>
  <w:style w:type="paragraph" w:customStyle="1" w:styleId="67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68">
    <w:name w:val="参考文献"/>
    <w:basedOn w:val="1"/>
    <w:next w:val="22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69">
    <w:name w:val="参考文献、索引标题"/>
    <w:basedOn w:val="1"/>
    <w:next w:val="22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70">
    <w:name w:val="发布"/>
    <w:basedOn w:val="32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71">
    <w:name w:val="发布部门"/>
    <w:next w:val="22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72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73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74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75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76">
    <w:name w:val="封面标准英文名称"/>
    <w:basedOn w:val="75"/>
    <w:qFormat/>
    <w:uiPriority w:val="0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77">
    <w:name w:val="封面一致性程度标识"/>
    <w:basedOn w:val="76"/>
    <w:qFormat/>
    <w:uiPriority w:val="0"/>
    <w:pPr>
      <w:spacing w:before="440"/>
    </w:pPr>
    <w:rPr>
      <w:rFonts w:ascii="宋体" w:eastAsia="宋体"/>
    </w:rPr>
  </w:style>
  <w:style w:type="paragraph" w:customStyle="1" w:styleId="78">
    <w:name w:val="封面标准文稿类别"/>
    <w:basedOn w:val="77"/>
    <w:qFormat/>
    <w:uiPriority w:val="0"/>
    <w:pPr>
      <w:spacing w:after="160" w:line="240" w:lineRule="auto"/>
    </w:pPr>
    <w:rPr>
      <w:sz w:val="24"/>
    </w:rPr>
  </w:style>
  <w:style w:type="paragraph" w:customStyle="1" w:styleId="79">
    <w:name w:val="封面标准文稿编辑信息"/>
    <w:basedOn w:val="78"/>
    <w:qFormat/>
    <w:uiPriority w:val="0"/>
    <w:pPr>
      <w:spacing w:before="180" w:line="180" w:lineRule="exact"/>
    </w:pPr>
    <w:rPr>
      <w:sz w:val="21"/>
    </w:rPr>
  </w:style>
  <w:style w:type="paragraph" w:customStyle="1" w:styleId="80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1">
    <w:name w:val="附录标识"/>
    <w:basedOn w:val="1"/>
    <w:next w:val="22"/>
    <w:qFormat/>
    <w:uiPriority w:val="0"/>
    <w:pPr>
      <w:keepNext/>
      <w:widowControl/>
      <w:numPr>
        <w:ilvl w:val="0"/>
        <w:numId w:val="10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82">
    <w:name w:val="附录标题"/>
    <w:basedOn w:val="22"/>
    <w:next w:val="22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83">
    <w:name w:val="附录表标号"/>
    <w:basedOn w:val="1"/>
    <w:next w:val="22"/>
    <w:qFormat/>
    <w:uiPriority w:val="0"/>
    <w:pPr>
      <w:numPr>
        <w:ilvl w:val="0"/>
        <w:numId w:val="11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84">
    <w:name w:val="附录表标题"/>
    <w:basedOn w:val="1"/>
    <w:next w:val="22"/>
    <w:qFormat/>
    <w:uiPriority w:val="0"/>
    <w:pPr>
      <w:numPr>
        <w:ilvl w:val="1"/>
        <w:numId w:val="11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85">
    <w:name w:val="附录二级条标题"/>
    <w:basedOn w:val="1"/>
    <w:next w:val="22"/>
    <w:qFormat/>
    <w:uiPriority w:val="0"/>
    <w:pPr>
      <w:widowControl/>
      <w:numPr>
        <w:ilvl w:val="3"/>
        <w:numId w:val="10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86">
    <w:name w:val="附录二级无"/>
    <w:basedOn w:val="85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87">
    <w:name w:val="附录公式"/>
    <w:basedOn w:val="22"/>
    <w:next w:val="22"/>
    <w:link w:val="88"/>
    <w:qFormat/>
    <w:uiPriority w:val="0"/>
  </w:style>
  <w:style w:type="character" w:customStyle="1" w:styleId="88">
    <w:name w:val="附录公式 Char"/>
    <w:basedOn w:val="38"/>
    <w:link w:val="87"/>
    <w:qFormat/>
    <w:uiPriority w:val="0"/>
  </w:style>
  <w:style w:type="paragraph" w:customStyle="1" w:styleId="89">
    <w:name w:val="附录公式编号制表符"/>
    <w:basedOn w:val="1"/>
    <w:next w:val="22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90">
    <w:name w:val="附录三级条标题"/>
    <w:basedOn w:val="85"/>
    <w:next w:val="22"/>
    <w:qFormat/>
    <w:uiPriority w:val="0"/>
    <w:pPr>
      <w:numPr>
        <w:ilvl w:val="4"/>
      </w:numPr>
      <w:outlineLvl w:val="4"/>
    </w:pPr>
  </w:style>
  <w:style w:type="paragraph" w:customStyle="1" w:styleId="91">
    <w:name w:val="附录三级无"/>
    <w:basedOn w:val="90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2">
    <w:name w:val="附录数字编号列项（二级）"/>
    <w:qFormat/>
    <w:uiPriority w:val="0"/>
    <w:pPr>
      <w:numPr>
        <w:ilvl w:val="1"/>
        <w:numId w:val="12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3">
    <w:name w:val="附录四级条标题"/>
    <w:basedOn w:val="90"/>
    <w:next w:val="22"/>
    <w:qFormat/>
    <w:uiPriority w:val="0"/>
    <w:pPr>
      <w:numPr>
        <w:ilvl w:val="5"/>
      </w:numPr>
      <w:outlineLvl w:val="5"/>
    </w:pPr>
  </w:style>
  <w:style w:type="paragraph" w:customStyle="1" w:styleId="94">
    <w:name w:val="附录四级无"/>
    <w:basedOn w:val="93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5">
    <w:name w:val="附录图标号"/>
    <w:basedOn w:val="1"/>
    <w:qFormat/>
    <w:uiPriority w:val="0"/>
    <w:pPr>
      <w:keepNext/>
      <w:pageBreakBefore/>
      <w:widowControl/>
      <w:numPr>
        <w:ilvl w:val="0"/>
        <w:numId w:val="13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96">
    <w:name w:val="附录图标题"/>
    <w:basedOn w:val="1"/>
    <w:next w:val="22"/>
    <w:qFormat/>
    <w:uiPriority w:val="0"/>
    <w:pPr>
      <w:numPr>
        <w:ilvl w:val="1"/>
        <w:numId w:val="13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97">
    <w:name w:val="附录五级条标题"/>
    <w:basedOn w:val="93"/>
    <w:next w:val="22"/>
    <w:qFormat/>
    <w:uiPriority w:val="0"/>
    <w:pPr>
      <w:numPr>
        <w:ilvl w:val="6"/>
      </w:numPr>
      <w:outlineLvl w:val="6"/>
    </w:pPr>
  </w:style>
  <w:style w:type="paragraph" w:customStyle="1" w:styleId="98">
    <w:name w:val="附录五级无"/>
    <w:basedOn w:val="97"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9">
    <w:name w:val="附录章标题"/>
    <w:next w:val="22"/>
    <w:qFormat/>
    <w:uiPriority w:val="0"/>
    <w:pPr>
      <w:numPr>
        <w:ilvl w:val="1"/>
        <w:numId w:val="10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00">
    <w:name w:val="附录一级条标题"/>
    <w:basedOn w:val="99"/>
    <w:next w:val="22"/>
    <w:uiPriority w:val="0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101">
    <w:name w:val="附录一级无"/>
    <w:basedOn w:val="100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02">
    <w:name w:val="附录字母编号列项（一级）"/>
    <w:qFormat/>
    <w:uiPriority w:val="0"/>
    <w:pPr>
      <w:numPr>
        <w:ilvl w:val="0"/>
        <w:numId w:val="12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3">
    <w:name w:val="列项说明"/>
    <w:basedOn w:val="1"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104">
    <w:name w:val="列项说明数字编号"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5">
    <w:name w:val="目次、索引正文"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6">
    <w:name w:val="其他标准标志"/>
    <w:basedOn w:val="63"/>
    <w:uiPriority w:val="0"/>
    <w:pPr>
      <w:framePr w:w="6101" w:vAnchor="page" w:hAnchor="page" w:x="4673" w:y="942"/>
    </w:pPr>
    <w:rPr>
      <w:w w:val="130"/>
    </w:rPr>
  </w:style>
  <w:style w:type="paragraph" w:customStyle="1" w:styleId="107">
    <w:name w:val="其他标准称谓"/>
    <w:next w:val="1"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08">
    <w:name w:val="其他发布部门"/>
    <w:basedOn w:val="71"/>
    <w:uiPriority w:val="0"/>
    <w:pPr>
      <w:framePr w:y="15310"/>
      <w:spacing w:line="0" w:lineRule="atLeast"/>
    </w:pPr>
    <w:rPr>
      <w:rFonts w:ascii="黑体" w:eastAsia="黑体"/>
      <w:b w:val="0"/>
    </w:rPr>
  </w:style>
  <w:style w:type="paragraph" w:customStyle="1" w:styleId="109">
    <w:name w:val="前言、引言标题"/>
    <w:next w:val="22"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10">
    <w:name w:val="三级无"/>
    <w:basedOn w:val="48"/>
    <w:uiPriority w:val="0"/>
    <w:pPr>
      <w:spacing w:beforeLines="0" w:afterLines="0"/>
    </w:pPr>
    <w:rPr>
      <w:rFonts w:ascii="宋体" w:eastAsia="宋体"/>
    </w:rPr>
  </w:style>
  <w:style w:type="paragraph" w:customStyle="1" w:styleId="111">
    <w:name w:val="实施日期"/>
    <w:basedOn w:val="72"/>
    <w:uiPriority w:val="0"/>
    <w:pPr>
      <w:framePr w:vAnchor="page" w:hAnchor="text"/>
      <w:jc w:val="right"/>
    </w:pPr>
  </w:style>
  <w:style w:type="paragraph" w:customStyle="1" w:styleId="112">
    <w:name w:val="示例后文字"/>
    <w:basedOn w:val="22"/>
    <w:next w:val="22"/>
    <w:qFormat/>
    <w:uiPriority w:val="0"/>
    <w:pPr>
      <w:ind w:firstLine="360"/>
    </w:pPr>
    <w:rPr>
      <w:sz w:val="18"/>
    </w:rPr>
  </w:style>
  <w:style w:type="paragraph" w:customStyle="1" w:styleId="113">
    <w:name w:val="首示例"/>
    <w:next w:val="22"/>
    <w:link w:val="114"/>
    <w:qFormat/>
    <w:uiPriority w:val="0"/>
    <w:pPr>
      <w:numPr>
        <w:ilvl w:val="0"/>
        <w:numId w:val="14"/>
      </w:numPr>
      <w:tabs>
        <w:tab w:val="left" w:pos="360"/>
      </w:tabs>
      <w:ind w:firstLine="0"/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114">
    <w:name w:val="首示例 Char"/>
    <w:basedOn w:val="32"/>
    <w:link w:val="113"/>
    <w:qFormat/>
    <w:uiPriority w:val="0"/>
    <w:rPr>
      <w:rFonts w:ascii="宋体" w:hAnsi="宋体"/>
      <w:kern w:val="2"/>
      <w:sz w:val="18"/>
      <w:szCs w:val="18"/>
      <w:lang w:val="en-US" w:eastAsia="zh-CN" w:bidi="ar-SA"/>
    </w:rPr>
  </w:style>
  <w:style w:type="paragraph" w:customStyle="1" w:styleId="115">
    <w:name w:val="四级无"/>
    <w:basedOn w:val="52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16">
    <w:name w:val="条文脚注"/>
    <w:basedOn w:val="23"/>
    <w:qFormat/>
    <w:uiPriority w:val="0"/>
    <w:pPr>
      <w:numPr>
        <w:numId w:val="0"/>
      </w:numPr>
      <w:jc w:val="both"/>
    </w:pPr>
  </w:style>
  <w:style w:type="paragraph" w:customStyle="1" w:styleId="117">
    <w:name w:val="图标脚注说明"/>
    <w:basedOn w:val="22"/>
    <w:qFormat/>
    <w:uiPriority w:val="0"/>
    <w:pPr>
      <w:ind w:left="840" w:hanging="420" w:firstLineChars="0"/>
    </w:pPr>
    <w:rPr>
      <w:sz w:val="18"/>
      <w:szCs w:val="18"/>
    </w:rPr>
  </w:style>
  <w:style w:type="paragraph" w:customStyle="1" w:styleId="118">
    <w:name w:val="图表脚注说明"/>
    <w:basedOn w:val="1"/>
    <w:qFormat/>
    <w:uiPriority w:val="0"/>
    <w:pPr>
      <w:numPr>
        <w:ilvl w:val="0"/>
        <w:numId w:val="15"/>
      </w:numPr>
    </w:pPr>
    <w:rPr>
      <w:rFonts w:ascii="宋体"/>
      <w:sz w:val="18"/>
      <w:szCs w:val="18"/>
    </w:rPr>
  </w:style>
  <w:style w:type="paragraph" w:customStyle="1" w:styleId="119">
    <w:name w:val="图的脚注"/>
    <w:next w:val="22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20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21">
    <w:name w:val="五级无"/>
    <w:basedOn w:val="53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22">
    <w:name w:val="一级无"/>
    <w:basedOn w:val="39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23">
    <w:name w:val="正文表标题"/>
    <w:next w:val="22"/>
    <w:qFormat/>
    <w:uiPriority w:val="0"/>
    <w:pPr>
      <w:numPr>
        <w:ilvl w:val="0"/>
        <w:numId w:val="16"/>
      </w:num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4">
    <w:name w:val="正文公式编号制表符"/>
    <w:basedOn w:val="22"/>
    <w:next w:val="22"/>
    <w:qFormat/>
    <w:uiPriority w:val="0"/>
    <w:pPr>
      <w:ind w:firstLine="0" w:firstLineChars="0"/>
    </w:pPr>
  </w:style>
  <w:style w:type="paragraph" w:customStyle="1" w:styleId="125">
    <w:name w:val="正文图标题"/>
    <w:next w:val="22"/>
    <w:qFormat/>
    <w:uiPriority w:val="0"/>
    <w:pPr>
      <w:numPr>
        <w:ilvl w:val="0"/>
        <w:numId w:val="17"/>
      </w:num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6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127">
    <w:name w:val="其他发布日期"/>
    <w:basedOn w:val="72"/>
    <w:qFormat/>
    <w:uiPriority w:val="0"/>
    <w:pPr>
      <w:framePr w:vAnchor="page" w:hAnchor="text" w:x="1419"/>
    </w:pPr>
  </w:style>
  <w:style w:type="paragraph" w:customStyle="1" w:styleId="128">
    <w:name w:val="其他实施日期"/>
    <w:basedOn w:val="111"/>
    <w:qFormat/>
    <w:uiPriority w:val="0"/>
  </w:style>
  <w:style w:type="paragraph" w:customStyle="1" w:styleId="129">
    <w:name w:val="封面标准名称2"/>
    <w:basedOn w:val="75"/>
    <w:qFormat/>
    <w:uiPriority w:val="0"/>
    <w:pPr>
      <w:framePr w:y="4469"/>
      <w:spacing w:beforeLines="630"/>
    </w:pPr>
  </w:style>
  <w:style w:type="paragraph" w:customStyle="1" w:styleId="130">
    <w:name w:val="封面标准英文名称2"/>
    <w:basedOn w:val="76"/>
    <w:qFormat/>
    <w:uiPriority w:val="0"/>
    <w:pPr>
      <w:framePr w:y="4469"/>
    </w:pPr>
  </w:style>
  <w:style w:type="paragraph" w:customStyle="1" w:styleId="131">
    <w:name w:val="封面一致性程度标识2"/>
    <w:basedOn w:val="77"/>
    <w:qFormat/>
    <w:uiPriority w:val="0"/>
    <w:pPr>
      <w:framePr w:y="4469"/>
    </w:pPr>
  </w:style>
  <w:style w:type="paragraph" w:customStyle="1" w:styleId="132">
    <w:name w:val="封面标准文稿类别2"/>
    <w:basedOn w:val="78"/>
    <w:qFormat/>
    <w:uiPriority w:val="0"/>
    <w:pPr>
      <w:framePr w:y="4469"/>
    </w:pPr>
  </w:style>
  <w:style w:type="paragraph" w:customStyle="1" w:styleId="133">
    <w:name w:val="封面标准文稿编辑信息2"/>
    <w:basedOn w:val="79"/>
    <w:qFormat/>
    <w:uiPriority w:val="0"/>
    <w:pPr>
      <w:framePr w:y="4469"/>
    </w:pPr>
  </w:style>
  <w:style w:type="character" w:customStyle="1" w:styleId="134">
    <w:name w:val="批注框文本 Char"/>
    <w:basedOn w:val="32"/>
    <w:link w:val="1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6631;&#20934;&#31867;\&#32534;&#21046;&#20013;&#30340;&#22269;&#26631;&#39033;&#30446;\2019\2019&#22686;&#26448;&#21046;&#36896;&#29992;&#29699;&#24418;&#38068;&#38124;&#21512;&#37329;&#31881;&#26411;-&#21016;&#36763;\111.tcs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36"/>
    <customShpInfo spid="_x0000_s1038"/>
    <customShpInfo spid="_x0000_s1037"/>
    <customShpInfo spid="_x0000_s1034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111.tcs</Template>
  <Company>zle</Company>
  <Pages>1</Pages>
  <Words>477</Words>
  <Characters>2722</Characters>
  <Lines>22</Lines>
  <Paragraphs>6</Paragraphs>
  <TotalTime>6</TotalTime>
  <ScaleCrop>false</ScaleCrop>
  <LinksUpToDate>false</LinksUpToDate>
  <CharactersWithSpaces>3193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2019-04-02T04:03:00Z</dcterms:created>
  <dc:creator>YLMF</dc:creator>
  <cp:lastModifiedBy>wuyanhua</cp:lastModifiedBy>
  <dcterms:modified xsi:type="dcterms:W3CDTF">2019-08-16T01:54:22Z</dcterms:modified>
  <dc:title>标准名称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