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360" w:lineRule="auto"/>
        <w:ind w:firstLine="0" w:firstLineChars="0"/>
        <w:jc w:val="center"/>
        <w:rPr>
          <w:rFonts w:ascii="黑体" w:hAnsi="黑体" w:eastAsia="黑体"/>
          <w:color w:val="000000"/>
          <w:sz w:val="36"/>
          <w:szCs w:val="36"/>
        </w:rPr>
      </w:pPr>
    </w:p>
    <w:p>
      <w:pPr>
        <w:spacing w:beforeLines="50" w:afterLines="100" w:line="360" w:lineRule="auto"/>
        <w:ind w:firstLine="0" w:firstLineChars="0"/>
        <w:jc w:val="center"/>
        <w:rPr>
          <w:rFonts w:ascii="黑体" w:hAnsi="黑体" w:eastAsia="黑体"/>
          <w:color w:val="000000"/>
          <w:sz w:val="36"/>
          <w:szCs w:val="36"/>
        </w:rPr>
      </w:pPr>
    </w:p>
    <w:p>
      <w:pPr>
        <w:spacing w:beforeLines="50" w:afterLines="100" w:line="360" w:lineRule="auto"/>
        <w:ind w:firstLine="0" w:firstLineChars="0"/>
        <w:jc w:val="center"/>
        <w:rPr>
          <w:rFonts w:ascii="黑体" w:hAnsi="黑体" w:eastAsia="黑体"/>
          <w:color w:val="000000"/>
          <w:sz w:val="36"/>
          <w:szCs w:val="36"/>
        </w:rPr>
      </w:pPr>
      <w:r>
        <w:rPr>
          <w:rFonts w:hint="eastAsia" w:ascii="黑体" w:hAnsi="黑体" w:eastAsia="黑体"/>
          <w:color w:val="000000"/>
          <w:sz w:val="36"/>
          <w:szCs w:val="36"/>
        </w:rPr>
        <w:t>《铜加工行业能源计量器具配备和管理要求》</w:t>
      </w:r>
    </w:p>
    <w:p>
      <w:pPr>
        <w:spacing w:beforeLines="50" w:afterLines="100"/>
        <w:ind w:firstLine="0" w:firstLineChars="0"/>
        <w:jc w:val="center"/>
        <w:rPr>
          <w:rFonts w:ascii="黑体" w:hAnsi="黑体" w:eastAsia="黑体"/>
          <w:b/>
          <w:color w:val="000000"/>
          <w:sz w:val="48"/>
          <w:szCs w:val="48"/>
        </w:rPr>
      </w:pPr>
      <w:r>
        <w:rPr>
          <w:rFonts w:hint="eastAsia" w:ascii="黑体" w:hAnsi="黑体" w:eastAsia="黑体"/>
          <w:color w:val="000000"/>
          <w:sz w:val="48"/>
          <w:szCs w:val="48"/>
        </w:rPr>
        <w:t>编制说明</w:t>
      </w:r>
    </w:p>
    <w:p>
      <w:pPr>
        <w:spacing w:beforeLines="50" w:afterLines="100"/>
        <w:ind w:firstLine="0" w:firstLineChars="0"/>
        <w:rPr>
          <w:rFonts w:ascii="微软雅黑" w:hAnsi="微软雅黑" w:eastAsia="微软雅黑"/>
          <w:b/>
          <w:color w:val="000000"/>
          <w:sz w:val="32"/>
          <w:szCs w:val="32"/>
        </w:rPr>
      </w:pPr>
    </w:p>
    <w:p>
      <w:pPr>
        <w:spacing w:beforeLines="50" w:afterLines="100"/>
        <w:ind w:firstLine="0" w:firstLineChars="0"/>
        <w:jc w:val="center"/>
        <w:rPr>
          <w:rFonts w:ascii="黑体" w:hAnsi="黑体" w:eastAsia="黑体"/>
          <w:color w:val="000000"/>
          <w:sz w:val="44"/>
          <w:szCs w:val="44"/>
        </w:rPr>
      </w:pPr>
      <w:r>
        <w:rPr>
          <w:rFonts w:hint="eastAsia" w:ascii="黑体" w:hAnsi="黑体" w:eastAsia="黑体"/>
          <w:color w:val="000000"/>
          <w:sz w:val="44"/>
          <w:szCs w:val="44"/>
        </w:rPr>
        <w:t>佛山市华鸿铜管有限公司</w:t>
      </w:r>
    </w:p>
    <w:p>
      <w:pPr>
        <w:spacing w:beforeLines="50" w:afterLines="100"/>
        <w:ind w:firstLine="0" w:firstLineChars="0"/>
        <w:jc w:val="center"/>
        <w:rPr>
          <w:rFonts w:ascii="黑体" w:hAnsi="黑体" w:eastAsia="黑体"/>
          <w:color w:val="000000"/>
          <w:sz w:val="32"/>
          <w:szCs w:val="32"/>
        </w:rPr>
      </w:pPr>
    </w:p>
    <w:p>
      <w:pPr>
        <w:spacing w:beforeLines="50" w:afterLines="100"/>
        <w:ind w:firstLine="0" w:firstLineChars="0"/>
        <w:jc w:val="center"/>
        <w:rPr>
          <w:rFonts w:ascii="黑体" w:hAnsi="黑体" w:eastAsia="黑体"/>
          <w:color w:val="000000"/>
          <w:sz w:val="32"/>
          <w:szCs w:val="32"/>
        </w:rPr>
      </w:pPr>
    </w:p>
    <w:p>
      <w:pPr>
        <w:ind w:firstLine="640"/>
        <w:jc w:val="center"/>
        <w:rPr>
          <w:rFonts w:ascii="黑体" w:hAnsi="黑体" w:eastAsia="黑体"/>
          <w:color w:val="000000"/>
          <w:sz w:val="32"/>
          <w:szCs w:val="32"/>
        </w:rPr>
      </w:pPr>
      <w:r>
        <w:rPr>
          <w:rFonts w:hint="eastAsia" w:ascii="黑体" w:hAnsi="黑体" w:eastAsia="黑体"/>
          <w:color w:val="000000"/>
          <w:sz w:val="32"/>
          <w:szCs w:val="32"/>
        </w:rPr>
        <w:t>2019年8月12日</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widowControl/>
        <w:adjustRightInd/>
        <w:snapToGrid/>
        <w:spacing w:before="850"/>
        <w:ind w:firstLine="0" w:firstLineChars="0"/>
        <w:jc w:val="center"/>
        <w:rPr>
          <w:rFonts w:ascii="黑体" w:hAnsi="黑体" w:eastAsia="黑体"/>
          <w:color w:val="000000"/>
          <w:sz w:val="32"/>
          <w:szCs w:val="32"/>
        </w:rPr>
      </w:pPr>
      <w:r>
        <w:rPr>
          <w:rFonts w:hint="eastAsia" w:ascii="黑体" w:hAnsi="黑体" w:eastAsia="黑体"/>
          <w:color w:val="000000"/>
          <w:sz w:val="32"/>
          <w:szCs w:val="32"/>
        </w:rPr>
        <w:t>《铜加工行业能源计量器具配备和管理要求》</w:t>
      </w:r>
    </w:p>
    <w:p>
      <w:pPr>
        <w:pStyle w:val="12"/>
        <w:spacing w:after="680" w:line="312" w:lineRule="auto"/>
        <w:ind w:firstLine="0" w:firstLineChars="0"/>
        <w:jc w:val="center"/>
        <w:rPr>
          <w:rFonts w:ascii="黑体" w:hAnsi="黑体" w:eastAsia="黑体"/>
          <w:sz w:val="32"/>
          <w:szCs w:val="32"/>
        </w:rPr>
      </w:pPr>
      <w:r>
        <w:rPr>
          <w:rFonts w:hint="eastAsia" w:ascii="黑体" w:hAnsi="黑体" w:eastAsia="黑体"/>
          <w:color w:val="FF0000"/>
          <w:sz w:val="32"/>
          <w:szCs w:val="32"/>
          <w:lang w:eastAsia="zh-CN"/>
        </w:rPr>
        <w:t>送审稿</w:t>
      </w:r>
      <w:r>
        <w:rPr>
          <w:rFonts w:ascii="黑体" w:hAnsi="黑体" w:eastAsia="黑体"/>
          <w:sz w:val="32"/>
          <w:szCs w:val="32"/>
        </w:rPr>
        <w:t>编制说明</w:t>
      </w:r>
    </w:p>
    <w:p>
      <w:pPr>
        <w:pStyle w:val="3"/>
        <w:ind w:firstLine="480"/>
        <w:rPr>
          <w:rFonts w:ascii="黑体" w:hAnsi="黑体" w:eastAsia="黑体"/>
          <w:b w:val="0"/>
          <w:color w:val="000000" w:themeColor="text1"/>
          <w:sz w:val="24"/>
          <w:szCs w:val="24"/>
        </w:rPr>
      </w:pPr>
      <w:r>
        <w:rPr>
          <w:rFonts w:hint="eastAsia" w:ascii="黑体" w:hAnsi="黑体" w:eastAsia="黑体"/>
          <w:b w:val="0"/>
          <w:color w:val="000000" w:themeColor="text1"/>
          <w:sz w:val="24"/>
          <w:szCs w:val="24"/>
        </w:rPr>
        <w:t>一、任务来源</w:t>
      </w:r>
    </w:p>
    <w:p>
      <w:pPr>
        <w:ind w:firstLine="480" w:firstLineChars="200"/>
        <w:jc w:val="left"/>
        <w:rPr>
          <w:color w:val="000000" w:themeColor="text1"/>
          <w:sz w:val="24"/>
        </w:rPr>
      </w:pPr>
      <w:r>
        <w:rPr>
          <w:rFonts w:hint="eastAsia"/>
          <w:sz w:val="24"/>
        </w:rPr>
        <w:t>根据工信部《工业和信息化部办公厅关于印发</w:t>
      </w:r>
      <w:r>
        <w:rPr>
          <w:rFonts w:hint="eastAsia"/>
          <w:color w:val="000000" w:themeColor="text1"/>
          <w:sz w:val="24"/>
        </w:rPr>
        <w:t>2018</w:t>
      </w:r>
      <w:r>
        <w:rPr>
          <w:rFonts w:hint="eastAsia"/>
          <w:sz w:val="24"/>
        </w:rPr>
        <w:t>年第二批行业标准制修订和外文版项目计划的通知》（工信厅科[2018]31号），其中《铜加工行业能源计量器具配备和管理要求》</w:t>
      </w:r>
      <w:r>
        <w:rPr>
          <w:rFonts w:hint="eastAsia"/>
          <w:color w:val="000000" w:themeColor="text1"/>
          <w:sz w:val="24"/>
        </w:rPr>
        <w:t>（计划编号</w:t>
      </w:r>
      <w:r>
        <w:fldChar w:fldCharType="begin"/>
      </w:r>
      <w:r>
        <w:instrText xml:space="preserve"> HYPERLINK "http://219.239.107.155:8080/TaskBook.aspx?id=YSJNZT01772018" </w:instrText>
      </w:r>
      <w:r>
        <w:fldChar w:fldCharType="separate"/>
      </w:r>
      <w:r>
        <w:rPr>
          <w:rFonts w:hAnsi="宋体"/>
          <w:color w:val="000000" w:themeColor="text1"/>
          <w:sz w:val="24"/>
        </w:rPr>
        <w:t>2018-0518T-YS</w:t>
      </w:r>
      <w:r>
        <w:rPr>
          <w:rFonts w:hAnsi="宋体"/>
          <w:color w:val="000000" w:themeColor="text1"/>
          <w:sz w:val="24"/>
        </w:rPr>
        <w:fldChar w:fldCharType="end"/>
      </w:r>
      <w:r>
        <w:rPr>
          <w:rFonts w:hint="eastAsia"/>
          <w:color w:val="000000" w:themeColor="text1"/>
          <w:sz w:val="24"/>
        </w:rPr>
        <w:t>）</w:t>
      </w:r>
      <w:r>
        <w:rPr>
          <w:rFonts w:hint="eastAsia"/>
          <w:sz w:val="24"/>
        </w:rPr>
        <w:t>，由全国有色金属标准化技术委员会归口，</w:t>
      </w:r>
      <w:r>
        <w:rPr>
          <w:rFonts w:hint="eastAsia" w:asciiTheme="minorEastAsia" w:hAnsiTheme="minorEastAsia" w:eastAsiaTheme="minorEastAsia"/>
          <w:color w:val="FF0000"/>
          <w:sz w:val="24"/>
          <w:szCs w:val="24"/>
        </w:rPr>
        <w:t>佛山市华鸿铜管有限公司、浙江花园铜业有限公司、安徽楚江科技新材料股份有限公司、浙江海亮股份有限公司、金龙铜管集团广东龙丰精密铜管有限公司</w:t>
      </w:r>
      <w:r>
        <w:rPr>
          <w:rFonts w:hint="eastAsia" w:hAnsi="宋体" w:cs="宋体"/>
          <w:color w:val="000000" w:themeColor="text1"/>
          <w:kern w:val="0"/>
          <w:sz w:val="24"/>
        </w:rPr>
        <w:t>负责起草，2020年完成</w:t>
      </w:r>
      <w:r>
        <w:rPr>
          <w:rFonts w:hint="eastAsia"/>
          <w:color w:val="000000" w:themeColor="text1"/>
          <w:sz w:val="24"/>
        </w:rPr>
        <w:t>。</w:t>
      </w:r>
    </w:p>
    <w:p>
      <w:pPr>
        <w:pStyle w:val="2"/>
        <w:spacing w:before="312" w:after="312"/>
        <w:rPr>
          <w:color w:val="000000" w:themeColor="text1"/>
          <w:sz w:val="24"/>
          <w:szCs w:val="24"/>
        </w:rPr>
      </w:pPr>
      <w:r>
        <w:rPr>
          <w:rFonts w:hint="eastAsia"/>
          <w:color w:val="000000" w:themeColor="text1"/>
          <w:sz w:val="24"/>
          <w:szCs w:val="24"/>
        </w:rPr>
        <w:t>二</w:t>
      </w:r>
      <w:r>
        <w:rPr>
          <w:color w:val="000000" w:themeColor="text1"/>
          <w:sz w:val="24"/>
          <w:szCs w:val="24"/>
        </w:rPr>
        <w:t>、工作简况</w:t>
      </w:r>
    </w:p>
    <w:p>
      <w:pPr>
        <w:pStyle w:val="3"/>
        <w:ind w:firstLine="480"/>
        <w:rPr>
          <w:rFonts w:ascii="黑体" w:hAnsi="黑体" w:eastAsia="黑体"/>
          <w:b w:val="0"/>
          <w:color w:val="000000" w:themeColor="text1"/>
          <w:sz w:val="24"/>
          <w:szCs w:val="24"/>
        </w:rPr>
      </w:pPr>
      <w:r>
        <w:rPr>
          <w:rFonts w:hint="eastAsia" w:ascii="黑体" w:hAnsi="黑体" w:eastAsia="黑体"/>
          <w:b w:val="0"/>
          <w:color w:val="000000" w:themeColor="text1"/>
          <w:sz w:val="24"/>
          <w:szCs w:val="24"/>
        </w:rPr>
        <w:t>2.1 立项目的</w:t>
      </w:r>
    </w:p>
    <w:p>
      <w:pPr>
        <w:spacing w:line="480" w:lineRule="exact"/>
        <w:ind w:firstLine="480"/>
        <w:rPr>
          <w:sz w:val="24"/>
        </w:rPr>
      </w:pPr>
      <w:r>
        <w:rPr>
          <w:rFonts w:hint="eastAsia"/>
          <w:sz w:val="24"/>
        </w:rPr>
        <w:t>中国铜加工行业经过改革开发几十年的发展，由小到大，由弱到强。特别是近二十年的迅猛发展，已经成为世界上重要的铜材生产、消费和国际贸易大国，产量已经连续十多年雄踞世界首位。2001-2016年铜材产量年均增长15.8%，近几年，在面对国内外经济发展复杂的条件下，2013-2016年年均增速为7.2%，仍然保持一个良好的发展态势。中国铜加工产品产量从2001年占世界比例为14%到2016年占比为65%。上述数据说明我国已经成为一个铜加工行业产量大国。但不是强国。尤其是铜加工行业的经济技术指标中的成品率、金属消耗、电耗落后于国外发达国家，这表明我国铜加工还没有完全摆脱高能耗和高资源消耗的被动局面。</w:t>
      </w:r>
    </w:p>
    <w:p>
      <w:pPr>
        <w:spacing w:line="480" w:lineRule="exact"/>
        <w:ind w:firstLine="480"/>
        <w:rPr>
          <w:sz w:val="24"/>
        </w:rPr>
      </w:pPr>
      <w:r>
        <w:rPr>
          <w:rFonts w:hint="eastAsia"/>
          <w:sz w:val="24"/>
        </w:rPr>
        <w:t>企业能源计量器具配备和管理是企业能源管理的基础性管理，同时也是行业内部对企业能源管理和监督的基本要求，在国家管理层面有标准：GB 17167-2006。该标准是针对普遍性的生产性企业，在实际应用当中，由于铜加工行业有其特殊性和区别性，因此需要在该标准的基础上针对铜加工行业相关特点进行补充和完善。</w:t>
      </w:r>
    </w:p>
    <w:p>
      <w:pPr>
        <w:spacing w:line="480" w:lineRule="exact"/>
        <w:ind w:firstLine="480"/>
        <w:rPr>
          <w:sz w:val="24"/>
        </w:rPr>
      </w:pPr>
      <w:r>
        <w:rPr>
          <w:rFonts w:hint="eastAsia"/>
          <w:sz w:val="24"/>
        </w:rPr>
        <w:t>结合有色金属工业发展规划（2016-2020年）三、指导思想、基本原则及主要目标；（三）主要目标中（5）两化融合的要求进两化融合技术标准体系建设，在线监测、生产过程智能优化、模拟仿真等应用基本普及，选冶、加工环节关键工艺数控化率超过80%，实现综合集成企业比例从当前的12%提升到20%，实现管控集成的企业比例从当前的13%提升到18%，实现产供销集成的企业比例从当前的16%提升到22%，建成若干家智能制造示范工厂。</w:t>
      </w:r>
      <w:r>
        <w:rPr>
          <w:rFonts w:hint="eastAsia"/>
          <w:strike/>
          <w:dstrike w:val="0"/>
          <w:color w:val="FF0000"/>
          <w:sz w:val="24"/>
        </w:rPr>
        <w:t>文件内容。</w:t>
      </w:r>
    </w:p>
    <w:p>
      <w:pPr>
        <w:spacing w:line="480" w:lineRule="exact"/>
        <w:ind w:firstLine="480"/>
        <w:rPr>
          <w:sz w:val="24"/>
        </w:rPr>
      </w:pPr>
      <w:r>
        <w:rPr>
          <w:rFonts w:hint="eastAsia"/>
          <w:sz w:val="24"/>
        </w:rPr>
        <w:t>能源计量设备的配置和管理是企业能源管理的基础性工作，同时也是行业、政府相关部门对企业能源管理基础性的保障性工作，因此规范性的制定</w:t>
      </w:r>
      <w:r>
        <w:rPr>
          <w:rFonts w:hint="eastAsia"/>
          <w:color w:val="FF0000"/>
          <w:sz w:val="24"/>
        </w:rPr>
        <w:t>《铜加工行业能源计量器具配备和管理要求》相关</w:t>
      </w:r>
      <w:r>
        <w:rPr>
          <w:rFonts w:hint="eastAsia"/>
          <w:color w:val="FF0000"/>
          <w:sz w:val="24"/>
          <w:lang w:eastAsia="zh-CN"/>
        </w:rPr>
        <w:t>标准</w:t>
      </w:r>
      <w:r>
        <w:rPr>
          <w:rFonts w:hint="eastAsia"/>
          <w:sz w:val="24"/>
        </w:rPr>
        <w:t>对行业和企业发展均有现实意义和深远意义。企业可以通过建立完善的能源计量器具来更好的管控企业内部的能源管理，更好的降耗节能增加经济效益。行业与政府通过对企业能源计量数据对比分析，来引导企业和行业内部企业进行能源消耗的对标和分析，对引领行业转型升级是非常有意义。</w:t>
      </w:r>
    </w:p>
    <w:p>
      <w:pPr>
        <w:pStyle w:val="3"/>
        <w:ind w:firstLine="480"/>
        <w:rPr>
          <w:rFonts w:ascii="黑体" w:hAnsi="黑体" w:eastAsia="黑体"/>
          <w:b w:val="0"/>
          <w:color w:val="000000" w:themeColor="text1"/>
          <w:sz w:val="24"/>
          <w:szCs w:val="24"/>
        </w:rPr>
      </w:pPr>
      <w:r>
        <w:rPr>
          <w:rFonts w:hint="eastAsia" w:ascii="黑体" w:hAnsi="黑体" w:eastAsia="黑体"/>
          <w:b w:val="0"/>
          <w:color w:val="000000" w:themeColor="text1"/>
          <w:sz w:val="24"/>
          <w:szCs w:val="24"/>
        </w:rPr>
        <w:t>2.2 项目编制组单位简况</w:t>
      </w:r>
    </w:p>
    <w:p>
      <w:pPr>
        <w:spacing w:beforeLines="100" w:afterLines="100"/>
        <w:ind w:firstLine="480"/>
        <w:rPr>
          <w:rFonts w:ascii="黑体" w:hAnsi="黑体" w:eastAsia="黑体"/>
          <w:color w:val="000000" w:themeColor="text1"/>
          <w:sz w:val="24"/>
        </w:rPr>
      </w:pPr>
      <w:bookmarkStart w:id="0" w:name="_Toc513735999"/>
      <w:bookmarkStart w:id="1" w:name="_Toc497309498"/>
      <w:bookmarkStart w:id="2" w:name="_Toc508985098"/>
      <w:bookmarkStart w:id="3" w:name="_Toc511234381"/>
      <w:bookmarkStart w:id="4" w:name="_Toc458287585"/>
      <w:r>
        <w:rPr>
          <w:rFonts w:hint="eastAsia" w:ascii="黑体" w:hAnsi="黑体" w:eastAsia="黑体"/>
          <w:color w:val="000000" w:themeColor="text1"/>
          <w:sz w:val="24"/>
        </w:rPr>
        <w:t>2</w:t>
      </w:r>
      <w:r>
        <w:rPr>
          <w:rFonts w:ascii="黑体" w:hAnsi="黑体" w:eastAsia="黑体"/>
          <w:color w:val="000000" w:themeColor="text1"/>
          <w:sz w:val="24"/>
        </w:rPr>
        <w:t>.</w:t>
      </w:r>
      <w:r>
        <w:rPr>
          <w:rFonts w:hint="eastAsia" w:ascii="黑体" w:hAnsi="黑体" w:eastAsia="黑体"/>
          <w:color w:val="000000" w:themeColor="text1"/>
          <w:sz w:val="24"/>
        </w:rPr>
        <w:t>2</w:t>
      </w:r>
      <w:r>
        <w:rPr>
          <w:rFonts w:ascii="黑体" w:hAnsi="黑体" w:eastAsia="黑体"/>
          <w:color w:val="000000" w:themeColor="text1"/>
          <w:sz w:val="24"/>
        </w:rPr>
        <w:t>.1 编制组成员单位</w:t>
      </w:r>
      <w:bookmarkEnd w:id="0"/>
      <w:bookmarkEnd w:id="1"/>
      <w:bookmarkEnd w:id="2"/>
      <w:bookmarkEnd w:id="3"/>
      <w:bookmarkEnd w:id="4"/>
      <w:r>
        <w:rPr>
          <w:rFonts w:hint="eastAsia" w:ascii="黑体" w:hAnsi="黑体" w:eastAsia="黑体"/>
          <w:color w:val="000000" w:themeColor="text1"/>
          <w:sz w:val="24"/>
        </w:rPr>
        <w:t>：</w:t>
      </w:r>
    </w:p>
    <w:p>
      <w:pPr>
        <w:spacing w:beforeLines="100" w:afterLines="100" w:line="480" w:lineRule="exact"/>
        <w:ind w:firstLine="480"/>
        <w:rPr>
          <w:rFonts w:hint="eastAsia" w:eastAsiaTheme="minorEastAsia"/>
          <w:sz w:val="24"/>
          <w:lang w:eastAsia="zh-CN"/>
        </w:rPr>
      </w:pPr>
      <w:r>
        <w:rPr>
          <w:rFonts w:hint="eastAsia"/>
          <w:sz w:val="24"/>
        </w:rPr>
        <w:t>本标准编制组成员单位为：</w:t>
      </w:r>
      <w:r>
        <w:rPr>
          <w:rFonts w:hint="eastAsia" w:asciiTheme="minorEastAsia" w:hAnsiTheme="minorEastAsia" w:eastAsiaTheme="minorEastAsia"/>
          <w:color w:val="FF0000"/>
          <w:sz w:val="24"/>
          <w:szCs w:val="24"/>
        </w:rPr>
        <w:t>佛山市华鸿铜管有限公司、浙江花园铜业有限公司、安徽楚江科技新材料股份有限公司、浙江海亮股份有限公司、金龙铜管集团广东龙丰精密铜管有限公司</w:t>
      </w:r>
      <w:r>
        <w:rPr>
          <w:rFonts w:hint="eastAsia" w:asciiTheme="minorEastAsia" w:hAnsiTheme="minorEastAsia" w:eastAsiaTheme="minorEastAsia"/>
          <w:color w:val="FF0000"/>
          <w:sz w:val="24"/>
          <w:szCs w:val="24"/>
          <w:lang w:eastAsia="zh-CN"/>
        </w:rPr>
        <w:t>。</w:t>
      </w:r>
    </w:p>
    <w:p>
      <w:pPr>
        <w:spacing w:beforeLines="100" w:afterLines="100"/>
        <w:ind w:firstLine="480"/>
        <w:rPr>
          <w:rFonts w:ascii="黑体" w:hAnsi="黑体" w:eastAsia="黑体"/>
          <w:color w:val="000000" w:themeColor="text1"/>
          <w:sz w:val="24"/>
        </w:rPr>
      </w:pPr>
      <w:r>
        <w:rPr>
          <w:rFonts w:hint="eastAsia" w:ascii="黑体" w:hAnsi="黑体" w:eastAsia="黑体"/>
          <w:color w:val="000000" w:themeColor="text1"/>
          <w:sz w:val="24"/>
        </w:rPr>
        <w:t>2</w:t>
      </w:r>
      <w:r>
        <w:rPr>
          <w:rFonts w:ascii="黑体" w:hAnsi="黑体" w:eastAsia="黑体"/>
          <w:color w:val="000000" w:themeColor="text1"/>
          <w:sz w:val="24"/>
        </w:rPr>
        <w:t>.</w:t>
      </w:r>
      <w:r>
        <w:rPr>
          <w:rFonts w:hint="eastAsia" w:ascii="黑体" w:hAnsi="黑体" w:eastAsia="黑体"/>
          <w:color w:val="000000" w:themeColor="text1"/>
          <w:sz w:val="24"/>
        </w:rPr>
        <w:t>2.2 主编单位简介：</w:t>
      </w:r>
    </w:p>
    <w:p>
      <w:pPr>
        <w:ind w:firstLine="480"/>
        <w:rPr>
          <w:sz w:val="24"/>
        </w:rPr>
      </w:pPr>
      <w:r>
        <w:rPr>
          <w:rFonts w:hint="eastAsia"/>
          <w:sz w:val="24"/>
        </w:rPr>
        <w:t>佛山市华鸿铜管有限公司(以下简称“华鸿公司”)创建于1991年，是一家生产、销售高精度铜管材（内螺纹管、蚊香盘管、大盘管、直管等）和铜铝型材产品的大型民营企业，其产品广泛应用于电力、家电、电子、通讯、交通运输、建筑装饰、化工、机械等领域。</w:t>
      </w:r>
    </w:p>
    <w:p>
      <w:pPr>
        <w:spacing w:line="480" w:lineRule="exact"/>
        <w:ind w:firstLine="480"/>
        <w:rPr>
          <w:sz w:val="24"/>
        </w:rPr>
      </w:pPr>
      <w:r>
        <w:rPr>
          <w:rFonts w:hint="eastAsia"/>
          <w:sz w:val="24"/>
        </w:rPr>
        <w:t>科学技术是第一生产力。华鸿公司十分重视人才队伍的建设，不断壮大专业人员队伍，以企业技术中心为创新平台和载体，与广东工业大学、广东中钰科技有限公司等开展产学研合作工作，制定多项科研开发、技术创新方面的管理制度，有较健全的人才激励机制，通过各种有效途径和方式，不断提高专业技能人员的业务能力和水平。同时，华鸿公司也非常重视对广大员工的职业职能培训，不断提高广大员工的职业素质和专业技能，这样，华鸿公司已形成一支由各类专业技术人员组成的力量比较雄厚的专业人才队伍，在技术改造、技术创新和新产品开发等项工作方面积极发挥作用，不断取得丰硕的成果，显著的提升了华鸿公司的核心竞争力，推动了华鸿公司的持续发展。</w:t>
      </w:r>
    </w:p>
    <w:p>
      <w:pPr>
        <w:spacing w:line="480" w:lineRule="exact"/>
        <w:ind w:firstLine="480"/>
        <w:rPr>
          <w:sz w:val="24"/>
        </w:rPr>
      </w:pPr>
      <w:r>
        <w:rPr>
          <w:rFonts w:hint="eastAsia"/>
          <w:sz w:val="24"/>
        </w:rPr>
        <w:t>华鸿公司技术中心被认定为“广东省企业技术中心”，长期以来始终重视技术创新工作，与大连理工大学、昆明理工大学、中南大学等建立了产学研合作关系，以技术中心作为企业技术创新平台，在采用新工艺、新技术及开发新产品等方面开展了多个创新项目的研究，取得多项重要成果。近年来，华鸿公司在品牌建设、技术创新方面取得突出成绩。</w:t>
      </w:r>
    </w:p>
    <w:p>
      <w:pPr>
        <w:spacing w:line="480" w:lineRule="exact"/>
        <w:ind w:firstLine="480"/>
        <w:rPr>
          <w:sz w:val="24"/>
        </w:rPr>
      </w:pPr>
      <w:r>
        <w:rPr>
          <w:rFonts w:hint="eastAsia"/>
          <w:sz w:val="24"/>
        </w:rPr>
        <w:t>近年来，华鸿公司共参与16项国家/行业标准制定/修订的起草工作，作为主要起草单位的有12项。其中，《导电用铜型材》等8项标准已正式发布，其它标准研制工作正在按计划进行。由于华鸿公司在标准研制工作方面做出的突出贡献，获全国有色金属标准化委员会颁发的“技术标准化优秀奖”，同时获多项省、市、区标准化战略项目资助资金和奖励。华鸿公司是广东省乃至我国铜加工行业近年来开展标准化研制工作最活跃的企业之一，是铜加工行业标准研制工作的主要依托单位。</w:t>
      </w:r>
    </w:p>
    <w:p>
      <w:pPr>
        <w:spacing w:beforeLines="100" w:afterLines="100"/>
        <w:ind w:firstLine="480"/>
        <w:rPr>
          <w:rFonts w:ascii="黑体" w:hAnsi="黑体" w:eastAsia="黑体"/>
          <w:color w:val="000000" w:themeColor="text1"/>
          <w:sz w:val="24"/>
        </w:rPr>
      </w:pPr>
      <w:r>
        <w:rPr>
          <w:rFonts w:hint="eastAsia" w:ascii="黑体" w:hAnsi="黑体" w:eastAsia="黑体"/>
          <w:color w:val="000000" w:themeColor="text1"/>
          <w:sz w:val="24"/>
        </w:rPr>
        <w:t>2</w:t>
      </w:r>
      <w:r>
        <w:rPr>
          <w:rFonts w:ascii="黑体" w:hAnsi="黑体" w:eastAsia="黑体"/>
          <w:color w:val="000000" w:themeColor="text1"/>
          <w:sz w:val="24"/>
        </w:rPr>
        <w:t>.</w:t>
      </w:r>
      <w:r>
        <w:rPr>
          <w:rFonts w:hint="eastAsia" w:ascii="黑体" w:hAnsi="黑体" w:eastAsia="黑体"/>
          <w:color w:val="000000" w:themeColor="text1"/>
          <w:sz w:val="24"/>
        </w:rPr>
        <w:t>2.3 参与单位简介</w:t>
      </w:r>
    </w:p>
    <w:p>
      <w:pPr>
        <w:spacing w:line="480" w:lineRule="exact"/>
        <w:ind w:firstLine="480"/>
        <w:rPr>
          <w:sz w:val="24"/>
        </w:rPr>
      </w:pPr>
      <w:r>
        <w:rPr>
          <w:rFonts w:hint="eastAsia"/>
          <w:sz w:val="24"/>
        </w:rPr>
        <w:t>安徽楚江科技新材料股份有限公司是一家从事铜及铜合金基础材料研发与制造和高端热工装备及军工新材料研发与制造的集团化公司。公司成立于1999年，于2007年9月在深交所上市（股票代码：002171），公司总部位于安徽省芜湖市，目前拥有15家全资子公司，员工4700多人，总资产53亿元，2017年营业收入110亿，利税8亿，是芜湖市本土最大的民营企业。公司连续10年稳居安徽省民营企业10强、中国制造业500强，2017年被中国有色金属加工工业协会评为“中国铜板带材十强企业”第一名。经过近二十年的发展，形成了铜基材料为主导产业的材料加工制造产业集群，包含铜及铜合金板带材、合金线材和导体材料三个产品事业部，2018年共完成产销规模30万吨，回收铜使用量为17.05万吨，综合利用占比60.6%，形成了以资源循环利用技术为基础打造优质性价比的核心竞争优势。同时公司拥有“国家级资源综合利用（废铜再生利用）行业技术中心”和“国家级企业技术中心”，中国循环经济协会会员单位、皖江城市带承接产业转移循环经济示范企业，利废技术始终处于行业领先水平。2010年公司自主研发的“废杂铜生产高精度铜合金板带”技术荣获中国综合利用协会科技一等奖。公司拥有自主创新发明专利100项，获省部级以上科技奖项18项，且研发出30余种针对性和适用性强的高新技术产品，参与国际、行业标准21项。公司设立理化实验室，专门负责公司的理化检测工作，通过多年的建设在铜及铜合金材料检测方面已经具备了较强的设备优势，为产品的各项检测提供保障。</w:t>
      </w:r>
    </w:p>
    <w:p>
      <w:pPr>
        <w:spacing w:line="480" w:lineRule="exact"/>
        <w:ind w:firstLine="480"/>
        <w:rPr>
          <w:sz w:val="24"/>
        </w:rPr>
      </w:pPr>
    </w:p>
    <w:p>
      <w:pPr>
        <w:pStyle w:val="3"/>
        <w:ind w:firstLine="480"/>
        <w:rPr>
          <w:rFonts w:ascii="黑体" w:hAnsi="黑体" w:eastAsia="黑体"/>
          <w:b w:val="0"/>
          <w:color w:val="000000" w:themeColor="text1"/>
          <w:sz w:val="24"/>
          <w:szCs w:val="24"/>
        </w:rPr>
      </w:pPr>
      <w:bookmarkStart w:id="5" w:name="_Toc513736002"/>
      <w:r>
        <w:rPr>
          <w:rFonts w:hint="eastAsia" w:ascii="黑体" w:hAnsi="黑体" w:eastAsia="黑体"/>
          <w:b w:val="0"/>
          <w:color w:val="000000" w:themeColor="text1"/>
          <w:sz w:val="24"/>
          <w:szCs w:val="24"/>
        </w:rPr>
        <w:t>2</w:t>
      </w:r>
      <w:r>
        <w:rPr>
          <w:rFonts w:ascii="黑体" w:hAnsi="黑体" w:eastAsia="黑体"/>
          <w:b w:val="0"/>
          <w:color w:val="000000" w:themeColor="text1"/>
          <w:sz w:val="24"/>
          <w:szCs w:val="24"/>
        </w:rPr>
        <w:t>.</w:t>
      </w:r>
      <w:r>
        <w:rPr>
          <w:rFonts w:hint="eastAsia" w:ascii="黑体" w:hAnsi="黑体" w:eastAsia="黑体"/>
          <w:b w:val="0"/>
          <w:color w:val="000000" w:themeColor="text1"/>
          <w:sz w:val="24"/>
          <w:szCs w:val="24"/>
        </w:rPr>
        <w:t>3工作过程</w:t>
      </w:r>
      <w:bookmarkEnd w:id="5"/>
    </w:p>
    <w:p>
      <w:pPr>
        <w:spacing w:line="480" w:lineRule="exact"/>
        <w:ind w:firstLine="480"/>
        <w:rPr>
          <w:sz w:val="24"/>
        </w:rPr>
      </w:pPr>
      <w:r>
        <w:rPr>
          <w:rFonts w:hint="eastAsia"/>
          <w:sz w:val="24"/>
        </w:rPr>
        <w:t>标准起草单位在接到全国有色金属标准化委员会下达的项目任务后，成立了专门的《铜加工行业能源计量器具配备和管理要求》编制组，其中包括领导组、技术组和专家组，并制定了相关工作计划。根据工作计划进度安排，标准编制组收集查阅了国内外相关政策、标准、文献。编制组对我国铜加工企业生产现状进行初步调研，调研方式主要有：资料调研、网上调研等。并经过多次讨论和修改后形成了《铜加工行业能源计量器具配备和管理要求》初稿。</w:t>
      </w:r>
    </w:p>
    <w:p>
      <w:pPr>
        <w:pStyle w:val="2"/>
        <w:spacing w:before="312" w:after="312"/>
        <w:rPr>
          <w:color w:val="000000" w:themeColor="text1"/>
          <w:sz w:val="24"/>
          <w:szCs w:val="24"/>
        </w:rPr>
      </w:pPr>
      <w:bookmarkStart w:id="6" w:name="_Toc497309525"/>
      <w:bookmarkStart w:id="7" w:name="_Toc513736003"/>
      <w:r>
        <w:rPr>
          <w:rFonts w:hint="eastAsia"/>
          <w:color w:val="000000" w:themeColor="text1"/>
          <w:sz w:val="24"/>
          <w:szCs w:val="24"/>
        </w:rPr>
        <w:t>三、</w:t>
      </w:r>
      <w:r>
        <w:rPr>
          <w:color w:val="000000" w:themeColor="text1"/>
          <w:sz w:val="24"/>
          <w:szCs w:val="24"/>
        </w:rPr>
        <w:t>标准编制原则和标准主要内容</w:t>
      </w:r>
      <w:bookmarkEnd w:id="6"/>
      <w:bookmarkEnd w:id="7"/>
      <w:r>
        <w:rPr>
          <w:rFonts w:hint="eastAsia"/>
          <w:color w:val="000000" w:themeColor="text1"/>
          <w:sz w:val="24"/>
          <w:szCs w:val="24"/>
        </w:rPr>
        <w:t>：</w:t>
      </w:r>
      <w:bookmarkStart w:id="16" w:name="_GoBack"/>
      <w:bookmarkEnd w:id="16"/>
    </w:p>
    <w:p>
      <w:pPr>
        <w:pStyle w:val="3"/>
        <w:ind w:firstLine="480"/>
        <w:rPr>
          <w:rFonts w:ascii="黑体" w:hAnsi="黑体" w:eastAsia="黑体"/>
          <w:b w:val="0"/>
          <w:sz w:val="24"/>
          <w:szCs w:val="24"/>
        </w:rPr>
      </w:pPr>
      <w:r>
        <w:rPr>
          <w:rFonts w:hint="eastAsia" w:ascii="黑体" w:hAnsi="黑体" w:eastAsia="黑体"/>
          <w:b w:val="0"/>
          <w:sz w:val="24"/>
          <w:szCs w:val="24"/>
        </w:rPr>
        <w:t>3.1编制编制原则：</w:t>
      </w:r>
    </w:p>
    <w:p>
      <w:pPr>
        <w:spacing w:line="460" w:lineRule="exact"/>
        <w:ind w:left="420" w:firstLine="0" w:firstLineChars="0"/>
        <w:rPr>
          <w:sz w:val="24"/>
        </w:rPr>
      </w:pPr>
      <w:r>
        <w:rPr>
          <w:rFonts w:hint="eastAsia"/>
          <w:b/>
          <w:sz w:val="24"/>
        </w:rPr>
        <w:t>3.1.1</w:t>
      </w:r>
      <w:r>
        <w:rPr>
          <w:rFonts w:hint="eastAsia"/>
          <w:sz w:val="24"/>
        </w:rPr>
        <w:t>标准应依据GB17167—2006对能源计量的基本要求．参照</w:t>
      </w:r>
      <w:r>
        <w:rPr>
          <w:rFonts w:hint="eastAsia"/>
          <w:color w:val="FF0000"/>
          <w:sz w:val="24"/>
        </w:rPr>
        <w:t>GB／</w:t>
      </w:r>
      <w:r>
        <w:rPr>
          <w:rFonts w:hint="eastAsia"/>
          <w:color w:val="FF0000"/>
          <w:sz w:val="24"/>
          <w:lang w:val="en-US" w:eastAsia="zh-CN"/>
        </w:rPr>
        <w:t>T</w:t>
      </w:r>
      <w:r>
        <w:rPr>
          <w:rFonts w:hint="eastAsia"/>
          <w:sz w:val="24"/>
        </w:rPr>
        <w:t>19022-2003 《测量管理体系测量过程和测量设备的要求》标准，对铜加工行业能源计量器具配备和管理作出明确的规定和要求。</w:t>
      </w:r>
    </w:p>
    <w:p>
      <w:pPr>
        <w:spacing w:line="460" w:lineRule="exact"/>
        <w:ind w:left="420" w:firstLine="0" w:firstLineChars="0"/>
        <w:rPr>
          <w:sz w:val="24"/>
        </w:rPr>
      </w:pPr>
      <w:r>
        <w:rPr>
          <w:rFonts w:hint="eastAsia"/>
          <w:b/>
          <w:sz w:val="24"/>
        </w:rPr>
        <w:t>3.1.2</w:t>
      </w:r>
      <w:r>
        <w:rPr>
          <w:rFonts w:hint="eastAsia"/>
          <w:sz w:val="24"/>
        </w:rPr>
        <w:t xml:space="preserve"> 标准应从计量法制与管理角度对计量检测技术提出原则性的要求，强调计量检测首先必须保证必要的配备率，才可实现准确可靠的计量。</w:t>
      </w:r>
    </w:p>
    <w:p>
      <w:pPr>
        <w:spacing w:line="460" w:lineRule="exact"/>
        <w:ind w:left="420" w:firstLine="0" w:firstLineChars="0"/>
        <w:rPr>
          <w:sz w:val="24"/>
        </w:rPr>
      </w:pPr>
      <w:r>
        <w:rPr>
          <w:rFonts w:hint="eastAsia"/>
          <w:b/>
          <w:sz w:val="24"/>
        </w:rPr>
        <w:t xml:space="preserve">3.1.3 </w:t>
      </w:r>
      <w:r>
        <w:rPr>
          <w:rFonts w:hint="eastAsia"/>
          <w:sz w:val="24"/>
        </w:rPr>
        <w:t>标准应从对计量器具配备准确度从法制计量和技术要求两方面综合考虑，并作出具体的规定，这样有利于规范企业的能源计量管理。</w:t>
      </w:r>
    </w:p>
    <w:p>
      <w:pPr>
        <w:spacing w:line="460" w:lineRule="exact"/>
        <w:ind w:left="420" w:firstLine="0" w:firstLineChars="0"/>
        <w:rPr>
          <w:sz w:val="24"/>
        </w:rPr>
      </w:pPr>
      <w:r>
        <w:rPr>
          <w:rFonts w:hint="eastAsia"/>
          <w:b/>
          <w:sz w:val="24"/>
        </w:rPr>
        <w:t xml:space="preserve">3.1.4 </w:t>
      </w:r>
      <w:r>
        <w:rPr>
          <w:rFonts w:hint="eastAsia"/>
          <w:sz w:val="24"/>
        </w:rPr>
        <w:t>通过制定标准，根据铜加工行业企业的实际情况。结合发展和创新。鼓励企业积极采用国际先进标准，以进一步提高企业整体能源计量装备和管理水平。</w:t>
      </w:r>
    </w:p>
    <w:p>
      <w:pPr>
        <w:spacing w:line="460" w:lineRule="exact"/>
        <w:ind w:left="420" w:firstLine="0" w:firstLineChars="0"/>
        <w:rPr>
          <w:sz w:val="24"/>
        </w:rPr>
      </w:pPr>
      <w:r>
        <w:rPr>
          <w:rFonts w:hint="eastAsia"/>
          <w:b/>
          <w:sz w:val="24"/>
        </w:rPr>
        <w:t xml:space="preserve">3.1.5 </w:t>
      </w:r>
      <w:r>
        <w:rPr>
          <w:rFonts w:hint="eastAsia"/>
          <w:sz w:val="24"/>
        </w:rPr>
        <w:t>制定标准时，充分考虑有色金属冶炼企业参与编写单位的意见，以及其他企业的需求。</w:t>
      </w:r>
    </w:p>
    <w:p>
      <w:pPr>
        <w:spacing w:line="460" w:lineRule="exact"/>
        <w:ind w:left="420" w:firstLine="0" w:firstLineChars="0"/>
        <w:rPr>
          <w:sz w:val="24"/>
        </w:rPr>
      </w:pPr>
      <w:r>
        <w:rPr>
          <w:rFonts w:hint="eastAsia"/>
          <w:b/>
          <w:sz w:val="24"/>
        </w:rPr>
        <w:t xml:space="preserve">3.1.6 </w:t>
      </w:r>
      <w:r>
        <w:rPr>
          <w:rFonts w:hint="eastAsia"/>
          <w:sz w:val="24"/>
        </w:rPr>
        <w:t>制定的标准应科学合理、切实可行且具有可操作性。</w:t>
      </w:r>
    </w:p>
    <w:p>
      <w:pPr>
        <w:pStyle w:val="3"/>
        <w:ind w:firstLine="480"/>
        <w:rPr>
          <w:rFonts w:hint="eastAsia" w:ascii="黑体" w:hAnsi="黑体" w:eastAsia="黑体"/>
          <w:b w:val="0"/>
          <w:sz w:val="24"/>
          <w:szCs w:val="24"/>
          <w:lang w:val="en-US" w:eastAsia="zh-CN"/>
        </w:rPr>
      </w:pPr>
      <w:r>
        <w:rPr>
          <w:rFonts w:hint="eastAsia" w:ascii="黑体" w:hAnsi="黑体" w:eastAsia="黑体"/>
          <w:b w:val="0"/>
          <w:sz w:val="24"/>
          <w:szCs w:val="24"/>
        </w:rPr>
        <w:t>3.2 标准主要内容：</w:t>
      </w:r>
    </w:p>
    <w:p>
      <w:pPr>
        <w:ind w:firstLine="422"/>
        <w:rPr>
          <w:b/>
        </w:rPr>
      </w:pPr>
      <w:r>
        <w:rPr>
          <w:rFonts w:hint="eastAsia"/>
          <w:b/>
        </w:rPr>
        <w:t>3.2.1 范围</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line="480" w:lineRule="atLeast"/>
              <w:ind w:firstLine="480"/>
              <w:rPr>
                <w:rFonts w:asciiTheme="minorEastAsia" w:hAnsiTheme="minorEastAsia" w:eastAsiaTheme="minorEastAsia"/>
                <w:color w:val="00B0F0"/>
                <w:sz w:val="24"/>
              </w:rPr>
            </w:pPr>
            <w:r>
              <w:rPr>
                <w:rFonts w:hint="eastAsia" w:asciiTheme="minorEastAsia" w:hAnsiTheme="minorEastAsia" w:eastAsiaTheme="minorEastAsia"/>
                <w:color w:val="00B0F0"/>
                <w:sz w:val="24"/>
              </w:rPr>
              <w:t>本标准规定了铜加工行业用能单位能源计量的采购、加工、转换、输送和利用过程中能源计量管理的基本要求。</w:t>
            </w:r>
          </w:p>
          <w:p>
            <w:pPr>
              <w:spacing w:line="480" w:lineRule="atLeast"/>
              <w:ind w:firstLine="480"/>
              <w:rPr>
                <w:rFonts w:asciiTheme="minorEastAsia" w:hAnsiTheme="minorEastAsia" w:eastAsiaTheme="minorEastAsia"/>
                <w:szCs w:val="21"/>
              </w:rPr>
            </w:pPr>
            <w:r>
              <w:rPr>
                <w:rFonts w:hint="eastAsia" w:asciiTheme="minorEastAsia" w:hAnsiTheme="minorEastAsia" w:eastAsiaTheme="minorEastAsia"/>
                <w:color w:val="00B0F0"/>
                <w:sz w:val="24"/>
              </w:rPr>
              <w:t>本标准适用于铜加工企业独立核算的用能单位，其中包括铜及铜合金板带产品、管棒产品，型材产品等，以及产品生产过程中熔铸、轧制、挤压、压延、拉伸等工序。</w:t>
            </w:r>
          </w:p>
        </w:tc>
      </w:tr>
    </w:tbl>
    <w:p>
      <w:pPr>
        <w:spacing w:line="480" w:lineRule="exact"/>
        <w:ind w:left="420" w:firstLine="0" w:firstLineChars="0"/>
        <w:rPr>
          <w:sz w:val="24"/>
        </w:rPr>
      </w:pPr>
      <w:r>
        <w:rPr>
          <w:b/>
          <w:sz w:val="24"/>
        </w:rPr>
        <w:t>说明</w:t>
      </w:r>
      <w:r>
        <w:rPr>
          <w:rFonts w:hint="eastAsia"/>
          <w:b/>
          <w:sz w:val="24"/>
        </w:rPr>
        <w:t>：</w:t>
      </w:r>
      <w:r>
        <w:rPr>
          <w:rFonts w:hint="eastAsia"/>
          <w:sz w:val="24"/>
        </w:rPr>
        <w:t>规定本标准所管控的用能单位的范围是铜加工行业。明确标准的方向性和规范的范围。</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3.2.2规范性引用文件</w:t>
      </w:r>
    </w:p>
    <w:tbl>
      <w:tblPr>
        <w:tblStyle w:val="9"/>
        <w:tblW w:w="101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5" w:hRule="atLeast"/>
        </w:trPr>
        <w:tc>
          <w:tcPr>
            <w:tcW w:w="10176" w:type="dxa"/>
          </w:tcPr>
          <w:p>
            <w:pPr>
              <w:spacing w:line="480" w:lineRule="exact"/>
              <w:ind w:firstLine="480"/>
              <w:rPr>
                <w:rFonts w:asciiTheme="minorEastAsia" w:hAnsiTheme="minorEastAsia" w:eastAsiaTheme="minorEastAsia"/>
                <w:color w:val="00B0F0"/>
                <w:sz w:val="24"/>
              </w:rPr>
            </w:pPr>
            <w:r>
              <w:rPr>
                <w:rFonts w:hint="eastAsia" w:asciiTheme="minorEastAsia" w:hAnsiTheme="minorEastAsia" w:eastAsiaTheme="minorEastAsia"/>
                <w:color w:val="00B0F0"/>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GB/T 2589  综合能耗计算通则</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GB/T 6422用能设备能量测试导则</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GB/T 15316 节能监测技术通则</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GB 17167   用能单位能源计量器具配备与管理通则</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GB/T 18603-2014  天然气计量系统技术要求</w:t>
            </w:r>
          </w:p>
        </w:tc>
      </w:tr>
    </w:tbl>
    <w:p>
      <w:pPr>
        <w:spacing w:line="520" w:lineRule="exact"/>
        <w:ind w:left="420" w:firstLine="0" w:firstLineChars="0"/>
        <w:rPr>
          <w:rFonts w:asciiTheme="minorEastAsia" w:hAnsiTheme="minorEastAsia" w:eastAsiaTheme="minorEastAsia"/>
          <w:sz w:val="24"/>
        </w:rPr>
      </w:pPr>
      <w:r>
        <w:rPr>
          <w:rFonts w:asciiTheme="minorEastAsia" w:hAnsiTheme="minorEastAsia" w:eastAsiaTheme="minorEastAsia"/>
          <w:b/>
          <w:sz w:val="24"/>
        </w:rPr>
        <w:t>说明</w:t>
      </w:r>
      <w:r>
        <w:rPr>
          <w:rFonts w:hint="eastAsia" w:asciiTheme="minorEastAsia" w:hAnsiTheme="minorEastAsia" w:eastAsiaTheme="minorEastAsia"/>
          <w:b/>
          <w:sz w:val="24"/>
        </w:rPr>
        <w:t>：</w:t>
      </w:r>
      <w:r>
        <w:rPr>
          <w:rFonts w:hint="eastAsia" w:asciiTheme="minorEastAsia" w:hAnsiTheme="minorEastAsia" w:eastAsiaTheme="minorEastAsia"/>
          <w:sz w:val="24"/>
        </w:rPr>
        <w:t>“引用文件”是编制标准时必不可少的文件，如不引用，标准则无法实施。也就是说，标准所引用的文件是编制标准时所依据的文件，也是构成标准全部内容的一个部分。</w:t>
      </w:r>
    </w:p>
    <w:p>
      <w:pPr>
        <w:spacing w:line="52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a)</w:t>
      </w:r>
      <w:r>
        <w:rPr>
          <w:rFonts w:hint="eastAsia" w:asciiTheme="minorEastAsia" w:hAnsiTheme="minorEastAsia" w:eastAsiaTheme="minorEastAsia"/>
          <w:b/>
          <w:bCs/>
          <w:color w:val="FF0000"/>
          <w:sz w:val="24"/>
        </w:rPr>
        <w:t xml:space="preserve">GB/T 2589 </w:t>
      </w:r>
      <w:r>
        <w:rPr>
          <w:rFonts w:hint="eastAsia" w:asciiTheme="minorEastAsia" w:hAnsiTheme="minorEastAsia" w:eastAsiaTheme="minorEastAsia"/>
          <w:b/>
          <w:bCs/>
          <w:color w:val="FF0000"/>
          <w:sz w:val="24"/>
          <w:lang w:eastAsia="zh-CN"/>
        </w:rPr>
        <w:t>《</w:t>
      </w:r>
      <w:r>
        <w:rPr>
          <w:rFonts w:hint="eastAsia" w:asciiTheme="minorEastAsia" w:hAnsiTheme="minorEastAsia" w:eastAsiaTheme="minorEastAsia"/>
          <w:b/>
          <w:bCs/>
          <w:color w:val="FF0000"/>
          <w:sz w:val="24"/>
        </w:rPr>
        <w:t>综合能耗计算通则</w:t>
      </w:r>
      <w:r>
        <w:rPr>
          <w:rFonts w:hint="eastAsia" w:asciiTheme="minorEastAsia" w:hAnsiTheme="minorEastAsia" w:eastAsiaTheme="minorEastAsia"/>
          <w:b/>
          <w:bCs/>
          <w:color w:val="FF0000"/>
          <w:sz w:val="24"/>
          <w:lang w:eastAsia="zh-CN"/>
        </w:rPr>
        <w:t>》</w:t>
      </w:r>
      <w:r>
        <w:rPr>
          <w:rFonts w:hint="eastAsia" w:asciiTheme="minorEastAsia" w:hAnsiTheme="minorEastAsia" w:eastAsiaTheme="minorEastAsia"/>
          <w:b/>
          <w:color w:val="FF0000"/>
          <w:sz w:val="24"/>
        </w:rPr>
        <w:t>：</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该通则用于用能单位能源消耗指标的核算和管理。在标准中，有关“载能工质”的术语，引用了该通则相应的定义。</w:t>
      </w:r>
    </w:p>
    <w:p>
      <w:pPr>
        <w:spacing w:line="520" w:lineRule="exact"/>
        <w:ind w:firstLine="482"/>
        <w:rPr>
          <w:rFonts w:asciiTheme="minorEastAsia" w:hAnsiTheme="minorEastAsia" w:eastAsiaTheme="minorEastAsia"/>
          <w:sz w:val="24"/>
        </w:rPr>
      </w:pPr>
      <w:r>
        <w:rPr>
          <w:rFonts w:hint="eastAsia" w:asciiTheme="minorEastAsia" w:hAnsiTheme="minorEastAsia" w:eastAsiaTheme="minorEastAsia"/>
          <w:b/>
          <w:sz w:val="24"/>
        </w:rPr>
        <w:t>b）</w:t>
      </w:r>
      <w:r>
        <w:rPr>
          <w:rFonts w:hint="eastAsia" w:asciiTheme="minorEastAsia" w:hAnsiTheme="minorEastAsia" w:eastAsiaTheme="minorEastAsia"/>
          <w:b/>
          <w:bCs/>
          <w:color w:val="FF0000"/>
          <w:sz w:val="24"/>
        </w:rPr>
        <w:t>GB/T 15316</w:t>
      </w:r>
      <w:r>
        <w:rPr>
          <w:rFonts w:hint="eastAsia" w:asciiTheme="minorEastAsia" w:hAnsiTheme="minorEastAsia" w:eastAsiaTheme="minorEastAsia"/>
          <w:b/>
          <w:bCs/>
          <w:color w:val="FF0000"/>
          <w:sz w:val="24"/>
          <w:lang w:eastAsia="zh-CN"/>
        </w:rPr>
        <w:t>《</w:t>
      </w:r>
      <w:r>
        <w:rPr>
          <w:rFonts w:hint="eastAsia" w:asciiTheme="minorEastAsia" w:hAnsiTheme="minorEastAsia" w:eastAsiaTheme="minorEastAsia"/>
          <w:b/>
          <w:bCs/>
          <w:color w:val="FF0000"/>
          <w:sz w:val="24"/>
        </w:rPr>
        <w:t>节能监测技术通则</w:t>
      </w:r>
      <w:r>
        <w:rPr>
          <w:rFonts w:hint="eastAsia" w:asciiTheme="minorEastAsia" w:hAnsiTheme="minorEastAsia" w:eastAsiaTheme="minorEastAsia"/>
          <w:b/>
          <w:bCs/>
          <w:color w:val="FF0000"/>
          <w:sz w:val="24"/>
          <w:lang w:eastAsia="zh-CN"/>
        </w:rPr>
        <w:t>》</w:t>
      </w:r>
      <w:r>
        <w:rPr>
          <w:rFonts w:hint="eastAsia" w:asciiTheme="minorEastAsia" w:hAnsiTheme="minorEastAsia" w:eastAsiaTheme="minorEastAsia"/>
          <w:b/>
          <w:sz w:val="24"/>
        </w:rPr>
        <w:t>：</w:t>
      </w:r>
    </w:p>
    <w:p>
      <w:pPr>
        <w:spacing w:line="52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该标准用于用能单位对用能设备的能源监测，在标准：GB 17167-2006《用能单位能源计量器具配备与管理通则》当中的推荐性条款里，要求用能设备的设计、安装和使用应满足标准：GB/T 6422 《用能设备能量测试导则》、GB/T 15316 《节能监测技术通则》。在本标准中沿用该条款，因此引用该标准。</w:t>
      </w:r>
    </w:p>
    <w:p>
      <w:pPr>
        <w:spacing w:line="520" w:lineRule="exact"/>
        <w:ind w:firstLine="482"/>
        <w:rPr>
          <w:rFonts w:hint="eastAsia" w:eastAsia="宋体"/>
          <w:b/>
          <w:sz w:val="24"/>
          <w:lang w:eastAsia="zh-CN"/>
        </w:rPr>
      </w:pPr>
      <w:r>
        <w:rPr>
          <w:rFonts w:hint="eastAsia"/>
          <w:b/>
          <w:sz w:val="24"/>
        </w:rPr>
        <w:t>c）</w:t>
      </w:r>
      <w:r>
        <w:rPr>
          <w:rFonts w:hint="eastAsia" w:asciiTheme="minorEastAsia" w:hAnsiTheme="minorEastAsia" w:eastAsiaTheme="minorEastAsia"/>
          <w:b/>
          <w:bCs/>
          <w:color w:val="FF0000"/>
          <w:sz w:val="24"/>
        </w:rPr>
        <w:t>GB 17167</w:t>
      </w:r>
      <w:r>
        <w:rPr>
          <w:rFonts w:hint="eastAsia" w:asciiTheme="minorEastAsia" w:hAnsiTheme="minorEastAsia" w:eastAsiaTheme="minorEastAsia"/>
          <w:color w:val="FF0000"/>
          <w:sz w:val="24"/>
        </w:rPr>
        <w:t>《</w:t>
      </w:r>
      <w:r>
        <w:rPr>
          <w:rFonts w:hint="eastAsia"/>
          <w:b/>
          <w:color w:val="FF0000"/>
          <w:sz w:val="24"/>
        </w:rPr>
        <w:t>用能单位能源计量器具配备和管理通则</w:t>
      </w:r>
      <w:r>
        <w:rPr>
          <w:rFonts w:hint="eastAsia"/>
          <w:b/>
          <w:color w:val="FF0000"/>
          <w:sz w:val="24"/>
          <w:lang w:eastAsia="zh-CN"/>
        </w:rPr>
        <w:t>》</w:t>
      </w:r>
    </w:p>
    <w:p>
      <w:pPr>
        <w:spacing w:line="520" w:lineRule="exact"/>
        <w:ind w:firstLine="480"/>
        <w:rPr>
          <w:sz w:val="24"/>
        </w:rPr>
      </w:pPr>
      <w:r>
        <w:rPr>
          <w:rFonts w:hint="eastAsia"/>
          <w:color w:val="FF0000"/>
          <w:sz w:val="24"/>
        </w:rPr>
        <w:t>该通则是</w:t>
      </w:r>
      <w:r>
        <w:rPr>
          <w:rFonts w:hint="eastAsia"/>
          <w:color w:val="FF0000"/>
          <w:sz w:val="24"/>
          <w:lang w:eastAsia="zh-CN"/>
        </w:rPr>
        <w:t>是强制性标准，</w:t>
      </w:r>
      <w:r>
        <w:rPr>
          <w:rFonts w:hint="eastAsia"/>
          <w:sz w:val="24"/>
          <w:lang w:eastAsia="zh-CN"/>
        </w:rPr>
        <w:t>是</w:t>
      </w:r>
      <w:r>
        <w:rPr>
          <w:rFonts w:hint="eastAsia"/>
          <w:sz w:val="24"/>
        </w:rPr>
        <w:t>制定本标准的主要依据，依据该通则构建本标准能源计量器具的管理的各部分内容。</w:t>
      </w:r>
    </w:p>
    <w:p>
      <w:pPr>
        <w:spacing w:line="520" w:lineRule="exact"/>
        <w:ind w:firstLine="480"/>
        <w:rPr>
          <w:sz w:val="24"/>
        </w:rPr>
      </w:pPr>
    </w:p>
    <w:p>
      <w:pPr>
        <w:spacing w:line="52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3.2.3</w:t>
      </w:r>
      <w:r>
        <w:rPr>
          <w:rFonts w:hint="eastAsia"/>
          <w:b/>
          <w:sz w:val="24"/>
        </w:rPr>
        <w:t>术语和定义</w:t>
      </w:r>
    </w:p>
    <w:p>
      <w:pPr>
        <w:spacing w:line="520" w:lineRule="exact"/>
        <w:ind w:left="420" w:firstLine="0" w:firstLineChars="0"/>
        <w:rPr>
          <w:rFonts w:ascii="黑体" w:hAnsi="黑体" w:eastAsia="黑体"/>
          <w:b/>
          <w:sz w:val="24"/>
        </w:rPr>
      </w:pPr>
      <w:r>
        <w:rPr>
          <w:rFonts w:hint="eastAsia" w:asciiTheme="minorEastAsia" w:hAnsiTheme="minorEastAsia" w:eastAsiaTheme="minorEastAsia"/>
          <w:b/>
          <w:sz w:val="24"/>
        </w:rPr>
        <w:t>（1）</w:t>
      </w:r>
      <w:r>
        <w:rPr>
          <w:rFonts w:hint="eastAsia" w:ascii="黑体" w:hAnsi="黑体" w:eastAsia="黑体"/>
          <w:b/>
          <w:sz w:val="24"/>
        </w:rPr>
        <w:t>铜加工行业用能单位</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spacing w:line="480" w:lineRule="atLeast"/>
              <w:ind w:firstLine="482"/>
              <w:rPr>
                <w:rFonts w:asciiTheme="minorEastAsia" w:hAnsiTheme="minorEastAsia" w:eastAsiaTheme="minorEastAsia"/>
                <w:b/>
                <w:sz w:val="24"/>
              </w:rPr>
            </w:pPr>
            <w:r>
              <w:rPr>
                <w:rFonts w:hint="eastAsia" w:asciiTheme="minorEastAsia" w:hAnsiTheme="minorEastAsia" w:eastAsiaTheme="minorEastAsia"/>
                <w:b/>
                <w:sz w:val="24"/>
              </w:rPr>
              <w:t>铜加工行业用能单位 e</w:t>
            </w:r>
            <w:r>
              <w:rPr>
                <w:rFonts w:asciiTheme="minorEastAsia" w:hAnsiTheme="minorEastAsia" w:eastAsiaTheme="minorEastAsia"/>
                <w:b/>
                <w:sz w:val="24"/>
              </w:rPr>
              <w:t>nergy unit for copper processing industry</w:t>
            </w:r>
          </w:p>
          <w:p>
            <w:pPr>
              <w:spacing w:line="480" w:lineRule="atLeast"/>
              <w:ind w:firstLine="480"/>
              <w:rPr>
                <w:rFonts w:asciiTheme="minorEastAsia" w:hAnsiTheme="minorEastAsia" w:eastAsiaTheme="minorEastAsia"/>
                <w:sz w:val="24"/>
              </w:rPr>
            </w:pPr>
            <w:r>
              <w:rPr>
                <w:rFonts w:hint="eastAsia" w:asciiTheme="minorEastAsia" w:hAnsiTheme="minorEastAsia" w:eastAsiaTheme="minorEastAsia"/>
                <w:sz w:val="24"/>
              </w:rPr>
              <w:t>铜加工行业中具有独立法人地位的单位和具有独立结算能力的单位。以下简称用能单位。</w:t>
            </w:r>
          </w:p>
        </w:tc>
      </w:tr>
    </w:tbl>
    <w:p>
      <w:pPr>
        <w:spacing w:line="48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“用能单位”的确认来源于：</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在GB17167-2006 《 用能单位能源计量器具配备和管理通则》中，虽然没有给出用能单位的定义，但是在适用范围中对用能单位进行了说明，即“企业、事业单位、行政机关、社会团体等独立核算的用能单位”，并给出了“次级用能单位”的定义，即“用能单位下属的能源核算单位”。</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在《GB 17167 -2006 （用能单位能源计量器具配备和管理通则）实施指南》 中关于标准的适用范围指出：作为法人用能单位，显然属于本标准的规范范围。法人用能单位包括企业法人用能单位、机关法人用能单位、事业法人用能单位和社会团体法人用能单位。</w:t>
      </w:r>
    </w:p>
    <w:p>
      <w:pPr>
        <w:spacing w:line="480" w:lineRule="exact"/>
        <w:ind w:left="420" w:firstLine="480"/>
        <w:rPr>
          <w:rFonts w:asciiTheme="minorEastAsia" w:hAnsiTheme="minorEastAsia" w:eastAsiaTheme="minorEastAsia"/>
          <w:sz w:val="24"/>
        </w:rPr>
      </w:pPr>
      <w:r>
        <w:rPr>
          <w:rFonts w:asciiTheme="minorEastAsia" w:hAnsiTheme="minorEastAsia" w:eastAsiaTheme="minorEastAsia"/>
          <w:sz w:val="24"/>
        </w:rPr>
        <w:t>因此本标准将</w:t>
      </w:r>
      <w:r>
        <w:rPr>
          <w:rFonts w:hint="eastAsia" w:asciiTheme="minorEastAsia" w:hAnsiTheme="minorEastAsia" w:eastAsiaTheme="minorEastAsia"/>
          <w:sz w:val="24"/>
        </w:rPr>
        <w:t>“铜加工用能单位”定义为：铜加工行业中具有独立法人地位的单位和具有独立结算能力的单位。</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（2）用能单位分级计量</w:t>
      </w:r>
    </w:p>
    <w:tbl>
      <w:tblPr>
        <w:tblStyle w:val="9"/>
        <w:tblW w:w="961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9617" w:type="dxa"/>
          </w:tcPr>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用能单位分级计量 Grading measurement of energy-use units</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用能单位为了便于能源计量管理将不同用能单位进行分级计量管理。</w:t>
            </w:r>
          </w:p>
        </w:tc>
      </w:tr>
    </w:tbl>
    <w:p>
      <w:pPr>
        <w:spacing w:line="460" w:lineRule="exact"/>
        <w:ind w:left="420" w:firstLine="480"/>
        <w:rPr>
          <w:rFonts w:asciiTheme="minorEastAsia" w:hAnsiTheme="minorEastAsia" w:eastAsiaTheme="minorEastAsia"/>
          <w:sz w:val="24"/>
        </w:rPr>
      </w:pPr>
      <w:r>
        <w:rPr>
          <w:rFonts w:asciiTheme="minorEastAsia" w:hAnsiTheme="minorEastAsia" w:eastAsiaTheme="minorEastAsia"/>
          <w:sz w:val="24"/>
        </w:rPr>
        <w:t>标准</w:t>
      </w:r>
      <w:r>
        <w:rPr>
          <w:rFonts w:hint="eastAsia" w:asciiTheme="minorEastAsia" w:hAnsiTheme="minorEastAsia" w:eastAsiaTheme="minorEastAsia"/>
          <w:sz w:val="24"/>
        </w:rPr>
        <w:t>：</w:t>
      </w:r>
      <w:r>
        <w:rPr>
          <w:rFonts w:asciiTheme="minorEastAsia" w:hAnsiTheme="minorEastAsia" w:eastAsiaTheme="minorEastAsia"/>
          <w:sz w:val="24"/>
        </w:rPr>
        <w:t>GB 17167</w:t>
      </w:r>
      <w:r>
        <w:rPr>
          <w:rFonts w:hint="eastAsia" w:asciiTheme="minorEastAsia" w:hAnsiTheme="minorEastAsia" w:eastAsiaTheme="minorEastAsia"/>
          <w:sz w:val="24"/>
        </w:rPr>
        <w:t>《 用能单位能源计量器具配备和管理通则》中，在标准中对“次级用能单位”进行明确，并在标准中多次提到“次级用能单位”，根据标准内容可以得出结论：用能单位的能源管理是“分级管理”。</w:t>
      </w:r>
    </w:p>
    <w:p>
      <w:pPr>
        <w:spacing w:line="460" w:lineRule="exact"/>
        <w:ind w:left="420" w:firstLine="480"/>
        <w:rPr>
          <w:rFonts w:asciiTheme="minorEastAsia" w:hAnsiTheme="minorEastAsia" w:eastAsiaTheme="minorEastAsia"/>
          <w:sz w:val="24"/>
        </w:rPr>
      </w:pPr>
      <w:r>
        <w:rPr>
          <w:rFonts w:asciiTheme="minorEastAsia" w:hAnsiTheme="minorEastAsia" w:eastAsiaTheme="minorEastAsia"/>
          <w:sz w:val="24"/>
        </w:rPr>
        <w:t>根据标准起草单位的调研</w:t>
      </w:r>
      <w:r>
        <w:rPr>
          <w:rFonts w:hint="eastAsia" w:asciiTheme="minorEastAsia" w:hAnsiTheme="minorEastAsia" w:eastAsiaTheme="minorEastAsia"/>
          <w:sz w:val="24"/>
        </w:rPr>
        <w:t>，</w:t>
      </w:r>
      <w:r>
        <w:rPr>
          <w:rFonts w:asciiTheme="minorEastAsia" w:hAnsiTheme="minorEastAsia" w:eastAsiaTheme="minorEastAsia"/>
          <w:sz w:val="24"/>
        </w:rPr>
        <w:t>铜加工行业的企业的用能计量管理</w:t>
      </w:r>
      <w:r>
        <w:rPr>
          <w:rFonts w:hint="eastAsia" w:asciiTheme="minorEastAsia" w:hAnsiTheme="minorEastAsia" w:eastAsiaTheme="minorEastAsia"/>
          <w:sz w:val="24"/>
        </w:rPr>
        <w:t>，</w:t>
      </w:r>
      <w:r>
        <w:rPr>
          <w:rFonts w:asciiTheme="minorEastAsia" w:hAnsiTheme="minorEastAsia" w:eastAsiaTheme="minorEastAsia"/>
          <w:sz w:val="24"/>
        </w:rPr>
        <w:t>同样是按照分级进行管理</w:t>
      </w:r>
      <w:r>
        <w:rPr>
          <w:rFonts w:hint="eastAsia" w:asciiTheme="minorEastAsia" w:hAnsiTheme="minorEastAsia" w:eastAsiaTheme="minorEastAsia"/>
          <w:sz w:val="24"/>
        </w:rPr>
        <w:t>，</w:t>
      </w:r>
      <w:r>
        <w:rPr>
          <w:rFonts w:asciiTheme="minorEastAsia" w:hAnsiTheme="minorEastAsia" w:eastAsiaTheme="minorEastAsia"/>
          <w:sz w:val="24"/>
        </w:rPr>
        <w:t>为了在标准在实施过程当中更好的实施</w:t>
      </w:r>
      <w:r>
        <w:rPr>
          <w:rFonts w:hint="eastAsia" w:asciiTheme="minorEastAsia" w:hAnsiTheme="minorEastAsia" w:eastAsiaTheme="minorEastAsia"/>
          <w:sz w:val="24"/>
        </w:rPr>
        <w:t>，将“用能单位”计量管理进行分级管理列入术语和定义当中。同时与标准</w:t>
      </w:r>
      <w:r>
        <w:rPr>
          <w:rFonts w:asciiTheme="minorEastAsia" w:hAnsiTheme="minorEastAsia" w:eastAsiaTheme="minorEastAsia"/>
          <w:sz w:val="24"/>
        </w:rPr>
        <w:t>GB17167内容相互衔接</w:t>
      </w:r>
      <w:r>
        <w:rPr>
          <w:rFonts w:hint="eastAsia" w:asciiTheme="minorEastAsia" w:hAnsiTheme="minorEastAsia" w:eastAsiaTheme="minorEastAsia"/>
          <w:sz w:val="24"/>
        </w:rPr>
        <w:t>。</w:t>
      </w:r>
    </w:p>
    <w:p>
      <w:pPr>
        <w:spacing w:line="480" w:lineRule="exact"/>
        <w:ind w:left="420" w:firstLine="0" w:firstLineChars="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（3）一级能源计量、二</w:t>
      </w:r>
      <w:r>
        <w:rPr>
          <w:rFonts w:asciiTheme="minorEastAsia" w:hAnsiTheme="minorEastAsia" w:eastAsiaTheme="minorEastAsia"/>
          <w:b/>
          <w:sz w:val="24"/>
        </w:rPr>
        <w:t>级能源计量</w:t>
      </w:r>
      <w:r>
        <w:rPr>
          <w:rFonts w:hint="eastAsia" w:asciiTheme="minorEastAsia" w:hAnsiTheme="minorEastAsia" w:eastAsiaTheme="minorEastAsia"/>
          <w:b/>
          <w:sz w:val="24"/>
        </w:rPr>
        <w:t>、三级能源计量</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spacing w:line="440" w:lineRule="exact"/>
              <w:ind w:firstLine="480"/>
              <w:rPr>
                <w:rFonts w:asciiTheme="minorEastAsia" w:hAnsiTheme="minorEastAsia" w:eastAsiaTheme="minorEastAsia"/>
                <w:sz w:val="24"/>
              </w:rPr>
            </w:pPr>
            <w:r>
              <w:rPr>
                <w:rFonts w:hint="eastAsia" w:asciiTheme="minorEastAsia" w:hAnsiTheme="minorEastAsia" w:eastAsiaTheme="minorEastAsia"/>
                <w:sz w:val="24"/>
              </w:rPr>
              <w:t>一级能源计量 first-level energy metering</w:t>
            </w:r>
          </w:p>
          <w:p>
            <w:pPr>
              <w:spacing w:line="440" w:lineRule="exact"/>
              <w:ind w:firstLine="480"/>
              <w:rPr>
                <w:rFonts w:asciiTheme="minorEastAsia" w:hAnsiTheme="minorEastAsia" w:eastAsiaTheme="minorEastAsia"/>
                <w:color w:val="00B0F0"/>
                <w:sz w:val="24"/>
              </w:rPr>
            </w:pPr>
            <w:r>
              <w:rPr>
                <w:rFonts w:hint="eastAsia" w:asciiTheme="minorEastAsia" w:hAnsiTheme="minorEastAsia" w:eastAsiaTheme="minorEastAsia"/>
                <w:color w:val="00B0F0"/>
                <w:sz w:val="24"/>
              </w:rPr>
              <w:t>进出用能单位进行结算的能源计量称为一级能源计量</w:t>
            </w:r>
          </w:p>
          <w:p>
            <w:pPr>
              <w:spacing w:line="440" w:lineRule="exact"/>
              <w:ind w:firstLine="480"/>
              <w:rPr>
                <w:rFonts w:asciiTheme="minorEastAsia" w:hAnsiTheme="minorEastAsia" w:eastAsiaTheme="minorEastAsia"/>
                <w:sz w:val="24"/>
              </w:rPr>
            </w:pPr>
            <w:r>
              <w:rPr>
                <w:rFonts w:hint="eastAsia" w:asciiTheme="minorEastAsia" w:hAnsiTheme="minorEastAsia" w:eastAsiaTheme="minorEastAsia"/>
                <w:sz w:val="24"/>
              </w:rPr>
              <w:t>二级能源计量 level Two energy metering</w:t>
            </w:r>
          </w:p>
          <w:p>
            <w:pPr>
              <w:spacing w:line="440" w:lineRule="exact"/>
              <w:ind w:firstLine="480"/>
              <w:rPr>
                <w:rFonts w:asciiTheme="minorEastAsia" w:hAnsiTheme="minorEastAsia" w:eastAsiaTheme="minorEastAsia"/>
                <w:color w:val="00B0F0"/>
                <w:sz w:val="24"/>
              </w:rPr>
            </w:pPr>
            <w:r>
              <w:rPr>
                <w:rFonts w:hint="eastAsia" w:asciiTheme="minorEastAsia" w:hAnsiTheme="minorEastAsia" w:eastAsiaTheme="minorEastAsia"/>
                <w:color w:val="00B0F0"/>
                <w:sz w:val="24"/>
              </w:rPr>
              <w:t>用能单位对内部独立核算的单位间进行成本或消耗结算的能源计量称为二级能源计量。即用能单位次级用能单位能源计量。</w:t>
            </w:r>
          </w:p>
          <w:p>
            <w:pPr>
              <w:spacing w:line="440" w:lineRule="exact"/>
              <w:ind w:firstLine="480"/>
              <w:rPr>
                <w:rFonts w:asciiTheme="minorEastAsia" w:hAnsiTheme="minorEastAsia" w:eastAsiaTheme="minorEastAsia"/>
                <w:sz w:val="24"/>
              </w:rPr>
            </w:pPr>
            <w:r>
              <w:rPr>
                <w:rFonts w:hint="eastAsia" w:asciiTheme="minorEastAsia" w:hAnsiTheme="minorEastAsia" w:eastAsiaTheme="minorEastAsia"/>
                <w:sz w:val="24"/>
              </w:rPr>
              <w:t>三级能源计量 level Three energy metering</w:t>
            </w:r>
          </w:p>
          <w:p>
            <w:pPr>
              <w:spacing w:line="440" w:lineRule="exact"/>
              <w:ind w:firstLine="480"/>
              <w:rPr>
                <w:rFonts w:asciiTheme="minorEastAsia" w:hAnsiTheme="minorEastAsia" w:eastAsiaTheme="minorEastAsia"/>
                <w:b/>
                <w:sz w:val="24"/>
              </w:rPr>
            </w:pPr>
            <w:r>
              <w:rPr>
                <w:rFonts w:hint="eastAsia" w:asciiTheme="minorEastAsia" w:hAnsiTheme="minorEastAsia" w:eastAsiaTheme="minorEastAsia"/>
                <w:color w:val="00B0F0"/>
                <w:sz w:val="24"/>
              </w:rPr>
              <w:t>独立核算的单位对内部下级单位进行核算的能源计量称为三级能源计量，通常是指：车间、装置、系统、工序、工段、主要用能设备。</w:t>
            </w:r>
          </w:p>
        </w:tc>
      </w:tr>
    </w:tbl>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（4）载能工质</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载能工质  energy-consumed medium</w:t>
            </w:r>
          </w:p>
          <w:p>
            <w:pPr>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在生产过程中所消耗的不作为原料使用、也不进入产品，在生产或制取时需要直接消耗能源的工作物质。如蒸汽、热水等。</w:t>
            </w:r>
          </w:p>
          <w:p>
            <w:pPr>
              <w:spacing w:line="400" w:lineRule="exact"/>
              <w:ind w:firstLine="480"/>
              <w:rPr>
                <w:rFonts w:asciiTheme="minorEastAsia" w:hAnsiTheme="minorEastAsia" w:eastAsiaTheme="minorEastAsia"/>
                <w:sz w:val="24"/>
              </w:rPr>
            </w:pPr>
            <w:r>
              <w:rPr>
                <w:rFonts w:hint="eastAsia" w:asciiTheme="minorEastAsia" w:hAnsiTheme="minorEastAsia" w:eastAsiaTheme="minorEastAsia"/>
                <w:color w:val="00B0F0"/>
                <w:sz w:val="24"/>
              </w:rPr>
              <w:t>引自：GB / T 2589 《 综合能耗计算通则》</w:t>
            </w:r>
          </w:p>
        </w:tc>
      </w:tr>
    </w:tbl>
    <w:p>
      <w:pPr>
        <w:spacing w:line="46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在标准中：对“载能工质”采用的定义引自GB / T 2589 《 综合能耗计算通则》中“耗能工质”的定义。载能工质也称为耗能工质。</w:t>
      </w:r>
    </w:p>
    <w:p>
      <w:pPr>
        <w:spacing w:line="46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载能工质本身不是能源，但取得它必须消耗能源，是生产和取得过程需要直接消耗较多能源的工质。载能工质主要包括：水（新水、软水、除氧水）、气（压缩空气、氧气、氮气、二氧化碳气、氢气、氯气、氢气等），乙炔、电石等。为了便于标准使用单位的使用，在标准编制过程，要对该名称内容进行确定。</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（5）能源计量检测点、能源计量检测数据、能源计量结算数据</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ind w:firstLine="482"/>
              <w:rPr>
                <w:rFonts w:asciiTheme="minorEastAsia" w:hAnsiTheme="minorEastAsia" w:eastAsiaTheme="minorEastAsia"/>
                <w:b/>
                <w:sz w:val="24"/>
              </w:rPr>
            </w:pPr>
            <w:r>
              <w:rPr>
                <w:rFonts w:asciiTheme="minorEastAsia" w:hAnsiTheme="minorEastAsia" w:eastAsiaTheme="minorEastAsia"/>
                <w:b/>
                <w:sz w:val="24"/>
              </w:rPr>
              <w:t>能源计量检测点</w:t>
            </w:r>
            <w:r>
              <w:rPr>
                <w:rFonts w:hint="eastAsia" w:asciiTheme="minorEastAsia" w:hAnsiTheme="minorEastAsia" w:eastAsiaTheme="minorEastAsia"/>
                <w:b/>
                <w:sz w:val="24"/>
              </w:rPr>
              <w:t xml:space="preserve"> point of </w:t>
            </w:r>
            <w:r>
              <w:rPr>
                <w:rFonts w:asciiTheme="minorEastAsia" w:hAnsiTheme="minorEastAsia" w:eastAsiaTheme="minorEastAsia"/>
                <w:b/>
                <w:sz w:val="24"/>
              </w:rPr>
              <w:t>energy</w:t>
            </w:r>
            <w:r>
              <w:rPr>
                <w:rFonts w:hint="eastAsia" w:asciiTheme="minorEastAsia" w:hAnsiTheme="minorEastAsia" w:eastAsiaTheme="minorEastAsia"/>
                <w:b/>
                <w:sz w:val="24"/>
              </w:rPr>
              <w:t xml:space="preserve"> measurement</w:t>
            </w:r>
          </w:p>
          <w:p>
            <w:pPr>
              <w:ind w:firstLine="480"/>
              <w:rPr>
                <w:rFonts w:asciiTheme="minorEastAsia" w:hAnsiTheme="minorEastAsia" w:eastAsiaTheme="minorEastAsia"/>
                <w:sz w:val="24"/>
              </w:rPr>
            </w:pPr>
            <w:r>
              <w:rPr>
                <w:rFonts w:hint="eastAsia" w:asciiTheme="minorEastAsia" w:hAnsiTheme="minorEastAsia" w:eastAsiaTheme="minorEastAsia"/>
                <w:sz w:val="24"/>
              </w:rPr>
              <w:t>确定计量能源及载能工质对象的检测位置</w:t>
            </w:r>
          </w:p>
          <w:p>
            <w:pPr>
              <w:ind w:firstLine="482"/>
              <w:rPr>
                <w:rFonts w:ascii="黑体" w:hAnsi="黑体" w:eastAsia="黑体"/>
                <w:b/>
                <w:sz w:val="24"/>
              </w:rPr>
            </w:pPr>
            <w:r>
              <w:rPr>
                <w:rFonts w:hint="eastAsia" w:ascii="黑体" w:hAnsi="黑体" w:eastAsia="黑体"/>
                <w:b/>
                <w:sz w:val="24"/>
              </w:rPr>
              <w:t xml:space="preserve">能源计量检测数据 data of </w:t>
            </w:r>
            <w:r>
              <w:rPr>
                <w:rFonts w:ascii="黑体" w:hAnsi="黑体" w:eastAsia="黑体"/>
                <w:b/>
                <w:sz w:val="24"/>
              </w:rPr>
              <w:t>energy</w:t>
            </w:r>
            <w:r>
              <w:rPr>
                <w:rFonts w:hint="eastAsia" w:ascii="黑体" w:hAnsi="黑体" w:eastAsia="黑体"/>
                <w:b/>
                <w:sz w:val="24"/>
              </w:rPr>
              <w:t xml:space="preserve"> measurement</w:t>
            </w:r>
          </w:p>
          <w:p>
            <w:pPr>
              <w:ind w:firstLine="480"/>
              <w:rPr>
                <w:rFonts w:ascii="黑体" w:hAnsi="黑体" w:eastAsia="黑体"/>
                <w:b/>
                <w:sz w:val="24"/>
              </w:rPr>
            </w:pPr>
            <w:r>
              <w:rPr>
                <w:rFonts w:hint="eastAsia" w:asciiTheme="minorEastAsia" w:hAnsiTheme="minorEastAsia" w:eastAsiaTheme="minorEastAsia"/>
                <w:sz w:val="24"/>
              </w:rPr>
              <w:t>通过计量器具检测所获得的能源及载能工质数据</w:t>
            </w:r>
          </w:p>
          <w:p>
            <w:pPr>
              <w:ind w:firstLine="480"/>
              <w:rPr>
                <w:rFonts w:asciiTheme="minorEastAsia" w:hAnsiTheme="minorEastAsia" w:eastAsiaTheme="minorEastAsia"/>
                <w:sz w:val="24"/>
              </w:rPr>
            </w:pPr>
            <w:r>
              <w:rPr>
                <w:rFonts w:hint="eastAsia" w:asciiTheme="minorEastAsia" w:hAnsiTheme="minorEastAsia" w:eastAsiaTheme="minorEastAsia"/>
                <w:sz w:val="24"/>
              </w:rPr>
              <w:t>能源计量结算数据 settlement data of energy measurement</w:t>
            </w:r>
          </w:p>
          <w:p>
            <w:pPr>
              <w:ind w:firstLine="480"/>
              <w:rPr>
                <w:rFonts w:asciiTheme="minorEastAsia" w:hAnsiTheme="minorEastAsia" w:eastAsiaTheme="minorEastAsia"/>
                <w:szCs w:val="21"/>
              </w:rPr>
            </w:pPr>
            <w:r>
              <w:rPr>
                <w:rFonts w:hint="eastAsia" w:asciiTheme="minorEastAsia" w:hAnsiTheme="minorEastAsia" w:eastAsiaTheme="minorEastAsia"/>
                <w:sz w:val="24"/>
              </w:rPr>
              <w:t>用于企业财务、统计和成本管理的能源及载能工质计量检测数据</w:t>
            </w:r>
          </w:p>
        </w:tc>
      </w:tr>
    </w:tbl>
    <w:p>
      <w:pPr>
        <w:spacing w:line="480" w:lineRule="exact"/>
        <w:ind w:left="420" w:firstLine="0" w:firstLineChars="0"/>
        <w:rPr>
          <w:rFonts w:asciiTheme="minorEastAsia" w:hAnsiTheme="minorEastAsia" w:eastAsiaTheme="minorEastAsia"/>
          <w:sz w:val="24"/>
        </w:rPr>
      </w:pPr>
      <w:r>
        <w:rPr>
          <w:rFonts w:asciiTheme="minorEastAsia" w:hAnsiTheme="minorEastAsia" w:eastAsiaTheme="minorEastAsia"/>
          <w:sz w:val="24"/>
        </w:rPr>
        <w:t>为了对标准中所涉及的内容进行明确和定义</w:t>
      </w:r>
      <w:r>
        <w:rPr>
          <w:rFonts w:hint="eastAsia" w:asciiTheme="minorEastAsia" w:hAnsiTheme="minorEastAsia" w:eastAsiaTheme="minorEastAsia"/>
          <w:sz w:val="24"/>
        </w:rPr>
        <w:t>，</w:t>
      </w:r>
      <w:r>
        <w:rPr>
          <w:rFonts w:asciiTheme="minorEastAsia" w:hAnsiTheme="minorEastAsia" w:eastAsiaTheme="minorEastAsia"/>
          <w:sz w:val="24"/>
        </w:rPr>
        <w:t>在这里对上述三项内容进行定义和明确</w:t>
      </w:r>
      <w:r>
        <w:rPr>
          <w:rFonts w:hint="eastAsia" w:asciiTheme="minorEastAsia" w:hAnsiTheme="minorEastAsia" w:eastAsiaTheme="minorEastAsia"/>
          <w:sz w:val="24"/>
        </w:rPr>
        <w:t>。</w:t>
      </w:r>
    </w:p>
    <w:p>
      <w:pPr>
        <w:spacing w:line="480" w:lineRule="exact"/>
        <w:ind w:left="420" w:firstLine="0" w:firstLineChars="0"/>
        <w:rPr>
          <w:b/>
          <w:sz w:val="24"/>
        </w:rPr>
      </w:pPr>
      <w:r>
        <w:rPr>
          <w:rFonts w:hint="eastAsia" w:asciiTheme="minorEastAsia" w:hAnsiTheme="minorEastAsia" w:eastAsiaTheme="minorEastAsia"/>
          <w:b/>
          <w:sz w:val="24"/>
        </w:rPr>
        <w:t>3.2.4</w:t>
      </w:r>
      <w:r>
        <w:rPr>
          <w:rFonts w:hint="eastAsia"/>
          <w:b/>
          <w:sz w:val="24"/>
        </w:rPr>
        <w:t>能源计量器具的配备要求</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3.2.4.1能源计量范围与管理</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（1）能源计量的种类：</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4.1.1 能源计量的种类</w:t>
            </w:r>
          </w:p>
          <w:p>
            <w:pPr>
              <w:spacing w:line="480" w:lineRule="exact"/>
              <w:ind w:firstLine="480"/>
              <w:rPr>
                <w:rFonts w:asciiTheme="minorEastAsia" w:hAnsiTheme="minorEastAsia" w:eastAsiaTheme="minorEastAsia"/>
                <w:b/>
                <w:sz w:val="24"/>
              </w:rPr>
            </w:pPr>
            <w:r>
              <w:rPr>
                <w:rFonts w:hint="eastAsia" w:asciiTheme="minorEastAsia" w:hAnsiTheme="minorEastAsia" w:eastAsiaTheme="minorEastAsia"/>
                <w:sz w:val="24"/>
              </w:rPr>
              <w:t>本标准所称能源，指煤炭、原油、天然气、电力、焦炭、煤气、热力等和其他直接或者通过加工、转换、回收而取得有用能的各种资源。</w:t>
            </w:r>
          </w:p>
        </w:tc>
      </w:tr>
    </w:tbl>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在标准规定了能源计量的种类可包括：煤炭、原油、天然气、水、焦炭、煤气、电能、热能、成品油、液化石油气、生物质能和其他直接或者通过加工、转换而取得有用能的各种资源。按能源分类计量要求，本标准对能源的分类如下：</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a）电能；</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b）固态能源，包括：原煤、洗精煤、其他洗煤、煤制品（型煤、煤粉）、焦炭、其他焦化产品、其他燃料（煤研石、生物质能、工业废料、城市固体垃圾）等；</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c）液态能源，包括：原油、成品油（汽油、煤油、柴油）、燃料油（重油、渣油）、水煤浆等；</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d）气态能源，包括：天然气、液化石油气、煤气、炼厂干气等；</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e）载能工质，包括：蒸汽、新水、软水、除氧水、压缩空气、鼓风、氧气、氮气、二氧化碳气、乙炔、电石等；</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f）可回收利用的余能。</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（2）能源计量范围</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4.1.2 能源计量范围</w:t>
            </w:r>
          </w:p>
          <w:p>
            <w:pPr>
              <w:spacing w:line="400" w:lineRule="exact"/>
              <w:ind w:firstLine="420"/>
              <w:contextualSpacing/>
              <w:rPr>
                <w:rFonts w:asciiTheme="minorEastAsia" w:hAnsiTheme="minorEastAsia" w:eastAsiaTheme="minorEastAsia"/>
                <w:szCs w:val="21"/>
              </w:rPr>
            </w:pPr>
            <w:r>
              <w:rPr>
                <w:rFonts w:hint="eastAsia" w:asciiTheme="minorEastAsia" w:hAnsiTheme="minorEastAsia" w:eastAsiaTheme="minorEastAsia"/>
                <w:szCs w:val="21"/>
              </w:rPr>
              <w:t>a）输入一级能源计量单位、二级能源计量单位、三级能源计量单位的能源及载能工质；</w:t>
            </w:r>
          </w:p>
          <w:p>
            <w:pPr>
              <w:spacing w:line="400" w:lineRule="exact"/>
              <w:ind w:firstLine="420"/>
              <w:contextualSpacing/>
              <w:rPr>
                <w:rFonts w:asciiTheme="minorEastAsia" w:hAnsiTheme="minorEastAsia" w:eastAsiaTheme="minorEastAsia"/>
                <w:szCs w:val="21"/>
              </w:rPr>
            </w:pPr>
            <w:r>
              <w:rPr>
                <w:rFonts w:hint="eastAsia" w:asciiTheme="minorEastAsia" w:hAnsiTheme="minorEastAsia" w:eastAsiaTheme="minorEastAsia"/>
                <w:szCs w:val="21"/>
              </w:rPr>
              <w:t>b）输出一级能源计量单位、二级能源计量单位、三级能源计量单位的能源及载能工质；</w:t>
            </w:r>
          </w:p>
          <w:p>
            <w:pPr>
              <w:spacing w:line="400" w:lineRule="exact"/>
              <w:ind w:firstLine="420"/>
              <w:contextualSpacing/>
              <w:rPr>
                <w:rFonts w:asciiTheme="minorEastAsia" w:hAnsiTheme="minorEastAsia" w:eastAsiaTheme="minorEastAsia"/>
                <w:szCs w:val="21"/>
              </w:rPr>
            </w:pPr>
            <w:r>
              <w:rPr>
                <w:rFonts w:hint="eastAsia" w:asciiTheme="minorEastAsia" w:hAnsiTheme="minorEastAsia" w:eastAsiaTheme="minorEastAsia"/>
                <w:szCs w:val="21"/>
              </w:rPr>
              <w:t>c）用能一级能源计量单位、二级能源计量单位、三级能源计量单位使用的能源及载能工质；</w:t>
            </w:r>
          </w:p>
          <w:p>
            <w:pPr>
              <w:spacing w:line="400" w:lineRule="exact"/>
              <w:ind w:firstLine="420"/>
              <w:contextualSpacing/>
              <w:rPr>
                <w:rFonts w:asciiTheme="minorEastAsia" w:hAnsiTheme="minorEastAsia" w:eastAsiaTheme="minorEastAsia"/>
                <w:szCs w:val="21"/>
              </w:rPr>
            </w:pPr>
            <w:r>
              <w:rPr>
                <w:rFonts w:hint="eastAsia" w:asciiTheme="minorEastAsia" w:hAnsiTheme="minorEastAsia" w:eastAsiaTheme="minorEastAsia"/>
                <w:szCs w:val="21"/>
              </w:rPr>
              <w:t>d）用能一级能源计量单位、二级能源计量单位、三级能源计量单位自产的能源及载能工质；</w:t>
            </w:r>
          </w:p>
          <w:p>
            <w:pPr>
              <w:spacing w:line="400" w:lineRule="exact"/>
              <w:ind w:firstLine="420"/>
              <w:contextualSpacing/>
              <w:rPr>
                <w:rFonts w:asciiTheme="minorEastAsia" w:hAnsiTheme="minorEastAsia" w:eastAsiaTheme="minorEastAsia"/>
                <w:szCs w:val="21"/>
              </w:rPr>
            </w:pPr>
            <w:r>
              <w:rPr>
                <w:rFonts w:hint="eastAsia" w:asciiTheme="minorEastAsia" w:hAnsiTheme="minorEastAsia" w:eastAsiaTheme="minorEastAsia"/>
                <w:szCs w:val="21"/>
              </w:rPr>
              <w:t>e）用能一级能源计量单位、二级能源计量单位、三级能源计量单位回收利用的余能资源。</w:t>
            </w:r>
          </w:p>
        </w:tc>
      </w:tr>
    </w:tbl>
    <w:p>
      <w:pPr>
        <w:spacing w:line="62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标准规定了能源计量的对象：</w:t>
      </w:r>
    </w:p>
    <w:p>
      <w:pPr>
        <w:spacing w:line="62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a）输人、输出用能单位、二级用能单位、三级用能单位、重点用能设备；</w:t>
      </w:r>
    </w:p>
    <w:p>
      <w:pPr>
        <w:spacing w:line="62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b）消耗的能源及载能工质；</w:t>
      </w:r>
    </w:p>
    <w:p>
      <w:pPr>
        <w:spacing w:line="62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c）自产的能源与载能式质；</w:t>
      </w:r>
    </w:p>
    <w:p>
      <w:pPr>
        <w:spacing w:line="620" w:lineRule="exact"/>
        <w:ind w:left="420" w:firstLine="0" w:firstLineChars="0"/>
        <w:rPr>
          <w:rFonts w:asciiTheme="minorEastAsia" w:hAnsiTheme="minorEastAsia" w:eastAsiaTheme="minorEastAsia"/>
          <w:sz w:val="24"/>
        </w:rPr>
      </w:pPr>
      <w:r>
        <w:rPr>
          <w:rFonts w:hint="eastAsia" w:asciiTheme="minorEastAsia" w:hAnsiTheme="minorEastAsia" w:eastAsiaTheme="minorEastAsia"/>
          <w:sz w:val="24"/>
        </w:rPr>
        <w:t>d）可回收利用的余能资源。</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（3）能源计量的管理</w:t>
      </w:r>
    </w:p>
    <w:tbl>
      <w:tblPr>
        <w:tblStyle w:val="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2" w:type="dxa"/>
          </w:tcPr>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4.1.3 能源计量的管理</w:t>
            </w:r>
          </w:p>
          <w:p>
            <w:pPr>
              <w:spacing w:line="480" w:lineRule="exact"/>
              <w:ind w:firstLine="480"/>
              <w:rPr>
                <w:rFonts w:asciiTheme="minorEastAsia" w:hAnsiTheme="minorEastAsia" w:eastAsiaTheme="minorEastAsia"/>
                <w:sz w:val="24"/>
              </w:rPr>
            </w:pPr>
            <w:r>
              <w:rPr>
                <w:rFonts w:hint="eastAsia" w:asciiTheme="minorEastAsia" w:hAnsiTheme="minorEastAsia" w:eastAsiaTheme="minorEastAsia"/>
                <w:sz w:val="24"/>
              </w:rPr>
              <w:t>用能单位对能源计量应根据用能单位的实际情况进行分级管理，分级管理的要求是：合理、高效、准确，便于计量数据收集、整理、分析工作。</w:t>
            </w:r>
          </w:p>
        </w:tc>
      </w:tr>
    </w:tbl>
    <w:p>
      <w:pPr>
        <w:spacing w:line="480" w:lineRule="exact"/>
        <w:ind w:left="420" w:firstLine="480"/>
        <w:rPr>
          <w:rFonts w:asciiTheme="minorEastAsia" w:hAnsiTheme="minorEastAsia" w:eastAsiaTheme="minorEastAsia"/>
          <w:sz w:val="24"/>
        </w:rPr>
      </w:pPr>
      <w:r>
        <w:rPr>
          <w:rFonts w:asciiTheme="minorEastAsia" w:hAnsiTheme="minorEastAsia" w:eastAsiaTheme="minorEastAsia"/>
          <w:sz w:val="24"/>
        </w:rPr>
        <w:t>铜加工行业中企业的规模大小不均</w:t>
      </w:r>
      <w:r>
        <w:rPr>
          <w:rFonts w:hint="eastAsia" w:asciiTheme="minorEastAsia" w:hAnsiTheme="minorEastAsia" w:eastAsiaTheme="minorEastAsia"/>
          <w:sz w:val="24"/>
        </w:rPr>
        <w:t>，</w:t>
      </w:r>
      <w:r>
        <w:rPr>
          <w:rFonts w:asciiTheme="minorEastAsia" w:hAnsiTheme="minorEastAsia" w:eastAsiaTheme="minorEastAsia"/>
          <w:sz w:val="24"/>
        </w:rPr>
        <w:t>为了便于用能单位的计量工作开展和统计</w:t>
      </w:r>
      <w:r>
        <w:rPr>
          <w:rFonts w:hint="eastAsia" w:asciiTheme="minorEastAsia" w:hAnsiTheme="minorEastAsia" w:eastAsiaTheme="minorEastAsia"/>
          <w:sz w:val="24"/>
        </w:rPr>
        <w:t>，</w:t>
      </w:r>
      <w:r>
        <w:rPr>
          <w:rFonts w:asciiTheme="minorEastAsia" w:hAnsiTheme="minorEastAsia" w:eastAsiaTheme="minorEastAsia"/>
          <w:sz w:val="24"/>
        </w:rPr>
        <w:t>特规定此项内容</w:t>
      </w:r>
      <w:r>
        <w:rPr>
          <w:rFonts w:hint="eastAsia" w:asciiTheme="minorEastAsia" w:hAnsiTheme="minorEastAsia" w:eastAsiaTheme="minorEastAsia"/>
          <w:sz w:val="24"/>
        </w:rPr>
        <w:t>，</w:t>
      </w:r>
      <w:r>
        <w:rPr>
          <w:rFonts w:asciiTheme="minorEastAsia" w:hAnsiTheme="minorEastAsia" w:eastAsiaTheme="minorEastAsia"/>
          <w:sz w:val="24"/>
        </w:rPr>
        <w:t>以方便企业对标准的贯彻实施</w:t>
      </w:r>
      <w:r>
        <w:rPr>
          <w:rFonts w:hint="eastAsia" w:asciiTheme="minorEastAsia" w:hAnsiTheme="minorEastAsia" w:eastAsiaTheme="minorEastAsia"/>
          <w:sz w:val="24"/>
        </w:rPr>
        <w:t>。</w:t>
      </w:r>
    </w:p>
    <w:p>
      <w:pPr>
        <w:spacing w:line="480" w:lineRule="exact"/>
        <w:ind w:firstLine="198" w:firstLineChars="82"/>
        <w:jc w:val="left"/>
        <w:rPr>
          <w:rFonts w:asciiTheme="minorEastAsia" w:hAnsiTheme="minorEastAsia" w:eastAsiaTheme="minorEastAsia"/>
          <w:b/>
          <w:sz w:val="24"/>
        </w:rPr>
      </w:pPr>
      <w:r>
        <w:rPr>
          <w:rFonts w:hint="eastAsia" w:asciiTheme="minorEastAsia" w:hAnsiTheme="minorEastAsia" w:eastAsiaTheme="minorEastAsia"/>
          <w:b/>
          <w:sz w:val="24"/>
        </w:rPr>
        <w:t>3.2.4.2能源计量器具的配备原则：</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spacing w:line="48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4.2  能源计量器具的配备原则：</w:t>
            </w:r>
          </w:p>
          <w:p>
            <w:pPr>
              <w:spacing w:line="48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4.2.1  应满足用能单位实现能源计量分级、分类、分项考核和结算的要求。</w:t>
            </w:r>
          </w:p>
          <w:p>
            <w:pPr>
              <w:spacing w:line="48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4.2.2  计量检测点应设置在：能源输入、输出的管理分界点附近或计量对象转移的输入、输出点附近适当位置。</w:t>
            </w:r>
          </w:p>
          <w:p>
            <w:pPr>
              <w:spacing w:line="48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4.2.3  能源计量器具配备在符合</w:t>
            </w:r>
            <w:r>
              <w:rPr>
                <w:rFonts w:hint="eastAsia" w:asciiTheme="minorEastAsia" w:hAnsiTheme="minorEastAsia" w:eastAsiaTheme="minorEastAsia"/>
                <w:color w:val="FF0000"/>
                <w:sz w:val="24"/>
              </w:rPr>
              <w:t>4.3</w:t>
            </w:r>
            <w:r>
              <w:rPr>
                <w:rFonts w:hint="eastAsia" w:asciiTheme="minorEastAsia" w:hAnsiTheme="minorEastAsia" w:eastAsiaTheme="minorEastAsia"/>
                <w:color w:val="FF0000"/>
                <w:sz w:val="24"/>
                <w:lang w:eastAsia="zh-CN"/>
              </w:rPr>
              <w:t>、</w:t>
            </w:r>
            <w:r>
              <w:rPr>
                <w:rFonts w:hint="eastAsia" w:asciiTheme="minorEastAsia" w:hAnsiTheme="minorEastAsia" w:eastAsiaTheme="minorEastAsia"/>
                <w:color w:val="FF0000"/>
                <w:sz w:val="24"/>
              </w:rPr>
              <w:t>4.4</w:t>
            </w:r>
            <w:r>
              <w:rPr>
                <w:rFonts w:hint="eastAsia" w:asciiTheme="minorEastAsia" w:hAnsiTheme="minorEastAsia" w:eastAsiaTheme="minorEastAsia"/>
                <w:sz w:val="24"/>
              </w:rPr>
              <w:t>的要求下，优先采用节能、环保、绿色结构产品，同时具有实现连续化无间断采集数据功能的仪器仪表，计量器具要便于装拆方便。</w:t>
            </w:r>
          </w:p>
          <w:p>
            <w:pPr>
              <w:spacing w:line="48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4.2.4  用能单位应配置必要的便携式能源计量检测仪器仪表，以满足用能单位对本单位仪器仪表的自检和自查的要求。</w:t>
            </w:r>
          </w:p>
        </w:tc>
      </w:tr>
    </w:tbl>
    <w:p>
      <w:pPr>
        <w:spacing w:line="66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用能单位能源实行分类、分级、分项计量是用能单位实现能源消耗定量化管理的一种能源管理方法，用能单位实现合理用能和节约用能的关键是全面实行能源消耗定额化管理。所以，在用能单位各种能源的使用环节上，合理配备能源计量器具，健全能源消耗记录，就可以得到准确的实际能源消耗数据。</w:t>
      </w:r>
    </w:p>
    <w:p>
      <w:pPr>
        <w:spacing w:line="66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能源计量器具方便拆卸是指：在拆卸及测量过程中不影响被测介质正常状态的能源测量仪表，这类仪表多数是通过非接触测量来实现测量目的的。这类仪表一般准确度较低，适用范围较广，量程较宽，主要用于重点用能单位的主要耗能设备和工艺能耗的自检自查。</w:t>
      </w:r>
    </w:p>
    <w:p>
      <w:pPr>
        <w:spacing w:line="66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配备必要的便携式能源计量器具的主要目的是：用能单位的主要耗能设备和工艺能耗是依据相关的国家标准、行业标准或地方标准，通过计量仪表的实际检验测试获得的。由于一般的检测标准对能源计量仪表的配置要求比较高，所以用能单位配置必要的便携式能源检测仪表有利于降低成本，也能够满足能源利用数据收集的要求。</w:t>
      </w:r>
    </w:p>
    <w:p>
      <w:pPr>
        <w:spacing w:line="660" w:lineRule="exact"/>
        <w:ind w:firstLine="480"/>
        <w:jc w:val="left"/>
        <w:rPr>
          <w:rFonts w:asciiTheme="minorEastAsia" w:hAnsiTheme="minorEastAsia" w:eastAsiaTheme="minorEastAsia"/>
          <w:sz w:val="24"/>
        </w:rPr>
      </w:pPr>
      <w:r>
        <w:rPr>
          <w:rFonts w:hint="eastAsia" w:asciiTheme="minorEastAsia" w:hAnsiTheme="minorEastAsia" w:eastAsiaTheme="minorEastAsia"/>
          <w:sz w:val="24"/>
        </w:rPr>
        <w:t>用能单位配置必要的便携式节能检测仪表，而没有做出很具体的配置要求，其原因是：用能单位规模大小差异很大，统一要求有困难。但实践表明，凡是配置了便携式节能检测仪表的用能单位，则具有一定的节能检测能力。配置便携式节能检测仪表对于提高用能单位节能监测合格率，不断提高用能单位节能管理水平是十分必要的。</w:t>
      </w:r>
    </w:p>
    <w:p>
      <w:pPr>
        <w:spacing w:line="660" w:lineRule="exact"/>
        <w:ind w:firstLine="198" w:firstLineChars="82"/>
        <w:jc w:val="left"/>
        <w:rPr>
          <w:rFonts w:asciiTheme="minorEastAsia" w:hAnsiTheme="minorEastAsia" w:eastAsiaTheme="minorEastAsia"/>
          <w:b/>
          <w:sz w:val="24"/>
        </w:rPr>
      </w:pPr>
      <w:r>
        <w:rPr>
          <w:rFonts w:hint="eastAsia" w:asciiTheme="minorEastAsia" w:hAnsiTheme="minorEastAsia" w:eastAsiaTheme="minorEastAsia"/>
          <w:b/>
          <w:sz w:val="24"/>
        </w:rPr>
        <w:t>3.2.4.3能源计量器具的配备要求：</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spacing w:line="460" w:lineRule="exact"/>
              <w:ind w:firstLine="480"/>
              <w:contextualSpacing/>
              <w:rPr>
                <w:rFonts w:asciiTheme="minorEastAsia" w:hAnsiTheme="minorEastAsia" w:eastAsiaTheme="minorEastAsia"/>
                <w:sz w:val="24"/>
              </w:rPr>
            </w:pPr>
            <w:r>
              <w:rPr>
                <w:rFonts w:hint="eastAsia" w:asciiTheme="minorEastAsia" w:hAnsiTheme="minorEastAsia" w:eastAsiaTheme="minorEastAsia"/>
                <w:sz w:val="24"/>
              </w:rPr>
              <w:t>4.3  能源计量器具的配备要求</w:t>
            </w:r>
          </w:p>
          <w:p>
            <w:pPr>
              <w:spacing w:line="580" w:lineRule="exact"/>
              <w:ind w:firstLine="480"/>
              <w:contextualSpacing/>
              <w:rPr>
                <w:rFonts w:asciiTheme="minorEastAsia" w:hAnsiTheme="minorEastAsia" w:eastAsiaTheme="minorEastAsia"/>
                <w:sz w:val="24"/>
              </w:rPr>
            </w:pPr>
            <w:r>
              <w:rPr>
                <w:rFonts w:hint="eastAsia" w:asciiTheme="minorEastAsia" w:hAnsiTheme="minorEastAsia" w:eastAsiaTheme="minorEastAsia"/>
                <w:sz w:val="24"/>
              </w:rPr>
              <w:t>4.3.1 一级、二级、三级能源计量器具配备率按公式（1）计算：</w:t>
            </w:r>
          </w:p>
          <w:p>
            <w:pPr>
              <w:spacing w:line="360" w:lineRule="auto"/>
              <w:ind w:firstLine="480"/>
              <w:jc w:val="right"/>
              <w:rPr>
                <w:rFonts w:ascii="黑体" w:hAnsi="黑体" w:eastAsia="黑体"/>
                <w:b/>
                <w:sz w:val="28"/>
                <w:szCs w:val="28"/>
              </w:rPr>
            </w:pPr>
            <w:r>
              <w:rPr>
                <w:rFonts w:hAnsi="宋体"/>
                <w:position w:val="-30"/>
                <w:sz w:val="24"/>
              </w:rPr>
              <w:object>
                <v:shape id="_x0000_i1025" o:spt="75" type="#_x0000_t75" style="height:42pt;width:9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Theme="minorEastAsia" w:hAnsiTheme="minorEastAsia"/>
                <w:sz w:val="28"/>
                <w:szCs w:val="28"/>
              </w:rPr>
              <w:t xml:space="preserve">   ........................     </w:t>
            </w:r>
            <w:r>
              <w:rPr>
                <w:rFonts w:hint="eastAsia" w:asciiTheme="minorEastAsia" w:hAnsiTheme="minorEastAsia"/>
                <w:szCs w:val="21"/>
              </w:rPr>
              <w:t>(1)</w:t>
            </w:r>
          </w:p>
          <w:p>
            <w:pPr>
              <w:spacing w:line="460" w:lineRule="exact"/>
              <w:ind w:firstLine="480"/>
              <w:rPr>
                <w:rFonts w:hAnsi="宋体"/>
                <w:sz w:val="24"/>
              </w:rPr>
            </w:pPr>
            <w:r>
              <w:rPr>
                <w:rFonts w:hint="eastAsia" w:hAnsi="宋体"/>
                <w:sz w:val="24"/>
              </w:rPr>
              <w:t>式中：</w:t>
            </w:r>
          </w:p>
          <w:p>
            <w:pPr>
              <w:spacing w:line="460" w:lineRule="exact"/>
              <w:ind w:firstLine="480"/>
              <w:jc w:val="left"/>
              <w:rPr>
                <w:rFonts w:hAnsi="宋体"/>
                <w:sz w:val="24"/>
              </w:rPr>
            </w:pPr>
            <w:r>
              <w:rPr>
                <w:rFonts w:hAnsi="宋体"/>
                <w:i/>
                <w:sz w:val="24"/>
              </w:rPr>
              <w:t>R</w:t>
            </w:r>
            <w:r>
              <w:rPr>
                <w:rFonts w:hint="eastAsia" w:hAnsi="宋体"/>
                <w:i/>
                <w:sz w:val="24"/>
                <w:vertAlign w:val="subscript"/>
              </w:rPr>
              <w:t>P</w:t>
            </w:r>
            <w:r>
              <w:rPr>
                <w:rFonts w:hAnsi="宋体"/>
                <w:sz w:val="24"/>
              </w:rPr>
              <w:t>——能源计量器具配备率，%；</w:t>
            </w:r>
          </w:p>
          <w:p>
            <w:pPr>
              <w:spacing w:line="460" w:lineRule="exact"/>
              <w:ind w:firstLine="480"/>
              <w:rPr>
                <w:rFonts w:hAnsi="宋体"/>
                <w:sz w:val="24"/>
              </w:rPr>
            </w:pPr>
            <w:r>
              <w:rPr>
                <w:rFonts w:hAnsi="宋体"/>
                <w:i/>
                <w:sz w:val="24"/>
              </w:rPr>
              <w:t>N</w:t>
            </w:r>
            <w:r>
              <w:rPr>
                <w:rFonts w:hAnsi="宋体"/>
                <w:i/>
                <w:sz w:val="24"/>
                <w:vertAlign w:val="subscript"/>
              </w:rPr>
              <w:t>S</w:t>
            </w:r>
            <w:r>
              <w:rPr>
                <w:rFonts w:hAnsi="宋体"/>
                <w:sz w:val="24"/>
              </w:rPr>
              <w:t>——能源计量器具实际的安装配备数量；</w:t>
            </w:r>
          </w:p>
          <w:p>
            <w:pPr>
              <w:spacing w:line="460" w:lineRule="exact"/>
              <w:ind w:firstLine="480"/>
              <w:rPr>
                <w:rFonts w:hAnsi="宋体"/>
                <w:sz w:val="24"/>
              </w:rPr>
            </w:pPr>
            <w:r>
              <w:rPr>
                <w:rFonts w:hAnsi="宋体"/>
                <w:i/>
                <w:sz w:val="24"/>
              </w:rPr>
              <w:t>N</w:t>
            </w:r>
            <w:r>
              <w:rPr>
                <w:rFonts w:hAnsi="宋体"/>
                <w:i/>
                <w:sz w:val="24"/>
                <w:vertAlign w:val="subscript"/>
              </w:rPr>
              <w:t>1</w:t>
            </w:r>
            <w:r>
              <w:rPr>
                <w:rFonts w:hAnsi="宋体"/>
                <w:sz w:val="24"/>
              </w:rPr>
              <w:t>——能源计量器具理论需要量。</w:t>
            </w:r>
          </w:p>
        </w:tc>
      </w:tr>
    </w:tbl>
    <w:p>
      <w:pPr>
        <w:spacing w:line="360" w:lineRule="auto"/>
        <w:ind w:firstLine="480"/>
        <w:rPr>
          <w:sz w:val="24"/>
        </w:rPr>
      </w:pPr>
    </w:p>
    <w:p>
      <w:pPr>
        <w:spacing w:line="660" w:lineRule="exact"/>
        <w:ind w:firstLine="198" w:firstLineChars="82"/>
        <w:jc w:val="left"/>
        <w:rPr>
          <w:b/>
          <w:sz w:val="24"/>
        </w:rPr>
      </w:pPr>
      <w:r>
        <w:rPr>
          <w:rFonts w:hint="eastAsia"/>
          <w:b/>
          <w:sz w:val="24"/>
        </w:rPr>
        <w:t>3.2.4.4</w:t>
      </w:r>
      <w:r>
        <w:rPr>
          <w:rFonts w:hint="eastAsia" w:asciiTheme="minorEastAsia" w:hAnsiTheme="minorEastAsia" w:eastAsiaTheme="minorEastAsia"/>
          <w:szCs w:val="21"/>
        </w:rPr>
        <w:t>能源计量器具配备</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spacing w:line="660" w:lineRule="exact"/>
              <w:ind w:firstLine="0" w:firstLineChars="0"/>
              <w:jc w:val="left"/>
              <w:rPr>
                <w:b/>
                <w:sz w:val="24"/>
              </w:rPr>
            </w:pPr>
            <w:r>
              <w:rPr>
                <w:rFonts w:hint="eastAsia" w:ascii="黑体" w:hAnsi="黑体" w:eastAsia="黑体"/>
                <w:b/>
                <w:sz w:val="24"/>
              </w:rPr>
              <w:t>4.3.2</w:t>
            </w:r>
            <w:r>
              <w:rPr>
                <w:rFonts w:hint="eastAsia" w:asciiTheme="minorEastAsia" w:hAnsiTheme="minorEastAsia" w:eastAsiaTheme="minorEastAsia"/>
                <w:sz w:val="24"/>
              </w:rPr>
              <w:t>一级、二级、三级能源计量器具配备率应满足表1要求</w:t>
            </w:r>
          </w:p>
        </w:tc>
      </w:tr>
    </w:tbl>
    <w:p>
      <w:pPr>
        <w:spacing w:line="660" w:lineRule="exact"/>
        <w:ind w:firstLine="196" w:firstLineChars="82"/>
        <w:jc w:val="left"/>
        <w:rPr>
          <w:sz w:val="24"/>
        </w:rPr>
      </w:pPr>
      <w:r>
        <w:rPr>
          <w:sz w:val="24"/>
        </w:rPr>
        <w:t>在表</w:t>
      </w:r>
      <w:r>
        <w:rPr>
          <w:rFonts w:hint="eastAsia"/>
          <w:sz w:val="24"/>
        </w:rPr>
        <w:t>1当中增加如下能源种类：具体见下表</w:t>
      </w:r>
    </w:p>
    <w:tbl>
      <w:tblPr>
        <w:tblStyle w:val="8"/>
        <w:tblW w:w="9900" w:type="dxa"/>
        <w:tblInd w:w="93" w:type="dxa"/>
        <w:tblLayout w:type="fixed"/>
        <w:tblCellMar>
          <w:top w:w="0" w:type="dxa"/>
          <w:left w:w="108" w:type="dxa"/>
          <w:bottom w:w="0" w:type="dxa"/>
          <w:right w:w="108" w:type="dxa"/>
        </w:tblCellMar>
      </w:tblPr>
      <w:tblGrid>
        <w:gridCol w:w="1944"/>
        <w:gridCol w:w="4644"/>
        <w:gridCol w:w="3312"/>
      </w:tblGrid>
      <w:tr>
        <w:tblPrEx>
          <w:tblLayout w:type="fixed"/>
          <w:tblCellMar>
            <w:top w:w="0" w:type="dxa"/>
            <w:left w:w="108" w:type="dxa"/>
            <w:bottom w:w="0" w:type="dxa"/>
            <w:right w:w="108" w:type="dxa"/>
          </w:tblCellMar>
        </w:tblPrEx>
        <w:trPr>
          <w:trHeight w:val="603" w:hRule="atLeast"/>
        </w:trPr>
        <w:tc>
          <w:tcPr>
            <w:tcW w:w="19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440" w:firstLineChars="0"/>
              <w:jc w:val="center"/>
              <w:rPr>
                <w:rFonts w:hAnsi="宋体" w:cs="宋体"/>
                <w:color w:val="000000"/>
                <w:kern w:val="0"/>
                <w:sz w:val="22"/>
                <w:szCs w:val="22"/>
              </w:rPr>
            </w:pPr>
            <w:r>
              <w:rPr>
                <w:rFonts w:hint="eastAsia" w:hAnsi="宋体" w:cs="宋体"/>
                <w:color w:val="000000"/>
                <w:kern w:val="0"/>
                <w:sz w:val="22"/>
                <w:szCs w:val="22"/>
              </w:rPr>
              <w:t>品种</w:t>
            </w:r>
          </w:p>
        </w:tc>
        <w:tc>
          <w:tcPr>
            <w:tcW w:w="464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GB 17167-2006 品种</w:t>
            </w:r>
          </w:p>
        </w:tc>
        <w:tc>
          <w:tcPr>
            <w:tcW w:w="331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增加品种</w:t>
            </w:r>
          </w:p>
        </w:tc>
      </w:tr>
      <w:tr>
        <w:tblPrEx>
          <w:tblLayout w:type="fixed"/>
          <w:tblCellMar>
            <w:top w:w="0" w:type="dxa"/>
            <w:left w:w="108" w:type="dxa"/>
            <w:bottom w:w="0" w:type="dxa"/>
            <w:right w:w="108" w:type="dxa"/>
          </w:tblCellMar>
        </w:tblPrEx>
        <w:trPr>
          <w:trHeight w:val="799" w:hRule="atLeast"/>
        </w:trPr>
        <w:tc>
          <w:tcPr>
            <w:tcW w:w="19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液态能源</w:t>
            </w:r>
          </w:p>
        </w:tc>
        <w:tc>
          <w:tcPr>
            <w:tcW w:w="46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原油、成品油、重油、渣油</w:t>
            </w:r>
          </w:p>
        </w:tc>
        <w:tc>
          <w:tcPr>
            <w:tcW w:w="331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其他液态油</w:t>
            </w:r>
          </w:p>
        </w:tc>
      </w:tr>
      <w:tr>
        <w:tblPrEx>
          <w:tblLayout w:type="fixed"/>
          <w:tblCellMar>
            <w:top w:w="0" w:type="dxa"/>
            <w:left w:w="108" w:type="dxa"/>
            <w:bottom w:w="0" w:type="dxa"/>
            <w:right w:w="108" w:type="dxa"/>
          </w:tblCellMar>
        </w:tblPrEx>
        <w:trPr>
          <w:trHeight w:val="705" w:hRule="atLeast"/>
        </w:trPr>
        <w:tc>
          <w:tcPr>
            <w:tcW w:w="19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气态能源</w:t>
            </w:r>
          </w:p>
        </w:tc>
        <w:tc>
          <w:tcPr>
            <w:tcW w:w="464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天然气、液化气、煤气</w:t>
            </w:r>
          </w:p>
        </w:tc>
        <w:tc>
          <w:tcPr>
            <w:tcW w:w="331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其他气态能源</w:t>
            </w:r>
          </w:p>
        </w:tc>
      </w:tr>
      <w:tr>
        <w:tblPrEx>
          <w:tblLayout w:type="fixed"/>
          <w:tblCellMar>
            <w:top w:w="0" w:type="dxa"/>
            <w:left w:w="108" w:type="dxa"/>
            <w:bottom w:w="0" w:type="dxa"/>
            <w:right w:w="108" w:type="dxa"/>
          </w:tblCellMar>
        </w:tblPrEx>
        <w:trPr>
          <w:trHeight w:val="1160" w:hRule="atLeast"/>
        </w:trPr>
        <w:tc>
          <w:tcPr>
            <w:tcW w:w="194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载能工质</w:t>
            </w:r>
          </w:p>
        </w:tc>
        <w:tc>
          <w:tcPr>
            <w:tcW w:w="4644"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蒸汽、水</w:t>
            </w:r>
          </w:p>
        </w:tc>
        <w:tc>
          <w:tcPr>
            <w:tcW w:w="331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hAnsi="宋体" w:cs="宋体"/>
                <w:color w:val="000000"/>
                <w:kern w:val="0"/>
                <w:sz w:val="22"/>
                <w:szCs w:val="22"/>
              </w:rPr>
            </w:pPr>
            <w:r>
              <w:rPr>
                <w:rFonts w:hint="eastAsia" w:hAnsi="宋体" w:cs="宋体"/>
                <w:color w:val="000000"/>
                <w:kern w:val="0"/>
                <w:sz w:val="22"/>
                <w:szCs w:val="22"/>
              </w:rPr>
              <w:t>循环水、压缩空气、氮气、其他载能工质</w:t>
            </w:r>
          </w:p>
        </w:tc>
      </w:tr>
    </w:tbl>
    <w:p>
      <w:pPr>
        <w:spacing w:line="360" w:lineRule="auto"/>
        <w:ind w:firstLine="480"/>
        <w:rPr>
          <w:sz w:val="24"/>
        </w:rPr>
      </w:pPr>
      <w:r>
        <w:rPr>
          <w:rFonts w:hint="eastAsia"/>
          <w:sz w:val="24"/>
        </w:rPr>
        <w:t>增加品种说明如下：</w:t>
      </w:r>
    </w:p>
    <w:p>
      <w:pPr>
        <w:spacing w:line="360" w:lineRule="auto"/>
        <w:ind w:firstLine="480"/>
        <w:rPr>
          <w:sz w:val="24"/>
        </w:rPr>
      </w:pPr>
      <w:r>
        <w:rPr>
          <w:sz w:val="24"/>
        </w:rPr>
        <w:t>随着社会的进步与技术研发能力提高</w:t>
      </w:r>
      <w:r>
        <w:rPr>
          <w:rFonts w:hint="eastAsia"/>
          <w:sz w:val="24"/>
        </w:rPr>
        <w:t>，</w:t>
      </w:r>
      <w:r>
        <w:rPr>
          <w:sz w:val="24"/>
        </w:rPr>
        <w:t>能源品种增加较多</w:t>
      </w:r>
      <w:r>
        <w:rPr>
          <w:rFonts w:hint="eastAsia"/>
          <w:sz w:val="24"/>
        </w:rPr>
        <w:t>，</w:t>
      </w:r>
      <w:r>
        <w:rPr>
          <w:sz w:val="24"/>
        </w:rPr>
        <w:t>在能源方面液态和气态能源主要包括以下品种</w:t>
      </w:r>
      <w:r>
        <w:rPr>
          <w:rFonts w:hint="eastAsia"/>
          <w:sz w:val="24"/>
        </w:rPr>
        <w:t>：</w:t>
      </w:r>
    </w:p>
    <w:p>
      <w:pPr>
        <w:spacing w:line="480" w:lineRule="exact"/>
        <w:ind w:left="420" w:firstLine="480"/>
        <w:rPr>
          <w:rFonts w:asciiTheme="minorEastAsia" w:hAnsiTheme="minorEastAsia" w:eastAsiaTheme="minorEastAsia"/>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w:t>
      </w:r>
      <w:r>
        <w:rPr>
          <w:sz w:val="24"/>
        </w:rPr>
        <w:t>液态能源</w:t>
      </w:r>
      <w:r>
        <w:rPr>
          <w:rFonts w:hint="eastAsia"/>
          <w:sz w:val="24"/>
        </w:rPr>
        <w:t>包括：</w:t>
      </w:r>
      <w:r>
        <w:rPr>
          <w:rFonts w:hint="eastAsia" w:asciiTheme="minorEastAsia" w:hAnsiTheme="minorEastAsia" w:eastAsiaTheme="minorEastAsia"/>
          <w:sz w:val="24"/>
        </w:rPr>
        <w:t>原油、成品油（汽油、煤油、柴油）、燃料油（重油、渣油）、水煤浆等；</w:t>
      </w:r>
    </w:p>
    <w:p>
      <w:pPr>
        <w:spacing w:line="480" w:lineRule="exact"/>
        <w:ind w:left="420" w:firstLine="480"/>
        <w:rPr>
          <w:rFonts w:asciiTheme="minorEastAsia" w:hAnsiTheme="minorEastAsia" w:eastAsiaTheme="minorEastAsia"/>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w:t>
      </w:r>
      <w:r>
        <w:rPr>
          <w:rFonts w:hint="eastAsia" w:hAnsi="宋体" w:cs="宋体"/>
          <w:color w:val="000000"/>
          <w:kern w:val="0"/>
          <w:sz w:val="22"/>
          <w:szCs w:val="22"/>
        </w:rPr>
        <w:t>气态能源包括：</w:t>
      </w:r>
      <w:r>
        <w:rPr>
          <w:rFonts w:hint="eastAsia" w:asciiTheme="minorEastAsia" w:hAnsiTheme="minorEastAsia" w:eastAsiaTheme="minorEastAsia"/>
          <w:sz w:val="24"/>
        </w:rPr>
        <w:t>天然气、液化石油气、煤气、炼厂干气等</w:t>
      </w:r>
    </w:p>
    <w:p>
      <w:pPr>
        <w:spacing w:line="480" w:lineRule="exact"/>
        <w:ind w:left="420" w:firstLine="480"/>
        <w:rPr>
          <w:rFonts w:asciiTheme="minorEastAsia" w:hAnsiTheme="minorEastAsia" w:eastAsiaTheme="minorEastAsia"/>
          <w:sz w:val="24"/>
        </w:rPr>
      </w:pPr>
      <w:r>
        <w:rPr>
          <w:rFonts w:hint="eastAsia" w:asciiTheme="minorEastAsia" w:hAnsiTheme="minorEastAsia" w:eastAsiaTheme="minorEastAsia"/>
          <w:sz w:val="24"/>
        </w:rPr>
        <w:t>为了避免具体提出项目，将上述内容合并为：其他气态能源和液态能源。</w:t>
      </w:r>
    </w:p>
    <w:p>
      <w:pPr>
        <w:spacing w:line="480" w:lineRule="exact"/>
        <w:ind w:left="420" w:firstLine="440"/>
        <w:rPr>
          <w:rFonts w:hAnsi="宋体" w:cs="宋体"/>
          <w:color w:val="000000"/>
          <w:kern w:val="0"/>
          <w:sz w:val="22"/>
          <w:szCs w:val="22"/>
        </w:rPr>
      </w:pPr>
      <w:r>
        <w:rPr>
          <w:rFonts w:hint="eastAsia" w:hAnsi="宋体" w:cs="宋体"/>
          <w:color w:val="000000"/>
          <w:kern w:val="0"/>
          <w:sz w:val="22"/>
          <w:szCs w:val="22"/>
        </w:rPr>
        <w:t>载能工质同样随着产品生产品种和种类不同，会包括许多载能工质，本标准根据行业使用的载能工质，特增加：循环水、压缩空气、氮气、其他载能工质。</w:t>
      </w:r>
    </w:p>
    <w:p>
      <w:pPr>
        <w:spacing w:line="480" w:lineRule="exact"/>
        <w:ind w:left="420" w:firstLine="0" w:firstLineChars="0"/>
        <w:rPr>
          <w:rFonts w:hAnsi="宋体" w:cs="宋体"/>
          <w:color w:val="000000"/>
          <w:kern w:val="0"/>
          <w:sz w:val="22"/>
          <w:szCs w:val="22"/>
        </w:rPr>
      </w:pPr>
      <w:r>
        <w:rPr>
          <w:rFonts w:hint="eastAsia" w:asciiTheme="minorEastAsia" w:hAnsiTheme="minorEastAsia" w:eastAsiaTheme="minorEastAsia"/>
          <w:b/>
          <w:sz w:val="24"/>
        </w:rPr>
        <w:t xml:space="preserve">3.2.5  </w:t>
      </w:r>
      <w:r>
        <w:rPr>
          <w:rFonts w:hint="eastAsia" w:asciiTheme="minorEastAsia" w:hAnsiTheme="minorEastAsia" w:eastAsiaTheme="minorEastAsia"/>
          <w:sz w:val="24"/>
        </w:rPr>
        <w:t>标准</w:t>
      </w:r>
      <w:r>
        <w:rPr>
          <w:rFonts w:hint="eastAsia" w:hAnsi="宋体" w:cs="宋体"/>
          <w:color w:val="000000"/>
          <w:kern w:val="0"/>
          <w:sz w:val="22"/>
          <w:szCs w:val="22"/>
        </w:rPr>
        <w:t>GB 17167-2006的次级用能单位是以次级单位能耗限定值为依据，来安装能源计量器具，根据铜加工行业的特点，我们根据产品的特点进行分类，安装能源计量器具，较国标更优其合理性和可行性。</w:t>
      </w:r>
    </w:p>
    <w:p>
      <w:pPr>
        <w:spacing w:line="480" w:lineRule="exact"/>
        <w:ind w:left="420" w:firstLine="0" w:firstLineChars="0"/>
        <w:rPr>
          <w:rFonts w:asciiTheme="minorEastAsia" w:hAnsiTheme="minorEastAsia" w:eastAsiaTheme="minorEastAsia"/>
          <w:b/>
          <w:sz w:val="24"/>
        </w:rPr>
      </w:pPr>
      <w:r>
        <w:rPr>
          <w:rFonts w:hint="eastAsia" w:asciiTheme="minorEastAsia" w:hAnsiTheme="minorEastAsia" w:eastAsiaTheme="minorEastAsia"/>
          <w:b/>
          <w:sz w:val="24"/>
        </w:rPr>
        <w:t xml:space="preserve">3.2.6 </w:t>
      </w:r>
      <w:r>
        <w:rPr>
          <w:rFonts w:hint="eastAsia" w:asciiTheme="minorEastAsia" w:hAnsiTheme="minorEastAsia" w:eastAsiaTheme="minorEastAsia"/>
          <w:sz w:val="24"/>
        </w:rPr>
        <w:t>根据铜加工特点将单体设备使用压缩空气限定值纳入单体设备加装计量器具，使标准在使用过程更有操作性。</w:t>
      </w:r>
    </w:p>
    <w:p>
      <w:pPr>
        <w:spacing w:line="360" w:lineRule="auto"/>
        <w:ind w:firstLine="482"/>
        <w:rPr>
          <w:rFonts w:asciiTheme="minorEastAsia" w:hAnsiTheme="minorEastAsia" w:eastAsiaTheme="minorEastAsia"/>
          <w:szCs w:val="21"/>
        </w:rPr>
      </w:pPr>
      <w:r>
        <w:rPr>
          <w:rFonts w:hint="eastAsia"/>
          <w:b/>
          <w:sz w:val="24"/>
        </w:rPr>
        <w:t xml:space="preserve">3.2.7 </w:t>
      </w:r>
      <w:r>
        <w:rPr>
          <w:rFonts w:hint="eastAsia"/>
          <w:sz w:val="24"/>
        </w:rPr>
        <w:t>结合铜加工行业的特点对标准</w:t>
      </w:r>
      <w:r>
        <w:rPr>
          <w:rFonts w:hint="eastAsia" w:hAnsi="宋体" w:cs="宋体"/>
          <w:color w:val="000000"/>
          <w:kern w:val="0"/>
          <w:sz w:val="22"/>
          <w:szCs w:val="22"/>
        </w:rPr>
        <w:t>GB 17167-2006中的计量器具的</w:t>
      </w:r>
      <w:r>
        <w:rPr>
          <w:rFonts w:hint="eastAsia" w:hAnsi="宋体" w:cs="宋体"/>
          <w:color w:val="FF0000"/>
          <w:kern w:val="0"/>
          <w:sz w:val="22"/>
          <w:szCs w:val="22"/>
          <w:lang w:eastAsia="zh-CN"/>
        </w:rPr>
        <w:t>准确度</w:t>
      </w:r>
      <w:r>
        <w:rPr>
          <w:rFonts w:hint="eastAsia" w:hAnsi="宋体" w:cs="宋体"/>
          <w:color w:val="FF0000"/>
          <w:kern w:val="0"/>
          <w:sz w:val="22"/>
          <w:szCs w:val="22"/>
        </w:rPr>
        <w:t>等级</w:t>
      </w:r>
      <w:r>
        <w:rPr>
          <w:rFonts w:hint="eastAsia" w:hAnsi="宋体" w:cs="宋体"/>
          <w:color w:val="000000"/>
          <w:kern w:val="0"/>
          <w:sz w:val="22"/>
          <w:szCs w:val="22"/>
        </w:rPr>
        <w:t>和</w:t>
      </w:r>
      <w:r>
        <w:rPr>
          <w:rFonts w:hint="eastAsia" w:asciiTheme="minorEastAsia" w:hAnsiTheme="minorEastAsia" w:eastAsiaTheme="minorEastAsia"/>
          <w:szCs w:val="21"/>
        </w:rPr>
        <w:t>进出用能单位有功交流电能按其计量负荷用量划分分类进行修改要求等级进一步提升，特说明如下：</w:t>
      </w:r>
      <w:bookmarkStart w:id="8" w:name="_Toc497309558"/>
      <w:bookmarkStart w:id="9" w:name="_Toc513736025"/>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（1）、计量精度较标准要求有所提高，其目的是由于现仪表的技术水平有很大的提升，因此使用高等级的仪表对生产加工企业的成本不会增加多少成本。</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（2）、为了保证计量数据的准确性，有必要提高计量器具的精度。</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（3）、结合铜加工生产企业的实际情况和调研的情况进行补充和提高。</w:t>
      </w:r>
    </w:p>
    <w:p>
      <w:pPr>
        <w:spacing w:line="360" w:lineRule="auto"/>
        <w:ind w:firstLine="422"/>
        <w:rPr>
          <w:rFonts w:asciiTheme="minorEastAsia" w:hAnsiTheme="minorEastAsia" w:eastAsiaTheme="minorEastAsia"/>
          <w:b/>
          <w:szCs w:val="21"/>
        </w:rPr>
      </w:pPr>
      <w:r>
        <w:rPr>
          <w:rFonts w:hint="eastAsia" w:asciiTheme="minorEastAsia" w:hAnsiTheme="minorEastAsia" w:eastAsiaTheme="minorEastAsia"/>
          <w:b/>
          <w:szCs w:val="21"/>
        </w:rPr>
        <w:t xml:space="preserve">3.2.8  </w:t>
      </w:r>
      <w:r>
        <w:rPr>
          <w:rFonts w:hint="eastAsia" w:asciiTheme="minorEastAsia" w:hAnsiTheme="minorEastAsia" w:eastAsiaTheme="minorEastAsia"/>
          <w:szCs w:val="21"/>
        </w:rPr>
        <w:t>考虑到能源计量工作是对企业能源管理重要一个环节，因此增加对计量器具的功能性要求，尤其是增加对仪表的数据与“互联网”相互链接提出一些具体的，基本性的要求，其目的在于为结合能源管理进一步的在线、实时监控提供基本保障。</w:t>
      </w:r>
    </w:p>
    <w:p>
      <w:pPr>
        <w:pStyle w:val="2"/>
        <w:spacing w:beforeLines="0" w:afterLines="0"/>
        <w:rPr>
          <w:sz w:val="24"/>
          <w:szCs w:val="24"/>
        </w:rPr>
      </w:pPr>
      <w:r>
        <w:rPr>
          <w:rFonts w:hint="eastAsia"/>
          <w:sz w:val="24"/>
          <w:szCs w:val="24"/>
        </w:rPr>
        <w:t>三、</w:t>
      </w:r>
      <w:r>
        <w:rPr>
          <w:sz w:val="24"/>
          <w:szCs w:val="24"/>
        </w:rPr>
        <w:t>标准中涉及的专利或知识产权说明</w:t>
      </w:r>
      <w:bookmarkEnd w:id="8"/>
      <w:bookmarkEnd w:id="9"/>
    </w:p>
    <w:p>
      <w:pPr>
        <w:ind w:firstLine="420"/>
      </w:pPr>
      <w:r>
        <w:rPr>
          <w:rFonts w:hint="eastAsia"/>
        </w:rPr>
        <w:t>本标准不涉及任何专利或知识产权。</w:t>
      </w:r>
    </w:p>
    <w:p>
      <w:pPr>
        <w:pStyle w:val="2"/>
        <w:spacing w:beforeLines="0" w:afterLines="0"/>
        <w:rPr>
          <w:color w:val="000000"/>
        </w:rPr>
      </w:pPr>
      <w:r>
        <w:rPr>
          <w:sz w:val="24"/>
          <w:szCs w:val="24"/>
        </w:rPr>
        <w:t>四</w:t>
      </w:r>
      <w:r>
        <w:rPr>
          <w:rFonts w:hint="eastAsia"/>
          <w:sz w:val="24"/>
          <w:szCs w:val="24"/>
        </w:rPr>
        <w:t>、</w:t>
      </w:r>
      <w:r>
        <w:rPr>
          <w:sz w:val="24"/>
          <w:szCs w:val="24"/>
        </w:rPr>
        <w:t>重大分歧意见的处理经过和依据</w:t>
      </w:r>
    </w:p>
    <w:p>
      <w:pPr>
        <w:ind w:firstLine="420"/>
        <w:rPr>
          <w:color w:val="000000"/>
        </w:rPr>
      </w:pPr>
      <w:r>
        <w:rPr>
          <w:color w:val="000000"/>
        </w:rPr>
        <w:t>（无）</w:t>
      </w:r>
    </w:p>
    <w:p>
      <w:pPr>
        <w:pStyle w:val="2"/>
        <w:spacing w:beforeLines="0" w:afterLines="0"/>
        <w:rPr>
          <w:sz w:val="24"/>
          <w:szCs w:val="24"/>
        </w:rPr>
      </w:pPr>
      <w:r>
        <w:rPr>
          <w:sz w:val="24"/>
          <w:szCs w:val="24"/>
        </w:rPr>
        <w:t>五</w:t>
      </w:r>
      <w:r>
        <w:rPr>
          <w:rFonts w:hint="eastAsia"/>
          <w:sz w:val="24"/>
          <w:szCs w:val="24"/>
        </w:rPr>
        <w:t>、标准作为强制性或推荐性行业标准的建议</w:t>
      </w:r>
    </w:p>
    <w:p>
      <w:pPr>
        <w:ind w:firstLine="420"/>
      </w:pPr>
      <w:r>
        <w:rPr>
          <w:rFonts w:hint="eastAsia"/>
        </w:rPr>
        <w:t>本标准建议不作为强制性标准，而建议作为推荐性标准。</w:t>
      </w:r>
    </w:p>
    <w:p>
      <w:pPr>
        <w:pStyle w:val="2"/>
        <w:spacing w:beforeLines="0" w:afterLines="0"/>
        <w:rPr>
          <w:color w:val="000000"/>
        </w:rPr>
      </w:pPr>
      <w:r>
        <w:rPr>
          <w:rFonts w:hint="eastAsia"/>
          <w:sz w:val="24"/>
          <w:szCs w:val="24"/>
        </w:rPr>
        <w:t>六、</w:t>
      </w:r>
      <w:r>
        <w:rPr>
          <w:sz w:val="24"/>
          <w:szCs w:val="24"/>
        </w:rPr>
        <w:t>贯彻标准的要求和措施建议</w:t>
      </w:r>
    </w:p>
    <w:p>
      <w:pPr>
        <w:pStyle w:val="3"/>
        <w:spacing w:before="0" w:after="0"/>
        <w:ind w:firstLine="480"/>
        <w:rPr>
          <w:color w:val="000000"/>
        </w:rPr>
      </w:pPr>
      <w:bookmarkStart w:id="10" w:name="_Toc513736029"/>
      <w:bookmarkStart w:id="11" w:name="_Toc508985119"/>
      <w:r>
        <w:rPr>
          <w:rFonts w:hint="eastAsia" w:ascii="黑体" w:hAnsi="黑体" w:eastAsia="黑体"/>
          <w:b w:val="0"/>
          <w:sz w:val="24"/>
          <w:szCs w:val="24"/>
        </w:rPr>
        <w:t>6</w:t>
      </w:r>
      <w:r>
        <w:rPr>
          <w:rFonts w:ascii="黑体" w:hAnsi="黑体" w:eastAsia="黑体"/>
          <w:b w:val="0"/>
          <w:sz w:val="24"/>
          <w:szCs w:val="24"/>
        </w:rPr>
        <w:t xml:space="preserve">.1 </w:t>
      </w:r>
      <w:r>
        <w:rPr>
          <w:rFonts w:hint="eastAsia" w:ascii="黑体" w:hAnsi="黑体" w:eastAsia="黑体"/>
          <w:b w:val="0"/>
          <w:sz w:val="24"/>
          <w:szCs w:val="24"/>
        </w:rPr>
        <w:t>组织措施</w:t>
      </w:r>
      <w:bookmarkEnd w:id="10"/>
      <w:bookmarkEnd w:id="11"/>
    </w:p>
    <w:p>
      <w:pPr>
        <w:widowControl/>
        <w:spacing w:line="480" w:lineRule="exact"/>
        <w:ind w:firstLine="480"/>
        <w:rPr>
          <w:color w:val="000000"/>
          <w:sz w:val="24"/>
        </w:rPr>
      </w:pPr>
      <w:r>
        <w:rPr>
          <w:color w:val="000000"/>
          <w:sz w:val="24"/>
        </w:rPr>
        <w:t>本标准发布后，中国有色金属工业协会</w:t>
      </w:r>
      <w:r>
        <w:rPr>
          <w:rFonts w:hint="eastAsia"/>
          <w:color w:val="000000"/>
          <w:sz w:val="24"/>
        </w:rPr>
        <w:t>、</w:t>
      </w:r>
      <w:r>
        <w:rPr>
          <w:color w:val="000000"/>
          <w:sz w:val="24"/>
        </w:rPr>
        <w:t>全国有色金属标准化技术委员会会应加强</w:t>
      </w:r>
      <w:r>
        <w:rPr>
          <w:rFonts w:hint="eastAsia"/>
          <w:color w:val="000000"/>
          <w:sz w:val="24"/>
        </w:rPr>
        <w:t>对</w:t>
      </w:r>
      <w:r>
        <w:rPr>
          <w:color w:val="000000"/>
          <w:sz w:val="24"/>
        </w:rPr>
        <w:t>本标准的宣传力度，</w:t>
      </w:r>
      <w:r>
        <w:rPr>
          <w:rFonts w:hint="eastAsia"/>
          <w:color w:val="000000"/>
          <w:sz w:val="24"/>
        </w:rPr>
        <w:t>介绍本标准的核心技术内容及实施的关键技术要素，促进更多地企业和科研单位了解、掌握科学企业用能计量器具配置，促进标准的顺利实施。</w:t>
      </w:r>
    </w:p>
    <w:p>
      <w:pPr>
        <w:pStyle w:val="3"/>
        <w:spacing w:before="0" w:after="0"/>
        <w:ind w:firstLine="480"/>
        <w:rPr>
          <w:color w:val="000000"/>
        </w:rPr>
      </w:pPr>
      <w:bookmarkStart w:id="12" w:name="_Toc513736030"/>
      <w:bookmarkStart w:id="13" w:name="_Toc508985120"/>
      <w:r>
        <w:rPr>
          <w:rFonts w:hint="eastAsia" w:ascii="黑体" w:hAnsi="黑体" w:eastAsia="黑体"/>
          <w:b w:val="0"/>
          <w:sz w:val="24"/>
          <w:szCs w:val="24"/>
        </w:rPr>
        <w:t>6.2技术措施</w:t>
      </w:r>
      <w:bookmarkEnd w:id="12"/>
      <w:bookmarkEnd w:id="13"/>
    </w:p>
    <w:p>
      <w:pPr>
        <w:widowControl/>
        <w:spacing w:line="480" w:lineRule="exact"/>
        <w:ind w:firstLine="480"/>
        <w:rPr>
          <w:color w:val="000000"/>
          <w:sz w:val="24"/>
        </w:rPr>
      </w:pPr>
      <w:r>
        <w:rPr>
          <w:rFonts w:hint="eastAsia"/>
          <w:color w:val="000000"/>
          <w:sz w:val="24"/>
        </w:rPr>
        <w:t>该标准给出的术语和定义、计算方法和评价方法，企业应按照本标准，结合本企业实际生产情况，统筹考虑用能结构、生产工艺等属性，科学确定企业能源计量配置需求，合理配置本企业的能源计量器具配置。</w:t>
      </w:r>
    </w:p>
    <w:p>
      <w:pPr>
        <w:pStyle w:val="2"/>
        <w:spacing w:beforeLines="0" w:afterLines="0"/>
        <w:rPr>
          <w:color w:val="000000"/>
        </w:rPr>
      </w:pPr>
      <w:bookmarkStart w:id="14" w:name="_Toc513736031"/>
      <w:bookmarkStart w:id="15" w:name="_Toc497309562"/>
      <w:r>
        <w:rPr>
          <w:rFonts w:hint="eastAsia"/>
          <w:sz w:val="24"/>
          <w:szCs w:val="24"/>
        </w:rPr>
        <w:t>七、</w:t>
      </w:r>
      <w:r>
        <w:rPr>
          <w:sz w:val="24"/>
          <w:szCs w:val="24"/>
        </w:rPr>
        <w:t>废止现行有关标准的建议</w:t>
      </w:r>
      <w:bookmarkEnd w:id="14"/>
      <w:bookmarkEnd w:id="15"/>
    </w:p>
    <w:p>
      <w:pPr>
        <w:ind w:firstLine="420"/>
        <w:rPr>
          <w:color w:val="000000"/>
        </w:rPr>
      </w:pPr>
      <w:r>
        <w:rPr>
          <w:color w:val="000000"/>
        </w:rPr>
        <w:t>（无）。</w:t>
      </w:r>
    </w:p>
    <w:p>
      <w:pPr>
        <w:pStyle w:val="2"/>
        <w:spacing w:beforeLines="0" w:afterLines="0"/>
        <w:rPr>
          <w:sz w:val="24"/>
          <w:szCs w:val="24"/>
        </w:rPr>
      </w:pPr>
      <w:r>
        <w:rPr>
          <w:color w:val="000000"/>
        </w:rPr>
        <w:t>八</w:t>
      </w:r>
      <w:r>
        <w:rPr>
          <w:rFonts w:hint="eastAsia"/>
          <w:color w:val="000000"/>
        </w:rPr>
        <w:t>、</w:t>
      </w:r>
      <w:r>
        <w:rPr>
          <w:sz w:val="24"/>
          <w:szCs w:val="24"/>
        </w:rPr>
        <w:t>产业化情况、推广应用论证和预期达到的经济效果</w:t>
      </w:r>
    </w:p>
    <w:p>
      <w:pPr>
        <w:widowControl/>
        <w:spacing w:line="480" w:lineRule="exact"/>
        <w:ind w:firstLine="480"/>
        <w:rPr>
          <w:color w:val="000000"/>
          <w:sz w:val="24"/>
        </w:rPr>
      </w:pPr>
      <w:r>
        <w:rPr>
          <w:rFonts w:hint="eastAsia"/>
          <w:color w:val="000000"/>
          <w:sz w:val="24"/>
        </w:rPr>
        <w:t xml:space="preserve">标准根据铜加工行业能源计量现状和特点，充实、细化和完善了标准内容，补充了“能源计量检测点、能源计量检测数据修正”等术语和定义，使标准在理解执行上更加贴进实际；针对企业内季节性采暖使用能源，在标准中规定其用量可以有条件允许采用计（测）算或临时计量等方式进行确定，为企业在零星用能量管理考核上提供一个切实可行的计算依据和方法；标准在对能源计量器具提出准确度要求的基础上，提出并增加对所配置计量器具功能性要求，以期真正达到对用能的科学准确计量；标准同时进一步从配备前后的审核、评价，以及量值溯源管理强化对能源计量器具的有效管理；明确、统一、规范企业用能计量数据的管理方式和方法，使能源计量数据发挥出应有的作用和效能。 </w:t>
      </w:r>
    </w:p>
    <w:p>
      <w:pPr>
        <w:widowControl/>
        <w:spacing w:line="480" w:lineRule="exact"/>
        <w:ind w:firstLine="480"/>
        <w:rPr>
          <w:color w:val="000000"/>
          <w:sz w:val="24"/>
        </w:rPr>
      </w:pPr>
      <w:r>
        <w:rPr>
          <w:rFonts w:hint="eastAsia"/>
          <w:color w:val="000000"/>
          <w:sz w:val="24"/>
        </w:rPr>
        <w:t xml:space="preserve">   该标准的出台，对进一步推进我国铜加工行业企业的能源使用与计量管理水平提供了依据和指导，为完善能源计量设施提供了规范的技术标准和要求。</w:t>
      </w: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480"/>
        <w:rPr>
          <w:color w:val="000000"/>
          <w:sz w:val="24"/>
        </w:rPr>
      </w:pPr>
      <w:r>
        <w:rPr>
          <w:rFonts w:hint="eastAsia"/>
          <w:color w:val="000000"/>
          <w:sz w:val="24"/>
        </w:rPr>
        <w:t xml:space="preserve">                           《铜加工行业能源计量器具配备和管理要求》</w:t>
      </w:r>
    </w:p>
    <w:p>
      <w:pPr>
        <w:widowControl/>
        <w:spacing w:line="480" w:lineRule="exact"/>
        <w:ind w:firstLine="480"/>
        <w:rPr>
          <w:color w:val="000000"/>
          <w:sz w:val="24"/>
        </w:rPr>
      </w:pPr>
      <w:r>
        <w:rPr>
          <w:rFonts w:hint="eastAsia"/>
          <w:color w:val="000000"/>
          <w:sz w:val="24"/>
        </w:rPr>
        <w:t xml:space="preserve">                                              标准编制组</w:t>
      </w:r>
    </w:p>
    <w:p>
      <w:pPr>
        <w:widowControl/>
        <w:spacing w:line="480" w:lineRule="exact"/>
        <w:ind w:firstLine="480"/>
        <w:rPr>
          <w:color w:val="000000"/>
          <w:sz w:val="24"/>
        </w:rPr>
      </w:pPr>
    </w:p>
    <w:p>
      <w:pPr>
        <w:widowControl/>
        <w:spacing w:line="480" w:lineRule="exact"/>
        <w:ind w:firstLine="480"/>
        <w:rPr>
          <w:color w:val="000000"/>
          <w:sz w:val="24"/>
        </w:rPr>
      </w:pPr>
    </w:p>
    <w:p>
      <w:pPr>
        <w:widowControl/>
        <w:spacing w:line="480" w:lineRule="exact"/>
        <w:ind w:firstLine="6480" w:firstLineChars="2700"/>
        <w:rPr>
          <w:color w:val="000000"/>
          <w:sz w:val="24"/>
        </w:rPr>
      </w:pPr>
      <w:r>
        <w:rPr>
          <w:color w:val="000000"/>
          <w:sz w:val="24"/>
        </w:rPr>
        <w:t>2019/</w:t>
      </w:r>
      <w:r>
        <w:rPr>
          <w:rFonts w:hint="eastAsia"/>
          <w:color w:val="000000"/>
          <w:sz w:val="24"/>
        </w:rPr>
        <w:t>6</w:t>
      </w:r>
      <w:r>
        <w:rPr>
          <w:color w:val="000000"/>
          <w:sz w:val="24"/>
        </w:rPr>
        <w:t>/</w:t>
      </w:r>
      <w:r>
        <w:rPr>
          <w:rFonts w:hint="eastAsia"/>
          <w:color w:val="000000"/>
          <w:sz w:val="24"/>
        </w:rPr>
        <w:t>18</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45B9"/>
    <w:rsid w:val="0001274F"/>
    <w:rsid w:val="00023356"/>
    <w:rsid w:val="00025D14"/>
    <w:rsid w:val="0003782F"/>
    <w:rsid w:val="00043B44"/>
    <w:rsid w:val="00052831"/>
    <w:rsid w:val="000705F9"/>
    <w:rsid w:val="00084EA1"/>
    <w:rsid w:val="0009587C"/>
    <w:rsid w:val="000A6D0C"/>
    <w:rsid w:val="000A7672"/>
    <w:rsid w:val="000B5095"/>
    <w:rsid w:val="000C2F0F"/>
    <w:rsid w:val="000D01D5"/>
    <w:rsid w:val="000D0BDB"/>
    <w:rsid w:val="000D1049"/>
    <w:rsid w:val="000D26CF"/>
    <w:rsid w:val="000D31D7"/>
    <w:rsid w:val="000E79B6"/>
    <w:rsid w:val="001038F8"/>
    <w:rsid w:val="001119BA"/>
    <w:rsid w:val="00116972"/>
    <w:rsid w:val="00120B57"/>
    <w:rsid w:val="00152E68"/>
    <w:rsid w:val="00154F85"/>
    <w:rsid w:val="00170F0F"/>
    <w:rsid w:val="001734D0"/>
    <w:rsid w:val="00191AE8"/>
    <w:rsid w:val="00194DCA"/>
    <w:rsid w:val="001A6273"/>
    <w:rsid w:val="001B681A"/>
    <w:rsid w:val="001D3C5F"/>
    <w:rsid w:val="001E5F54"/>
    <w:rsid w:val="0020238F"/>
    <w:rsid w:val="00204E0A"/>
    <w:rsid w:val="00213C8A"/>
    <w:rsid w:val="002359FC"/>
    <w:rsid w:val="00264176"/>
    <w:rsid w:val="002655F7"/>
    <w:rsid w:val="002A7C4D"/>
    <w:rsid w:val="002C04A8"/>
    <w:rsid w:val="002C0992"/>
    <w:rsid w:val="002C4A7A"/>
    <w:rsid w:val="002D3064"/>
    <w:rsid w:val="002D6315"/>
    <w:rsid w:val="002E127F"/>
    <w:rsid w:val="002F0A7B"/>
    <w:rsid w:val="00302713"/>
    <w:rsid w:val="0031327B"/>
    <w:rsid w:val="00313D5B"/>
    <w:rsid w:val="003144E3"/>
    <w:rsid w:val="00315A8C"/>
    <w:rsid w:val="003244B7"/>
    <w:rsid w:val="00326039"/>
    <w:rsid w:val="00331EE5"/>
    <w:rsid w:val="0033233C"/>
    <w:rsid w:val="003356C7"/>
    <w:rsid w:val="00337AE7"/>
    <w:rsid w:val="0034413B"/>
    <w:rsid w:val="00357D36"/>
    <w:rsid w:val="00380CFF"/>
    <w:rsid w:val="00380EF4"/>
    <w:rsid w:val="003924F8"/>
    <w:rsid w:val="00395273"/>
    <w:rsid w:val="003A30F9"/>
    <w:rsid w:val="003A31CB"/>
    <w:rsid w:val="003B0299"/>
    <w:rsid w:val="003B0C66"/>
    <w:rsid w:val="003B2AF5"/>
    <w:rsid w:val="003B75F8"/>
    <w:rsid w:val="003C05CB"/>
    <w:rsid w:val="003C08F2"/>
    <w:rsid w:val="003C7687"/>
    <w:rsid w:val="003D3C55"/>
    <w:rsid w:val="003E2FD8"/>
    <w:rsid w:val="003E5876"/>
    <w:rsid w:val="003F5E30"/>
    <w:rsid w:val="004027F6"/>
    <w:rsid w:val="00407246"/>
    <w:rsid w:val="004102BB"/>
    <w:rsid w:val="00412235"/>
    <w:rsid w:val="00423FE2"/>
    <w:rsid w:val="00424057"/>
    <w:rsid w:val="00427FF4"/>
    <w:rsid w:val="00436911"/>
    <w:rsid w:val="0043762D"/>
    <w:rsid w:val="00445719"/>
    <w:rsid w:val="00465B49"/>
    <w:rsid w:val="00473ECB"/>
    <w:rsid w:val="00486FD8"/>
    <w:rsid w:val="00491AD8"/>
    <w:rsid w:val="00492CE7"/>
    <w:rsid w:val="00497127"/>
    <w:rsid w:val="004B420B"/>
    <w:rsid w:val="004B552D"/>
    <w:rsid w:val="004B5DCD"/>
    <w:rsid w:val="004C7EC3"/>
    <w:rsid w:val="004D42F4"/>
    <w:rsid w:val="004D503D"/>
    <w:rsid w:val="004D75B6"/>
    <w:rsid w:val="004E0A13"/>
    <w:rsid w:val="004E6E8F"/>
    <w:rsid w:val="00504E34"/>
    <w:rsid w:val="00507F65"/>
    <w:rsid w:val="0051203A"/>
    <w:rsid w:val="0052065B"/>
    <w:rsid w:val="00527ADB"/>
    <w:rsid w:val="00532713"/>
    <w:rsid w:val="00550C4A"/>
    <w:rsid w:val="005513A4"/>
    <w:rsid w:val="005528B5"/>
    <w:rsid w:val="00552D48"/>
    <w:rsid w:val="0055773F"/>
    <w:rsid w:val="00570B69"/>
    <w:rsid w:val="005740A3"/>
    <w:rsid w:val="005779EE"/>
    <w:rsid w:val="00592614"/>
    <w:rsid w:val="00593969"/>
    <w:rsid w:val="00595A5E"/>
    <w:rsid w:val="005A083F"/>
    <w:rsid w:val="005B2764"/>
    <w:rsid w:val="005B6C27"/>
    <w:rsid w:val="005B7916"/>
    <w:rsid w:val="005B79A7"/>
    <w:rsid w:val="005D1800"/>
    <w:rsid w:val="005D67F9"/>
    <w:rsid w:val="005D739A"/>
    <w:rsid w:val="005E0230"/>
    <w:rsid w:val="005E2527"/>
    <w:rsid w:val="005F6404"/>
    <w:rsid w:val="00614E0E"/>
    <w:rsid w:val="00620D61"/>
    <w:rsid w:val="0062709A"/>
    <w:rsid w:val="00632E45"/>
    <w:rsid w:val="00650190"/>
    <w:rsid w:val="00651532"/>
    <w:rsid w:val="0065193D"/>
    <w:rsid w:val="00676422"/>
    <w:rsid w:val="00676D72"/>
    <w:rsid w:val="00681AEE"/>
    <w:rsid w:val="00684E89"/>
    <w:rsid w:val="00686BFA"/>
    <w:rsid w:val="006878FA"/>
    <w:rsid w:val="006903DE"/>
    <w:rsid w:val="00691134"/>
    <w:rsid w:val="00694E35"/>
    <w:rsid w:val="006A005A"/>
    <w:rsid w:val="006A207F"/>
    <w:rsid w:val="006A5E7F"/>
    <w:rsid w:val="006D0F06"/>
    <w:rsid w:val="006D7462"/>
    <w:rsid w:val="006E7E46"/>
    <w:rsid w:val="006F3E66"/>
    <w:rsid w:val="006F4769"/>
    <w:rsid w:val="006F752E"/>
    <w:rsid w:val="00711D26"/>
    <w:rsid w:val="007179AF"/>
    <w:rsid w:val="007179F2"/>
    <w:rsid w:val="0072606B"/>
    <w:rsid w:val="00726A7E"/>
    <w:rsid w:val="007410AC"/>
    <w:rsid w:val="00747CFA"/>
    <w:rsid w:val="00747F1E"/>
    <w:rsid w:val="00752C54"/>
    <w:rsid w:val="007545B9"/>
    <w:rsid w:val="00781B1A"/>
    <w:rsid w:val="00786F11"/>
    <w:rsid w:val="007908DC"/>
    <w:rsid w:val="0079539F"/>
    <w:rsid w:val="007A30D7"/>
    <w:rsid w:val="007C22B4"/>
    <w:rsid w:val="007D34DA"/>
    <w:rsid w:val="007D6247"/>
    <w:rsid w:val="007F3AD9"/>
    <w:rsid w:val="0080451A"/>
    <w:rsid w:val="008178D1"/>
    <w:rsid w:val="00821E62"/>
    <w:rsid w:val="008228D0"/>
    <w:rsid w:val="00822A74"/>
    <w:rsid w:val="00823A96"/>
    <w:rsid w:val="00831C07"/>
    <w:rsid w:val="008527A9"/>
    <w:rsid w:val="00853F6E"/>
    <w:rsid w:val="00862365"/>
    <w:rsid w:val="00865E5C"/>
    <w:rsid w:val="00875F42"/>
    <w:rsid w:val="008831EC"/>
    <w:rsid w:val="008833EB"/>
    <w:rsid w:val="00891368"/>
    <w:rsid w:val="00891562"/>
    <w:rsid w:val="00895F8A"/>
    <w:rsid w:val="008A1245"/>
    <w:rsid w:val="008A2BA7"/>
    <w:rsid w:val="008A7156"/>
    <w:rsid w:val="008D0408"/>
    <w:rsid w:val="008D5539"/>
    <w:rsid w:val="008E26F2"/>
    <w:rsid w:val="008F65B7"/>
    <w:rsid w:val="008F7A83"/>
    <w:rsid w:val="00900247"/>
    <w:rsid w:val="00905101"/>
    <w:rsid w:val="00906B5F"/>
    <w:rsid w:val="00932C0D"/>
    <w:rsid w:val="00942598"/>
    <w:rsid w:val="00956B88"/>
    <w:rsid w:val="00956CD9"/>
    <w:rsid w:val="009712EC"/>
    <w:rsid w:val="00973279"/>
    <w:rsid w:val="00975B89"/>
    <w:rsid w:val="009778F5"/>
    <w:rsid w:val="00984BAB"/>
    <w:rsid w:val="00997621"/>
    <w:rsid w:val="009A5AE0"/>
    <w:rsid w:val="009C0272"/>
    <w:rsid w:val="009C4061"/>
    <w:rsid w:val="009D1513"/>
    <w:rsid w:val="009E3113"/>
    <w:rsid w:val="00A03BAE"/>
    <w:rsid w:val="00A16E67"/>
    <w:rsid w:val="00A2566E"/>
    <w:rsid w:val="00A37769"/>
    <w:rsid w:val="00A4347A"/>
    <w:rsid w:val="00A46AAC"/>
    <w:rsid w:val="00A55EAC"/>
    <w:rsid w:val="00A66DB4"/>
    <w:rsid w:val="00A77717"/>
    <w:rsid w:val="00A91130"/>
    <w:rsid w:val="00A91915"/>
    <w:rsid w:val="00A96AC5"/>
    <w:rsid w:val="00A97F6B"/>
    <w:rsid w:val="00AA20D0"/>
    <w:rsid w:val="00AA2FE9"/>
    <w:rsid w:val="00AB0E4D"/>
    <w:rsid w:val="00AC14AE"/>
    <w:rsid w:val="00AE0674"/>
    <w:rsid w:val="00AE5B79"/>
    <w:rsid w:val="00AF7FE9"/>
    <w:rsid w:val="00B318CA"/>
    <w:rsid w:val="00B429B9"/>
    <w:rsid w:val="00B44001"/>
    <w:rsid w:val="00B4457B"/>
    <w:rsid w:val="00B51491"/>
    <w:rsid w:val="00B53203"/>
    <w:rsid w:val="00B741E5"/>
    <w:rsid w:val="00B9021D"/>
    <w:rsid w:val="00B922A5"/>
    <w:rsid w:val="00BA0849"/>
    <w:rsid w:val="00BB1425"/>
    <w:rsid w:val="00BB2665"/>
    <w:rsid w:val="00BB2CC8"/>
    <w:rsid w:val="00BB5325"/>
    <w:rsid w:val="00BB5D4C"/>
    <w:rsid w:val="00BB63FF"/>
    <w:rsid w:val="00BB6DB2"/>
    <w:rsid w:val="00BC0F07"/>
    <w:rsid w:val="00BC5DB9"/>
    <w:rsid w:val="00C05B8F"/>
    <w:rsid w:val="00C22BC8"/>
    <w:rsid w:val="00C251D0"/>
    <w:rsid w:val="00C34910"/>
    <w:rsid w:val="00C4395A"/>
    <w:rsid w:val="00C5132E"/>
    <w:rsid w:val="00C52573"/>
    <w:rsid w:val="00C55564"/>
    <w:rsid w:val="00C660B2"/>
    <w:rsid w:val="00C76490"/>
    <w:rsid w:val="00C91A14"/>
    <w:rsid w:val="00C96F1D"/>
    <w:rsid w:val="00CA762D"/>
    <w:rsid w:val="00CA7EF6"/>
    <w:rsid w:val="00CB2F24"/>
    <w:rsid w:val="00CB74EA"/>
    <w:rsid w:val="00CC3967"/>
    <w:rsid w:val="00CD018A"/>
    <w:rsid w:val="00CF4498"/>
    <w:rsid w:val="00CF7F7C"/>
    <w:rsid w:val="00D03073"/>
    <w:rsid w:val="00D14612"/>
    <w:rsid w:val="00D14C94"/>
    <w:rsid w:val="00D178AD"/>
    <w:rsid w:val="00D21505"/>
    <w:rsid w:val="00D31781"/>
    <w:rsid w:val="00D3622D"/>
    <w:rsid w:val="00D4014A"/>
    <w:rsid w:val="00D42EB2"/>
    <w:rsid w:val="00D654F4"/>
    <w:rsid w:val="00D71879"/>
    <w:rsid w:val="00D71BB2"/>
    <w:rsid w:val="00D72932"/>
    <w:rsid w:val="00D73650"/>
    <w:rsid w:val="00D749A2"/>
    <w:rsid w:val="00D80387"/>
    <w:rsid w:val="00D86C46"/>
    <w:rsid w:val="00D97631"/>
    <w:rsid w:val="00DA565F"/>
    <w:rsid w:val="00DB181F"/>
    <w:rsid w:val="00DC3371"/>
    <w:rsid w:val="00DD6B86"/>
    <w:rsid w:val="00DE28DF"/>
    <w:rsid w:val="00DE2B7B"/>
    <w:rsid w:val="00DE765E"/>
    <w:rsid w:val="00DF312E"/>
    <w:rsid w:val="00E047D0"/>
    <w:rsid w:val="00E3272C"/>
    <w:rsid w:val="00E36561"/>
    <w:rsid w:val="00E45295"/>
    <w:rsid w:val="00E47448"/>
    <w:rsid w:val="00E5512B"/>
    <w:rsid w:val="00E56172"/>
    <w:rsid w:val="00E57AF0"/>
    <w:rsid w:val="00E57FB9"/>
    <w:rsid w:val="00E6447D"/>
    <w:rsid w:val="00E73D95"/>
    <w:rsid w:val="00E74724"/>
    <w:rsid w:val="00E77096"/>
    <w:rsid w:val="00E80536"/>
    <w:rsid w:val="00E809EC"/>
    <w:rsid w:val="00E814B9"/>
    <w:rsid w:val="00E8250E"/>
    <w:rsid w:val="00E83CFB"/>
    <w:rsid w:val="00E8404D"/>
    <w:rsid w:val="00E86FD3"/>
    <w:rsid w:val="00E92B80"/>
    <w:rsid w:val="00E93147"/>
    <w:rsid w:val="00EB218E"/>
    <w:rsid w:val="00EB5713"/>
    <w:rsid w:val="00ED6CE6"/>
    <w:rsid w:val="00EF0076"/>
    <w:rsid w:val="00EF0D48"/>
    <w:rsid w:val="00EF2CF0"/>
    <w:rsid w:val="00EF53E3"/>
    <w:rsid w:val="00F05FDD"/>
    <w:rsid w:val="00F159D4"/>
    <w:rsid w:val="00F30D70"/>
    <w:rsid w:val="00F31066"/>
    <w:rsid w:val="00F35D22"/>
    <w:rsid w:val="00F77A7E"/>
    <w:rsid w:val="00F86DD6"/>
    <w:rsid w:val="00F87CEC"/>
    <w:rsid w:val="00F939D2"/>
    <w:rsid w:val="00F93A1B"/>
    <w:rsid w:val="00F93AD7"/>
    <w:rsid w:val="00FA0E51"/>
    <w:rsid w:val="00FB2E94"/>
    <w:rsid w:val="00FC1375"/>
    <w:rsid w:val="00FC5C53"/>
    <w:rsid w:val="00FF226E"/>
    <w:rsid w:val="00FF27C8"/>
    <w:rsid w:val="01C06940"/>
    <w:rsid w:val="234815AF"/>
    <w:rsid w:val="6E735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200" w:firstLineChars="200"/>
      <w:jc w:val="both"/>
    </w:pPr>
    <w:rPr>
      <w:rFonts w:ascii="宋体"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Lines="100" w:afterLines="100"/>
      <w:ind w:firstLine="0" w:firstLineChars="0"/>
      <w:outlineLvl w:val="0"/>
    </w:pPr>
    <w:rPr>
      <w:rFonts w:ascii="黑体" w:eastAsia="黑体"/>
      <w:bCs/>
      <w:kern w:val="44"/>
      <w:sz w:val="20"/>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9"/>
    <w:semiHidden/>
    <w:unhideWhenUsed/>
    <w:uiPriority w:val="99"/>
    <w:pPr>
      <w:ind w:left="100" w:leftChars="2500"/>
    </w:pPr>
  </w:style>
  <w:style w:type="paragraph" w:styleId="6">
    <w:name w:val="footer"/>
    <w:basedOn w:val="1"/>
    <w:link w:val="17"/>
    <w:unhideWhenUsed/>
    <w:uiPriority w:val="99"/>
    <w:pPr>
      <w:tabs>
        <w:tab w:val="center" w:pos="4153"/>
        <w:tab w:val="right" w:pos="8306"/>
      </w:tabs>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段 Char"/>
    <w:link w:val="12"/>
    <w:qFormat/>
    <w:uiPriority w:val="0"/>
    <w:rPr>
      <w:rFonts w:ascii="宋体"/>
    </w:rPr>
  </w:style>
  <w:style w:type="paragraph" w:customStyle="1" w:styleId="12">
    <w:name w:val="段"/>
    <w:link w:val="11"/>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3">
    <w:name w:val="标题 1 Char"/>
    <w:basedOn w:val="10"/>
    <w:link w:val="2"/>
    <w:qFormat/>
    <w:uiPriority w:val="9"/>
    <w:rPr>
      <w:rFonts w:ascii="黑体" w:hAnsi="Times New Roman" w:eastAsia="黑体" w:cs="Times New Roman"/>
      <w:bCs/>
      <w:kern w:val="44"/>
      <w:sz w:val="20"/>
      <w:szCs w:val="44"/>
    </w:rPr>
  </w:style>
  <w:style w:type="character" w:customStyle="1" w:styleId="14">
    <w:name w:val="标题 2 Char"/>
    <w:basedOn w:val="10"/>
    <w:link w:val="3"/>
    <w:qFormat/>
    <w:uiPriority w:val="9"/>
    <w:rPr>
      <w:rFonts w:asciiTheme="majorHAnsi" w:hAnsiTheme="majorHAnsi" w:eastAsiaTheme="majorEastAsia" w:cstheme="majorBidi"/>
      <w:b/>
      <w:bCs/>
      <w:sz w:val="32"/>
      <w:szCs w:val="32"/>
    </w:rPr>
  </w:style>
  <w:style w:type="character" w:customStyle="1" w:styleId="15">
    <w:name w:val="标题 3 Char"/>
    <w:basedOn w:val="10"/>
    <w:link w:val="4"/>
    <w:semiHidden/>
    <w:qFormat/>
    <w:uiPriority w:val="9"/>
    <w:rPr>
      <w:rFonts w:ascii="宋体" w:hAnsi="Times New Roman" w:eastAsia="宋体" w:cs="Times New Roman"/>
      <w:b/>
      <w:bCs/>
      <w:sz w:val="32"/>
      <w:szCs w:val="32"/>
    </w:rPr>
  </w:style>
  <w:style w:type="character" w:customStyle="1" w:styleId="16">
    <w:name w:val="页眉 Char"/>
    <w:basedOn w:val="10"/>
    <w:link w:val="7"/>
    <w:qFormat/>
    <w:uiPriority w:val="99"/>
    <w:rPr>
      <w:rFonts w:ascii="宋体" w:hAnsi="Times New Roman" w:eastAsia="宋体" w:cs="Times New Roman"/>
      <w:sz w:val="18"/>
      <w:szCs w:val="18"/>
    </w:rPr>
  </w:style>
  <w:style w:type="character" w:customStyle="1" w:styleId="17">
    <w:name w:val="页脚 Char"/>
    <w:basedOn w:val="10"/>
    <w:link w:val="6"/>
    <w:qFormat/>
    <w:uiPriority w:val="99"/>
    <w:rPr>
      <w:rFonts w:ascii="宋体" w:hAnsi="Times New Roman" w:eastAsia="宋体" w:cs="Times New Roman"/>
      <w:sz w:val="18"/>
      <w:szCs w:val="18"/>
    </w:rPr>
  </w:style>
  <w:style w:type="paragraph" w:customStyle="1" w:styleId="18">
    <w:name w:val="Char Char1"/>
    <w:basedOn w:val="1"/>
    <w:qFormat/>
    <w:uiPriority w:val="0"/>
    <w:pPr>
      <w:widowControl/>
      <w:wordWrap w:val="0"/>
      <w:adjustRightInd/>
      <w:snapToGrid/>
      <w:spacing w:line="440" w:lineRule="exact"/>
      <w:jc w:val="left"/>
    </w:pPr>
    <w:rPr>
      <w:rFonts w:ascii="Times New Roman"/>
    </w:rPr>
  </w:style>
  <w:style w:type="character" w:customStyle="1" w:styleId="19">
    <w:name w:val="日期 Char"/>
    <w:basedOn w:val="10"/>
    <w:link w:val="5"/>
    <w:semiHidden/>
    <w:qFormat/>
    <w:uiPriority w:val="99"/>
    <w:rPr>
      <w:rFonts w:ascii="宋体" w:hAnsi="Times New Roman" w:eastAsia="宋体" w:cs="Times New Roman"/>
      <w:szCs w:val="24"/>
    </w:rPr>
  </w:style>
  <w:style w:type="paragraph" w:customStyle="1" w:styleId="20">
    <w:name w:val="Char Char11"/>
    <w:basedOn w:val="1"/>
    <w:qFormat/>
    <w:uiPriority w:val="0"/>
    <w:pPr>
      <w:widowControl/>
      <w:wordWrap w:val="0"/>
      <w:adjustRightInd/>
      <w:snapToGrid/>
      <w:spacing w:line="440" w:lineRule="exact"/>
      <w:jc w:val="left"/>
    </w:pPr>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77112-64F3-4D07-84BE-C068FB6CF508}">
  <ds:schemaRefs/>
</ds:datastoreItem>
</file>

<file path=docProps/app.xml><?xml version="1.0" encoding="utf-8"?>
<Properties xmlns="http://schemas.openxmlformats.org/officeDocument/2006/extended-properties" xmlns:vt="http://schemas.openxmlformats.org/officeDocument/2006/docPropsVTypes">
  <Template>Normal</Template>
  <Pages>13</Pages>
  <Words>1434</Words>
  <Characters>8179</Characters>
  <Lines>68</Lines>
  <Paragraphs>19</Paragraphs>
  <TotalTime>2</TotalTime>
  <ScaleCrop>false</ScaleCrop>
  <LinksUpToDate>false</LinksUpToDate>
  <CharactersWithSpaces>9594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2019-04-01T02:05:00Z</dcterms:created>
  <dc:creator>蒋杰</dc:creator>
  <cp:lastModifiedBy>杨丽娟</cp:lastModifiedBy>
  <dcterms:modified xsi:type="dcterms:W3CDTF">2019-08-13T02:15:35Z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