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rPr>
          <w:rFonts w:hint="eastAsia" w:eastAsia="黑体"/>
          <w:color w:val="auto"/>
          <w:lang w:eastAsia="zh-CN"/>
        </w:rPr>
      </w:pPr>
      <w:r>
        <w:rPr>
          <w:rFonts w:ascii="Times New Roman"/>
          <w:color w:val="auto"/>
        </w:rPr>
        <w:t>ICS</w:t>
      </w:r>
      <w:r>
        <w:rPr>
          <w:color w:val="auto"/>
        </w:rPr>
        <w:t> </w:t>
      </w:r>
      <w:r>
        <w:rPr>
          <w:rFonts w:hint="eastAsia"/>
          <w:color w:val="auto"/>
          <w:lang w:val="en-US" w:eastAsia="zh-CN"/>
        </w:rPr>
        <w:t>77</w:t>
      </w:r>
      <w:r>
        <w:rPr>
          <w:rFonts w:hint="eastAsia"/>
          <w:color w:val="auto"/>
        </w:rPr>
        <w:t>.04</w:t>
      </w:r>
      <w:r>
        <w:rPr>
          <w:rFonts w:hint="eastAsia"/>
          <w:color w:val="auto"/>
          <w:lang w:val="en-US" w:eastAsia="zh-CN"/>
        </w:rPr>
        <w:t>0</w:t>
      </w:r>
    </w:p>
    <w:p>
      <w:pPr>
        <w:pStyle w:val="41"/>
        <w:rPr>
          <w:rFonts w:hint="default" w:eastAsia="黑体"/>
          <w:color w:val="auto"/>
          <w:lang w:val="en-US" w:eastAsia="zh-CN"/>
        </w:rPr>
      </w:pPr>
      <w:r>
        <w:rPr>
          <w:rFonts w:hint="eastAsia"/>
          <w:color w:val="auto"/>
        </w:rPr>
        <w:t>H</w:t>
      </w:r>
      <w:r>
        <w:rPr>
          <w:rFonts w:hint="eastAsia"/>
          <w:color w:val="auto"/>
          <w:lang w:val="en-US" w:eastAsia="zh-CN"/>
        </w:rPr>
        <w:t>17</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41"/>
              <w:rPr>
                <w:color w:val="auto"/>
              </w:rPr>
            </w:pPr>
            <w:r>
              <w:rPr>
                <w:color w:val="auto"/>
              </w:rPr>
              <w:pict>
                <v:rect id="BAH" o:spid="_x0000_s2050" o:spt="1" style="position:absolute;left:0pt;margin-left:-5.25pt;margin-top:0pt;height:15.6pt;width:68.25pt;z-index:-251651072;mso-width-relative:page;mso-height-relative:page;" stroked="f" coordsize="21600,21600">
                  <v:path/>
                  <v:fill focussize="0,0"/>
                  <v:stroke on="f"/>
                  <v:imagedata o:title=""/>
                  <o:lock v:ext="edit"/>
                </v:rect>
              </w:pict>
            </w:r>
          </w:p>
        </w:tc>
      </w:tr>
    </w:tbl>
    <w:p>
      <w:pPr>
        <w:pStyle w:val="31"/>
        <w:framePr w:w="5892" w:h="1523" w:hRule="exact" w:vAnchor="page" w:hAnchor="page" w:x="4996" w:y="816"/>
        <w:jc w:val="left"/>
        <w:rPr>
          <w:color w:val="auto"/>
        </w:rPr>
      </w:pPr>
      <w:r>
        <w:rPr>
          <w:rFonts w:hint="eastAsia"/>
          <w:color w:val="auto"/>
        </w:rPr>
        <w:t>T/</w:t>
      </w:r>
      <w:r>
        <w:rPr>
          <w:color w:val="auto"/>
        </w:rPr>
        <w:t>CNIA</w:t>
      </w:r>
    </w:p>
    <w:p>
      <w:pPr>
        <w:pStyle w:val="38"/>
        <w:rPr>
          <w:color w:val="auto"/>
        </w:rPr>
      </w:pPr>
      <w:r>
        <w:rPr>
          <w:rFonts w:hint="eastAsia"/>
          <w:color w:val="auto"/>
        </w:rPr>
        <w:t>团体标准</w:t>
      </w:r>
    </w:p>
    <w:p>
      <w:pPr>
        <w:pStyle w:val="21"/>
        <w:wordWrap w:val="0"/>
        <w:rPr>
          <w:color w:val="auto"/>
        </w:rPr>
      </w:pPr>
      <w:r>
        <w:rPr>
          <w:rFonts w:ascii="Times New Roman"/>
          <w:color w:val="auto"/>
        </w:rPr>
        <w:t>T</w:t>
      </w:r>
      <w:r>
        <w:rPr>
          <w:rFonts w:hint="eastAsia" w:ascii="Times New Roman"/>
          <w:color w:val="auto"/>
        </w:rPr>
        <w:t>/</w:t>
      </w:r>
      <w:r>
        <w:rPr>
          <w:rFonts w:ascii="Times New Roman"/>
          <w:color w:val="auto"/>
        </w:rPr>
        <w:t>CNIA</w:t>
      </w:r>
      <w:r>
        <w:rPr>
          <w:rFonts w:hint="eastAsia" w:ascii="Times New Roman"/>
          <w:color w:val="auto"/>
        </w:rPr>
        <w:t xml:space="preserve"> </w:t>
      </w:r>
      <w:r>
        <w:rPr>
          <w:rFonts w:hint="eastAsia" w:hAnsi="黑体"/>
          <w:color w:val="auto"/>
        </w:rPr>
        <w:t>XXXX-</w:t>
      </w:r>
      <w:r>
        <w:rPr>
          <w:rFonts w:hAnsi="黑体"/>
          <w:color w:val="auto"/>
        </w:rPr>
        <w:t>XXXX</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3"/>
              <w:rPr>
                <w:color w:val="auto"/>
              </w:rPr>
            </w:pPr>
            <w:r>
              <w:rPr>
                <w:color w:val="auto"/>
              </w:rPr>
              <w:pict>
                <v:rect id="DT" o:spid="_x0000_s2051" o:spt="1" style="position:absolute;left:0pt;margin-left:372.8pt;margin-top:2.7pt;height:18pt;width:90pt;z-index:-251654144;mso-width-relative:page;mso-height-relative:page;" stroked="f" coordsize="21600,21600">
                  <v:path/>
                  <v:fill focussize="0,0"/>
                  <v:stroke on="f"/>
                  <v:imagedata o:title=""/>
                  <o:lock v:ext="edit"/>
                </v:rect>
              </w:pict>
            </w:r>
          </w:p>
        </w:tc>
      </w:tr>
    </w:tbl>
    <w:p>
      <w:pPr>
        <w:pStyle w:val="21"/>
        <w:rPr>
          <w:color w:val="auto"/>
        </w:rPr>
      </w:pPr>
    </w:p>
    <w:p>
      <w:pPr>
        <w:pStyle w:val="21"/>
        <w:rPr>
          <w:color w:val="auto"/>
        </w:rPr>
      </w:pPr>
    </w:p>
    <w:p>
      <w:pPr>
        <w:pStyle w:val="34"/>
        <w:rPr>
          <w:color w:val="auto"/>
        </w:rPr>
      </w:pPr>
      <w:r>
        <w:rPr>
          <w:rFonts w:hint="eastAsia"/>
          <w:color w:val="auto"/>
        </w:rPr>
        <w:t>六氯乙硅烷中组</w:t>
      </w:r>
      <w:r>
        <w:rPr>
          <w:rFonts w:hint="eastAsia"/>
          <w:color w:val="auto"/>
          <w:lang w:eastAsia="zh-CN"/>
        </w:rPr>
        <w:t>分</w:t>
      </w:r>
      <w:r>
        <w:rPr>
          <w:rFonts w:hint="eastAsia"/>
          <w:color w:val="auto"/>
        </w:rPr>
        <w:t>含量的测定 气相色谱法</w:t>
      </w: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rPr>
                <w:rFonts w:ascii="黑体" w:hAnsi="黑体" w:eastAsia="黑体"/>
                <w:color w:val="auto"/>
              </w:rPr>
            </w:pPr>
            <w:r>
              <w:rPr>
                <w:rFonts w:hint="default" w:ascii="Times New Roman" w:hAnsi="Times New Roman" w:eastAsia="黑体" w:cs="Times New Roman"/>
                <w:color w:val="auto"/>
                <w:szCs w:val="21"/>
              </w:rPr>
              <w:t xml:space="preserve">Determination of component content of Hexachlorodisilane by </w:t>
            </w:r>
            <w:r>
              <w:rPr>
                <w:rFonts w:hint="eastAsia" w:ascii="Times New Roman" w:eastAsia="黑体" w:cs="Times New Roman"/>
                <w:color w:val="auto"/>
                <w:szCs w:val="21"/>
                <w:lang w:val="en-US" w:eastAsia="zh-CN"/>
              </w:rPr>
              <w:t>G</w:t>
            </w:r>
            <w:r>
              <w:rPr>
                <w:rFonts w:hint="default" w:ascii="Times New Roman" w:hAnsi="Times New Roman" w:eastAsia="黑体" w:cs="Times New Roman"/>
                <w:color w:val="auto"/>
                <w:szCs w:val="21"/>
              </w:rPr>
              <w:t xml:space="preserve">as </w:t>
            </w:r>
            <w:r>
              <w:rPr>
                <w:rFonts w:hint="eastAsia" w:ascii="Times New Roman" w:eastAsia="黑体" w:cs="Times New Roman"/>
                <w:color w:val="auto"/>
                <w:szCs w:val="21"/>
                <w:lang w:val="en-US" w:eastAsia="zh-CN"/>
              </w:rPr>
              <w:t>C</w:t>
            </w:r>
            <w:r>
              <w:rPr>
                <w:rFonts w:hint="default" w:ascii="Times New Roman" w:hAnsi="Times New Roman" w:eastAsia="黑体" w:cs="Times New Roman"/>
                <w:color w:val="auto"/>
                <w:szCs w:val="21"/>
              </w:rPr>
              <w:t>hromatography</w:t>
            </w:r>
            <w:r>
              <w:rPr>
                <w:rFonts w:ascii="黑体" w:hAnsi="黑体" w:eastAsia="黑体"/>
                <w:color w:val="auto"/>
                <w:szCs w:val="21"/>
              </w:rPr>
              <w:t xml:space="preserve"> </w:t>
            </w:r>
            <w:r>
              <w:rPr>
                <w:rFonts w:ascii="黑体" w:hAnsi="黑体" w:eastAsia="黑体"/>
                <w:color w:val="auto"/>
                <w:sz w:val="21"/>
                <w:szCs w:val="21"/>
              </w:rPr>
              <w:pict>
                <v:rect id="RQ" o:spid="_x0000_s2052" o:spt="1" style="position:absolute;left:0pt;margin-left:173.3pt;margin-top:45.15pt;height:20pt;width:150pt;z-index:-251652096;mso-width-relative:page;mso-height-relative:page;" stroked="f" coordsize="21600,21600">
                  <v:path/>
                  <v:fill focussize="0,0"/>
                  <v:stroke on="f"/>
                  <v:imagedata o:title=""/>
                  <o:lock v:ext="edit"/>
                  <w10:anchorlock/>
                </v:rect>
              </w:pict>
            </w:r>
            <w:r>
              <w:rPr>
                <w:rFonts w:ascii="黑体" w:hAnsi="黑体" w:eastAsia="黑体"/>
                <w:color w:val="auto"/>
                <w:sz w:val="21"/>
                <w:szCs w:val="21"/>
              </w:rPr>
              <w:pict>
                <v:rect id="LB" o:spid="_x0000_s2053" o:spt="1" style="position:absolute;left:0pt;margin-left:193.3pt;margin-top:20.15pt;height:24pt;width:100pt;z-index:-251653120;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rPr>
                <w:color w:val="auto"/>
                <w:sz w:val="24"/>
                <w:szCs w:val="24"/>
              </w:rPr>
            </w:pPr>
            <w:r>
              <w:rPr>
                <w:rFonts w:hint="eastAsia"/>
                <w:color w:val="auto"/>
                <w:sz w:val="24"/>
                <w:szCs w:val="24"/>
              </w:rPr>
              <w:t>(</w:t>
            </w:r>
            <w:r>
              <w:rPr>
                <w:rFonts w:hint="eastAsia"/>
                <w:color w:val="auto"/>
                <w:sz w:val="24"/>
                <w:szCs w:val="24"/>
                <w:lang w:eastAsia="zh-CN"/>
              </w:rPr>
              <w:t>征求意见</w:t>
            </w:r>
            <w:r>
              <w:rPr>
                <w:rFonts w:hint="eastAsia"/>
                <w:color w:val="auto"/>
                <w:sz w:val="24"/>
                <w:szCs w:val="24"/>
              </w:rPr>
              <w:t>稿)</w:t>
            </w:r>
          </w:p>
        </w:tc>
      </w:tr>
    </w:tbl>
    <w:p>
      <w:pPr>
        <w:pStyle w:val="45"/>
        <w:numPr>
          <w:ilvl w:val="0"/>
          <w:numId w:val="0"/>
        </w:numPr>
        <w:rPr>
          <w:color w:val="auto"/>
        </w:rPr>
      </w:pPr>
      <w:r>
        <w:rPr>
          <w:rFonts w:hint="eastAsia" w:ascii="黑体"/>
          <w:color w:val="auto"/>
        </w:rPr>
        <w:t>XXXX</w:t>
      </w:r>
      <w:r>
        <w:rPr>
          <w:rFonts w:ascii="黑体"/>
          <w:color w:val="auto"/>
        </w:rPr>
        <w:t>-</w:t>
      </w:r>
      <w:r>
        <w:rPr>
          <w:color w:val="auto"/>
        </w:rPr>
        <w:t xml:space="preserve"> </w:t>
      </w:r>
      <w:r>
        <w:rPr>
          <w:rFonts w:hint="eastAsia" w:ascii="黑体"/>
          <w:color w:val="auto"/>
        </w:rPr>
        <w:t>XX</w:t>
      </w:r>
      <w:r>
        <w:rPr>
          <w:rFonts w:ascii="黑体"/>
          <w:color w:val="auto"/>
        </w:rPr>
        <w:t>-</w:t>
      </w:r>
      <w:r>
        <w:rPr>
          <w:rFonts w:hint="eastAsia" w:ascii="黑体"/>
          <w:color w:val="auto"/>
        </w:rPr>
        <w:t>XX</w:t>
      </w:r>
      <w:r>
        <w:rPr>
          <w:rFonts w:hint="eastAsia"/>
          <w:color w:val="auto"/>
        </w:rPr>
        <w:t>发布</w:t>
      </w:r>
      <w:r>
        <w:rPr>
          <w:color w:val="auto"/>
        </w:rPr>
        <w:pict>
          <v:line id="_x0000_s2054" o:spid="_x0000_s2054"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46"/>
        <w:rPr>
          <w:color w:val="auto"/>
        </w:rPr>
      </w:pPr>
      <w:r>
        <w:rPr>
          <w:rFonts w:hint="eastAsia" w:ascii="黑体"/>
          <w:color w:val="auto"/>
        </w:rPr>
        <w:t>XXXX</w:t>
      </w:r>
      <w:r>
        <w:rPr>
          <w:rFonts w:ascii="黑体"/>
          <w:color w:val="auto"/>
        </w:rPr>
        <w:t>-</w:t>
      </w:r>
      <w:r>
        <w:rPr>
          <w:color w:val="auto"/>
        </w:rPr>
        <w:t xml:space="preserve"> </w:t>
      </w:r>
      <w:r>
        <w:rPr>
          <w:rFonts w:hint="eastAsia" w:ascii="黑体"/>
          <w:color w:val="auto"/>
        </w:rPr>
        <w:t>XX</w:t>
      </w:r>
      <w:r>
        <w:rPr>
          <w:rFonts w:ascii="黑体"/>
          <w:color w:val="auto"/>
        </w:rPr>
        <w:t>-</w:t>
      </w:r>
      <w:r>
        <w:rPr>
          <w:rFonts w:hint="eastAsia" w:ascii="黑体"/>
          <w:color w:val="auto"/>
        </w:rPr>
        <w:t>XX</w:t>
      </w:r>
      <w:r>
        <w:rPr>
          <w:rFonts w:hint="eastAsia"/>
          <w:color w:val="auto"/>
        </w:rPr>
        <w:t>实施</w:t>
      </w:r>
    </w:p>
    <w:p>
      <w:pPr>
        <w:pStyle w:val="39"/>
        <w:framePr w:w="6460" w:h="1170" w:hRule="exact" w:x="2647" w:y="14863"/>
        <w:rPr>
          <w:color w:val="auto"/>
        </w:rPr>
      </w:pPr>
      <w:r>
        <w:rPr>
          <w:rFonts w:hint="eastAsia"/>
          <w:color w:val="auto"/>
        </w:rPr>
        <w:t>中国有色金属工业协会</w:t>
      </w:r>
    </w:p>
    <w:p>
      <w:pPr>
        <w:pStyle w:val="39"/>
        <w:framePr w:w="6460" w:h="1170" w:hRule="exact" w:x="2647" w:y="14863"/>
        <w:rPr>
          <w:color w:val="auto"/>
        </w:rPr>
      </w:pPr>
      <w:r>
        <w:rPr>
          <w:rFonts w:hint="eastAsia"/>
          <w:color w:val="auto"/>
        </w:rPr>
        <w:t>中国有色金属学会</w:t>
      </w:r>
    </w:p>
    <w:p>
      <w:pPr>
        <w:pStyle w:val="14"/>
        <w:rPr>
          <w:color w:val="auto"/>
        </w:rPr>
        <w:sectPr>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w:rPr>
          <w:color w:val="auto"/>
        </w:rPr>
        <w:pict>
          <v:shape id="_x0000_s2055" o:spid="_x0000_s2055" o:spt="202" type="#_x0000_t202" style="position:absolute;left:0pt;margin-left:347.6pt;margin-top:712.05pt;height:36pt;width:48.15pt;z-index:251666432;mso-width-relative:page;mso-height-relative:page;" stroked="t" coordsize="21600,21600">
            <v:path/>
            <v:fill focussize="0,0"/>
            <v:stroke color="#FFFFFF" joinstyle="miter"/>
            <v:imagedata o:title=""/>
            <o:lock v:ext="edit"/>
            <v:textbox>
              <w:txbxContent>
                <w:p>
                  <w:pPr>
                    <w:rPr>
                      <w:rFonts w:ascii="黑体" w:hAnsi="黑体" w:eastAsia="黑体"/>
                      <w:sz w:val="28"/>
                      <w:szCs w:val="28"/>
                    </w:rPr>
                  </w:pPr>
                  <w:r>
                    <w:rPr>
                      <w:rFonts w:hint="eastAsia" w:ascii="黑体" w:hAnsi="黑体" w:eastAsia="黑体"/>
                      <w:sz w:val="28"/>
                      <w:szCs w:val="28"/>
                    </w:rPr>
                    <w:t>发布</w:t>
                  </w:r>
                </w:p>
              </w:txbxContent>
            </v:textbox>
          </v:shape>
        </w:pict>
      </w:r>
      <w:r>
        <w:rPr>
          <w:color w:val="auto"/>
        </w:rPr>
        <w:pict>
          <v:line id="_x0000_s2056" o:spid="_x0000_s2056" o:spt="20" style="position:absolute;left:0pt;margin-left:-0.05pt;margin-top:184.25pt;height:0pt;width:481.9pt;z-index:251661312;mso-width-relative:page;mso-height-relative:page;" coordsize="21600,21600">
            <v:path arrowok="t"/>
            <v:fill focussize="0,0"/>
            <v:stroke/>
            <v:imagedata o:title=""/>
            <o:lock v:ext="edit"/>
          </v:line>
        </w:pict>
      </w:r>
    </w:p>
    <w:p>
      <w:pPr>
        <w:pStyle w:val="40"/>
        <w:rPr>
          <w:color w:val="auto"/>
        </w:rPr>
      </w:pPr>
      <w:r>
        <w:rPr>
          <w:rFonts w:hint="eastAsia"/>
          <w:color w:val="auto"/>
        </w:rPr>
        <w:t>前</w:t>
      </w:r>
      <w:bookmarkStart w:id="0" w:name="BKQY"/>
      <w:r>
        <w:rPr>
          <w:color w:val="auto"/>
        </w:rPr>
        <w:t>  </w:t>
      </w:r>
      <w:r>
        <w:rPr>
          <w:rFonts w:hint="eastAsia"/>
          <w:color w:val="auto"/>
        </w:rPr>
        <w:t>言</w:t>
      </w:r>
      <w:bookmarkEnd w:id="0"/>
    </w:p>
    <w:p>
      <w:pPr>
        <w:ind w:firstLine="420" w:firstLineChars="200"/>
        <w:rPr>
          <w:rFonts w:ascii="宋体"/>
          <w:color w:val="auto"/>
        </w:rPr>
      </w:pPr>
      <w:r>
        <w:rPr>
          <w:rFonts w:hint="eastAsia" w:ascii="宋体"/>
          <w:color w:val="auto"/>
        </w:rPr>
        <w:t>本标准按GB/T 1.1-2009给出的规则起草。</w:t>
      </w:r>
    </w:p>
    <w:p>
      <w:pPr>
        <w:ind w:firstLine="420" w:firstLineChars="200"/>
        <w:rPr>
          <w:rFonts w:ascii="宋体" w:hAnsi="宋体"/>
          <w:color w:val="auto"/>
        </w:rPr>
      </w:pPr>
      <w:r>
        <w:rPr>
          <w:rFonts w:hint="eastAsia"/>
          <w:color w:val="auto"/>
        </w:rPr>
        <w:t>本标准由全国半导体设备和材料标准化技术委员会材料分会（SAC/TC203/SC2）提出并归口</w:t>
      </w:r>
      <w:r>
        <w:rPr>
          <w:rFonts w:hint="eastAsia" w:ascii="宋体" w:hAnsi="宋体"/>
          <w:color w:val="auto"/>
        </w:rPr>
        <w:t>。</w:t>
      </w:r>
    </w:p>
    <w:p>
      <w:pPr>
        <w:ind w:firstLine="420"/>
        <w:rPr>
          <w:color w:val="auto"/>
        </w:rPr>
      </w:pPr>
      <w:r>
        <w:rPr>
          <w:rFonts w:hint="eastAsia"/>
          <w:color w:val="auto"/>
        </w:rPr>
        <w:t>本标准起草单位：洛阳中硅高科技有限公司</w:t>
      </w:r>
    </w:p>
    <w:p>
      <w:pPr>
        <w:pStyle w:val="47"/>
        <w:rPr>
          <w:rFonts w:hint="eastAsia" w:eastAsia="宋体"/>
          <w:color w:val="auto"/>
          <w:lang w:eastAsia="zh-CN"/>
        </w:rPr>
      </w:pPr>
      <w:r>
        <w:rPr>
          <w:rFonts w:hint="eastAsia" w:ascii="宋体"/>
          <w:color w:val="auto"/>
        </w:rPr>
        <w:t>本标准主要起草人</w:t>
      </w:r>
      <w:r>
        <w:rPr>
          <w:rFonts w:hint="eastAsia"/>
          <w:color w:val="auto"/>
          <w:lang w:eastAsia="zh-CN"/>
        </w:rPr>
        <w:t>：</w:t>
      </w:r>
    </w:p>
    <w:p>
      <w:pPr>
        <w:tabs>
          <w:tab w:val="left" w:pos="854"/>
        </w:tabs>
        <w:ind w:left="840" w:hanging="420"/>
        <w:rPr>
          <w:rFonts w:ascii="宋体"/>
          <w:color w:val="auto"/>
          <w:kern w:val="0"/>
          <w:szCs w:val="20"/>
        </w:rPr>
      </w:pPr>
    </w:p>
    <w:p>
      <w:pPr>
        <w:pStyle w:val="14"/>
        <w:rPr>
          <w:color w:val="auto"/>
        </w:rPr>
      </w:pPr>
    </w:p>
    <w:p>
      <w:pPr>
        <w:pStyle w:val="14"/>
        <w:rPr>
          <w:color w:val="auto"/>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22"/>
        <w:rPr>
          <w:color w:val="auto"/>
        </w:rPr>
      </w:pPr>
      <w:r>
        <w:rPr>
          <w:rFonts w:hint="eastAsia"/>
          <w:color w:val="auto"/>
        </w:rPr>
        <w:t>六氯乙硅烷中组分含量的测定 气相色谱法</w:t>
      </w:r>
    </w:p>
    <w:p>
      <w:pPr>
        <w:pStyle w:val="19"/>
        <w:spacing w:before="312" w:after="312"/>
        <w:ind w:left="0"/>
        <w:jc w:val="left"/>
        <w:rPr>
          <w:rFonts w:ascii="Times New Roman"/>
          <w:color w:val="auto"/>
        </w:rPr>
      </w:pPr>
      <w:bookmarkStart w:id="1" w:name="_Toc325641012"/>
      <w:bookmarkStart w:id="2" w:name="_Toc325636225"/>
      <w:r>
        <w:rPr>
          <w:rFonts w:ascii="Times New Roman"/>
          <w:color w:val="auto"/>
        </w:rPr>
        <w:t>范围</w:t>
      </w:r>
      <w:bookmarkEnd w:id="1"/>
      <w:bookmarkEnd w:id="2"/>
    </w:p>
    <w:p>
      <w:pPr>
        <w:ind w:firstLine="420" w:firstLineChars="200"/>
        <w:jc w:val="left"/>
        <w:rPr>
          <w:rFonts w:eastAsiaTheme="minorEastAsia"/>
          <w:color w:val="auto"/>
        </w:rPr>
      </w:pPr>
      <w:r>
        <w:rPr>
          <w:rFonts w:eastAsiaTheme="minorEastAsia"/>
          <w:color w:val="auto"/>
        </w:rPr>
        <w:t>本标准规定了六氯乙硅烷</w:t>
      </w:r>
      <w:r>
        <w:rPr>
          <w:rFonts w:hint="eastAsia" w:eastAsiaTheme="minorEastAsia"/>
          <w:color w:val="auto"/>
          <w:lang w:eastAsia="zh-CN"/>
        </w:rPr>
        <w:t>中</w:t>
      </w:r>
      <w:r>
        <w:rPr>
          <w:rFonts w:eastAsiaTheme="minorEastAsia"/>
          <w:color w:val="auto"/>
        </w:rPr>
        <w:t>组分含量的测定方法。</w:t>
      </w:r>
    </w:p>
    <w:p>
      <w:pPr>
        <w:ind w:firstLine="420" w:firstLineChars="200"/>
        <w:jc w:val="left"/>
        <w:rPr>
          <w:rFonts w:eastAsiaTheme="minorEastAsia"/>
          <w:color w:val="auto"/>
        </w:rPr>
      </w:pPr>
      <w:r>
        <w:rPr>
          <w:rFonts w:eastAsiaTheme="minorEastAsia"/>
          <w:color w:val="auto"/>
        </w:rPr>
        <w:t>本标准适用于</w:t>
      </w:r>
      <w:r>
        <w:rPr>
          <w:rFonts w:hint="eastAsia" w:eastAsiaTheme="minorEastAsia"/>
          <w:color w:val="auto"/>
          <w:lang w:eastAsia="zh-CN"/>
        </w:rPr>
        <w:t>六氯乙硅烷</w:t>
      </w:r>
      <w:r>
        <w:rPr>
          <w:rFonts w:eastAsiaTheme="minorEastAsia"/>
          <w:color w:val="auto"/>
        </w:rPr>
        <w:t>中组分含量的测定。测定</w:t>
      </w:r>
      <w:r>
        <w:rPr>
          <w:rFonts w:hint="eastAsia" w:eastAsiaTheme="minorEastAsia"/>
          <w:color w:val="auto"/>
          <w:lang w:eastAsia="zh-CN"/>
        </w:rPr>
        <w:t>范围</w:t>
      </w:r>
      <w:r>
        <w:rPr>
          <w:rFonts w:eastAsiaTheme="minorEastAsia"/>
          <w:color w:val="auto"/>
        </w:rPr>
        <w:t>为：0.00</w:t>
      </w:r>
      <w:r>
        <w:rPr>
          <w:rFonts w:hint="eastAsia" w:eastAsiaTheme="minorEastAsia"/>
          <w:color w:val="auto"/>
          <w:lang w:val="en-US" w:eastAsia="zh-CN"/>
        </w:rPr>
        <w:t>1</w:t>
      </w:r>
      <w:r>
        <w:rPr>
          <w:rFonts w:eastAsiaTheme="minorEastAsia"/>
          <w:color w:val="auto"/>
        </w:rPr>
        <w:t>%</w:t>
      </w:r>
      <w:r>
        <w:rPr>
          <w:rFonts w:hint="eastAsia" w:eastAsiaTheme="minorEastAsia"/>
          <w:color w:val="auto"/>
          <w:lang w:val="en-US" w:eastAsia="zh-CN"/>
        </w:rPr>
        <w:t>-100%</w:t>
      </w:r>
      <w:r>
        <w:rPr>
          <w:rFonts w:eastAsiaTheme="minorEastAsia"/>
          <w:color w:val="auto"/>
        </w:rPr>
        <w:t>。</w:t>
      </w:r>
    </w:p>
    <w:p>
      <w:pPr>
        <w:pStyle w:val="19"/>
        <w:spacing w:before="312" w:after="312"/>
        <w:ind w:left="0"/>
        <w:jc w:val="left"/>
        <w:rPr>
          <w:rFonts w:ascii="Times New Roman"/>
          <w:color w:val="auto"/>
        </w:rPr>
      </w:pPr>
      <w:bookmarkStart w:id="3" w:name="_Toc325636226"/>
      <w:bookmarkStart w:id="4" w:name="_Toc325641013"/>
      <w:r>
        <w:rPr>
          <w:rFonts w:ascii="Times New Roman"/>
          <w:color w:val="auto"/>
        </w:rPr>
        <w:t>规范性引用文件</w:t>
      </w:r>
      <w:bookmarkEnd w:id="3"/>
      <w:bookmarkEnd w:id="4"/>
    </w:p>
    <w:p>
      <w:pPr>
        <w:pStyle w:val="14"/>
        <w:jc w:val="left"/>
        <w:rPr>
          <w:rFonts w:ascii="Times New Roman" w:eastAsiaTheme="minorEastAsia"/>
          <w:color w:val="auto"/>
        </w:rPr>
      </w:pPr>
      <w:r>
        <w:rPr>
          <w:rFonts w:ascii="Times New Roman" w:eastAsiaTheme="minorEastAsia"/>
          <w:color w:val="auto"/>
        </w:rPr>
        <w:t>下列文件对于本文件的应用是必不可少的。凡是注日期的引用文件，仅所注日期的版本适用于本文件。凡是不注日期的引用文件，其最新版本（包括所有的修改单）适用于本文件。</w:t>
      </w:r>
    </w:p>
    <w:p>
      <w:pPr>
        <w:ind w:firstLine="420" w:firstLineChars="200"/>
        <w:jc w:val="left"/>
        <w:rPr>
          <w:rFonts w:eastAsiaTheme="minorEastAsia"/>
          <w:color w:val="auto"/>
        </w:rPr>
      </w:pPr>
      <w:r>
        <w:rPr>
          <w:rFonts w:eastAsiaTheme="minorEastAsia"/>
          <w:color w:val="auto"/>
        </w:rPr>
        <w:t xml:space="preserve">GB/T </w:t>
      </w:r>
      <w:r>
        <w:rPr>
          <w:rFonts w:hint="eastAsia" w:eastAsiaTheme="minorEastAsia"/>
          <w:color w:val="auto"/>
          <w:lang w:val="en-US" w:eastAsia="zh-CN"/>
        </w:rPr>
        <w:t>3634.2</w:t>
      </w:r>
      <w:r>
        <w:rPr>
          <w:rFonts w:eastAsiaTheme="minorEastAsia"/>
          <w:color w:val="auto"/>
        </w:rPr>
        <w:t xml:space="preserve"> 纯氢、高纯氢和超纯氢</w:t>
      </w:r>
    </w:p>
    <w:p>
      <w:pPr>
        <w:ind w:firstLine="420" w:firstLineChars="200"/>
        <w:jc w:val="left"/>
        <w:rPr>
          <w:rFonts w:eastAsiaTheme="minorEastAsia"/>
          <w:color w:val="auto"/>
        </w:rPr>
      </w:pPr>
      <w:r>
        <w:rPr>
          <w:rFonts w:hint="eastAsia" w:eastAsiaTheme="minorEastAsia"/>
          <w:color w:val="auto"/>
        </w:rPr>
        <w:t>GB/T 6678 化工产品采样总则</w:t>
      </w:r>
    </w:p>
    <w:p>
      <w:pPr>
        <w:ind w:firstLine="420" w:firstLineChars="200"/>
        <w:jc w:val="left"/>
        <w:rPr>
          <w:rFonts w:hint="eastAsia" w:eastAsiaTheme="minorEastAsia"/>
          <w:color w:val="auto"/>
        </w:rPr>
      </w:pPr>
      <w:r>
        <w:rPr>
          <w:rFonts w:hint="eastAsia" w:eastAsiaTheme="minorEastAsia"/>
          <w:color w:val="auto"/>
        </w:rPr>
        <w:t>GB/T 6680 液体化工产品采样通则</w:t>
      </w:r>
    </w:p>
    <w:p>
      <w:pPr>
        <w:ind w:firstLine="420" w:firstLineChars="200"/>
        <w:jc w:val="left"/>
        <w:rPr>
          <w:rFonts w:hint="default" w:eastAsiaTheme="minorEastAsia"/>
          <w:color w:val="auto"/>
          <w:lang w:val="en-US"/>
        </w:rPr>
      </w:pPr>
      <w:r>
        <w:rPr>
          <w:rFonts w:hint="eastAsia" w:eastAsiaTheme="minorEastAsia"/>
          <w:color w:val="auto"/>
        </w:rPr>
        <w:t>GB/T 972</w:t>
      </w:r>
      <w:r>
        <w:rPr>
          <w:rFonts w:hint="eastAsia" w:eastAsiaTheme="minorEastAsia"/>
          <w:color w:val="auto"/>
          <w:lang w:val="en-US" w:eastAsia="zh-CN"/>
        </w:rPr>
        <w:t>2 化学试剂 气相色谱法通则</w:t>
      </w:r>
    </w:p>
    <w:p>
      <w:pPr>
        <w:pStyle w:val="19"/>
        <w:spacing w:before="312" w:after="312"/>
        <w:ind w:left="0"/>
        <w:jc w:val="left"/>
        <w:rPr>
          <w:rFonts w:ascii="Times New Roman"/>
          <w:color w:val="auto"/>
        </w:rPr>
      </w:pPr>
      <w:bookmarkStart w:id="5" w:name="_Toc325636227"/>
      <w:bookmarkEnd w:id="5"/>
      <w:r>
        <w:rPr>
          <w:rFonts w:ascii="Times New Roman"/>
          <w:color w:val="auto"/>
        </w:rPr>
        <w:t>方法原理</w:t>
      </w:r>
    </w:p>
    <w:p>
      <w:pPr>
        <w:pStyle w:val="14"/>
        <w:jc w:val="left"/>
        <w:rPr>
          <w:rFonts w:ascii="Times New Roman" w:eastAsiaTheme="minorEastAsia"/>
          <w:color w:val="auto"/>
          <w:szCs w:val="22"/>
        </w:rPr>
      </w:pPr>
      <w:r>
        <w:rPr>
          <w:rFonts w:hint="eastAsia" w:ascii="Times New Roman" w:eastAsiaTheme="minorEastAsia"/>
          <w:color w:val="auto"/>
          <w:szCs w:val="22"/>
        </w:rPr>
        <w:t>采用气相色谱仪，在规定的条件下将适量的试样注入配有热导检测器（TCD）的气相色谱仪中，</w:t>
      </w:r>
      <w:r>
        <w:rPr>
          <w:rFonts w:hint="eastAsia" w:ascii="Times New Roman" w:eastAsiaTheme="minorEastAsia"/>
          <w:color w:val="auto"/>
          <w:szCs w:val="22"/>
          <w:lang w:val="en-US" w:eastAsia="zh-CN"/>
        </w:rPr>
        <w:t>六氯乙硅烷中各组分</w:t>
      </w:r>
      <w:r>
        <w:rPr>
          <w:rFonts w:hint="eastAsia" w:ascii="Times New Roman" w:eastAsiaTheme="minorEastAsia"/>
          <w:color w:val="auto"/>
          <w:szCs w:val="22"/>
        </w:rPr>
        <w:t>被色谱柱有效地分离，通过面积归一化法计算各组分的含量</w:t>
      </w:r>
      <w:r>
        <w:rPr>
          <w:rFonts w:hint="eastAsia" w:ascii="Times New Roman" w:eastAsiaTheme="minorEastAsia"/>
          <w:color w:val="auto"/>
          <w:szCs w:val="22"/>
          <w:lang w:eastAsia="zh-CN"/>
        </w:rPr>
        <w:t>。</w:t>
      </w:r>
    </w:p>
    <w:p>
      <w:pPr>
        <w:pStyle w:val="19"/>
        <w:spacing w:before="312" w:after="312"/>
        <w:ind w:left="0"/>
        <w:jc w:val="left"/>
        <w:rPr>
          <w:rFonts w:ascii="Times New Roman"/>
          <w:color w:val="auto"/>
        </w:rPr>
      </w:pPr>
      <w:r>
        <w:rPr>
          <w:rFonts w:ascii="Times New Roman"/>
          <w:color w:val="auto"/>
        </w:rPr>
        <w:t>试剂和材料</w:t>
      </w:r>
    </w:p>
    <w:p>
      <w:pPr>
        <w:jc w:val="left"/>
        <w:rPr>
          <w:rFonts w:eastAsiaTheme="minorEastAsia"/>
          <w:color w:val="auto"/>
          <w:szCs w:val="21"/>
        </w:rPr>
      </w:pPr>
      <w:r>
        <w:rPr>
          <w:rFonts w:eastAsiaTheme="minorEastAsia"/>
          <w:color w:val="auto"/>
        </w:rPr>
        <w:t xml:space="preserve">4.1  </w:t>
      </w:r>
      <w:r>
        <w:rPr>
          <w:rFonts w:hint="eastAsia" w:eastAsiaTheme="minorEastAsia"/>
          <w:color w:val="auto"/>
          <w:lang w:eastAsia="zh-CN"/>
        </w:rPr>
        <w:t>载气：</w:t>
      </w:r>
      <w:r>
        <w:rPr>
          <w:rFonts w:eastAsiaTheme="minorEastAsia"/>
          <w:color w:val="auto"/>
          <w:kern w:val="0"/>
          <w:szCs w:val="20"/>
        </w:rPr>
        <w:t>氢气</w:t>
      </w:r>
      <w:r>
        <w:rPr>
          <w:rFonts w:hint="eastAsia" w:eastAsiaTheme="minorEastAsia"/>
          <w:color w:val="auto"/>
          <w:kern w:val="0"/>
          <w:szCs w:val="20"/>
          <w:lang w:eastAsia="zh-CN"/>
        </w:rPr>
        <w:t>，</w:t>
      </w:r>
      <w:r>
        <w:rPr>
          <w:rFonts w:eastAsiaTheme="minorEastAsia"/>
          <w:color w:val="auto"/>
          <w:kern w:val="0"/>
          <w:szCs w:val="20"/>
        </w:rPr>
        <w:t>纯度</w:t>
      </w:r>
      <w:r>
        <w:rPr>
          <w:rFonts w:hint="eastAsia" w:eastAsiaTheme="minorEastAsia"/>
          <w:color w:val="auto"/>
          <w:kern w:val="0"/>
          <w:szCs w:val="20"/>
          <w:lang w:eastAsia="zh-CN"/>
        </w:rPr>
        <w:t>不小于</w:t>
      </w:r>
      <w:r>
        <w:rPr>
          <w:rFonts w:eastAsiaTheme="minorEastAsia"/>
          <w:color w:val="auto"/>
          <w:kern w:val="0"/>
          <w:szCs w:val="20"/>
        </w:rPr>
        <w:t>99.999 %</w:t>
      </w:r>
      <w:r>
        <w:rPr>
          <w:rFonts w:hint="eastAsia" w:asciiTheme="minorEastAsia" w:hAnsiTheme="minorEastAsia" w:eastAsiaTheme="minorEastAsia"/>
          <w:color w:val="000000" w:themeColor="text1"/>
          <w:szCs w:val="21"/>
        </w:rPr>
        <w:t>，需用</w:t>
      </w:r>
      <w:r>
        <w:rPr>
          <w:rFonts w:hint="eastAsia" w:asciiTheme="minorEastAsia" w:hAnsiTheme="minorEastAsia" w:eastAsiaTheme="minorEastAsia"/>
          <w:color w:val="000000" w:themeColor="text1"/>
          <w:szCs w:val="21"/>
          <w:lang w:eastAsia="zh-CN"/>
        </w:rPr>
        <w:t>硅胶和</w:t>
      </w:r>
      <w:r>
        <w:rPr>
          <w:rFonts w:hint="eastAsia" w:asciiTheme="minorEastAsia" w:hAnsiTheme="minorEastAsia" w:eastAsiaTheme="minorEastAsia"/>
          <w:color w:val="000000" w:themeColor="text1"/>
          <w:szCs w:val="21"/>
        </w:rPr>
        <w:t>分子筛干燥净化</w:t>
      </w:r>
      <w:r>
        <w:rPr>
          <w:rFonts w:hint="eastAsia" w:eastAsiaTheme="minorEastAsia"/>
          <w:color w:val="auto"/>
          <w:szCs w:val="21"/>
        </w:rPr>
        <w:t>；</w:t>
      </w:r>
    </w:p>
    <w:p>
      <w:pPr>
        <w:jc w:val="left"/>
        <w:rPr>
          <w:rFonts w:eastAsiaTheme="minorEastAsia"/>
          <w:color w:val="auto"/>
        </w:rPr>
      </w:pPr>
      <w:r>
        <w:rPr>
          <w:rFonts w:eastAsiaTheme="minorEastAsia"/>
          <w:color w:val="auto"/>
        </w:rPr>
        <w:t xml:space="preserve">4.2  </w:t>
      </w:r>
      <w:r>
        <w:rPr>
          <w:rFonts w:hint="eastAsia" w:eastAsiaTheme="minorEastAsia"/>
          <w:color w:val="auto"/>
          <w:lang w:eastAsia="zh-CN"/>
        </w:rPr>
        <w:t>驱动气：</w:t>
      </w:r>
      <w:r>
        <w:rPr>
          <w:rFonts w:eastAsiaTheme="minorEastAsia"/>
          <w:color w:val="auto"/>
        </w:rPr>
        <w:t>氮气</w:t>
      </w:r>
      <w:r>
        <w:rPr>
          <w:rFonts w:hint="eastAsia" w:eastAsiaTheme="minorEastAsia"/>
          <w:color w:val="auto"/>
        </w:rPr>
        <w:t>或空气；</w:t>
      </w:r>
    </w:p>
    <w:p>
      <w:pPr>
        <w:jc w:val="left"/>
        <w:rPr>
          <w:rFonts w:eastAsiaTheme="minorEastAsia"/>
          <w:color w:val="auto"/>
        </w:rPr>
      </w:pPr>
      <w:r>
        <w:rPr>
          <w:rFonts w:eastAsiaTheme="minorEastAsia"/>
          <w:color w:val="auto"/>
        </w:rPr>
        <w:t>4.3  尾气吸收溶液：20 g/L的氢氧化钠溶液</w:t>
      </w:r>
      <w:r>
        <w:rPr>
          <w:rFonts w:hint="eastAsia" w:eastAsiaTheme="minorEastAsia"/>
          <w:color w:val="auto"/>
          <w:lang w:eastAsia="zh-CN"/>
        </w:rPr>
        <w:t>或其他等效材料</w:t>
      </w:r>
      <w:r>
        <w:rPr>
          <w:rFonts w:eastAsiaTheme="minorEastAsia"/>
          <w:color w:val="auto"/>
        </w:rPr>
        <w:t>。</w:t>
      </w:r>
    </w:p>
    <w:p>
      <w:pPr>
        <w:pStyle w:val="19"/>
        <w:spacing w:before="312" w:after="312"/>
        <w:ind w:left="0"/>
        <w:jc w:val="left"/>
        <w:rPr>
          <w:rFonts w:ascii="Times New Roman"/>
          <w:color w:val="auto"/>
        </w:rPr>
      </w:pPr>
      <w:r>
        <w:rPr>
          <w:rFonts w:hint="eastAsia" w:ascii="Times New Roman"/>
          <w:color w:val="auto"/>
        </w:rPr>
        <w:t>仪器和设备</w:t>
      </w:r>
    </w:p>
    <w:p>
      <w:pPr>
        <w:jc w:val="left"/>
        <w:rPr>
          <w:rFonts w:eastAsiaTheme="minorEastAsia"/>
          <w:color w:val="auto"/>
        </w:rPr>
      </w:pPr>
      <w:r>
        <w:rPr>
          <w:rFonts w:eastAsiaTheme="minorEastAsia"/>
          <w:color w:val="auto"/>
        </w:rPr>
        <w:t>5.1  气相色谱仪：配备热导池检测器（TCD）</w:t>
      </w:r>
      <w:r>
        <w:rPr>
          <w:rFonts w:hint="eastAsia" w:asciiTheme="minorEastAsia" w:hAnsiTheme="minorEastAsia" w:eastAsiaTheme="minorEastAsia"/>
        </w:rPr>
        <w:t>，整机的稳定性和灵敏度应符合GB/T 972</w:t>
      </w:r>
      <w:r>
        <w:rPr>
          <w:rFonts w:hint="eastAsia" w:asciiTheme="minorEastAsia" w:hAnsiTheme="minorEastAsia" w:eastAsiaTheme="minorEastAsia"/>
          <w:lang w:val="en-US" w:eastAsia="zh-CN"/>
        </w:rPr>
        <w:t>2</w:t>
      </w:r>
      <w:r>
        <w:rPr>
          <w:rFonts w:hint="eastAsia" w:asciiTheme="minorEastAsia" w:hAnsiTheme="minorEastAsia" w:eastAsiaTheme="minorEastAsia"/>
        </w:rPr>
        <w:t>的要求</w:t>
      </w:r>
      <w:r>
        <w:rPr>
          <w:rFonts w:hint="eastAsia" w:eastAsiaTheme="minorEastAsia"/>
          <w:color w:val="auto"/>
        </w:rPr>
        <w:t>；</w:t>
      </w:r>
    </w:p>
    <w:p>
      <w:pPr>
        <w:jc w:val="left"/>
        <w:rPr>
          <w:rFonts w:hint="eastAsia" w:eastAsiaTheme="minorEastAsia"/>
          <w:color w:val="auto"/>
        </w:rPr>
      </w:pPr>
      <w:r>
        <w:rPr>
          <w:rFonts w:eastAsiaTheme="minorEastAsia"/>
          <w:color w:val="auto"/>
        </w:rPr>
        <w:t xml:space="preserve">5.2  </w:t>
      </w:r>
      <w:r>
        <w:rPr>
          <w:rFonts w:hint="eastAsia" w:eastAsiaTheme="minorEastAsia"/>
          <w:color w:val="auto"/>
        </w:rPr>
        <w:t>氢气发生器；</w:t>
      </w:r>
    </w:p>
    <w:p>
      <w:pPr>
        <w:jc w:val="left"/>
        <w:rPr>
          <w:rFonts w:hint="default" w:eastAsiaTheme="minorEastAsia"/>
          <w:color w:val="auto"/>
          <w:lang w:val="en-US" w:eastAsia="zh-CN"/>
        </w:rPr>
      </w:pPr>
      <w:r>
        <w:rPr>
          <w:rFonts w:hint="eastAsia" w:eastAsiaTheme="minorEastAsia"/>
          <w:color w:val="auto"/>
          <w:lang w:val="en-US" w:eastAsia="zh-CN"/>
        </w:rPr>
        <w:t>5.3  色谱工作站或数据处理机；</w:t>
      </w:r>
    </w:p>
    <w:p>
      <w:pPr>
        <w:jc w:val="left"/>
        <w:rPr>
          <w:rFonts w:hint="eastAsia" w:eastAsiaTheme="minorEastAsia"/>
          <w:color w:val="auto"/>
          <w:lang w:eastAsia="zh-CN"/>
        </w:rPr>
      </w:pPr>
      <w:r>
        <w:rPr>
          <w:rFonts w:eastAsiaTheme="minorEastAsia"/>
          <w:color w:val="auto"/>
        </w:rPr>
        <w:t>5.</w:t>
      </w:r>
      <w:r>
        <w:rPr>
          <w:rFonts w:hint="eastAsia" w:eastAsiaTheme="minorEastAsia"/>
          <w:color w:val="auto"/>
          <w:lang w:val="en-US" w:eastAsia="zh-CN"/>
        </w:rPr>
        <w:t>4</w:t>
      </w:r>
      <w:r>
        <w:rPr>
          <w:rFonts w:eastAsiaTheme="minorEastAsia"/>
          <w:color w:val="auto"/>
        </w:rPr>
        <w:t xml:space="preserve">  色谱柱：100 </w:t>
      </w:r>
      <w:r>
        <w:rPr>
          <w:rFonts w:hint="eastAsia" w:eastAsiaTheme="minorEastAsia"/>
          <w:color w:val="auto"/>
        </w:rPr>
        <w:t>%二甲基聚硅氧烷</w:t>
      </w:r>
      <w:r>
        <w:rPr>
          <w:rFonts w:hint="eastAsia" w:eastAsiaTheme="minorEastAsia"/>
          <w:color w:val="auto"/>
          <w:lang w:eastAsia="zh-CN"/>
        </w:rPr>
        <w:t>或能达到同等分离程度的填充柱、毛细管柱；</w:t>
      </w:r>
    </w:p>
    <w:p>
      <w:pPr>
        <w:jc w:val="left"/>
        <w:rPr>
          <w:rFonts w:hAnsi="宋体"/>
          <w:color w:val="auto"/>
        </w:rPr>
      </w:pPr>
      <w:r>
        <w:rPr>
          <w:rFonts w:hint="eastAsia" w:hAnsi="宋体"/>
          <w:color w:val="auto"/>
        </w:rPr>
        <w:t>5.</w:t>
      </w:r>
      <w:r>
        <w:rPr>
          <w:rFonts w:hint="eastAsia" w:hAnsi="宋体"/>
          <w:color w:val="auto"/>
          <w:lang w:val="en-US" w:eastAsia="zh-CN"/>
        </w:rPr>
        <w:t>5</w:t>
      </w:r>
      <w:r>
        <w:rPr>
          <w:rFonts w:hAnsi="宋体"/>
          <w:color w:val="auto"/>
        </w:rPr>
        <w:t xml:space="preserve">  </w:t>
      </w:r>
      <w:r>
        <w:rPr>
          <w:rFonts w:hint="eastAsia" w:hAnsi="宋体"/>
          <w:color w:val="auto"/>
        </w:rPr>
        <w:t>微量</w:t>
      </w:r>
      <w:r>
        <w:rPr>
          <w:rFonts w:hint="eastAsia" w:hAnsi="宋体"/>
          <w:color w:val="auto"/>
          <w:lang w:eastAsia="zh-CN"/>
        </w:rPr>
        <w:t>注射器</w:t>
      </w:r>
      <w:r>
        <w:rPr>
          <w:rFonts w:hint="eastAsia" w:hAnsi="宋体"/>
          <w:color w:val="auto"/>
        </w:rPr>
        <w:t>：10</w:t>
      </w:r>
      <w:r>
        <w:rPr>
          <w:rFonts w:hAnsi="宋体"/>
          <w:color w:val="auto"/>
        </w:rPr>
        <w:t xml:space="preserve"> </w:t>
      </w:r>
      <w:r>
        <w:rPr>
          <w:color w:val="auto"/>
        </w:rPr>
        <w:t>μL</w:t>
      </w:r>
    </w:p>
    <w:p>
      <w:pPr>
        <w:pStyle w:val="19"/>
        <w:spacing w:before="312" w:after="312"/>
        <w:ind w:left="0"/>
        <w:jc w:val="left"/>
        <w:rPr>
          <w:rFonts w:ascii="Times New Roman"/>
          <w:color w:val="auto"/>
        </w:rPr>
      </w:pPr>
      <w:bookmarkStart w:id="6" w:name="_Toc325641018"/>
      <w:bookmarkStart w:id="7" w:name="_Toc278274915"/>
      <w:bookmarkStart w:id="8" w:name="_Toc278274740"/>
      <w:bookmarkStart w:id="9" w:name="_Toc278274761"/>
      <w:r>
        <w:rPr>
          <w:rFonts w:hint="eastAsia" w:ascii="Times New Roman"/>
          <w:color w:val="auto"/>
        </w:rPr>
        <w:t>分析步骤</w:t>
      </w:r>
      <w:bookmarkEnd w:id="6"/>
      <w:bookmarkEnd w:id="7"/>
      <w:bookmarkEnd w:id="8"/>
      <w:bookmarkEnd w:id="9"/>
    </w:p>
    <w:p>
      <w:pPr>
        <w:pStyle w:val="14"/>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r>
        <w:rPr>
          <w:rFonts w:hint="eastAsia" w:ascii="Times New Roman" w:cs="Times New Roman"/>
          <w:color w:val="auto"/>
          <w:lang w:val="en-US" w:eastAsia="zh-CN"/>
        </w:rPr>
        <w:t>1</w:t>
      </w:r>
      <w:r>
        <w:rPr>
          <w:rFonts w:hint="default" w:ascii="Times New Roman" w:hAnsi="Times New Roman" w:cs="Times New Roman"/>
          <w:color w:val="auto"/>
          <w:lang w:val="en-US" w:eastAsia="zh-CN"/>
        </w:rPr>
        <w:t xml:space="preserve"> 取样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采样用取样瓶应清洁干燥，取样时应尽量避免与空气接触，取样结束后应立即加盖密封。</w:t>
      </w:r>
    </w:p>
    <w:p>
      <w:pPr>
        <w:pStyle w:val="14"/>
        <w:ind w:left="0" w:leftChars="0" w:firstLine="0" w:firstLineChars="0"/>
        <w:rPr>
          <w:rFonts w:hint="eastAsia" w:asciiTheme="minorEastAsia" w:hAnsiTheme="minorEastAsia" w:eastAsiaTheme="minorEastAsia"/>
          <w:color w:val="auto"/>
          <w:lang w:eastAsia="zh-CN"/>
        </w:rPr>
      </w:pPr>
      <w:r>
        <w:rPr>
          <w:rFonts w:hint="eastAsia" w:ascii="Times New Roman" w:hAnsi="Times New Roman" w:cs="Times New Roman"/>
          <w:color w:val="auto"/>
          <w:szCs w:val="22"/>
          <w:lang w:val="en-US" w:eastAsia="zh-CN"/>
        </w:rPr>
        <w:t>6.2  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olor w:val="auto"/>
          <w:lang w:val="en-US"/>
        </w:rPr>
      </w:pPr>
      <w:r>
        <w:rPr>
          <w:rFonts w:hint="eastAsia" w:asciiTheme="minorEastAsia" w:hAnsiTheme="minorEastAsia" w:eastAsiaTheme="minorEastAsia"/>
          <w:szCs w:val="21"/>
        </w:rPr>
        <w:t>气相色谱仪启动后进行必要的调节，</w:t>
      </w:r>
      <w:r>
        <w:rPr>
          <w:rFonts w:hint="eastAsia" w:asciiTheme="minorEastAsia" w:hAnsiTheme="minorEastAsia" w:eastAsiaTheme="minorEastAsia"/>
          <w:szCs w:val="21"/>
          <w:lang w:eastAsia="zh-CN"/>
        </w:rPr>
        <w:t>以达到适宜的色谱操作条件和其他适宜的条件。当色谱仪达到设定的操作条件并稳定后，</w:t>
      </w:r>
      <w:r>
        <w:rPr>
          <w:rFonts w:hint="eastAsia" w:asciiTheme="minorEastAsia" w:hAnsiTheme="minorEastAsia" w:eastAsiaTheme="minorEastAsia"/>
          <w:color w:val="auto"/>
        </w:rPr>
        <w:t>用微量</w:t>
      </w:r>
      <w:r>
        <w:rPr>
          <w:rFonts w:hint="eastAsia" w:asciiTheme="minorEastAsia" w:hAnsiTheme="minorEastAsia" w:eastAsiaTheme="minorEastAsia"/>
          <w:color w:val="auto"/>
          <w:lang w:eastAsia="zh-CN"/>
        </w:rPr>
        <w:t>注射器</w:t>
      </w:r>
      <w:r>
        <w:rPr>
          <w:rFonts w:hint="eastAsia" w:asciiTheme="minorEastAsia" w:hAnsiTheme="minorEastAsia" w:eastAsiaTheme="minorEastAsia"/>
          <w:color w:val="auto"/>
        </w:rPr>
        <w:t>取</w:t>
      </w:r>
      <w:r>
        <w:rPr>
          <w:rFonts w:eastAsiaTheme="minorEastAsia"/>
          <w:color w:val="auto"/>
        </w:rPr>
        <w:t xml:space="preserve">1 μL </w:t>
      </w:r>
      <w:r>
        <w:rPr>
          <w:rFonts w:hint="eastAsia" w:eastAsiaTheme="minorEastAsia"/>
          <w:color w:val="auto"/>
          <w:lang w:eastAsia="zh-CN"/>
        </w:rPr>
        <w:t>六氯乙硅烷</w:t>
      </w:r>
      <w:r>
        <w:rPr>
          <w:rFonts w:hint="eastAsia" w:asciiTheme="minorEastAsia" w:hAnsiTheme="minorEastAsia" w:eastAsiaTheme="minorEastAsia"/>
          <w:color w:val="auto"/>
        </w:rPr>
        <w:t>样品，快速注入气相色谱仪进样口，</w:t>
      </w:r>
      <w:r>
        <w:rPr>
          <w:rFonts w:hint="eastAsia" w:asciiTheme="minorEastAsia" w:hAnsiTheme="minorEastAsia" w:eastAsiaTheme="minorEastAsia"/>
          <w:color w:val="auto"/>
          <w:lang w:eastAsia="zh-CN"/>
        </w:rPr>
        <w:t>开始测定，</w:t>
      </w:r>
      <w:r>
        <w:rPr>
          <w:rFonts w:hint="eastAsia" w:asciiTheme="minorEastAsia" w:hAnsiTheme="minorEastAsia" w:eastAsiaTheme="minorEastAsia"/>
          <w:szCs w:val="21"/>
        </w:rPr>
        <w:t>用色谱工作站记录各组分的峰面积</w:t>
      </w:r>
      <w:r>
        <w:rPr>
          <w:rFonts w:hint="eastAsia" w:asciiTheme="minorEastAsia" w:hAnsiTheme="minorEastAsia" w:eastAsiaTheme="minorEastAsia"/>
          <w:szCs w:val="21"/>
          <w:lang w:eastAsia="zh-CN"/>
        </w:rPr>
        <w:t>，</w:t>
      </w:r>
      <w:r>
        <w:rPr>
          <w:rFonts w:hint="eastAsia" w:asciiTheme="minorEastAsia" w:hAnsiTheme="minorEastAsia" w:eastAsiaTheme="minorEastAsia"/>
          <w:color w:val="auto"/>
        </w:rPr>
        <w:t>采用面积归一化法进行定量计算样品中各组分含量。</w:t>
      </w:r>
      <w:r>
        <w:rPr>
          <w:rFonts w:hint="eastAsia" w:asciiTheme="minorEastAsia" w:hAnsiTheme="minorEastAsia" w:eastAsiaTheme="minorEastAsia"/>
          <w:szCs w:val="21"/>
        </w:rPr>
        <w:t>推荐的气相色谱测定条件参见</w:t>
      </w:r>
      <w:r>
        <w:rPr>
          <w:rFonts w:hint="eastAsia" w:asciiTheme="minorEastAsia" w:hAnsiTheme="minorEastAsia" w:eastAsiaTheme="minorEastAsia"/>
          <w:szCs w:val="21"/>
          <w:lang w:val="en-US" w:eastAsia="zh-CN"/>
        </w:rPr>
        <w:t>附录A.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olor w:val="auto"/>
        </w:rPr>
      </w:pPr>
      <w:r>
        <w:rPr>
          <w:rFonts w:hint="eastAsia" w:asciiTheme="minorEastAsia" w:hAnsiTheme="minorEastAsia" w:eastAsiaTheme="minorEastAsia"/>
          <w:szCs w:val="21"/>
        </w:rPr>
        <w:t>取平行测定结果的算数平均值为测定结果</w:t>
      </w:r>
      <w:r>
        <w:rPr>
          <w:rFonts w:hint="eastAsia" w:asciiTheme="minorEastAsia" w:hAnsiTheme="minorEastAsia" w:eastAsiaTheme="minorEastAsia"/>
          <w:color w:val="auto"/>
        </w:rPr>
        <w:t>。</w:t>
      </w:r>
    </w:p>
    <w:p>
      <w:pPr>
        <w:pStyle w:val="19"/>
        <w:spacing w:before="312" w:after="312"/>
        <w:ind w:left="0"/>
        <w:jc w:val="left"/>
        <w:rPr>
          <w:rFonts w:ascii="Times New Roman"/>
          <w:color w:val="auto"/>
        </w:rPr>
      </w:pPr>
      <w:r>
        <w:rPr>
          <w:rFonts w:hint="eastAsia" w:ascii="Times New Roman"/>
          <w:color w:val="auto"/>
        </w:rPr>
        <w:t>结果计算与表述</w:t>
      </w:r>
    </w:p>
    <w:p>
      <w:pPr>
        <w:pStyle w:val="19"/>
        <w:numPr>
          <w:ilvl w:val="0"/>
          <w:numId w:val="0"/>
        </w:numPr>
        <w:spacing w:before="312" w:after="312"/>
        <w:ind w:firstLine="315" w:firstLineChars="150"/>
        <w:rPr>
          <w:rFonts w:ascii="Times New Roman" w:eastAsiaTheme="minorEastAsia"/>
          <w:color w:val="auto"/>
        </w:rPr>
      </w:pPr>
      <w:r>
        <w:rPr>
          <w:rFonts w:hint="eastAsia" w:ascii="Times New Roman" w:eastAsiaTheme="minorEastAsia"/>
          <w:color w:val="auto"/>
          <w:lang w:eastAsia="zh-CN"/>
        </w:rPr>
        <w:t>六氯乙硅烷</w:t>
      </w:r>
      <w:r>
        <w:rPr>
          <w:rFonts w:ascii="Times New Roman" w:eastAsiaTheme="minorEastAsia"/>
          <w:color w:val="auto"/>
        </w:rPr>
        <w:t>中</w:t>
      </w:r>
      <w:r>
        <w:rPr>
          <w:rFonts w:hint="eastAsia" w:ascii="Times New Roman" w:eastAsiaTheme="minorEastAsia"/>
          <w:color w:val="auto"/>
          <w:lang w:eastAsia="zh-CN"/>
        </w:rPr>
        <w:t>各组分</w:t>
      </w:r>
      <w:r>
        <w:rPr>
          <w:rFonts w:ascii="Times New Roman" w:eastAsiaTheme="minorEastAsia"/>
          <w:color w:val="auto"/>
        </w:rPr>
        <w:t>的含量</w:t>
      </w:r>
      <w:r>
        <w:rPr>
          <w:rFonts w:ascii="Times New Roman" w:eastAsia="宋体"/>
          <w:color w:val="auto"/>
        </w:rPr>
        <w:t>按式（1）计算，结果以质量分数表示：</w:t>
      </w:r>
    </w:p>
    <w:p>
      <w:pPr>
        <w:pStyle w:val="56"/>
        <w:jc w:val="right"/>
        <w:rPr>
          <w:rFonts w:ascii="Times New Roman" w:eastAsia="黑体"/>
          <w:color w:val="auto"/>
        </w:rPr>
      </w:pPr>
      <m:oMath>
        <m:sSub>
          <m:sSubPr>
            <m:ctrlPr>
              <w:rPr>
                <w:rFonts w:ascii="Cambria Math" w:hAnsi="Cambria Math"/>
                <w:color w:val="auto"/>
                <w:sz w:val="21"/>
                <w:szCs w:val="21"/>
              </w:rPr>
            </m:ctrlPr>
          </m:sSubPr>
          <m:e>
            <m:r>
              <w:rPr>
                <w:rFonts w:ascii="Cambria Math" w:hAnsi="Cambria Math"/>
                <w:color w:val="auto"/>
                <w:sz w:val="21"/>
                <w:szCs w:val="21"/>
              </w:rPr>
              <m:t>W</m:t>
            </m:r>
            <m:ctrlPr>
              <w:rPr>
                <w:rFonts w:ascii="Cambria Math" w:hAnsi="Cambria Math"/>
                <w:color w:val="auto"/>
                <w:sz w:val="21"/>
                <w:szCs w:val="21"/>
              </w:rPr>
            </m:ctrlPr>
          </m:e>
          <m:sub>
            <m:r>
              <w:rPr>
                <w:rFonts w:ascii="Cambria Math" w:hAnsi="Cambria Math"/>
                <w:color w:val="auto"/>
                <w:sz w:val="21"/>
                <w:szCs w:val="21"/>
              </w:rPr>
              <m:t>i</m:t>
            </m:r>
            <m:ctrlPr>
              <w:rPr>
                <w:rFonts w:ascii="Cambria Math" w:hAnsi="Cambria Math"/>
                <w:color w:val="auto"/>
                <w:sz w:val="21"/>
                <w:szCs w:val="21"/>
              </w:rPr>
            </m:ctrlPr>
          </m:sub>
        </m:sSub>
        <m:r>
          <m:rPr>
            <m:sty m:val="p"/>
          </m:rPr>
          <w:rPr>
            <w:rFonts w:ascii="Cambria Math" w:hAnsi="Cambria Math"/>
            <w:color w:val="auto"/>
            <w:sz w:val="21"/>
            <w:szCs w:val="21"/>
          </w:rPr>
          <m:t>=</m:t>
        </m:r>
        <m:f>
          <m:fPr>
            <m:ctrlPr>
              <w:rPr>
                <w:rFonts w:ascii="Cambria Math" w:hAnsi="Cambria Math"/>
                <w:color w:val="auto"/>
                <w:sz w:val="21"/>
                <w:szCs w:val="21"/>
              </w:rPr>
            </m:ctrlPr>
          </m:fPr>
          <m:num>
            <m:sSub>
              <m:sSubPr>
                <m:ctrlPr>
                  <w:rPr>
                    <w:rFonts w:ascii="Cambria Math" w:hAnsi="Cambria Math"/>
                    <w:i/>
                    <w:color w:val="auto"/>
                    <w:sz w:val="21"/>
                    <w:szCs w:val="21"/>
                  </w:rPr>
                </m:ctrlPr>
              </m:sSubPr>
              <m:e>
                <m:r>
                  <w:rPr>
                    <w:rFonts w:ascii="Cambria Math" w:hAnsi="Cambria Math"/>
                    <w:color w:val="auto"/>
                    <w:sz w:val="21"/>
                    <w:szCs w:val="21"/>
                  </w:rPr>
                  <m:t>A</m:t>
                </m:r>
                <m:ctrlPr>
                  <w:rPr>
                    <w:rFonts w:ascii="Cambria Math" w:hAnsi="Cambria Math"/>
                    <w:i/>
                    <w:color w:val="auto"/>
                    <w:sz w:val="21"/>
                    <w:szCs w:val="21"/>
                  </w:rPr>
                </m:ctrlPr>
              </m:e>
              <m:sub>
                <m:r>
                  <w:rPr>
                    <w:rFonts w:ascii="Cambria Math" w:hAnsi="Cambria Math"/>
                    <w:color w:val="auto"/>
                    <w:sz w:val="21"/>
                    <w:szCs w:val="21"/>
                  </w:rPr>
                  <m:t>i</m:t>
                </m:r>
                <m:ctrlPr>
                  <w:rPr>
                    <w:rFonts w:ascii="Cambria Math" w:hAnsi="Cambria Math"/>
                    <w:i/>
                    <w:color w:val="auto"/>
                    <w:sz w:val="21"/>
                    <w:szCs w:val="21"/>
                  </w:rPr>
                </m:ctrlPr>
              </m:sub>
            </m:sSub>
            <m:ctrlPr>
              <w:rPr>
                <w:rFonts w:ascii="Cambria Math" w:hAnsi="Cambria Math"/>
                <w:color w:val="auto"/>
                <w:sz w:val="21"/>
                <w:szCs w:val="21"/>
              </w:rPr>
            </m:ctrlPr>
          </m:num>
          <m:den>
            <m:nary>
              <m:naryPr>
                <m:chr m:val="∑"/>
                <m:limLoc m:val="undOvr"/>
                <m:subHide m:val="1"/>
                <m:supHide m:val="1"/>
                <m:ctrlPr>
                  <w:rPr>
                    <w:rFonts w:ascii="Cambria Math" w:hAnsi="Cambria Math"/>
                    <w:color w:val="auto"/>
                    <w:sz w:val="21"/>
                    <w:szCs w:val="21"/>
                  </w:rPr>
                </m:ctrlPr>
              </m:naryPr>
              <m:sub>
                <m:ctrlPr>
                  <w:rPr>
                    <w:rFonts w:ascii="Cambria Math" w:hAnsi="Cambria Math"/>
                    <w:color w:val="auto"/>
                    <w:sz w:val="21"/>
                    <w:szCs w:val="21"/>
                  </w:rPr>
                </m:ctrlPr>
              </m:sub>
              <m:sup>
                <m:ctrlPr>
                  <w:rPr>
                    <w:rFonts w:ascii="Cambria Math" w:hAnsi="Cambria Math"/>
                    <w:color w:val="auto"/>
                    <w:sz w:val="21"/>
                    <w:szCs w:val="21"/>
                  </w:rPr>
                </m:ctrlPr>
              </m:sup>
              <m:e>
                <m:sSub>
                  <m:sSubPr>
                    <m:ctrlPr>
                      <w:rPr>
                        <w:rFonts w:ascii="Cambria Math" w:hAnsi="Cambria Math"/>
                        <w:color w:val="auto"/>
                        <w:sz w:val="21"/>
                        <w:szCs w:val="21"/>
                      </w:rPr>
                    </m:ctrlPr>
                  </m:sSubPr>
                  <m:e>
                    <m:r>
                      <w:rPr>
                        <w:rFonts w:ascii="Cambria Math" w:hAnsi="Cambria Math"/>
                        <w:color w:val="auto"/>
                        <w:sz w:val="21"/>
                        <w:szCs w:val="21"/>
                      </w:rPr>
                      <m:t>A</m:t>
                    </m:r>
                    <m:ctrlPr>
                      <w:rPr>
                        <w:rFonts w:ascii="Cambria Math" w:hAnsi="Cambria Math"/>
                        <w:color w:val="auto"/>
                        <w:sz w:val="21"/>
                        <w:szCs w:val="21"/>
                      </w:rPr>
                    </m:ctrlPr>
                  </m:e>
                  <m:sub>
                    <m:r>
                      <w:rPr>
                        <w:rFonts w:ascii="Cambria Math" w:hAnsi="Cambria Math"/>
                        <w:color w:val="auto"/>
                        <w:sz w:val="21"/>
                        <w:szCs w:val="21"/>
                      </w:rPr>
                      <m:t>i</m:t>
                    </m:r>
                    <m:ctrlPr>
                      <w:rPr>
                        <w:rFonts w:ascii="Cambria Math" w:hAnsi="Cambria Math"/>
                        <w:color w:val="auto"/>
                        <w:sz w:val="21"/>
                        <w:szCs w:val="21"/>
                      </w:rPr>
                    </m:ctrlPr>
                  </m:sub>
                </m:sSub>
                <m:ctrlPr>
                  <w:rPr>
                    <w:rFonts w:ascii="Cambria Math" w:hAnsi="Cambria Math"/>
                    <w:color w:val="auto"/>
                    <w:sz w:val="21"/>
                    <w:szCs w:val="21"/>
                  </w:rPr>
                </m:ctrlPr>
              </m:e>
            </m:nary>
            <m:ctrlPr>
              <w:rPr>
                <w:rFonts w:ascii="Cambria Math" w:hAnsi="Cambria Math"/>
                <w:color w:val="auto"/>
                <w:sz w:val="21"/>
                <w:szCs w:val="21"/>
              </w:rPr>
            </m:ctrlPr>
          </m:den>
        </m:f>
        <m:r>
          <m:rPr>
            <m:sty m:val="p"/>
          </m:rPr>
          <w:rPr>
            <w:rFonts w:ascii="Cambria Math" w:hAnsi="Cambria Math"/>
            <w:color w:val="auto"/>
            <w:sz w:val="21"/>
            <w:szCs w:val="21"/>
          </w:rPr>
          <m:t>×100%</m:t>
        </m:r>
      </m:oMath>
      <w:r>
        <w:rPr>
          <w:rFonts w:ascii="Times New Roman"/>
          <w:color w:val="auto"/>
        </w:rPr>
        <w:t xml:space="preserve">   .... ..............................</w:t>
      </w:r>
      <w:r>
        <w:rPr>
          <w:rFonts w:hint="eastAsia" w:ascii="Times New Roman"/>
          <w:color w:val="auto"/>
        </w:rPr>
        <w:t>.</w:t>
      </w:r>
      <w:r>
        <w:rPr>
          <w:rFonts w:ascii="Times New Roman"/>
          <w:color w:val="auto"/>
        </w:rPr>
        <w:t>.............（1）</w:t>
      </w:r>
    </w:p>
    <w:p>
      <w:pPr>
        <w:pStyle w:val="19"/>
        <w:numPr>
          <w:ilvl w:val="0"/>
          <w:numId w:val="0"/>
        </w:numPr>
        <w:spacing w:before="312" w:after="312"/>
        <w:rPr>
          <w:rFonts w:asciiTheme="minorEastAsia" w:hAnsiTheme="minorEastAsia" w:eastAsiaTheme="minorEastAsia"/>
          <w:color w:val="auto"/>
        </w:rPr>
      </w:pPr>
      <w:r>
        <w:rPr>
          <w:rFonts w:asciiTheme="minorEastAsia" w:hAnsiTheme="minorEastAsia" w:eastAsiaTheme="minorEastAsia"/>
          <w:color w:val="auto"/>
        </w:rPr>
        <w:t>式中：</w:t>
      </w:r>
    </w:p>
    <w:p>
      <w:pPr>
        <w:pStyle w:val="19"/>
        <w:numPr>
          <w:ilvl w:val="0"/>
          <w:numId w:val="0"/>
        </w:numPr>
        <w:spacing w:before="312" w:after="312"/>
        <w:rPr>
          <w:rFonts w:ascii="Times New Roman" w:eastAsiaTheme="minorEastAsia"/>
          <w:color w:val="auto"/>
        </w:rPr>
      </w:pPr>
      <w:r>
        <w:rPr>
          <w:rFonts w:ascii="Times New Roman" w:eastAsiaTheme="minorEastAsia"/>
          <w:color w:val="auto"/>
        </w:rPr>
        <w:t>W</w:t>
      </w:r>
      <w:r>
        <w:rPr>
          <w:rFonts w:ascii="Times New Roman" w:eastAsiaTheme="minorEastAsia"/>
          <w:color w:val="auto"/>
          <w:vertAlign w:val="subscript"/>
        </w:rPr>
        <w:t>i</w:t>
      </w:r>
      <w:r>
        <w:rPr>
          <w:rFonts w:ascii="Times New Roman" w:eastAsiaTheme="minorEastAsia"/>
          <w:color w:val="auto"/>
        </w:rPr>
        <w:t>—</w:t>
      </w:r>
      <w:r>
        <w:rPr>
          <w:rFonts w:hint="eastAsia" w:ascii="Times New Roman" w:eastAsiaTheme="minorEastAsia"/>
          <w:color w:val="auto"/>
          <w:lang w:eastAsia="zh-CN"/>
        </w:rPr>
        <w:t>六氯乙硅烷</w:t>
      </w:r>
      <w:r>
        <w:rPr>
          <w:rFonts w:ascii="Times New Roman" w:eastAsiaTheme="minorEastAsia"/>
          <w:color w:val="auto"/>
        </w:rPr>
        <w:t>中各组分的质量分数（%）；</w:t>
      </w:r>
    </w:p>
    <w:p>
      <w:pPr>
        <w:pStyle w:val="19"/>
        <w:numPr>
          <w:ilvl w:val="0"/>
          <w:numId w:val="0"/>
        </w:numPr>
        <w:spacing w:before="312" w:after="312"/>
        <w:rPr>
          <w:rFonts w:ascii="Times New Roman" w:eastAsiaTheme="minorEastAsia"/>
          <w:color w:val="auto"/>
        </w:rPr>
      </w:pPr>
      <w:r>
        <w:rPr>
          <w:rFonts w:ascii="Times New Roman" w:eastAsiaTheme="minorEastAsia"/>
          <w:color w:val="auto"/>
        </w:rPr>
        <w:t>A</w:t>
      </w:r>
      <w:r>
        <w:rPr>
          <w:rFonts w:ascii="Times New Roman" w:eastAsiaTheme="minorEastAsia"/>
          <w:color w:val="auto"/>
          <w:vertAlign w:val="subscript"/>
        </w:rPr>
        <w:t>i</w:t>
      </w:r>
      <w:r>
        <w:rPr>
          <w:rFonts w:ascii="Times New Roman" w:eastAsiaTheme="minorEastAsia"/>
          <w:color w:val="auto"/>
        </w:rPr>
        <w:t>—</w:t>
      </w:r>
      <w:r>
        <w:rPr>
          <w:rFonts w:hint="eastAsia" w:ascii="Times New Roman" w:eastAsiaTheme="minorEastAsia"/>
          <w:color w:val="auto"/>
          <w:lang w:eastAsia="zh-CN"/>
        </w:rPr>
        <w:t>六氯乙硅烷</w:t>
      </w:r>
      <w:r>
        <w:rPr>
          <w:rFonts w:ascii="Times New Roman" w:eastAsiaTheme="minorEastAsia"/>
          <w:color w:val="auto"/>
        </w:rPr>
        <w:t>中各组分的峰面积（</w:t>
      </w:r>
      <w:r>
        <w:rPr>
          <w:rStyle w:val="57"/>
          <w:rFonts w:ascii="Times New Roman" w:eastAsia="微软雅黑"/>
          <w:color w:val="auto"/>
          <w:shd w:val="clear" w:color="auto" w:fill="FFFFFF"/>
        </w:rPr>
        <w:t> </w:t>
      </w:r>
      <w:r>
        <w:rPr>
          <w:rFonts w:ascii="Times New Roman" w:eastAsiaTheme="minorEastAsia"/>
          <w:color w:val="auto"/>
        </w:rPr>
        <w:t>µV·s）；</w:t>
      </w:r>
    </w:p>
    <w:p>
      <w:pPr>
        <w:pStyle w:val="14"/>
        <w:ind w:firstLine="0" w:firstLineChars="0"/>
        <w:rPr>
          <w:rFonts w:ascii="Times New Roman" w:eastAsiaTheme="minorEastAsia"/>
          <w:color w:val="auto"/>
        </w:rPr>
      </w:pPr>
      <m:oMath>
        <m:nary>
          <m:naryPr>
            <m:chr m:val="∑"/>
            <m:limLoc m:val="undOvr"/>
            <m:subHide m:val="1"/>
            <m:supHide m:val="1"/>
            <m:ctrlPr>
              <w:rPr>
                <w:rFonts w:ascii="Cambria Math" w:hAnsi="Cambria Math" w:eastAsiaTheme="minorEastAsia"/>
                <w:color w:val="auto"/>
              </w:rPr>
            </m:ctrlPr>
          </m:naryPr>
          <m:sub>
            <m:ctrlPr>
              <w:rPr>
                <w:rFonts w:ascii="Cambria Math" w:hAnsi="Cambria Math" w:eastAsiaTheme="minorEastAsia"/>
                <w:color w:val="auto"/>
              </w:rPr>
            </m:ctrlPr>
          </m:sub>
          <m:sup>
            <m:ctrlPr>
              <w:rPr>
                <w:rFonts w:ascii="Cambria Math" w:hAnsi="Cambria Math" w:eastAsiaTheme="minorEastAsia"/>
                <w:color w:val="auto"/>
              </w:rPr>
            </m:ctrlPr>
          </m:sup>
          <m:e>
            <m:sSub>
              <m:sSubPr>
                <m:ctrlPr>
                  <w:rPr>
                    <w:rFonts w:ascii="Cambria Math" w:hAnsi="Cambria Math" w:eastAsiaTheme="minorEastAsia"/>
                    <w:color w:val="auto"/>
                  </w:rPr>
                </m:ctrlPr>
              </m:sSubPr>
              <m:e>
                <m:r>
                  <m:rPr>
                    <m:sty m:val="p"/>
                  </m:rPr>
                  <w:rPr>
                    <w:rFonts w:ascii="Cambria Math" w:hAnsi="Cambria Math" w:eastAsiaTheme="minorEastAsia"/>
                    <w:color w:val="auto"/>
                  </w:rPr>
                  <m:t>A</m:t>
                </m:r>
                <m:ctrlPr>
                  <w:rPr>
                    <w:rFonts w:ascii="Cambria Math" w:hAnsi="Cambria Math" w:eastAsiaTheme="minorEastAsia"/>
                    <w:color w:val="auto"/>
                  </w:rPr>
                </m:ctrlPr>
              </m:e>
              <m:sub>
                <m:r>
                  <w:rPr>
                    <w:rFonts w:ascii="Cambria Math" w:hAnsi="Cambria Math" w:eastAsiaTheme="minorEastAsia"/>
                    <w:color w:val="auto"/>
                  </w:rPr>
                  <m:t>i</m:t>
                </m:r>
                <m:ctrlPr>
                  <w:rPr>
                    <w:rFonts w:ascii="Cambria Math" w:hAnsi="Cambria Math" w:eastAsiaTheme="minorEastAsia"/>
                    <w:color w:val="auto"/>
                  </w:rPr>
                </m:ctrlPr>
              </m:sub>
            </m:sSub>
            <m:ctrlPr>
              <w:rPr>
                <w:rFonts w:ascii="Cambria Math" w:hAnsi="Cambria Math" w:eastAsiaTheme="minorEastAsia"/>
                <w:color w:val="auto"/>
              </w:rPr>
            </m:ctrlPr>
          </m:e>
        </m:nary>
      </m:oMath>
      <w:r>
        <w:rPr>
          <w:rFonts w:ascii="Times New Roman" w:eastAsiaTheme="minorEastAsia"/>
          <w:color w:val="auto"/>
        </w:rPr>
        <w:t>—</w:t>
      </w:r>
      <w:r>
        <w:rPr>
          <w:rFonts w:hint="eastAsia" w:ascii="Times New Roman" w:eastAsiaTheme="minorEastAsia"/>
          <w:color w:val="auto"/>
          <w:lang w:eastAsia="zh-CN"/>
        </w:rPr>
        <w:t>六氯乙硅烷</w:t>
      </w:r>
      <w:r>
        <w:rPr>
          <w:rFonts w:ascii="Times New Roman" w:eastAsiaTheme="minorEastAsia"/>
          <w:color w:val="auto"/>
        </w:rPr>
        <w:t>中</w:t>
      </w:r>
      <w:bookmarkStart w:id="18" w:name="_GoBack"/>
      <w:bookmarkEnd w:id="18"/>
      <w:r>
        <w:rPr>
          <w:rFonts w:ascii="Times New Roman" w:eastAsiaTheme="minorEastAsia"/>
          <w:color w:val="auto"/>
        </w:rPr>
        <w:t>各组分的峰面积之和；</w:t>
      </w:r>
    </w:p>
    <w:p>
      <w:pPr>
        <w:pStyle w:val="19"/>
        <w:spacing w:before="312" w:after="312"/>
        <w:ind w:left="0"/>
        <w:jc w:val="left"/>
        <w:rPr>
          <w:rFonts w:ascii="Times New Roman"/>
          <w:color w:val="auto"/>
        </w:rPr>
      </w:pPr>
      <w:r>
        <w:rPr>
          <w:rFonts w:hint="eastAsia" w:ascii="Times New Roman"/>
          <w:color w:val="auto"/>
        </w:rPr>
        <w:t>精密度</w:t>
      </w:r>
    </w:p>
    <w:p>
      <w:pPr>
        <w:pStyle w:val="16"/>
        <w:numPr>
          <w:ilvl w:val="0"/>
          <w:numId w:val="0"/>
        </w:numPr>
        <w:spacing w:before="156" w:after="156"/>
        <w:rPr>
          <w:color w:val="auto"/>
        </w:rPr>
      </w:pPr>
      <w:r>
        <w:rPr>
          <w:rFonts w:hint="eastAsia"/>
          <w:color w:val="auto"/>
        </w:rPr>
        <w:t>8.1重复性限</w:t>
      </w:r>
    </w:p>
    <w:p>
      <w:pPr>
        <w:pStyle w:val="14"/>
        <w:rPr>
          <w:rFonts w:asciiTheme="minorEastAsia" w:hAnsiTheme="minorEastAsia" w:eastAsiaTheme="minorEastAsia"/>
          <w:color w:val="auto"/>
        </w:rPr>
      </w:pPr>
      <w:r>
        <w:rPr>
          <w:rFonts w:hint="eastAsia" w:asciiTheme="minorEastAsia" w:hAnsiTheme="minorEastAsia" w:eastAsiaTheme="minorEastAsia"/>
          <w:color w:val="auto"/>
        </w:rPr>
        <w:t>在重复性条件下获得的两次独立测试结果的测定值，在表1给出的平均值范围内，这两个测试结果的绝对差值不超过重复性限（</w:t>
      </w:r>
      <w:r>
        <w:rPr>
          <w:rFonts w:hint="eastAsia" w:asciiTheme="minorEastAsia" w:hAnsiTheme="minorEastAsia" w:eastAsiaTheme="minorEastAsia"/>
          <w:i/>
          <w:iCs/>
          <w:color w:val="auto"/>
        </w:rPr>
        <w:t>r</w:t>
      </w:r>
      <w:r>
        <w:rPr>
          <w:rFonts w:hint="eastAsia" w:asciiTheme="minorEastAsia" w:hAnsiTheme="minorEastAsia" w:eastAsiaTheme="minorEastAsia"/>
          <w:color w:val="auto"/>
        </w:rPr>
        <w:t>），超过重复性限(</w:t>
      </w:r>
      <w:r>
        <w:rPr>
          <w:rFonts w:hint="eastAsia" w:asciiTheme="minorEastAsia" w:hAnsiTheme="minorEastAsia" w:eastAsiaTheme="minorEastAsia"/>
          <w:i/>
          <w:iCs/>
          <w:color w:val="auto"/>
        </w:rPr>
        <w:t>r</w:t>
      </w:r>
      <w:r>
        <w:rPr>
          <w:rFonts w:hint="eastAsia" w:asciiTheme="minorEastAsia" w:hAnsiTheme="minorEastAsia" w:eastAsiaTheme="minorEastAsia"/>
          <w:color w:val="auto"/>
        </w:rPr>
        <w:t>)的情况不超过5％，重复性限（</w:t>
      </w:r>
      <w:r>
        <w:rPr>
          <w:rFonts w:hint="eastAsia" w:asciiTheme="minorEastAsia" w:hAnsiTheme="minorEastAsia" w:eastAsiaTheme="minorEastAsia"/>
          <w:i/>
          <w:iCs/>
          <w:color w:val="auto"/>
        </w:rPr>
        <w:t>r</w:t>
      </w:r>
      <w:r>
        <w:rPr>
          <w:rFonts w:hint="eastAsia" w:asciiTheme="minorEastAsia" w:hAnsiTheme="minorEastAsia" w:eastAsiaTheme="minorEastAsia"/>
          <w:color w:val="auto"/>
        </w:rPr>
        <w:t>）按表1数据采用线性内插法求得。</w:t>
      </w:r>
    </w:p>
    <w:p>
      <w:pPr>
        <w:pStyle w:val="42"/>
        <w:tabs>
          <w:tab w:val="left" w:pos="360"/>
          <w:tab w:val="clear" w:pos="720"/>
        </w:tabs>
        <w:spacing w:before="156" w:after="156"/>
        <w:rPr>
          <w:color w:val="auto"/>
        </w:rPr>
      </w:pPr>
      <w:r>
        <w:rPr>
          <w:rFonts w:hint="eastAsia"/>
          <w:color w:val="auto"/>
        </w:rPr>
        <w:t>重复性限</w:t>
      </w:r>
    </w:p>
    <w:tbl>
      <w:tblPr>
        <w:tblStyle w:val="7"/>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418"/>
        <w:gridCol w:w="1417"/>
        <w:gridCol w:w="1418"/>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jc w:val="center"/>
              <w:rPr>
                <w:rFonts w:ascii="宋体" w:hAnsi="宋体"/>
                <w:color w:val="auto"/>
                <w:sz w:val="18"/>
                <w:szCs w:val="18"/>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807" w:type="dxa"/>
            <w:vAlign w:val="center"/>
          </w:tcPr>
          <w:p>
            <w:pPr>
              <w:widowControl/>
              <w:jc w:val="center"/>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jc w:val="center"/>
              <w:rPr>
                <w:rFonts w:ascii="宋体" w:hAnsi="宋体"/>
                <w:color w:val="auto"/>
                <w:sz w:val="18"/>
                <w:szCs w:val="18"/>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807" w:type="dxa"/>
            <w:vAlign w:val="center"/>
          </w:tcPr>
          <w:p>
            <w:pPr>
              <w:widowControl/>
              <w:jc w:val="center"/>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jc w:val="center"/>
              <w:rPr>
                <w:rFonts w:ascii="宋体" w:hAnsi="宋体"/>
                <w:color w:val="auto"/>
                <w:sz w:val="18"/>
                <w:szCs w:val="18"/>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807" w:type="dxa"/>
            <w:vAlign w:val="center"/>
          </w:tcPr>
          <w:p>
            <w:pPr>
              <w:widowControl/>
              <w:jc w:val="center"/>
              <w:rPr>
                <w:rFonts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vAlign w:val="center"/>
          </w:tcPr>
          <w:p>
            <w:pPr>
              <w:jc w:val="center"/>
              <w:rPr>
                <w:rFonts w:ascii="宋体" w:hAnsi="宋体"/>
                <w:color w:val="auto"/>
                <w:sz w:val="18"/>
                <w:szCs w:val="18"/>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417" w:type="dxa"/>
            <w:vAlign w:val="center"/>
          </w:tcPr>
          <w:p>
            <w:pPr>
              <w:widowControl/>
              <w:jc w:val="center"/>
              <w:rPr>
                <w:rFonts w:ascii="宋体" w:hAnsi="宋体" w:cs="宋体"/>
                <w:color w:val="auto"/>
                <w:kern w:val="0"/>
                <w:sz w:val="22"/>
                <w:szCs w:val="22"/>
              </w:rPr>
            </w:pPr>
          </w:p>
        </w:tc>
        <w:tc>
          <w:tcPr>
            <w:tcW w:w="1418" w:type="dxa"/>
            <w:vAlign w:val="center"/>
          </w:tcPr>
          <w:p>
            <w:pPr>
              <w:widowControl/>
              <w:jc w:val="center"/>
              <w:rPr>
                <w:rFonts w:ascii="宋体" w:hAnsi="宋体" w:cs="宋体"/>
                <w:color w:val="auto"/>
                <w:kern w:val="0"/>
                <w:sz w:val="22"/>
                <w:szCs w:val="22"/>
              </w:rPr>
            </w:pPr>
          </w:p>
        </w:tc>
        <w:tc>
          <w:tcPr>
            <w:tcW w:w="1807" w:type="dxa"/>
            <w:vAlign w:val="center"/>
          </w:tcPr>
          <w:p>
            <w:pPr>
              <w:widowControl/>
              <w:jc w:val="center"/>
              <w:rPr>
                <w:rFonts w:ascii="宋体" w:hAnsi="宋体" w:cs="宋体"/>
                <w:color w:val="auto"/>
                <w:kern w:val="0"/>
                <w:sz w:val="22"/>
                <w:szCs w:val="22"/>
              </w:rPr>
            </w:pPr>
          </w:p>
        </w:tc>
      </w:tr>
    </w:tbl>
    <w:p>
      <w:pPr>
        <w:pStyle w:val="16"/>
        <w:numPr>
          <w:ilvl w:val="0"/>
          <w:numId w:val="0"/>
        </w:numPr>
        <w:spacing w:before="156" w:after="156"/>
        <w:rPr>
          <w:color w:val="auto"/>
        </w:rPr>
      </w:pPr>
      <w:r>
        <w:rPr>
          <w:rFonts w:hint="eastAsia"/>
          <w:color w:val="auto"/>
        </w:rPr>
        <w:t>8.2再现性限</w:t>
      </w:r>
    </w:p>
    <w:p>
      <w:pPr>
        <w:pStyle w:val="14"/>
        <w:rPr>
          <w:color w:val="auto"/>
        </w:rPr>
      </w:pPr>
      <w:r>
        <w:rPr>
          <w:rFonts w:hint="eastAsia"/>
          <w:color w:val="auto"/>
        </w:rPr>
        <w:t>在再现性条件下获得的两次独立测试结果的绝对差值不大于再现性限（</w:t>
      </w:r>
      <w:r>
        <w:rPr>
          <w:rFonts w:hint="eastAsia"/>
          <w:i/>
          <w:iCs/>
          <w:color w:val="auto"/>
        </w:rPr>
        <w:t>R</w:t>
      </w:r>
      <w:r>
        <w:rPr>
          <w:rFonts w:hint="eastAsia"/>
          <w:color w:val="auto"/>
        </w:rPr>
        <w:t>），超过再现性限(</w:t>
      </w:r>
      <w:r>
        <w:rPr>
          <w:rFonts w:hint="eastAsia"/>
          <w:i/>
          <w:iCs/>
          <w:color w:val="auto"/>
        </w:rPr>
        <w:t>R</w:t>
      </w:r>
      <w:r>
        <w:rPr>
          <w:rFonts w:hint="eastAsia"/>
          <w:color w:val="auto"/>
        </w:rPr>
        <w:t>)的情况不超过5％，再现性限（</w:t>
      </w:r>
      <w:r>
        <w:rPr>
          <w:rFonts w:hint="eastAsia"/>
          <w:i/>
          <w:iCs/>
          <w:color w:val="auto"/>
        </w:rPr>
        <w:t>R</w:t>
      </w:r>
      <w:r>
        <w:rPr>
          <w:rFonts w:hint="eastAsia"/>
          <w:color w:val="auto"/>
        </w:rPr>
        <w:t>）按表2数据采用线性内插法求得。</w:t>
      </w:r>
    </w:p>
    <w:p>
      <w:pPr>
        <w:pStyle w:val="42"/>
        <w:tabs>
          <w:tab w:val="left" w:pos="360"/>
          <w:tab w:val="clear" w:pos="720"/>
        </w:tabs>
        <w:spacing w:before="156" w:after="156"/>
        <w:rPr>
          <w:color w:val="auto"/>
        </w:rPr>
      </w:pPr>
      <w:r>
        <w:rPr>
          <w:rFonts w:hint="eastAsia"/>
          <w:color w:val="auto"/>
        </w:rPr>
        <w:t>再现性限</w:t>
      </w:r>
    </w:p>
    <w:tbl>
      <w:tblPr>
        <w:tblStyle w:val="7"/>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2289"/>
        <w:gridCol w:w="2391"/>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1" w:type="dxa"/>
            <w:vAlign w:val="center"/>
          </w:tcPr>
          <w:p>
            <w:pPr>
              <w:jc w:val="center"/>
              <w:rPr>
                <w:rFonts w:ascii="宋体" w:hAnsi="宋体"/>
                <w:color w:val="auto"/>
                <w:sz w:val="18"/>
                <w:szCs w:val="18"/>
              </w:rPr>
            </w:pPr>
          </w:p>
        </w:tc>
        <w:tc>
          <w:tcPr>
            <w:tcW w:w="2289" w:type="dxa"/>
            <w:vAlign w:val="center"/>
          </w:tcPr>
          <w:p>
            <w:pPr>
              <w:widowControl/>
              <w:jc w:val="center"/>
              <w:textAlignment w:val="center"/>
              <w:rPr>
                <w:color w:val="auto"/>
                <w:sz w:val="18"/>
                <w:szCs w:val="18"/>
              </w:rPr>
            </w:pPr>
          </w:p>
        </w:tc>
        <w:tc>
          <w:tcPr>
            <w:tcW w:w="2391" w:type="dxa"/>
            <w:vAlign w:val="center"/>
          </w:tcPr>
          <w:p>
            <w:pPr>
              <w:widowControl/>
              <w:jc w:val="center"/>
              <w:textAlignment w:val="center"/>
              <w:rPr>
                <w:color w:val="auto"/>
                <w:sz w:val="18"/>
                <w:szCs w:val="18"/>
              </w:rPr>
            </w:pPr>
          </w:p>
        </w:tc>
        <w:tc>
          <w:tcPr>
            <w:tcW w:w="2389" w:type="dxa"/>
            <w:vAlign w:val="center"/>
          </w:tcPr>
          <w:p>
            <w:pPr>
              <w:widowControl/>
              <w:jc w:val="center"/>
              <w:textAlignment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01" w:type="dxa"/>
            <w:vAlign w:val="center"/>
          </w:tcPr>
          <w:p>
            <w:pPr>
              <w:jc w:val="center"/>
              <w:rPr>
                <w:rFonts w:ascii="宋体" w:hAnsi="宋体"/>
                <w:color w:val="auto"/>
                <w:sz w:val="18"/>
                <w:szCs w:val="18"/>
              </w:rPr>
            </w:pPr>
          </w:p>
        </w:tc>
        <w:tc>
          <w:tcPr>
            <w:tcW w:w="2289" w:type="dxa"/>
            <w:vAlign w:val="center"/>
          </w:tcPr>
          <w:p>
            <w:pPr>
              <w:widowControl/>
              <w:jc w:val="center"/>
              <w:textAlignment w:val="center"/>
              <w:rPr>
                <w:color w:val="auto"/>
                <w:kern w:val="0"/>
                <w:sz w:val="18"/>
                <w:szCs w:val="18"/>
              </w:rPr>
            </w:pPr>
          </w:p>
        </w:tc>
        <w:tc>
          <w:tcPr>
            <w:tcW w:w="2391" w:type="dxa"/>
            <w:vAlign w:val="center"/>
          </w:tcPr>
          <w:p>
            <w:pPr>
              <w:widowControl/>
              <w:jc w:val="center"/>
              <w:textAlignment w:val="center"/>
              <w:rPr>
                <w:color w:val="auto"/>
                <w:kern w:val="0"/>
                <w:sz w:val="18"/>
                <w:szCs w:val="18"/>
              </w:rPr>
            </w:pPr>
          </w:p>
        </w:tc>
        <w:tc>
          <w:tcPr>
            <w:tcW w:w="2389" w:type="dxa"/>
            <w:vAlign w:val="center"/>
          </w:tcPr>
          <w:p>
            <w:pPr>
              <w:widowControl/>
              <w:jc w:val="center"/>
              <w:textAlignment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01" w:type="dxa"/>
            <w:vAlign w:val="center"/>
          </w:tcPr>
          <w:p>
            <w:pPr>
              <w:jc w:val="center"/>
              <w:rPr>
                <w:rFonts w:ascii="宋体" w:hAnsi="宋体"/>
                <w:color w:val="auto"/>
                <w:sz w:val="18"/>
                <w:szCs w:val="18"/>
              </w:rPr>
            </w:pPr>
          </w:p>
        </w:tc>
        <w:tc>
          <w:tcPr>
            <w:tcW w:w="2289" w:type="dxa"/>
            <w:vAlign w:val="center"/>
          </w:tcPr>
          <w:p>
            <w:pPr>
              <w:widowControl/>
              <w:jc w:val="center"/>
              <w:textAlignment w:val="center"/>
              <w:rPr>
                <w:color w:val="auto"/>
                <w:kern w:val="0"/>
                <w:sz w:val="18"/>
                <w:szCs w:val="18"/>
              </w:rPr>
            </w:pPr>
          </w:p>
        </w:tc>
        <w:tc>
          <w:tcPr>
            <w:tcW w:w="2391" w:type="dxa"/>
            <w:vAlign w:val="center"/>
          </w:tcPr>
          <w:p>
            <w:pPr>
              <w:widowControl/>
              <w:jc w:val="center"/>
              <w:textAlignment w:val="center"/>
              <w:rPr>
                <w:color w:val="auto"/>
                <w:kern w:val="0"/>
                <w:sz w:val="18"/>
                <w:szCs w:val="18"/>
              </w:rPr>
            </w:pPr>
          </w:p>
        </w:tc>
        <w:tc>
          <w:tcPr>
            <w:tcW w:w="2389" w:type="dxa"/>
            <w:vAlign w:val="center"/>
          </w:tcPr>
          <w:p>
            <w:pPr>
              <w:widowControl/>
              <w:jc w:val="center"/>
              <w:textAlignment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01" w:type="dxa"/>
            <w:vAlign w:val="center"/>
          </w:tcPr>
          <w:p>
            <w:pPr>
              <w:jc w:val="center"/>
              <w:rPr>
                <w:rFonts w:ascii="宋体" w:hAnsi="宋体"/>
                <w:color w:val="auto"/>
                <w:sz w:val="18"/>
                <w:szCs w:val="18"/>
              </w:rPr>
            </w:pPr>
          </w:p>
        </w:tc>
        <w:tc>
          <w:tcPr>
            <w:tcW w:w="2289" w:type="dxa"/>
            <w:vAlign w:val="center"/>
          </w:tcPr>
          <w:p>
            <w:pPr>
              <w:widowControl/>
              <w:jc w:val="center"/>
              <w:textAlignment w:val="center"/>
              <w:rPr>
                <w:color w:val="auto"/>
                <w:kern w:val="0"/>
                <w:sz w:val="18"/>
                <w:szCs w:val="18"/>
              </w:rPr>
            </w:pPr>
          </w:p>
        </w:tc>
        <w:tc>
          <w:tcPr>
            <w:tcW w:w="2391" w:type="dxa"/>
            <w:vAlign w:val="center"/>
          </w:tcPr>
          <w:p>
            <w:pPr>
              <w:widowControl/>
              <w:jc w:val="center"/>
              <w:textAlignment w:val="center"/>
              <w:rPr>
                <w:color w:val="auto"/>
                <w:kern w:val="0"/>
                <w:sz w:val="18"/>
                <w:szCs w:val="18"/>
              </w:rPr>
            </w:pPr>
          </w:p>
        </w:tc>
        <w:tc>
          <w:tcPr>
            <w:tcW w:w="2389" w:type="dxa"/>
            <w:vAlign w:val="center"/>
          </w:tcPr>
          <w:p>
            <w:pPr>
              <w:widowControl/>
              <w:jc w:val="center"/>
              <w:textAlignment w:val="center"/>
              <w:rPr>
                <w:color w:val="auto"/>
                <w:kern w:val="0"/>
                <w:sz w:val="18"/>
                <w:szCs w:val="18"/>
              </w:rPr>
            </w:pPr>
          </w:p>
        </w:tc>
      </w:tr>
    </w:tbl>
    <w:p>
      <w:pPr>
        <w:pStyle w:val="19"/>
        <w:spacing w:before="312" w:after="312"/>
        <w:ind w:left="0"/>
        <w:jc w:val="left"/>
        <w:rPr>
          <w:rFonts w:ascii="Times New Roman"/>
          <w:color w:val="auto"/>
        </w:rPr>
      </w:pPr>
      <w:bookmarkStart w:id="10" w:name="_Toc278274764"/>
      <w:bookmarkStart w:id="11" w:name="_Toc325641021"/>
      <w:bookmarkStart w:id="12" w:name="_Toc278274750"/>
      <w:bookmarkStart w:id="13" w:name="_Toc255217320"/>
      <w:bookmarkStart w:id="14" w:name="_Toc278274918"/>
      <w:bookmarkStart w:id="15" w:name="_Toc255217274"/>
      <w:bookmarkStart w:id="16" w:name="_Toc255307407"/>
      <w:r>
        <w:rPr>
          <w:rFonts w:hint="eastAsia" w:ascii="Times New Roman"/>
          <w:color w:val="auto"/>
        </w:rPr>
        <w:t>质量保证与控制</w:t>
      </w:r>
      <w:bookmarkEnd w:id="10"/>
      <w:bookmarkEnd w:id="11"/>
      <w:bookmarkEnd w:id="12"/>
      <w:bookmarkEnd w:id="13"/>
      <w:bookmarkEnd w:id="14"/>
      <w:bookmarkEnd w:id="15"/>
      <w:bookmarkEnd w:id="16"/>
    </w:p>
    <w:p>
      <w:pPr>
        <w:pStyle w:val="14"/>
        <w:rPr>
          <w:rFonts w:hint="eastAsia" w:eastAsia="宋体"/>
          <w:color w:val="auto"/>
          <w:lang w:eastAsia="zh-CN"/>
        </w:rPr>
      </w:pPr>
      <w:bookmarkStart w:id="17" w:name="_Toc255217275"/>
      <w:r>
        <w:rPr>
          <w:rFonts w:hint="eastAsia"/>
          <w:color w:val="auto"/>
        </w:rPr>
        <w:t>根据日常样品检测工作量定期校核本分析方法的有效性(例如每天、每周或每月一次)。当过程失控时，应找出原因，纠正错误后，重新进行校核</w:t>
      </w:r>
      <w:bookmarkEnd w:id="17"/>
      <w:r>
        <w:rPr>
          <w:rFonts w:hint="eastAsia"/>
          <w:color w:val="auto"/>
          <w:lang w:eastAsia="zh-CN"/>
        </w:rPr>
        <w:t>。</w:t>
      </w:r>
    </w:p>
    <w:p>
      <w:pPr>
        <w:pStyle w:val="19"/>
        <w:spacing w:before="312" w:after="312"/>
        <w:ind w:left="0"/>
        <w:jc w:val="left"/>
        <w:rPr>
          <w:rFonts w:ascii="Times New Roman"/>
          <w:color w:val="auto"/>
        </w:rPr>
      </w:pPr>
      <w:r>
        <w:rPr>
          <w:rFonts w:hint="eastAsia" w:ascii="Times New Roman"/>
          <w:color w:val="auto"/>
        </w:rPr>
        <w:t>检测报告</w:t>
      </w:r>
    </w:p>
    <w:p>
      <w:pPr>
        <w:pStyle w:val="14"/>
      </w:pPr>
      <w:r>
        <w:rPr>
          <w:rFonts w:hint="eastAsia"/>
        </w:rPr>
        <w:t>报告应包含以下内容：</w:t>
      </w:r>
    </w:p>
    <w:p>
      <w:pPr>
        <w:pStyle w:val="14"/>
      </w:pPr>
      <w:r>
        <w:rPr>
          <w:rFonts w:hint="eastAsia"/>
        </w:rPr>
        <w:t>a)试样</w:t>
      </w:r>
      <w:r>
        <w:rPr>
          <w:rFonts w:hint="eastAsia"/>
          <w:lang w:eastAsia="zh-CN"/>
        </w:rPr>
        <w:t>名称</w:t>
      </w:r>
      <w:r>
        <w:rPr>
          <w:rFonts w:hint="eastAsia"/>
        </w:rPr>
        <w:t>；</w:t>
      </w:r>
    </w:p>
    <w:p>
      <w:pPr>
        <w:pStyle w:val="14"/>
        <w:rPr>
          <w:rFonts w:hint="eastAsia"/>
          <w:lang w:eastAsia="zh-CN"/>
        </w:rPr>
      </w:pPr>
      <w:r>
        <w:rPr>
          <w:rFonts w:hint="eastAsia"/>
        </w:rPr>
        <w:t>b)</w:t>
      </w:r>
      <w:r>
        <w:rPr>
          <w:rFonts w:hint="eastAsia"/>
          <w:lang w:eastAsia="zh-CN"/>
        </w:rPr>
        <w:t>样品状态</w:t>
      </w:r>
    </w:p>
    <w:p>
      <w:pPr>
        <w:pStyle w:val="14"/>
      </w:pPr>
      <w:r>
        <w:rPr>
          <w:rFonts w:hint="eastAsia"/>
        </w:rPr>
        <w:t>c)</w:t>
      </w:r>
      <w:r>
        <w:rPr>
          <w:rFonts w:hint="eastAsia"/>
          <w:lang w:eastAsia="zh-CN"/>
        </w:rPr>
        <w:t>测定</w:t>
      </w:r>
      <w:r>
        <w:rPr>
          <w:rFonts w:hint="eastAsia"/>
        </w:rPr>
        <w:t>结果及表示；</w:t>
      </w:r>
    </w:p>
    <w:p>
      <w:pPr>
        <w:pStyle w:val="27"/>
        <w:numPr>
          <w:ilvl w:val="0"/>
          <w:numId w:val="0"/>
        </w:numPr>
        <w:ind w:left="839" w:hanging="419"/>
      </w:pPr>
      <w:r>
        <w:rPr>
          <w:rFonts w:hint="eastAsia"/>
        </w:rPr>
        <w:t>c)</w:t>
      </w:r>
      <w:r>
        <w:rPr>
          <w:rFonts w:hint="eastAsia"/>
          <w:lang w:eastAsia="zh-CN"/>
        </w:rPr>
        <w:t>分析操作人员</w:t>
      </w:r>
      <w:r>
        <w:rPr>
          <w:rFonts w:hint="eastAsia"/>
        </w:rPr>
        <w:t>；</w:t>
      </w:r>
    </w:p>
    <w:p>
      <w:pPr>
        <w:pStyle w:val="14"/>
      </w:pPr>
      <w:r>
        <w:rPr>
          <w:rFonts w:hint="eastAsia"/>
          <w:lang w:val="en-US" w:eastAsia="zh-CN"/>
        </w:rPr>
        <w:t>d)</w:t>
      </w:r>
      <w:r>
        <w:rPr>
          <w:rFonts w:hint="eastAsia"/>
        </w:rPr>
        <w:t>使用的分析方法</w:t>
      </w:r>
    </w:p>
    <w:p>
      <w:pPr>
        <w:pStyle w:val="14"/>
      </w:pPr>
      <w:r>
        <w:rPr>
          <w:rFonts w:hint="eastAsia"/>
        </w:rPr>
        <w:t>e)试验日期；</w:t>
      </w:r>
    </w:p>
    <w:p>
      <w:pPr>
        <w:pStyle w:val="14"/>
      </w:pPr>
      <w:r>
        <w:rPr>
          <w:rFonts w:hint="eastAsia"/>
        </w:rPr>
        <w:t>f)其他；</w:t>
      </w:r>
    </w:p>
    <w:p>
      <w:pPr>
        <w:rPr>
          <w:color w:val="auto"/>
        </w:rPr>
      </w:pPr>
    </w:p>
    <w:p>
      <w:pPr>
        <w:pStyle w:val="44"/>
        <w:framePr w:hAnchor="page" w:x="4451" w:y="308"/>
        <w:rPr>
          <w:color w:val="auto"/>
        </w:rPr>
      </w:pPr>
      <w:r>
        <w:rPr>
          <w:color w:val="auto"/>
        </w:rPr>
        <w:t>_________________________________</w:t>
      </w:r>
    </w:p>
    <w:p>
      <w:pPr>
        <w:pStyle w:val="14"/>
      </w:pPr>
    </w:p>
    <w:p>
      <w:pPr>
        <w:widowControl/>
        <w:jc w:val="left"/>
        <w:rPr>
          <w:rFonts w:ascii="宋体"/>
          <w:kern w:val="0"/>
          <w:szCs w:val="20"/>
        </w:rPr>
      </w:pPr>
      <w:r>
        <w:br w:type="page"/>
      </w:r>
    </w:p>
    <w:p>
      <w:pPr>
        <w:pStyle w:val="58"/>
      </w:pPr>
      <w:r>
        <w:br w:type="textWrapping"/>
      </w:r>
      <w:r>
        <w:rPr>
          <w:rFonts w:hint="eastAsia"/>
        </w:rPr>
        <w:t>（资料性附录）</w:t>
      </w:r>
      <w:r>
        <w:br w:type="textWrapping"/>
      </w:r>
      <w:r>
        <w:rPr>
          <w:rFonts w:hint="eastAsia"/>
        </w:rPr>
        <w:t>推荐分析色谱操作条件</w:t>
      </w:r>
    </w:p>
    <w:p>
      <w:pPr>
        <w:pStyle w:val="58"/>
        <w:numPr>
          <w:ilvl w:val="0"/>
          <w:numId w:val="0"/>
        </w:numPr>
        <w:jc w:val="both"/>
      </w:pPr>
      <w:r>
        <w:rPr>
          <w:rFonts w:hint="eastAsia"/>
          <w:lang w:val="en-US" w:eastAsia="zh-CN"/>
        </w:rPr>
        <w:t>A</w:t>
      </w:r>
      <w:r>
        <w:rPr>
          <w:rFonts w:hint="eastAsia"/>
        </w:rPr>
        <w:t>.1离线分析色谱操作条件</w:t>
      </w:r>
    </w:p>
    <w:p>
      <w:pPr>
        <w:pStyle w:val="14"/>
        <w:ind w:firstLine="2835" w:firstLineChars="1350"/>
      </w:pPr>
      <w:r>
        <w:rPr>
          <w:rFonts w:hint="eastAsia"/>
        </w:rPr>
        <w:t>表</w:t>
      </w:r>
      <w:r>
        <w:rPr>
          <w:rFonts w:hint="eastAsia"/>
          <w:lang w:val="en-US" w:eastAsia="zh-CN"/>
        </w:rPr>
        <w:t>A</w:t>
      </w:r>
      <w:r>
        <w:rPr>
          <w:rFonts w:hint="eastAsia"/>
        </w:rPr>
        <w:t>.1 离线分析色谱操作条件</w:t>
      </w:r>
    </w:p>
    <w:p>
      <w:pPr>
        <w:pStyle w:val="14"/>
        <w:ind w:firstLine="0" w:firstLineChars="0"/>
      </w:pPr>
    </w:p>
    <w:tbl>
      <w:tblPr>
        <w:tblStyle w:val="8"/>
        <w:tblW w:w="9442" w:type="dxa"/>
        <w:jc w:val="center"/>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7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jc w:val="center"/>
        </w:trPr>
        <w:tc>
          <w:tcPr>
            <w:tcW w:w="2268" w:type="dxa"/>
            <w:vAlign w:val="center"/>
          </w:tcPr>
          <w:p>
            <w:pPr>
              <w:pStyle w:val="14"/>
              <w:widowControl w:val="0"/>
              <w:spacing w:line="360" w:lineRule="auto"/>
              <w:ind w:firstLine="0" w:firstLineChars="0"/>
              <w:jc w:val="center"/>
              <w:rPr>
                <w:rFonts w:ascii="Times New Roman"/>
                <w:color w:val="auto"/>
                <w:szCs w:val="18"/>
              </w:rPr>
            </w:pPr>
            <w:r>
              <w:rPr>
                <w:rFonts w:ascii="Times New Roman"/>
                <w:color w:val="auto"/>
                <w:szCs w:val="18"/>
              </w:rPr>
              <w:t>参数名称</w:t>
            </w:r>
          </w:p>
        </w:tc>
        <w:tc>
          <w:tcPr>
            <w:tcW w:w="7174" w:type="dxa"/>
            <w:vAlign w:val="center"/>
          </w:tcPr>
          <w:p>
            <w:pPr>
              <w:pStyle w:val="14"/>
              <w:widowControl w:val="0"/>
              <w:spacing w:line="360" w:lineRule="auto"/>
              <w:ind w:firstLine="0" w:firstLineChars="0"/>
              <w:jc w:val="center"/>
              <w:rPr>
                <w:rFonts w:ascii="Times New Roman"/>
                <w:color w:val="auto"/>
                <w:szCs w:val="18"/>
              </w:rPr>
            </w:pPr>
            <w:r>
              <w:rPr>
                <w:rFonts w:ascii="Times New Roman"/>
                <w:color w:val="auto"/>
                <w:szCs w:val="18"/>
              </w:rPr>
              <w:t>参数值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jc w:val="center"/>
        </w:trPr>
        <w:tc>
          <w:tcPr>
            <w:tcW w:w="2268" w:type="dxa"/>
            <w:vAlign w:val="center"/>
          </w:tcPr>
          <w:p>
            <w:pPr>
              <w:pStyle w:val="14"/>
              <w:widowControl w:val="0"/>
              <w:spacing w:line="360" w:lineRule="auto"/>
              <w:ind w:firstLine="0" w:firstLineChars="0"/>
              <w:jc w:val="center"/>
              <w:rPr>
                <w:rFonts w:ascii="Times New Roman"/>
                <w:color w:val="auto"/>
                <w:szCs w:val="18"/>
              </w:rPr>
            </w:pPr>
            <w:r>
              <w:rPr>
                <w:rFonts w:hint="eastAsia" w:ascii="Times New Roman"/>
                <w:color w:val="auto"/>
                <w:szCs w:val="18"/>
                <w:lang w:eastAsia="zh-CN"/>
              </w:rPr>
              <w:t>气</w:t>
            </w:r>
            <w:r>
              <w:rPr>
                <w:rFonts w:ascii="Times New Roman"/>
                <w:color w:val="auto"/>
                <w:szCs w:val="18"/>
              </w:rPr>
              <w:t>化器温度</w:t>
            </w:r>
          </w:p>
        </w:tc>
        <w:tc>
          <w:tcPr>
            <w:tcW w:w="7174" w:type="dxa"/>
            <w:vAlign w:val="center"/>
          </w:tcPr>
          <w:p>
            <w:pPr>
              <w:pStyle w:val="14"/>
              <w:widowControl w:val="0"/>
              <w:spacing w:line="360" w:lineRule="auto"/>
              <w:ind w:firstLine="0" w:firstLineChars="0"/>
              <w:jc w:val="center"/>
              <w:rPr>
                <w:rFonts w:ascii="Times New Roman"/>
                <w:color w:val="auto"/>
                <w:szCs w:val="18"/>
              </w:rPr>
            </w:pPr>
            <w:r>
              <w:rPr>
                <w:rFonts w:ascii="Times New Roman"/>
                <w:color w:val="auto"/>
                <w:szCs w:val="18"/>
              </w:rPr>
              <w:t>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2268" w:type="dxa"/>
            <w:vAlign w:val="center"/>
          </w:tcPr>
          <w:p>
            <w:pPr>
              <w:pStyle w:val="14"/>
              <w:widowControl w:val="0"/>
              <w:spacing w:line="360" w:lineRule="auto"/>
              <w:ind w:firstLine="0" w:firstLineChars="0"/>
              <w:jc w:val="center"/>
              <w:rPr>
                <w:rFonts w:ascii="Times New Roman"/>
                <w:color w:val="auto"/>
                <w:szCs w:val="18"/>
              </w:rPr>
            </w:pPr>
            <w:r>
              <w:rPr>
                <w:rFonts w:ascii="Times New Roman"/>
                <w:color w:val="auto"/>
                <w:szCs w:val="18"/>
              </w:rPr>
              <w:t>柱箱温度</w:t>
            </w:r>
          </w:p>
        </w:tc>
        <w:tc>
          <w:tcPr>
            <w:tcW w:w="7174" w:type="dxa"/>
            <w:vAlign w:val="center"/>
          </w:tcPr>
          <w:p>
            <w:pPr>
              <w:pStyle w:val="14"/>
              <w:widowControl w:val="0"/>
              <w:spacing w:line="360" w:lineRule="auto"/>
              <w:ind w:firstLine="0" w:firstLineChars="0"/>
              <w:jc w:val="center"/>
              <w:rPr>
                <w:rFonts w:ascii="Times New Roman"/>
                <w:color w:val="auto"/>
                <w:szCs w:val="18"/>
              </w:rPr>
            </w:pPr>
            <w:r>
              <w:rPr>
                <w:rFonts w:ascii="Times New Roman"/>
                <w:color w:val="auto"/>
                <w:szCs w:val="18"/>
              </w:rPr>
              <w:t>初始</w:t>
            </w:r>
            <w:r>
              <w:rPr>
                <w:rFonts w:hint="eastAsia" w:ascii="Times New Roman"/>
                <w:color w:val="auto"/>
                <w:szCs w:val="18"/>
                <w:lang w:val="en-US" w:eastAsia="zh-CN"/>
              </w:rPr>
              <w:t>1</w:t>
            </w:r>
            <w:r>
              <w:rPr>
                <w:rFonts w:ascii="Times New Roman"/>
                <w:color w:val="auto"/>
                <w:szCs w:val="18"/>
              </w:rPr>
              <w:t>50 ℃，保持</w:t>
            </w:r>
            <w:r>
              <w:rPr>
                <w:rFonts w:hint="eastAsia" w:ascii="Times New Roman"/>
                <w:color w:val="auto"/>
                <w:szCs w:val="18"/>
                <w:lang w:val="en-US" w:eastAsia="zh-CN"/>
              </w:rPr>
              <w:t>20</w:t>
            </w:r>
            <w:r>
              <w:rPr>
                <w:rFonts w:ascii="Times New Roman"/>
                <w:color w:val="auto"/>
                <w:szCs w:val="18"/>
              </w:rPr>
              <w:t xml:space="preserve"> min</w:t>
            </w:r>
            <w:r>
              <w:rPr>
                <w:rFonts w:hint="eastAsia" w:ascii="Times New Roman"/>
                <w:color w:val="auto"/>
                <w:szCs w:val="18"/>
                <w:lang w:eastAsia="zh-CN"/>
              </w:rPr>
              <w:t>，</w:t>
            </w:r>
            <w:r>
              <w:rPr>
                <w:rFonts w:ascii="Times New Roman"/>
                <w:color w:val="auto"/>
                <w:szCs w:val="18"/>
              </w:rPr>
              <w:t>升温速率20 ℃/min，升至2</w:t>
            </w:r>
            <w:r>
              <w:rPr>
                <w:rFonts w:hint="eastAsia" w:ascii="Times New Roman"/>
                <w:color w:val="auto"/>
                <w:szCs w:val="18"/>
                <w:lang w:val="en-US" w:eastAsia="zh-CN"/>
              </w:rPr>
              <w:t>00</w:t>
            </w:r>
            <w:r>
              <w:rPr>
                <w:rFonts w:ascii="Times New Roman"/>
                <w:color w:val="auto"/>
                <w:szCs w:val="18"/>
              </w:rPr>
              <w:t xml:space="preserve"> ℃，保持5 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2268" w:type="dxa"/>
            <w:vAlign w:val="center"/>
          </w:tcPr>
          <w:p>
            <w:pPr>
              <w:pStyle w:val="14"/>
              <w:widowControl w:val="0"/>
              <w:spacing w:line="360" w:lineRule="auto"/>
              <w:ind w:firstLine="0" w:firstLineChars="0"/>
              <w:jc w:val="center"/>
              <w:rPr>
                <w:rFonts w:ascii="Times New Roman"/>
                <w:color w:val="auto"/>
                <w:szCs w:val="18"/>
              </w:rPr>
            </w:pPr>
            <w:r>
              <w:rPr>
                <w:rFonts w:hint="eastAsia" w:ascii="Times New Roman"/>
                <w:color w:val="auto"/>
                <w:szCs w:val="18"/>
                <w:lang w:eastAsia="zh-CN"/>
              </w:rPr>
              <w:t>热导池</w:t>
            </w:r>
            <w:r>
              <w:rPr>
                <w:rFonts w:ascii="Times New Roman"/>
                <w:color w:val="auto"/>
                <w:szCs w:val="18"/>
              </w:rPr>
              <w:t>温度</w:t>
            </w:r>
          </w:p>
        </w:tc>
        <w:tc>
          <w:tcPr>
            <w:tcW w:w="7174" w:type="dxa"/>
            <w:vAlign w:val="center"/>
          </w:tcPr>
          <w:p>
            <w:pPr>
              <w:pStyle w:val="14"/>
              <w:widowControl w:val="0"/>
              <w:spacing w:line="360" w:lineRule="auto"/>
              <w:ind w:firstLine="0" w:firstLineChars="0"/>
              <w:jc w:val="center"/>
              <w:rPr>
                <w:rFonts w:ascii="Times New Roman"/>
                <w:color w:val="auto"/>
                <w:szCs w:val="18"/>
              </w:rPr>
            </w:pPr>
            <w:r>
              <w:rPr>
                <w:rFonts w:ascii="Times New Roman"/>
                <w:color w:val="auto"/>
                <w:szCs w:val="18"/>
              </w:rPr>
              <w:t>250 ℃</w:t>
            </w:r>
          </w:p>
        </w:tc>
      </w:tr>
    </w:tbl>
    <w:p>
      <w:pPr>
        <w:pStyle w:val="14"/>
        <w:ind w:firstLine="2835" w:firstLineChars="1350"/>
      </w:pPr>
    </w:p>
    <w:p>
      <w:pPr>
        <w:rPr>
          <w:color w:val="auto"/>
        </w:rPr>
      </w:pPr>
    </w:p>
    <w:sectPr>
      <w:pgSz w:w="11906" w:h="16838"/>
      <w:pgMar w:top="567" w:right="1134" w:bottom="1134" w:left="141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T/</w:t>
    </w:r>
    <w:r>
      <w:t xml:space="preserve">CNIA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tentative="0">
      <w:start w:val="1"/>
      <w:numFmt w:val="decimal"/>
      <w:pStyle w:val="30"/>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993"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567" w:firstLine="0"/>
      </w:pPr>
      <w:rPr>
        <w:rFonts w:hint="eastAsia" w:ascii="黑体" w:hAnsi="Times New Roman" w:eastAsia="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57C2AF5"/>
    <w:multiLevelType w:val="multilevel"/>
    <w:tmpl w:val="557C2AF5"/>
    <w:lvl w:ilvl="0" w:tentative="0">
      <w:start w:val="1"/>
      <w:numFmt w:val="decimal"/>
      <w:pStyle w:val="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43"/>
      <w:suff w:val="nothing"/>
      <w:lvlText w:val="表%1　"/>
      <w:lvlJc w:val="left"/>
      <w:pPr>
        <w:ind w:left="2127" w:firstLine="0"/>
      </w:pPr>
      <w:rPr>
        <w:rFonts w:hint="eastAsia" w:ascii="黑体" w:hAnsi="Times New Roman" w:eastAsia="黑体"/>
        <w:b w:val="0"/>
        <w:i w:val="0"/>
        <w:sz w:val="21"/>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5">
    <w:nsid w:val="657D3FBC"/>
    <w:multiLevelType w:val="multilevel"/>
    <w:tmpl w:val="657D3FBC"/>
    <w:lvl w:ilvl="0" w:tentative="0">
      <w:start w:val="1"/>
      <w:numFmt w:val="upperLetter"/>
      <w:pStyle w:val="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8E"/>
    <w:rsid w:val="00036F42"/>
    <w:rsid w:val="00097494"/>
    <w:rsid w:val="000A1430"/>
    <w:rsid w:val="000E6985"/>
    <w:rsid w:val="000F6431"/>
    <w:rsid w:val="000F6B84"/>
    <w:rsid w:val="000F7651"/>
    <w:rsid w:val="001242F0"/>
    <w:rsid w:val="001819FA"/>
    <w:rsid w:val="00197E32"/>
    <w:rsid w:val="001D522E"/>
    <w:rsid w:val="002960C9"/>
    <w:rsid w:val="002A2FC2"/>
    <w:rsid w:val="002B0C80"/>
    <w:rsid w:val="002B3BC8"/>
    <w:rsid w:val="002F4377"/>
    <w:rsid w:val="00325D20"/>
    <w:rsid w:val="00340EA3"/>
    <w:rsid w:val="0038262F"/>
    <w:rsid w:val="003867F7"/>
    <w:rsid w:val="00386A49"/>
    <w:rsid w:val="003959C1"/>
    <w:rsid w:val="003961E4"/>
    <w:rsid w:val="003B6C0A"/>
    <w:rsid w:val="00402972"/>
    <w:rsid w:val="00422E2B"/>
    <w:rsid w:val="00431FC3"/>
    <w:rsid w:val="0046566A"/>
    <w:rsid w:val="00467FF8"/>
    <w:rsid w:val="004C3F93"/>
    <w:rsid w:val="004C4F46"/>
    <w:rsid w:val="004E5B74"/>
    <w:rsid w:val="004E664E"/>
    <w:rsid w:val="00510A78"/>
    <w:rsid w:val="00520310"/>
    <w:rsid w:val="00531436"/>
    <w:rsid w:val="005317E9"/>
    <w:rsid w:val="00581C45"/>
    <w:rsid w:val="00583A89"/>
    <w:rsid w:val="0058431E"/>
    <w:rsid w:val="005F0F96"/>
    <w:rsid w:val="005F44C3"/>
    <w:rsid w:val="00660CE9"/>
    <w:rsid w:val="00672A87"/>
    <w:rsid w:val="00684CCF"/>
    <w:rsid w:val="00690CED"/>
    <w:rsid w:val="006F7978"/>
    <w:rsid w:val="00742280"/>
    <w:rsid w:val="0075105D"/>
    <w:rsid w:val="00756607"/>
    <w:rsid w:val="007601B7"/>
    <w:rsid w:val="00782F1B"/>
    <w:rsid w:val="007B063C"/>
    <w:rsid w:val="007B7FFE"/>
    <w:rsid w:val="007D73C7"/>
    <w:rsid w:val="007F43EB"/>
    <w:rsid w:val="008C2F48"/>
    <w:rsid w:val="0091388A"/>
    <w:rsid w:val="009170AF"/>
    <w:rsid w:val="009344BC"/>
    <w:rsid w:val="009A19F8"/>
    <w:rsid w:val="009D4EA0"/>
    <w:rsid w:val="009D6437"/>
    <w:rsid w:val="009F367E"/>
    <w:rsid w:val="009F36CF"/>
    <w:rsid w:val="00A0500F"/>
    <w:rsid w:val="00A6406D"/>
    <w:rsid w:val="00A673D1"/>
    <w:rsid w:val="00A75BC8"/>
    <w:rsid w:val="00A90145"/>
    <w:rsid w:val="00AF2A40"/>
    <w:rsid w:val="00AF32F3"/>
    <w:rsid w:val="00B20846"/>
    <w:rsid w:val="00B2221D"/>
    <w:rsid w:val="00B24FE9"/>
    <w:rsid w:val="00B6269B"/>
    <w:rsid w:val="00BA4C07"/>
    <w:rsid w:val="00BD3D50"/>
    <w:rsid w:val="00BF7E65"/>
    <w:rsid w:val="00CA578D"/>
    <w:rsid w:val="00CD0DBD"/>
    <w:rsid w:val="00CF0BC7"/>
    <w:rsid w:val="00CF49E8"/>
    <w:rsid w:val="00CF5515"/>
    <w:rsid w:val="00D1386A"/>
    <w:rsid w:val="00D32703"/>
    <w:rsid w:val="00D45156"/>
    <w:rsid w:val="00D554EB"/>
    <w:rsid w:val="00D81DC2"/>
    <w:rsid w:val="00D85239"/>
    <w:rsid w:val="00DB0FCB"/>
    <w:rsid w:val="00DD5C57"/>
    <w:rsid w:val="00DE05F3"/>
    <w:rsid w:val="00DF5C27"/>
    <w:rsid w:val="00E06089"/>
    <w:rsid w:val="00E25177"/>
    <w:rsid w:val="00E265D5"/>
    <w:rsid w:val="00E828D2"/>
    <w:rsid w:val="00EB6105"/>
    <w:rsid w:val="00ED2448"/>
    <w:rsid w:val="00EF6AFD"/>
    <w:rsid w:val="00F04B68"/>
    <w:rsid w:val="00F06FE3"/>
    <w:rsid w:val="00F136A6"/>
    <w:rsid w:val="00F16554"/>
    <w:rsid w:val="00F51417"/>
    <w:rsid w:val="00FA5592"/>
    <w:rsid w:val="00FC38DF"/>
    <w:rsid w:val="00FD360A"/>
    <w:rsid w:val="00FD77F4"/>
    <w:rsid w:val="00FE3C04"/>
    <w:rsid w:val="00FE688A"/>
    <w:rsid w:val="055D5B79"/>
    <w:rsid w:val="06885290"/>
    <w:rsid w:val="0B69264C"/>
    <w:rsid w:val="154C3328"/>
    <w:rsid w:val="15687040"/>
    <w:rsid w:val="15D241ED"/>
    <w:rsid w:val="1FED5127"/>
    <w:rsid w:val="24A01389"/>
    <w:rsid w:val="31924AD2"/>
    <w:rsid w:val="334125A2"/>
    <w:rsid w:val="37CD1099"/>
    <w:rsid w:val="43611526"/>
    <w:rsid w:val="49372569"/>
    <w:rsid w:val="522F4F82"/>
    <w:rsid w:val="55592B1F"/>
    <w:rsid w:val="58762955"/>
    <w:rsid w:val="5FCA21E2"/>
    <w:rsid w:val="6302283F"/>
    <w:rsid w:val="66E62B43"/>
    <w:rsid w:val="6943358B"/>
    <w:rsid w:val="6A586B37"/>
    <w:rsid w:val="6BC87556"/>
    <w:rsid w:val="721B5F96"/>
    <w:rsid w:val="748F5DCF"/>
    <w:rsid w:val="78DE704D"/>
    <w:rsid w:val="7AA4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50"/>
    <w:semiHidden/>
    <w:unhideWhenUsed/>
    <w:qFormat/>
    <w:uiPriority w:val="99"/>
    <w:pPr>
      <w:jc w:val="left"/>
    </w:pPr>
  </w:style>
  <w:style w:type="paragraph" w:styleId="3">
    <w:name w:val="Balloon Text"/>
    <w:basedOn w:val="1"/>
    <w:link w:val="52"/>
    <w:semiHidden/>
    <w:unhideWhenUsed/>
    <w:qFormat/>
    <w:uiPriority w:val="99"/>
    <w:rPr>
      <w:sz w:val="18"/>
      <w:szCs w:val="18"/>
    </w:rPr>
  </w:style>
  <w:style w:type="paragraph" w:styleId="4">
    <w:name w:val="footer"/>
    <w:basedOn w:val="1"/>
    <w:link w:val="49"/>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51"/>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qFormat/>
    <w:uiPriority w:val="0"/>
    <w:rPr>
      <w:rFonts w:ascii="Times New Roman" w:hAnsi="Times New Roman" w:eastAsia="宋体"/>
      <w:sz w:val="18"/>
    </w:rPr>
  </w:style>
  <w:style w:type="character" w:styleId="11">
    <w:name w:val="Hyperlink"/>
    <w:basedOn w:val="9"/>
    <w:qFormat/>
    <w:uiPriority w:val="0"/>
    <w:rPr>
      <w:color w:val="0000FF"/>
      <w:spacing w:val="0"/>
      <w:w w:val="100"/>
      <w:szCs w:val="21"/>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9"/>
    <w:link w:val="14"/>
    <w:qFormat/>
    <w:uiPriority w:val="0"/>
    <w:rPr>
      <w:rFonts w:ascii="宋体" w:hAnsi="Times New Roman" w:eastAsia="宋体" w:cs="Times New Roman"/>
      <w:kern w:val="0"/>
      <w:szCs w:val="20"/>
    </w:rPr>
  </w:style>
  <w:style w:type="paragraph" w:customStyle="1" w:styleId="16">
    <w:name w:val="一级条标题"/>
    <w:next w:val="14"/>
    <w:qFormat/>
    <w:uiPriority w:val="0"/>
    <w:pPr>
      <w:numPr>
        <w:ilvl w:val="1"/>
        <w:numId w:val="1"/>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6"/>
    <w:next w:val="14"/>
    <w:qFormat/>
    <w:uiPriority w:val="0"/>
    <w:pPr>
      <w:numPr>
        <w:ilvl w:val="2"/>
      </w:numPr>
      <w:spacing w:before="50" w:after="50"/>
      <w:outlineLvl w:val="3"/>
    </w:p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三级条标题"/>
    <w:basedOn w:val="20"/>
    <w:next w:val="14"/>
    <w:qFormat/>
    <w:uiPriority w:val="0"/>
    <w:pPr>
      <w:numPr>
        <w:ilvl w:val="3"/>
      </w:numPr>
      <w:outlineLvl w:val="4"/>
    </w:pPr>
  </w:style>
  <w:style w:type="paragraph" w:customStyle="1" w:styleId="24">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5">
    <w:name w:val="四级条标题"/>
    <w:basedOn w:val="23"/>
    <w:next w:val="14"/>
    <w:qFormat/>
    <w:uiPriority w:val="0"/>
    <w:pPr>
      <w:numPr>
        <w:ilvl w:val="4"/>
      </w:numPr>
      <w:outlineLvl w:val="5"/>
    </w:pPr>
  </w:style>
  <w:style w:type="paragraph" w:customStyle="1" w:styleId="26">
    <w:name w:val="五级条标题"/>
    <w:basedOn w:val="25"/>
    <w:next w:val="14"/>
    <w:qFormat/>
    <w:uiPriority w:val="0"/>
    <w:pPr>
      <w:numPr>
        <w:ilvl w:val="5"/>
      </w:numPr>
      <w:outlineLvl w:val="6"/>
    </w:p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9">
    <w:name w:val="二级无"/>
    <w:basedOn w:val="20"/>
    <w:qFormat/>
    <w:uiPriority w:val="0"/>
    <w:pPr>
      <w:spacing w:beforeLines="0" w:afterLines="0"/>
      <w:ind w:left="0"/>
    </w:pPr>
    <w:rPr>
      <w:rFonts w:ascii="宋体" w:eastAsia="宋体"/>
    </w:rPr>
  </w:style>
  <w:style w:type="paragraph" w:customStyle="1" w:styleId="30">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32">
    <w:name w:val="发布"/>
    <w:basedOn w:val="9"/>
    <w:qFormat/>
    <w:uiPriority w:val="0"/>
    <w:rPr>
      <w:rFonts w:ascii="黑体" w:eastAsia="黑体"/>
      <w:spacing w:val="85"/>
      <w:w w:val="100"/>
      <w:position w:val="3"/>
      <w:sz w:val="28"/>
      <w:szCs w:val="28"/>
    </w:rPr>
  </w:style>
  <w:style w:type="paragraph" w:customStyle="1" w:styleId="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0"/>
    <w:pPr>
      <w:spacing w:before="370" w:line="400" w:lineRule="exact"/>
    </w:pPr>
    <w:rPr>
      <w:rFonts w:ascii="Times New Roman"/>
      <w:sz w:val="28"/>
      <w:szCs w:val="28"/>
    </w:rPr>
  </w:style>
  <w:style w:type="paragraph" w:customStyle="1" w:styleId="36">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37">
    <w:name w:val="封面标准文稿编辑信息"/>
    <w:basedOn w:val="36"/>
    <w:qFormat/>
    <w:uiPriority w:val="0"/>
    <w:pPr>
      <w:spacing w:before="180" w:line="180" w:lineRule="exact"/>
    </w:pPr>
    <w:rPr>
      <w:sz w:val="21"/>
    </w:rPr>
  </w:style>
  <w:style w:type="paragraph" w:customStyle="1" w:styleId="3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0">
    <w:name w:val="前言、引言标题"/>
    <w:next w:val="1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正文表标题"/>
    <w:next w:val="14"/>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3">
    <w:name w:val="正文图标题"/>
    <w:next w:val="14"/>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44">
    <w:name w:val="终结线"/>
    <w:basedOn w:val="1"/>
    <w:qFormat/>
    <w:uiPriority w:val="0"/>
    <w:pPr>
      <w:framePr w:hSpace="181" w:vSpace="181" w:wrap="around" w:vAnchor="text" w:hAnchor="margin" w:xAlign="center" w:y="285"/>
    </w:pPr>
  </w:style>
  <w:style w:type="paragraph" w:customStyle="1" w:styleId="45">
    <w:name w:val="其他发布日期"/>
    <w:basedOn w:val="1"/>
    <w:qFormat/>
    <w:uiPriority w:val="0"/>
    <w:pPr>
      <w:framePr w:w="3997" w:h="471" w:hRule="exact" w:vSpace="181" w:wrap="around" w:vAnchor="page" w:hAnchor="page" w:x="1419" w:y="14097" w:anchorLock="1"/>
      <w:widowControl/>
      <w:numPr>
        <w:ilvl w:val="0"/>
        <w:numId w:val="5"/>
      </w:numPr>
      <w:jc w:val="left"/>
    </w:pPr>
    <w:rPr>
      <w:rFonts w:eastAsia="黑体"/>
      <w:kern w:val="0"/>
      <w:sz w:val="28"/>
      <w:szCs w:val="20"/>
    </w:rPr>
  </w:style>
  <w:style w:type="paragraph" w:customStyle="1" w:styleId="46">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47">
    <w:name w:val="标准正文"/>
    <w:basedOn w:val="1"/>
    <w:link w:val="48"/>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48">
    <w:name w:val="标准正文 Char"/>
    <w:basedOn w:val="9"/>
    <w:link w:val="47"/>
    <w:qFormat/>
    <w:uiPriority w:val="0"/>
    <w:rPr>
      <w:rFonts w:ascii="宋体" w:hAnsi="Times New Roman" w:eastAsia="宋体" w:cs="Times New Roman"/>
      <w:kern w:val="0"/>
      <w:szCs w:val="20"/>
    </w:rPr>
  </w:style>
  <w:style w:type="character" w:customStyle="1" w:styleId="49">
    <w:name w:val="页脚 Char"/>
    <w:basedOn w:val="9"/>
    <w:link w:val="4"/>
    <w:semiHidden/>
    <w:qFormat/>
    <w:uiPriority w:val="99"/>
    <w:rPr>
      <w:rFonts w:ascii="Times New Roman" w:hAnsi="Times New Roman" w:eastAsia="宋体" w:cs="Times New Roman"/>
      <w:sz w:val="18"/>
      <w:szCs w:val="18"/>
    </w:rPr>
  </w:style>
  <w:style w:type="character" w:customStyle="1" w:styleId="50">
    <w:name w:val="批注文字 Char"/>
    <w:basedOn w:val="9"/>
    <w:link w:val="2"/>
    <w:semiHidden/>
    <w:qFormat/>
    <w:uiPriority w:val="99"/>
    <w:rPr>
      <w:rFonts w:ascii="Times New Roman" w:hAnsi="Times New Roman" w:eastAsia="宋体" w:cs="Times New Roman"/>
      <w:kern w:val="2"/>
      <w:sz w:val="21"/>
      <w:szCs w:val="24"/>
    </w:rPr>
  </w:style>
  <w:style w:type="character" w:customStyle="1" w:styleId="51">
    <w:name w:val="批注主题 Char"/>
    <w:basedOn w:val="50"/>
    <w:link w:val="6"/>
    <w:semiHidden/>
    <w:qFormat/>
    <w:uiPriority w:val="99"/>
    <w:rPr>
      <w:rFonts w:ascii="Times New Roman" w:hAnsi="Times New Roman" w:eastAsia="宋体" w:cs="Times New Roman"/>
      <w:b/>
      <w:bCs/>
      <w:kern w:val="2"/>
      <w:sz w:val="21"/>
      <w:szCs w:val="24"/>
    </w:rPr>
  </w:style>
  <w:style w:type="character" w:customStyle="1" w:styleId="52">
    <w:name w:val="批注框文本 Char"/>
    <w:basedOn w:val="9"/>
    <w:link w:val="3"/>
    <w:semiHidden/>
    <w:qFormat/>
    <w:uiPriority w:val="99"/>
    <w:rPr>
      <w:rFonts w:ascii="Times New Roman" w:hAnsi="Times New Roman" w:eastAsia="宋体" w:cs="Times New Roman"/>
      <w:kern w:val="2"/>
      <w:sz w:val="18"/>
      <w:szCs w:val="18"/>
    </w:rPr>
  </w:style>
  <w:style w:type="paragraph" w:customStyle="1" w:styleId="53">
    <w:name w:val="正文1"/>
    <w:qFormat/>
    <w:uiPriority w:val="0"/>
    <w:pPr>
      <w:jc w:val="both"/>
    </w:pPr>
    <w:rPr>
      <w:rFonts w:ascii="Calibri" w:hAnsi="Calibri" w:eastAsia="宋体" w:cs="Times New Roman"/>
      <w:kern w:val="2"/>
      <w:sz w:val="21"/>
      <w:lang w:val="en-US" w:eastAsia="zh-CN" w:bidi="ar-SA"/>
    </w:rPr>
  </w:style>
  <w:style w:type="character" w:customStyle="1" w:styleId="54">
    <w:name w:val="font21"/>
    <w:basedOn w:val="9"/>
    <w:qFormat/>
    <w:uiPriority w:val="0"/>
    <w:rPr>
      <w:rFonts w:hint="eastAsia" w:ascii="宋体" w:hAnsi="宋体" w:eastAsia="宋体" w:cs="宋体"/>
      <w:color w:val="000000"/>
      <w:sz w:val="21"/>
      <w:szCs w:val="21"/>
      <w:u w:val="none"/>
    </w:rPr>
  </w:style>
  <w:style w:type="character" w:customStyle="1" w:styleId="55">
    <w:name w:val="font01"/>
    <w:basedOn w:val="9"/>
    <w:qFormat/>
    <w:uiPriority w:val="0"/>
    <w:rPr>
      <w:rFonts w:hint="default" w:ascii="Times New Roman" w:hAnsi="Times New Roman" w:cs="Times New Roman"/>
      <w:color w:val="000000"/>
      <w:sz w:val="21"/>
      <w:szCs w:val="21"/>
      <w:u w:val="none"/>
    </w:rPr>
  </w:style>
  <w:style w:type="paragraph" w:customStyle="1" w:styleId="56">
    <w:name w:val="正文公式编号制表符"/>
    <w:basedOn w:val="14"/>
    <w:next w:val="14"/>
    <w:qFormat/>
    <w:uiPriority w:val="0"/>
    <w:pPr>
      <w:ind w:firstLine="0" w:firstLineChars="0"/>
    </w:pPr>
  </w:style>
  <w:style w:type="character" w:customStyle="1" w:styleId="57">
    <w:name w:val="apple-converted-space"/>
    <w:basedOn w:val="9"/>
    <w:qFormat/>
    <w:uiPriority w:val="0"/>
  </w:style>
  <w:style w:type="paragraph" w:customStyle="1" w:styleId="58">
    <w:name w:val="附录标识"/>
    <w:basedOn w:val="1"/>
    <w:next w:val="1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504</Words>
  <Characters>2873</Characters>
  <Lines>23</Lines>
  <Paragraphs>6</Paragraphs>
  <TotalTime>0</TotalTime>
  <ScaleCrop>false</ScaleCrop>
  <LinksUpToDate>false</LinksUpToDate>
  <CharactersWithSpaces>3371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2018-10-20T05:39:00Z</dcterms:created>
  <dc:creator>DT</dc:creator>
  <cp:lastModifiedBy>刘凤华</cp:lastModifiedBy>
  <dcterms:modified xsi:type="dcterms:W3CDTF">2019-07-30T07:38:44Z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