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after="312" w:afterLines="100"/>
        <w:ind w:firstLine="0" w:firstLineChars="0"/>
        <w:jc w:val="center"/>
        <w:rPr>
          <w:rFonts w:ascii="黑体" w:hAnsi="黑体" w:eastAsia="黑体" w:cs="Times New Roman"/>
          <w:bCs/>
          <w:sz w:val="32"/>
          <w:szCs w:val="28"/>
        </w:rPr>
      </w:pPr>
      <w:r>
        <w:rPr>
          <w:rFonts w:hint="eastAsia" w:ascii="黑体" w:hAnsi="黑体" w:eastAsia="黑体" w:cs="Times New Roman"/>
          <w:bCs/>
          <w:sz w:val="32"/>
          <w:szCs w:val="28"/>
        </w:rPr>
        <w:t>行业标准《镧铁合金》</w:t>
      </w:r>
      <w:r>
        <w:rPr>
          <w:rFonts w:hint="eastAsia" w:ascii="黑体" w:hAnsi="黑体" w:eastAsia="黑体" w:cs="Times New Roman"/>
          <w:bCs/>
          <w:sz w:val="32"/>
          <w:szCs w:val="28"/>
          <w:lang w:eastAsia="zh-CN"/>
        </w:rPr>
        <w:t>（送审稿</w:t>
      </w:r>
      <w:bookmarkStart w:id="0" w:name="_GoBack"/>
      <w:bookmarkEnd w:id="0"/>
      <w:r>
        <w:rPr>
          <w:rFonts w:hint="eastAsia" w:ascii="黑体" w:hAnsi="黑体" w:eastAsia="黑体" w:cs="Times New Roman"/>
          <w:bCs/>
          <w:sz w:val="32"/>
          <w:szCs w:val="28"/>
          <w:lang w:eastAsia="zh-CN"/>
        </w:rPr>
        <w:t>）</w:t>
      </w:r>
      <w:r>
        <w:rPr>
          <w:rFonts w:hint="eastAsia" w:ascii="黑体" w:hAnsi="黑体" w:eastAsia="黑体" w:cs="Times New Roman"/>
          <w:bCs/>
          <w:sz w:val="32"/>
          <w:szCs w:val="28"/>
        </w:rPr>
        <w:t>编制说明</w:t>
      </w:r>
    </w:p>
    <w:p>
      <w:pPr>
        <w:pStyle w:val="2"/>
        <w:spacing w:before="156" w:after="156"/>
      </w:pPr>
      <w:r>
        <w:rPr>
          <w:rFonts w:hint="eastAsia"/>
        </w:rPr>
        <w:t>一、工作简况</w:t>
      </w:r>
    </w:p>
    <w:p>
      <w:pPr>
        <w:pStyle w:val="3"/>
      </w:pPr>
      <w:r>
        <w:rPr>
          <w:rFonts w:hint="eastAsia"/>
        </w:rPr>
        <w:t>1.1 任务背景：</w:t>
      </w:r>
    </w:p>
    <w:p>
      <w:pPr>
        <w:ind w:firstLine="420"/>
      </w:pPr>
      <w:r>
        <w:rPr>
          <w:rFonts w:hint="eastAsia"/>
        </w:rPr>
        <w:t>随着市场对高端钢材需求的增长，稀土钢的应用会进入一个快速发展时期。作为稀土钢的添加剂：镧铁合金的用量也会大幅提升，钢铁产业的转型升级是未来的发展趋势，我国稀土钢的研发技术会得到进一步提高。稀土钢的应用领域会进一步扩展，国际、国内对稀土钢的需求在逐年增加。</w:t>
      </w:r>
    </w:p>
    <w:p>
      <w:pPr>
        <w:ind w:firstLine="420"/>
      </w:pPr>
      <w:r>
        <w:rPr>
          <w:rFonts w:hint="eastAsia"/>
        </w:rPr>
        <w:t>本产品在包钢已得到产业化应用，用于制造稀土耐磨钢、稀土特殊油井管等多品种稀土钢产品，采用镧铁合金生产高品质稀土钢时，可加速稀土与钢中O、S、N、P等有害杂质的化学反应，从而实现对钢水的深度净化，可提高钢材的耐磨性能、耐腐蚀性能。产品性能稳定，工艺顺行，收率高，在包钢年用量将很快达到2000吨，未来需求量将迅速攀升。</w:t>
      </w:r>
    </w:p>
    <w:p>
      <w:pPr>
        <w:ind w:firstLine="420"/>
      </w:pPr>
      <w:r>
        <w:rPr>
          <w:rFonts w:hint="eastAsia"/>
        </w:rPr>
        <w:t>为了使稀土钢用稀土镧铁合金企业产品质量得到保证，使稀土镧铁中间合金企业生产规范化，增强我国稀土钢在高端应用领域的话语权，填补标准空白，制定本标准是非常必要和迫切的。</w:t>
      </w:r>
    </w:p>
    <w:p>
      <w:pPr>
        <w:ind w:firstLine="420"/>
      </w:pPr>
      <w:r>
        <w:rPr>
          <w:rFonts w:hint="eastAsia"/>
        </w:rPr>
        <w:t>本标准依据实际生产经验、对成分、杂质含量给出了具体要求，操作性较强。</w:t>
      </w:r>
    </w:p>
    <w:p>
      <w:pPr>
        <w:pStyle w:val="3"/>
      </w:pPr>
      <w:r>
        <w:t>1.2</w:t>
      </w:r>
      <w:r>
        <w:rPr>
          <w:rFonts w:hint="eastAsia"/>
        </w:rPr>
        <w:t>任务来源：</w:t>
      </w:r>
    </w:p>
    <w:p>
      <w:pPr>
        <w:ind w:firstLine="420"/>
      </w:pPr>
      <w:r>
        <w:rPr>
          <w:rFonts w:hint="eastAsia"/>
        </w:rPr>
        <w:t>根据稀土标委[2019] 06号 关于发送2019年《钪稳定铈锆复合粉》等11项稀土国家、行业标准任务落实会议纪要的通知，《镧铁合金》行业标准计划正式下达，计划号2018-2082T-XB，完成年限2019年8月。本标准牵头起草单位为包头稀土研究院，报名参加起草单位有：瑞科稀土冶金及功能材料国家工程研究中心有限公司、有研稀土新材料股份有限公司、赣州有色冶金研究所、包头市中鑫安泰磁业有限公司、国家稀土产品质量监督检验中心、乐山有研稀土新材料有限公司、信丰县新利稀土有限公司。</w:t>
      </w:r>
    </w:p>
    <w:p>
      <w:pPr>
        <w:pStyle w:val="3"/>
      </w:pPr>
      <w:r>
        <w:rPr>
          <w:rFonts w:hint="eastAsia"/>
        </w:rPr>
        <w:t>1.3起草单位情况</w:t>
      </w:r>
    </w:p>
    <w:p>
      <w:pPr>
        <w:ind w:firstLine="420"/>
      </w:pPr>
      <w:r>
        <w:rPr>
          <w:rFonts w:hint="eastAsia"/>
        </w:rPr>
        <w:t>包头稀土研究院是一个以稀土资源的综合利用为宗旨，以稀土冶金、环境保护、新型稀土功能材料及专用设备、稀土在传统产业中的应用为研究重点的、全国最大的稀土科研开发机构，是国家242个改制院所之一。建院50年来，共承担 “863计划”、“973计划”等国家级科技项目、省部、地市级研发项目和为企业服务的各类项目1860多项，取得各类科研成果770多项，获得国家发明奖和省部级以上各类科技成果奖230多项。在稀土选矿、稀土冶金、环境保护、稀土功能材料及专用设备、稀土应用等领域的一大批成果，已在生产中得到了成功的应用，为中国稀土工业作出了重大贡献。</w:t>
      </w:r>
    </w:p>
    <w:p>
      <w:pPr>
        <w:ind w:firstLine="420"/>
      </w:pPr>
      <w:r>
        <w:rPr>
          <w:rFonts w:hint="eastAsia"/>
        </w:rPr>
        <w:t>包头稀土研究院一直对利用稀土改善钢材性能进行研究，早些年由于长期受制于稀土加入工艺和稀土含量的准确控制工艺限制，使稀土钢的工业化生产和推广应用受到了极大的限制。由于稀土金属的活性很强，熔点低，密度小，难以加入到钢中，烧损严重。稀土烧损后，形成密度低、熔点高的稀土氧化物，造成浇口堵塞，工艺不能正常进行，近年来包头稀土研究院探索采用中间合金发制备稀土钢，开展了大量稀土铁合金方面的课题研究，相关铁合金制备项目分别被列入包头市、工信部重大科研、产业化项目中，得到了各方面大力支持，也为项目的顺利进行提过了充足的保障，成功开发了系列稀土铁合金产品，开发和建立了稀土铁合金制备等产业化配套的技术体系。产品在多家企业院所得到了应用，效果良好。</w:t>
      </w:r>
    </w:p>
    <w:p>
      <w:pPr>
        <w:pStyle w:val="3"/>
      </w:pPr>
      <w:r>
        <w:rPr>
          <w:rFonts w:hint="eastAsia"/>
        </w:rPr>
        <w:t>1.4工作进度安排。</w:t>
      </w:r>
    </w:p>
    <w:p>
      <w:pPr>
        <w:ind w:firstLine="420"/>
      </w:pPr>
      <w:r>
        <w:rPr>
          <w:rFonts w:hint="eastAsia"/>
        </w:rPr>
        <w:t>1)2019年1月—2018年2月：调研、查阅资料，了解国内外镧铁合金的生产动态及应用领域的变化，编写标准征求意见稿、编制说明。</w:t>
      </w:r>
    </w:p>
    <w:p>
      <w:pPr>
        <w:ind w:firstLine="420"/>
      </w:pPr>
      <w:r>
        <w:rPr>
          <w:rFonts w:hint="eastAsia"/>
        </w:rPr>
        <w:t>2)2019年2月—2018年3月：对生产厂家、应用厂家广泛征求意见，通过邮件形式将征求意见稿发质18家单位，其中用户占比22%，科研单位占比16%，共有8家单位回复了意见。通过对意见反馈进行汇总整理，3月底形成预审稿。</w:t>
      </w:r>
    </w:p>
    <w:p>
      <w:pPr>
        <w:ind w:firstLine="420"/>
      </w:pPr>
      <w:r>
        <w:rPr>
          <w:rFonts w:hint="eastAsia"/>
        </w:rPr>
        <w:t>3)2019年3月—2018年4月：预审稿挂网广泛征求意见，召开标准预审会。</w:t>
      </w:r>
    </w:p>
    <w:p>
      <w:pPr>
        <w:ind w:firstLine="420"/>
      </w:pPr>
      <w:r>
        <w:rPr>
          <w:rFonts w:hint="eastAsia"/>
        </w:rPr>
        <w:t>4)2019年5月—2019年7月：对预审稿根据意见进行修改，现成送审稿。</w:t>
      </w:r>
    </w:p>
    <w:p>
      <w:pPr>
        <w:ind w:firstLine="420"/>
        <w:rPr>
          <w:rFonts w:hint="eastAsia"/>
        </w:rPr>
      </w:pPr>
      <w:r>
        <w:rPr>
          <w:rFonts w:hint="eastAsia"/>
        </w:rPr>
        <w:t>5)2019年7月—2019年8月：送审稿挂网征求意见，召开标准审定会，对送审稿进行审定。</w:t>
      </w:r>
    </w:p>
    <w:p>
      <w:pPr>
        <w:pStyle w:val="3"/>
        <w:rPr>
          <w:rFonts w:hint="eastAsia"/>
          <w:lang w:val="en-US" w:eastAsia="zh-CN"/>
        </w:rPr>
      </w:pPr>
      <w:r>
        <w:rPr>
          <w:rFonts w:hint="eastAsia"/>
          <w:lang w:val="en-US" w:eastAsia="zh-CN"/>
        </w:rPr>
        <w:t>1.5 预审会情况</w:t>
      </w:r>
    </w:p>
    <w:p>
      <w:pPr>
        <w:rPr>
          <w:rFonts w:hint="eastAsia"/>
          <w:lang w:eastAsia="zh-CN"/>
        </w:rPr>
      </w:pPr>
      <w:r>
        <w:t>201</w:t>
      </w:r>
      <w:r>
        <w:rPr>
          <w:lang w:val="en-US"/>
        </w:rPr>
        <w:t>9</w:t>
      </w:r>
      <w:r>
        <w:t>年</w:t>
      </w:r>
      <w:r>
        <w:rPr>
          <w:lang w:val="en-US"/>
        </w:rPr>
        <w:t>4</w:t>
      </w:r>
      <w:r>
        <w:t>月</w:t>
      </w:r>
      <w:r>
        <w:rPr>
          <w:lang w:val="en-US"/>
        </w:rPr>
        <w:t>16</w:t>
      </w:r>
      <w:r>
        <w:t>～</w:t>
      </w:r>
      <w:r>
        <w:rPr>
          <w:lang w:val="en-US"/>
        </w:rPr>
        <w:t>17</w:t>
      </w:r>
      <w:r>
        <w:t>日，全国稀土标准化技术委员会在</w:t>
      </w:r>
      <w:r>
        <w:rPr>
          <w:lang w:val="en-US"/>
        </w:rPr>
        <w:t>浙江嘉兴召开</w:t>
      </w:r>
      <w:r>
        <w:rPr>
          <w:rFonts w:hint="eastAsia"/>
          <w:lang w:eastAsia="zh-CN"/>
        </w:rPr>
        <w:t>第</w:t>
      </w:r>
      <w:r>
        <w:rPr>
          <w:rFonts w:hint="default"/>
          <w:lang w:val="en-US" w:eastAsia="zh-CN"/>
        </w:rPr>
        <w:t>二</w:t>
      </w:r>
      <w:r>
        <w:rPr>
          <w:rFonts w:hint="eastAsia"/>
          <w:lang w:eastAsia="zh-CN"/>
        </w:rPr>
        <w:t>次</w:t>
      </w:r>
      <w:r>
        <w:rPr>
          <w:rFonts w:hint="default"/>
          <w:lang w:val="en-US" w:eastAsia="zh-CN"/>
        </w:rPr>
        <w:t>标准工作会议。</w:t>
      </w:r>
      <w:r>
        <w:rPr>
          <w:rFonts w:hint="eastAsia"/>
        </w:rPr>
        <w:t>此次会议对稀土院承担的《</w:t>
      </w:r>
      <w:r>
        <w:rPr>
          <w:rFonts w:hint="default"/>
          <w:lang w:val="en-US"/>
        </w:rPr>
        <w:t>镧</w:t>
      </w:r>
      <w:r>
        <w:rPr>
          <w:rFonts w:hint="eastAsia"/>
          <w:lang w:eastAsia="zh-CN"/>
        </w:rPr>
        <w:t>铁合金</w:t>
      </w:r>
      <w:r>
        <w:rPr>
          <w:rFonts w:hint="eastAsia"/>
        </w:rPr>
        <w:t>》行业标准进行了</w:t>
      </w:r>
      <w:r>
        <w:rPr>
          <w:rFonts w:hint="eastAsia"/>
          <w:lang w:eastAsia="zh-CN"/>
        </w:rPr>
        <w:t>预审</w:t>
      </w:r>
      <w:r>
        <w:rPr>
          <w:rFonts w:hint="eastAsia"/>
        </w:rPr>
        <w:t>，专家给出了相关意见和建议，</w:t>
      </w:r>
      <w:r>
        <w:rPr>
          <w:rFonts w:hint="eastAsia"/>
          <w:lang w:val="en-US" w:eastAsia="zh-CN"/>
        </w:rPr>
        <w:t>已修改完毕，</w:t>
      </w:r>
      <w:r>
        <w:rPr>
          <w:rFonts w:hint="default"/>
          <w:lang w:val="en-US"/>
        </w:rPr>
        <w:t>汇总如下：</w:t>
      </w:r>
    </w:p>
    <w:p>
      <w:r>
        <w:rPr>
          <w:rFonts w:hint="eastAsia"/>
          <w:lang w:val="en-US" w:eastAsia="zh-CN"/>
        </w:rPr>
        <w:t>1）</w:t>
      </w:r>
      <w:r>
        <w:rPr>
          <w:rFonts w:hint="default"/>
          <w:lang w:val="en-US" w:eastAsia="zh-CN"/>
        </w:rPr>
        <w:t>编制说明中技术指标确定依据需补充</w:t>
      </w:r>
      <w:r>
        <w:rPr>
          <w:rFonts w:hint="eastAsia"/>
          <w:lang w:val="en-US" w:eastAsia="zh-CN"/>
        </w:rPr>
        <w:t>。已对“</w:t>
      </w:r>
      <w:r>
        <w:rPr>
          <w:rFonts w:hint="eastAsia"/>
        </w:rPr>
        <w:t>二、标准编制原则和确定标准主要内容</w:t>
      </w:r>
      <w:r>
        <w:rPr>
          <w:rFonts w:hint="eastAsia"/>
          <w:lang w:val="en-US" w:eastAsia="zh-CN"/>
        </w:rPr>
        <w:t>”做了细化说明。</w:t>
      </w:r>
    </w:p>
    <w:p>
      <w:pPr>
        <w:rPr>
          <w:rFonts w:hint="eastAsia"/>
          <w:lang w:val="en-US" w:eastAsia="zh-CN"/>
        </w:rPr>
      </w:pPr>
      <w:r>
        <w:rPr>
          <w:rFonts w:hint="eastAsia"/>
          <w:lang w:val="en-US" w:eastAsia="zh-CN"/>
        </w:rPr>
        <w:t>2）</w:t>
      </w:r>
      <w:r>
        <w:rPr>
          <w:rFonts w:hint="default"/>
          <w:lang w:val="en-US" w:eastAsia="zh-CN"/>
        </w:rPr>
        <w:t>4.1 分析方法要给出附录或在编制说明里给出具体方法。</w:t>
      </w:r>
      <w:r>
        <w:rPr>
          <w:rFonts w:hint="eastAsia"/>
          <w:lang w:val="en-US" w:eastAsia="zh-CN"/>
        </w:rPr>
        <w:t>已细化分析方法、给出附录。</w:t>
      </w:r>
    </w:p>
    <w:p>
      <w:pPr>
        <w:rPr>
          <w:rFonts w:hint="default"/>
          <w:lang w:val="en-US" w:eastAsia="zh-CN"/>
        </w:rPr>
      </w:pPr>
      <w:r>
        <w:rPr>
          <w:rFonts w:hint="eastAsia"/>
          <w:lang w:val="en-US" w:eastAsia="zh-CN"/>
        </w:rPr>
        <w:t>3）</w:t>
      </w:r>
      <w:r>
        <w:rPr>
          <w:rFonts w:hint="default"/>
          <w:lang w:val="en-US" w:eastAsia="zh-CN"/>
        </w:rPr>
        <w:t>5.4.1 取样件数要更适合本产品。</w:t>
      </w:r>
      <w:r>
        <w:rPr>
          <w:rFonts w:hint="eastAsia"/>
          <w:lang w:val="en-US" w:eastAsia="zh-CN"/>
        </w:rPr>
        <w:t>已修改。</w:t>
      </w:r>
    </w:p>
    <w:p>
      <w:pPr>
        <w:rPr>
          <w:rFonts w:hint="default"/>
          <w:lang w:val="en-US" w:eastAsia="zh-CN"/>
        </w:rPr>
      </w:pPr>
      <w:r>
        <w:rPr>
          <w:rFonts w:hint="eastAsia"/>
          <w:lang w:val="en-US" w:eastAsia="zh-CN"/>
        </w:rPr>
        <w:t>4）</w:t>
      </w:r>
      <w:r>
        <w:rPr>
          <w:rFonts w:hint="default"/>
          <w:lang w:val="en-US" w:eastAsia="zh-CN"/>
        </w:rPr>
        <w:t>5.5.2 外观检验结果的判断要更适合本产品。已修改为“外观检验结果与本标准规定不符合时，则判定此包装内产品不合格。允许逐件检验，合格者交货。”</w:t>
      </w:r>
    </w:p>
    <w:p>
      <w:pPr>
        <w:rPr>
          <w:rFonts w:hint="eastAsia"/>
          <w:lang w:val="en-US" w:eastAsia="zh-CN"/>
        </w:rPr>
      </w:pPr>
      <w:r>
        <w:rPr>
          <w:rFonts w:hint="default"/>
          <w:lang w:val="en-US" w:eastAsia="zh-CN"/>
        </w:rPr>
        <w:t>5）6.2 更改为“产品按合同约定破碎成规定粒度”。</w:t>
      </w:r>
    </w:p>
    <w:p>
      <w:pPr>
        <w:pStyle w:val="2"/>
        <w:spacing w:before="156" w:after="156"/>
        <w:rPr>
          <w:szCs w:val="22"/>
        </w:rPr>
      </w:pPr>
      <w:r>
        <w:rPr>
          <w:rFonts w:hint="eastAsia"/>
        </w:rPr>
        <w:t>二、标准编制原则和确定标准主要内容</w:t>
      </w:r>
    </w:p>
    <w:p>
      <w:pPr>
        <w:pStyle w:val="3"/>
        <w:rPr>
          <w:rFonts w:hint="eastAsia"/>
        </w:rPr>
      </w:pPr>
      <w:r>
        <w:rPr>
          <w:rFonts w:hint="eastAsia"/>
        </w:rPr>
        <w:t>2.1</w:t>
      </w:r>
      <w:r>
        <w:t xml:space="preserve"> </w:t>
      </w:r>
      <w:r>
        <w:rPr>
          <w:rFonts w:hint="eastAsia"/>
        </w:rPr>
        <w:t>编制原则和依据</w:t>
      </w:r>
    </w:p>
    <w:p>
      <w:pPr>
        <w:ind w:firstLine="420"/>
      </w:pPr>
      <w:r>
        <w:rPr>
          <w:rFonts w:hint="eastAsia"/>
        </w:rPr>
        <w:t>(1) 本标准根据GB/T1.1-2009《标准化工作导则》的规定编写；</w:t>
      </w:r>
    </w:p>
    <w:p>
      <w:pPr>
        <w:ind w:firstLine="420"/>
      </w:pPr>
      <w:r>
        <w:rPr>
          <w:rFonts w:hint="eastAsia"/>
        </w:rPr>
        <w:t xml:space="preserve">(2) 充分满足市场并有利于创新发展的原则； </w:t>
      </w:r>
    </w:p>
    <w:p>
      <w:pPr>
        <w:ind w:firstLine="420"/>
      </w:pPr>
      <w:r>
        <w:rPr>
          <w:rFonts w:hint="eastAsia"/>
        </w:rPr>
        <w:t xml:space="preserve">(3)本着通用性的原则，使得标准既要满足现有大多数产品的需要，同时充分考虑国内外相关技术发展趋势，使得本标准具有技术先进性的要求。 </w:t>
      </w:r>
    </w:p>
    <w:p>
      <w:pPr>
        <w:pStyle w:val="3"/>
      </w:pPr>
      <w:r>
        <w:rPr>
          <w:rFonts w:hint="eastAsia"/>
        </w:rPr>
        <w:t>2.2 标准主要技术内容</w:t>
      </w:r>
    </w:p>
    <w:p>
      <w:pPr>
        <w:ind w:firstLine="420"/>
        <w:rPr>
          <w:szCs w:val="21"/>
        </w:rPr>
      </w:pPr>
      <w:r>
        <w:rPr>
          <w:rFonts w:hint="eastAsia"/>
          <w:shd w:val="clear" w:color="auto" w:fill="FFFFFF"/>
          <w:lang w:bidi="ar"/>
        </w:rPr>
        <w:t>任务下达后，标准编制小组调研了相关稀土钢生产企业，包括包头钢铁、南京钢铁、中原特钢、宁夏铸钢，深入了解工艺过程及用户意见，确定了牌号及考察元素。通过大量产品的送检分析，结合用户意见，确定了成分范围，最终确定了3.1，3.2的相关内容。</w:t>
      </w:r>
    </w:p>
    <w:p>
      <w:pPr>
        <w:pStyle w:val="4"/>
      </w:pPr>
      <w:r>
        <w:rPr>
          <w:rFonts w:hint="eastAsia"/>
        </w:rPr>
        <w:t>2.2.1</w:t>
      </w:r>
      <w:r>
        <w:t xml:space="preserve"> </w:t>
      </w:r>
      <w:r>
        <w:rPr>
          <w:rFonts w:hint="eastAsia"/>
        </w:rPr>
        <w:t>产品分类及论据</w:t>
      </w:r>
    </w:p>
    <w:p>
      <w:pPr>
        <w:ind w:firstLine="420"/>
      </w:pPr>
      <w:r>
        <w:rPr>
          <w:rFonts w:hint="eastAsia"/>
        </w:rPr>
        <w:t>本标准产品分类主要以稀土总量为依据分为三个牌号，分别为LaFe--10、LaFe-15、LaFe-20，为目前市场上主流需求，研究表明，稀土含量10%-20%更适用于目前的稀土钢生产工艺，稀土烧损小，工艺易顺行。</w:t>
      </w:r>
    </w:p>
    <w:p>
      <w:pPr>
        <w:pStyle w:val="4"/>
      </w:pPr>
      <w:r>
        <w:rPr>
          <w:rFonts w:hint="eastAsia"/>
        </w:rPr>
        <w:t>2.2.2</w:t>
      </w:r>
      <w:r>
        <w:t xml:space="preserve"> </w:t>
      </w:r>
      <w:r>
        <w:rPr>
          <w:rFonts w:hint="eastAsia"/>
        </w:rPr>
        <w:t>技术指标的确定与论据</w:t>
      </w:r>
    </w:p>
    <w:p>
      <w:pPr>
        <w:ind w:firstLine="420"/>
      </w:pPr>
      <w:r>
        <w:rPr>
          <w:rFonts w:hint="eastAsia"/>
        </w:rPr>
        <w:t>1）杂质来源分析：本产品所用原料为工业纯铁及金属镧。</w:t>
      </w:r>
    </w:p>
    <w:p>
      <w:pPr>
        <w:ind w:firstLine="420"/>
      </w:pPr>
      <w:r>
        <w:rPr>
          <w:rFonts w:hint="eastAsia"/>
        </w:rPr>
        <w:t>所用原料主要成分如下：</w:t>
      </w:r>
    </w:p>
    <w:p>
      <w:pPr>
        <w:ind w:firstLine="420"/>
      </w:pPr>
      <w:r>
        <w:rPr>
          <w:rFonts w:hint="eastAsia"/>
        </w:rPr>
        <w:t>金属镧：</w:t>
      </w:r>
      <w:r>
        <w:rPr>
          <w:rFonts w:ascii="Times New Roman" w:hAnsi="Times New Roman" w:cs="Times New Roman"/>
        </w:rPr>
        <w:t>RE&gt;99%</w:t>
      </w:r>
      <w:r>
        <w:rPr>
          <w:rFonts w:hint="eastAsia" w:ascii="Times New Roman" w:hAnsi="Times New Roman" w:cs="Times New Roman"/>
        </w:rPr>
        <w:t>、</w:t>
      </w:r>
      <w:r>
        <w:rPr>
          <w:rFonts w:ascii="Times New Roman" w:hAnsi="Times New Roman" w:cs="Times New Roman"/>
        </w:rPr>
        <w:t>Fe&lt;0.2%、C&lt;0.0</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Si&lt;0.03%、Ca&lt;0.02%、Mg&lt;0.05%、Al&lt;0.05%、S&lt;0.02%、P&lt;0.01%、Zn&lt;0.03%。</w:t>
      </w:r>
    </w:p>
    <w:p>
      <w:pPr>
        <w:ind w:firstLine="420"/>
        <w:rPr>
          <w:rFonts w:hint="eastAsia" w:ascii="Times New Roman" w:hAnsi="Times New Roman" w:cs="Times New Roman"/>
        </w:rPr>
      </w:pPr>
      <w:r>
        <w:rPr>
          <w:rFonts w:hint="eastAsia"/>
        </w:rPr>
        <w:t>工业纯铁：</w:t>
      </w:r>
      <w:r>
        <w:rPr>
          <w:rFonts w:ascii="Times New Roman" w:hAnsi="Times New Roman" w:cs="Times New Roman"/>
        </w:rPr>
        <w:t>C&lt;0.01%、 Si&lt;0.03%、Mn&lt;0.</w:t>
      </w:r>
      <w:r>
        <w:rPr>
          <w:rFonts w:hint="eastAsia" w:ascii="Times New Roman" w:hAnsi="Times New Roman" w:cs="Times New Roman"/>
        </w:rPr>
        <w:t>2</w:t>
      </w:r>
      <w:r>
        <w:rPr>
          <w:rFonts w:ascii="Times New Roman" w:hAnsi="Times New Roman" w:cs="Times New Roman"/>
        </w:rPr>
        <w:t>%、S&lt;0.01%、P&lt;0.015%</w:t>
      </w:r>
      <w:r>
        <w:rPr>
          <w:rFonts w:hint="eastAsia" w:ascii="Times New Roman" w:hAnsi="Times New Roman" w:cs="Times New Roman"/>
        </w:rPr>
        <w:t>、</w:t>
      </w:r>
      <w:r>
        <w:rPr>
          <w:rFonts w:ascii="Times New Roman" w:hAnsi="Times New Roman" w:cs="Times New Roman"/>
        </w:rPr>
        <w:t>Al&lt;0.</w:t>
      </w:r>
      <w:r>
        <w:rPr>
          <w:rFonts w:hint="eastAsia" w:ascii="Times New Roman" w:hAnsi="Times New Roman" w:cs="Times New Roman"/>
        </w:rPr>
        <w:t>0</w:t>
      </w:r>
      <w:r>
        <w:rPr>
          <w:rFonts w:ascii="Times New Roman" w:hAnsi="Times New Roman" w:cs="Times New Roman"/>
        </w:rPr>
        <w:t>5</w:t>
      </w:r>
      <w:r>
        <w:rPr>
          <w:rFonts w:hint="eastAsia" w:ascii="Times New Roman" w:hAnsi="Times New Roman" w:cs="Times New Roman"/>
        </w:rPr>
        <w:t>、Ni</w:t>
      </w:r>
      <w:r>
        <w:rPr>
          <w:rFonts w:ascii="Times New Roman" w:hAnsi="Times New Roman" w:cs="Times New Roman"/>
        </w:rPr>
        <w:t>&lt;0.02%</w:t>
      </w:r>
      <w:r>
        <w:rPr>
          <w:rFonts w:hint="eastAsia" w:ascii="Times New Roman" w:hAnsi="Times New Roman" w:cs="Times New Roman"/>
        </w:rPr>
        <w:t>、</w:t>
      </w:r>
      <w:r>
        <w:rPr>
          <w:rFonts w:ascii="Times New Roman" w:hAnsi="Times New Roman" w:cs="Times New Roman"/>
        </w:rPr>
        <w:t>Cr&lt;0.02%</w:t>
      </w:r>
      <w:r>
        <w:rPr>
          <w:rFonts w:hint="eastAsia" w:ascii="Times New Roman" w:hAnsi="Times New Roman" w:cs="Times New Roman"/>
        </w:rPr>
        <w:t>、</w:t>
      </w:r>
      <w:r>
        <w:rPr>
          <w:rFonts w:ascii="Times New Roman" w:hAnsi="Times New Roman" w:cs="Times New Roman"/>
        </w:rPr>
        <w:t>Cu&lt;0.08%</w:t>
      </w:r>
      <w:r>
        <w:rPr>
          <w:rFonts w:hint="eastAsia" w:ascii="Times New Roman" w:hAnsi="Times New Roman" w:cs="Times New Roman"/>
        </w:rPr>
        <w:t>。</w:t>
      </w:r>
    </w:p>
    <w:p>
      <w:pPr>
        <w:ind w:firstLine="420"/>
        <w:rPr>
          <w:rFonts w:hint="eastAsia"/>
        </w:rPr>
      </w:pPr>
      <w:r>
        <w:rPr>
          <w:rFonts w:hint="eastAsia"/>
        </w:rPr>
        <w:t>通过熔配法生产，生产过程会带入Ca、</w:t>
      </w:r>
      <w:r>
        <w:t>M</w:t>
      </w:r>
      <w:r>
        <w:rPr>
          <w:rFonts w:hint="eastAsia"/>
        </w:rPr>
        <w:t>g、</w:t>
      </w:r>
      <w:r>
        <w:t>Al</w:t>
      </w:r>
      <w:r>
        <w:rPr>
          <w:rFonts w:hint="eastAsia"/>
        </w:rPr>
        <w:t>、</w:t>
      </w:r>
      <w:r>
        <w:t>S</w:t>
      </w:r>
      <w:r>
        <w:rPr>
          <w:rFonts w:hint="eastAsia"/>
        </w:rPr>
        <w:t>i（主要来源为坩埚），冶炼过程氧含量也会有所变化。</w:t>
      </w:r>
    </w:p>
    <w:p>
      <w:pPr>
        <w:ind w:firstLine="420"/>
      </w:pPr>
      <w:r>
        <w:rPr>
          <w:rFonts w:hint="eastAsia"/>
        </w:rPr>
        <w:t>2）杂质元素的确定：</w:t>
      </w:r>
    </w:p>
    <w:p>
      <w:pPr>
        <w:ind w:left="210" w:leftChars="100" w:firstLine="210" w:firstLineChars="100"/>
        <w:rPr>
          <w:rFonts w:hint="eastAsia"/>
        </w:rPr>
      </w:pPr>
      <w:r>
        <w:rPr>
          <w:rFonts w:hint="eastAsia"/>
        </w:rPr>
        <w:t>Ca、Mg具有脱硫、脱磷、脱氧的效果，Al有脱氧效果，</w:t>
      </w:r>
      <w:r>
        <w:t>N</w:t>
      </w:r>
      <w:r>
        <w:rPr>
          <w:rFonts w:hint="eastAsia"/>
        </w:rPr>
        <w:t>i、Cr、Cu、</w:t>
      </w:r>
      <w:r>
        <w:t>Zn</w:t>
      </w:r>
      <w:r>
        <w:rPr>
          <w:rFonts w:hint="eastAsia"/>
        </w:rPr>
        <w:t>等元素完全由原料带入，对炼钢而言不属于有害元素，在产品中含量也较低，故不作要求。 经过与下游多家钢厂用户沟通，一致建议把对钢材质量有较大影响的S、</w:t>
      </w:r>
      <w:r>
        <w:t>P</w:t>
      </w:r>
      <w:r>
        <w:rPr>
          <w:rFonts w:hint="eastAsia"/>
        </w:rPr>
        <w:t>、</w:t>
      </w:r>
      <w:r>
        <w:t>O</w:t>
      </w:r>
      <w:r>
        <w:rPr>
          <w:rFonts w:hint="eastAsia"/>
        </w:rPr>
        <w:t>及钢材原料一般性指标C、Si、Mn列入标准。</w:t>
      </w:r>
    </w:p>
    <w:p>
      <w:pPr>
        <w:ind w:firstLine="420"/>
      </w:pPr>
      <w:r>
        <w:rPr>
          <w:rFonts w:hint="eastAsia"/>
        </w:rPr>
        <w:t>3）元素含量范围的确定</w:t>
      </w:r>
    </w:p>
    <w:p>
      <w:pPr>
        <w:ind w:firstLine="420"/>
        <w:rPr>
          <w:rFonts w:ascii="Times New Roman" w:hAnsi="Times New Roman" w:cs="Times New Roman"/>
        </w:rPr>
      </w:pPr>
      <w:r>
        <w:rPr>
          <w:rFonts w:hint="eastAsia"/>
        </w:rPr>
        <w:t>S、P为炼钢主要有害元素，原料中S、</w:t>
      </w:r>
      <w:r>
        <w:t>P</w:t>
      </w:r>
      <w:r>
        <w:rPr>
          <w:rFonts w:hint="eastAsia"/>
        </w:rPr>
        <w:t>均小于</w:t>
      </w:r>
      <w:r>
        <w:rPr>
          <w:rFonts w:ascii="Times New Roman" w:hAnsi="Times New Roman" w:cs="Times New Roman"/>
        </w:rPr>
        <w:t>0.02%</w:t>
      </w:r>
      <w:r>
        <w:rPr>
          <w:rFonts w:hint="eastAsia" w:ascii="Times New Roman" w:hAnsi="Times New Roman" w:cs="Times New Roman"/>
        </w:rPr>
        <w:t>，冶炼过程一部分</w:t>
      </w:r>
      <w:r>
        <w:rPr>
          <w:rFonts w:hint="eastAsia"/>
        </w:rPr>
        <w:t>S、P会进入渣中，</w:t>
      </w:r>
      <w:r>
        <w:rPr>
          <w:rFonts w:hint="eastAsia" w:ascii="Times New Roman" w:hAnsi="Times New Roman" w:cs="Times New Roman"/>
        </w:rPr>
        <w:t>产品中实测</w:t>
      </w:r>
      <w:r>
        <w:rPr>
          <w:rFonts w:hint="eastAsia"/>
        </w:rPr>
        <w:t>S、</w:t>
      </w:r>
      <w:r>
        <w:t>P</w:t>
      </w:r>
      <w:r>
        <w:rPr>
          <w:rFonts w:hint="eastAsia"/>
        </w:rPr>
        <w:t>均小于</w:t>
      </w:r>
      <w:r>
        <w:rPr>
          <w:rFonts w:ascii="Times New Roman" w:hAnsi="Times New Roman" w:cs="Times New Roman"/>
        </w:rPr>
        <w:t>0.0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，故确定标准中</w:t>
      </w:r>
      <w:r>
        <w:rPr>
          <w:rFonts w:hint="eastAsia"/>
        </w:rPr>
        <w:t>S、</w:t>
      </w:r>
      <w:r>
        <w:t>P</w:t>
      </w:r>
      <w:r>
        <w:rPr>
          <w:rFonts w:hint="eastAsia"/>
        </w:rPr>
        <w:t>小于</w:t>
      </w:r>
      <w:r>
        <w:rPr>
          <w:rFonts w:ascii="Times New Roman" w:hAnsi="Times New Roman" w:cs="Times New Roman"/>
        </w:rPr>
        <w:t>0.0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w:t>
      </w:r>
    </w:p>
    <w:p>
      <w:pPr>
        <w:ind w:firstLine="420"/>
        <w:rPr>
          <w:rFonts w:hint="eastAsia" w:ascii="Times New Roman" w:hAnsi="Times New Roman" w:cs="Times New Roman"/>
        </w:rPr>
      </w:pPr>
      <w:r>
        <w:rPr>
          <w:rFonts w:hint="eastAsia"/>
        </w:rPr>
        <w:t>C、Si、Mn为钢材原料一般性指标，微量添加剂不会产生明显影响，范围可适当放宽，结合分析结果，三者含量分别规定为C</w:t>
      </w:r>
      <w:r>
        <w:rPr>
          <w:rFonts w:ascii="Times New Roman" w:hAnsi="Times New Roman" w:cs="Times New Roman"/>
        </w:rPr>
        <w:t>&lt;</w:t>
      </w:r>
      <w:r>
        <w:rPr>
          <w:rFonts w:hint="eastAsia" w:ascii="Times New Roman" w:hAnsi="Times New Roman" w:cs="Times New Roman"/>
        </w:rPr>
        <w:t>0.03%</w:t>
      </w:r>
      <w:r>
        <w:rPr>
          <w:rFonts w:hint="eastAsia"/>
        </w:rPr>
        <w:t>、Si</w:t>
      </w:r>
      <w:r>
        <w:rPr>
          <w:rFonts w:ascii="Times New Roman" w:hAnsi="Times New Roman" w:cs="Times New Roman"/>
        </w:rPr>
        <w:t>&lt;</w:t>
      </w:r>
      <w:r>
        <w:rPr>
          <w:rFonts w:hint="eastAsia" w:ascii="Times New Roman" w:hAnsi="Times New Roman" w:cs="Times New Roman"/>
        </w:rPr>
        <w:t>0.05%</w:t>
      </w:r>
      <w:r>
        <w:rPr>
          <w:rFonts w:hint="eastAsia"/>
        </w:rPr>
        <w:t>、Mn</w:t>
      </w:r>
      <w:r>
        <w:rPr>
          <w:rFonts w:ascii="Times New Roman" w:hAnsi="Times New Roman" w:cs="Times New Roman"/>
        </w:rPr>
        <w:t>&lt;</w:t>
      </w:r>
      <w:r>
        <w:rPr>
          <w:rFonts w:hint="eastAsia" w:ascii="Times New Roman" w:hAnsi="Times New Roman" w:cs="Times New Roman"/>
        </w:rPr>
        <w:t>0.2%。</w:t>
      </w:r>
    </w:p>
    <w:p>
      <w:pPr>
        <w:ind w:firstLine="420"/>
        <w:rPr>
          <w:rFonts w:hint="eastAsia"/>
        </w:rPr>
      </w:pPr>
      <w:r>
        <w:rPr>
          <w:rFonts w:hint="eastAsia"/>
        </w:rPr>
        <w:t>氧对钢材性能可能会产生一定不良影响，下游钢厂建议尽可能低，考虑到现有工艺技术水平、生产成本及产品易氧化等实际情况，与用户沟通后最终确定镧铁合金中氧含量为</w:t>
      </w:r>
      <w:r>
        <w:t>&lt;</w:t>
      </w:r>
      <w:r>
        <w:rPr>
          <w:rFonts w:hint="eastAsia"/>
        </w:rPr>
        <w:t>0.05%。</w:t>
      </w:r>
    </w:p>
    <w:p>
      <w:pPr>
        <w:pStyle w:val="4"/>
        <w:rPr>
          <w:shd w:val="clear" w:color="auto" w:fill="FFFFFF"/>
          <w:lang w:bidi="ar"/>
        </w:rPr>
      </w:pPr>
      <w:r>
        <w:rPr>
          <w:rFonts w:hint="eastAsia"/>
          <w:shd w:val="clear" w:color="auto" w:fill="FFFFFF"/>
          <w:lang w:bidi="ar"/>
        </w:rPr>
        <w:t>2.2.3</w:t>
      </w:r>
      <w:r>
        <w:rPr>
          <w:shd w:val="clear" w:color="auto" w:fill="FFFFFF"/>
          <w:lang w:bidi="ar"/>
        </w:rPr>
        <w:t xml:space="preserve"> </w:t>
      </w:r>
      <w:r>
        <w:rPr>
          <w:rFonts w:hint="eastAsia"/>
          <w:shd w:val="clear" w:color="auto" w:fill="FFFFFF"/>
          <w:lang w:bidi="ar"/>
        </w:rPr>
        <w:t>确定各成分分析方法</w:t>
      </w:r>
    </w:p>
    <w:p>
      <w:pPr>
        <w:rPr>
          <w:rFonts w:hint="eastAsia"/>
        </w:rPr>
      </w:pPr>
      <w:r>
        <w:rPr>
          <w:rFonts w:hint="eastAsia"/>
        </w:rPr>
        <w:t>4.1.1稀土总量的测定按附录A</w:t>
      </w:r>
      <w:r>
        <w:rPr>
          <w:rFonts w:hint="eastAsia"/>
          <w:lang w:eastAsia="zh-CN"/>
        </w:rPr>
        <w:t>（</w:t>
      </w:r>
      <w:r>
        <w:rPr>
          <w:rFonts w:hint="eastAsia"/>
        </w:rPr>
        <w:t>草酸盐重量法</w:t>
      </w:r>
      <w:r>
        <w:rPr>
          <w:rFonts w:hint="eastAsia"/>
          <w:lang w:eastAsia="zh-CN"/>
        </w:rPr>
        <w:t>）</w:t>
      </w:r>
      <w:r>
        <w:rPr>
          <w:rFonts w:hint="eastAsia"/>
        </w:rPr>
        <w:t>方法进行。</w:t>
      </w:r>
    </w:p>
    <w:p>
      <w:pPr>
        <w:rPr>
          <w:rFonts w:hint="eastAsia"/>
        </w:rPr>
      </w:pPr>
      <w:r>
        <w:rPr>
          <w:rFonts w:hint="eastAsia"/>
        </w:rPr>
        <w:t>4.1.2稀土杂质的分析方法参照GB/T18115.1的规定进行。</w:t>
      </w:r>
    </w:p>
    <w:p>
      <w:pPr>
        <w:rPr>
          <w:rFonts w:hint="eastAsia"/>
        </w:rPr>
      </w:pPr>
      <w:r>
        <w:rPr>
          <w:rFonts w:hint="eastAsia"/>
        </w:rPr>
        <w:t>4.1.3 La的相对纯度由计算得出,即[（稀土总量—Σ稀土杂质量）/稀土总量]×100%。</w:t>
      </w:r>
    </w:p>
    <w:p>
      <w:pPr>
        <w:rPr>
          <w:rFonts w:hint="eastAsia"/>
        </w:rPr>
      </w:pPr>
      <w:r>
        <w:rPr>
          <w:rFonts w:hint="eastAsia"/>
        </w:rPr>
        <w:t>4.1.4碳、硫量的分析方法参照GB/T 12690.1的规定进行。</w:t>
      </w:r>
    </w:p>
    <w:p>
      <w:pPr>
        <w:rPr>
          <w:rFonts w:hint="eastAsia"/>
        </w:rPr>
      </w:pPr>
      <w:r>
        <w:rPr>
          <w:rFonts w:hint="eastAsia"/>
        </w:rPr>
        <w:t>4.1.5氧量的分析方法参照GB/T 12690.4的规定进行。</w:t>
      </w:r>
    </w:p>
    <w:p>
      <w:pPr>
        <w:rPr>
          <w:rFonts w:hint="eastAsia"/>
        </w:rPr>
      </w:pPr>
      <w:r>
        <w:rPr>
          <w:rFonts w:hint="eastAsia"/>
        </w:rPr>
        <w:t>4.1.6磷量的分析方法参照GB/T 12690.10的规定进行。</w:t>
      </w:r>
    </w:p>
    <w:p>
      <w:pPr>
        <w:rPr>
          <w:rFonts w:hint="eastAsia"/>
        </w:rPr>
      </w:pPr>
      <w:r>
        <w:rPr>
          <w:rFonts w:hint="eastAsia"/>
        </w:rPr>
        <w:t>4.1.7锰量的分析方法参照GB/T 12690.5的规定进行。</w:t>
      </w:r>
    </w:p>
    <w:p>
      <w:pPr>
        <w:rPr>
          <w:rFonts w:hint="eastAsia"/>
        </w:rPr>
      </w:pPr>
      <w:r>
        <w:rPr>
          <w:rFonts w:hint="eastAsia"/>
        </w:rPr>
        <w:t>4.1.8铁量的分析方法参照GB/T 26416.4的规定进行。</w:t>
      </w:r>
    </w:p>
    <w:p>
      <w:pPr>
        <w:pStyle w:val="4"/>
        <w:rPr>
          <w:rFonts w:hint="eastAsia"/>
          <w:shd w:val="clear" w:color="auto" w:fill="FFFFFF"/>
          <w:lang w:bidi="ar"/>
        </w:rPr>
      </w:pPr>
      <w:r>
        <w:rPr>
          <w:rFonts w:hint="eastAsia"/>
          <w:shd w:val="clear" w:color="auto" w:fill="FFFFFF"/>
          <w:lang w:bidi="ar"/>
        </w:rPr>
        <w:t>2.2.4</w:t>
      </w:r>
      <w:r>
        <w:rPr>
          <w:shd w:val="clear" w:color="auto" w:fill="FFFFFF"/>
          <w:lang w:bidi="ar"/>
        </w:rPr>
        <w:t xml:space="preserve"> </w:t>
      </w:r>
      <w:r>
        <w:rPr>
          <w:rFonts w:hint="eastAsia"/>
          <w:shd w:val="clear" w:color="auto" w:fill="FFFFFF"/>
          <w:lang w:bidi="ar"/>
        </w:rPr>
        <w:t>确定产品取样及包装要求</w:t>
      </w:r>
    </w:p>
    <w:p>
      <w:pPr>
        <w:ind w:firstLine="420"/>
        <w:rPr>
          <w:rFonts w:hint="eastAsia"/>
        </w:rPr>
      </w:pPr>
      <w:r>
        <w:rPr>
          <w:rFonts w:hint="eastAsia"/>
        </w:rPr>
        <w:t>根据镧铁合金包装实际，确定了取样件数与每批</w:t>
      </w:r>
      <w:r>
        <w:rPr>
          <w:rFonts w:hint="eastAsia"/>
          <w:lang w:val="en-US" w:eastAsia="zh-CN"/>
        </w:rPr>
        <w:t>件（袋）数</w:t>
      </w:r>
      <w:r>
        <w:rPr>
          <w:rFonts w:hint="eastAsia"/>
        </w:rPr>
        <w:t>的关系，增强可操作性，规定 5.4.1取样件数如下表：</w:t>
      </w:r>
    </w:p>
    <w:tbl>
      <w:tblPr>
        <w:tblStyle w:val="12"/>
        <w:tblpPr w:leftFromText="180" w:rightFromText="180" w:vertAnchor="text" w:horzAnchor="page" w:tblpX="1615" w:tblpY="164"/>
        <w:tblOverlap w:val="never"/>
        <w:tblW w:w="87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1774"/>
        <w:gridCol w:w="1246"/>
        <w:gridCol w:w="1324"/>
        <w:gridCol w:w="1324"/>
        <w:gridCol w:w="1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trPr>
        <w:tc>
          <w:tcPr>
            <w:tcW w:w="1788" w:type="dxa"/>
            <w:tcBorders>
              <w:right w:val="single" w:color="auto" w:sz="12" w:space="0"/>
            </w:tcBorders>
            <w:vAlign w:val="center"/>
          </w:tcPr>
          <w:p>
            <w:pPr>
              <w:spacing w:line="360" w:lineRule="exact"/>
              <w:jc w:val="center"/>
              <w:rPr>
                <w:sz w:val="18"/>
              </w:rPr>
            </w:pPr>
            <w:r>
              <w:rPr>
                <w:rFonts w:hint="eastAsia"/>
                <w:sz w:val="18"/>
              </w:rPr>
              <w:t>每批</w:t>
            </w:r>
            <w:r>
              <w:rPr>
                <w:rFonts w:hint="eastAsia"/>
                <w:sz w:val="18"/>
                <w:lang w:val="en-US" w:eastAsia="zh-CN"/>
              </w:rPr>
              <w:t>件（袋）数</w:t>
            </w:r>
          </w:p>
        </w:tc>
        <w:tc>
          <w:tcPr>
            <w:tcW w:w="1774" w:type="dxa"/>
            <w:tcBorders>
              <w:left w:val="single" w:color="auto" w:sz="12" w:space="0"/>
            </w:tcBorders>
            <w:vAlign w:val="center"/>
          </w:tcPr>
          <w:p>
            <w:pPr>
              <w:spacing w:line="360" w:lineRule="exact"/>
              <w:jc w:val="both"/>
              <w:rPr>
                <w:rFonts w:hint="eastAsia" w:eastAsia="宋体"/>
                <w:sz w:val="18"/>
                <w:lang w:eastAsia="zh-CN"/>
              </w:rPr>
            </w:pPr>
            <w:r>
              <w:rPr>
                <w:rFonts w:hint="eastAsia"/>
                <w:sz w:val="18"/>
              </w:rPr>
              <w:t>≤</w:t>
            </w:r>
            <w:r>
              <w:rPr>
                <w:rFonts w:hint="eastAsia"/>
                <w:sz w:val="18"/>
                <w:lang w:val="en-US" w:eastAsia="zh-CN"/>
              </w:rPr>
              <w:t>5</w:t>
            </w:r>
          </w:p>
        </w:tc>
        <w:tc>
          <w:tcPr>
            <w:tcW w:w="1246" w:type="dxa"/>
            <w:vAlign w:val="center"/>
          </w:tcPr>
          <w:p>
            <w:pPr>
              <w:spacing w:line="360" w:lineRule="exact"/>
              <w:jc w:val="center"/>
              <w:rPr>
                <w:rFonts w:hint="eastAsia" w:eastAsia="宋体"/>
                <w:sz w:val="18"/>
                <w:lang w:eastAsia="zh-CN"/>
              </w:rPr>
            </w:pPr>
            <w:r>
              <w:rPr>
                <w:rFonts w:hint="eastAsia"/>
                <w:sz w:val="18"/>
              </w:rPr>
              <w:t>＞</w:t>
            </w:r>
            <w:r>
              <w:rPr>
                <w:rFonts w:hint="eastAsia"/>
                <w:sz w:val="18"/>
                <w:lang w:val="en-US" w:eastAsia="zh-CN"/>
              </w:rPr>
              <w:t>5~50</w:t>
            </w:r>
          </w:p>
        </w:tc>
        <w:tc>
          <w:tcPr>
            <w:tcW w:w="1324" w:type="dxa"/>
            <w:vAlign w:val="center"/>
          </w:tcPr>
          <w:p>
            <w:pPr>
              <w:spacing w:line="360" w:lineRule="exact"/>
              <w:jc w:val="center"/>
              <w:rPr>
                <w:sz w:val="18"/>
              </w:rPr>
            </w:pPr>
            <w:r>
              <w:rPr>
                <w:rFonts w:hint="eastAsia"/>
                <w:sz w:val="18"/>
              </w:rPr>
              <w:t>＞50~</w:t>
            </w:r>
            <w:r>
              <w:rPr>
                <w:rFonts w:hint="eastAsia"/>
                <w:sz w:val="18"/>
                <w:lang w:val="en-US" w:eastAsia="zh-CN"/>
              </w:rPr>
              <w:t>1</w:t>
            </w:r>
            <w:r>
              <w:rPr>
                <w:rFonts w:hint="eastAsia"/>
                <w:sz w:val="18"/>
              </w:rPr>
              <w:t>00</w:t>
            </w:r>
          </w:p>
        </w:tc>
        <w:tc>
          <w:tcPr>
            <w:tcW w:w="1324" w:type="dxa"/>
            <w:vAlign w:val="center"/>
          </w:tcPr>
          <w:p>
            <w:pPr>
              <w:spacing w:line="360" w:lineRule="exact"/>
              <w:ind w:left="0" w:leftChars="0" w:firstLine="0" w:firstLineChars="0"/>
              <w:jc w:val="center"/>
              <w:rPr>
                <w:sz w:val="18"/>
              </w:rPr>
            </w:pPr>
            <w:r>
              <w:rPr>
                <w:rFonts w:hint="eastAsia"/>
                <w:sz w:val="18"/>
                <w:lang w:val="en-US" w:eastAsia="zh-CN"/>
              </w:rPr>
              <w:t>＞100~200</w:t>
            </w:r>
          </w:p>
        </w:tc>
        <w:tc>
          <w:tcPr>
            <w:tcW w:w="1324" w:type="dxa"/>
            <w:vAlign w:val="center"/>
          </w:tcPr>
          <w:p>
            <w:pPr>
              <w:spacing w:line="360" w:lineRule="exact"/>
              <w:jc w:val="both"/>
              <w:rPr>
                <w:sz w:val="18"/>
              </w:rPr>
            </w:pPr>
            <w:r>
              <w:rPr>
                <w:rFonts w:hint="eastAsia" w:ascii="宋体" w:hAnsi="宋体"/>
                <w:sz w:val="18"/>
              </w:rPr>
              <w:t>＞</w:t>
            </w:r>
            <w:r>
              <w:rPr>
                <w:rFonts w:hint="eastAsia"/>
                <w:sz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trPr>
        <w:tc>
          <w:tcPr>
            <w:tcW w:w="1788" w:type="dxa"/>
            <w:tcBorders>
              <w:right w:val="single" w:color="auto" w:sz="12" w:space="0"/>
            </w:tcBorders>
            <w:vAlign w:val="center"/>
          </w:tcPr>
          <w:p>
            <w:pPr>
              <w:spacing w:line="360" w:lineRule="exact"/>
              <w:jc w:val="center"/>
              <w:rPr>
                <w:rFonts w:hint="eastAsia"/>
                <w:sz w:val="18"/>
                <w:lang w:val="en-US" w:eastAsia="zh-CN"/>
              </w:rPr>
            </w:pPr>
            <w:r>
              <w:rPr>
                <w:rFonts w:hint="eastAsia"/>
                <w:sz w:val="18"/>
              </w:rPr>
              <w:t>取样件</w:t>
            </w:r>
            <w:r>
              <w:rPr>
                <w:rFonts w:hint="eastAsia"/>
                <w:sz w:val="18"/>
                <w:lang w:val="en-US" w:eastAsia="zh-CN"/>
              </w:rPr>
              <w:t>（袋）</w:t>
            </w:r>
            <w:r>
              <w:rPr>
                <w:rFonts w:hint="eastAsia"/>
                <w:sz w:val="18"/>
              </w:rPr>
              <w:t>数</w:t>
            </w:r>
          </w:p>
        </w:tc>
        <w:tc>
          <w:tcPr>
            <w:tcW w:w="1774" w:type="dxa"/>
            <w:tcBorders>
              <w:left w:val="single" w:color="auto" w:sz="12" w:space="0"/>
            </w:tcBorders>
            <w:vAlign w:val="center"/>
          </w:tcPr>
          <w:p>
            <w:pPr>
              <w:spacing w:line="360" w:lineRule="exact"/>
              <w:jc w:val="both"/>
              <w:rPr>
                <w:rFonts w:hint="eastAsia"/>
                <w:sz w:val="18"/>
                <w:lang w:val="en-US" w:eastAsia="zh-CN"/>
              </w:rPr>
            </w:pPr>
            <w:r>
              <w:rPr>
                <w:rFonts w:hint="eastAsia"/>
                <w:sz w:val="18"/>
                <w:lang w:val="en-US" w:eastAsia="zh-CN"/>
              </w:rPr>
              <w:t>50%</w:t>
            </w:r>
          </w:p>
          <w:p>
            <w:pPr>
              <w:spacing w:line="360" w:lineRule="exact"/>
              <w:ind w:left="0" w:leftChars="0" w:firstLine="0" w:firstLineChars="0"/>
              <w:jc w:val="both"/>
              <w:rPr>
                <w:rFonts w:hint="eastAsia" w:eastAsia="宋体"/>
                <w:sz w:val="18"/>
                <w:lang w:val="en-US" w:eastAsia="zh-CN"/>
              </w:rPr>
            </w:pPr>
            <w:r>
              <w:rPr>
                <w:rFonts w:hint="eastAsia"/>
                <w:sz w:val="18"/>
                <w:lang w:val="en-US" w:eastAsia="zh-CN"/>
              </w:rPr>
              <w:t>（取样数四舍五入）</w:t>
            </w:r>
          </w:p>
        </w:tc>
        <w:tc>
          <w:tcPr>
            <w:tcW w:w="1246" w:type="dxa"/>
            <w:vAlign w:val="center"/>
          </w:tcPr>
          <w:p>
            <w:pPr>
              <w:spacing w:line="360" w:lineRule="exact"/>
              <w:jc w:val="center"/>
              <w:rPr>
                <w:rFonts w:hint="eastAsia" w:eastAsia="宋体"/>
                <w:sz w:val="18"/>
                <w:lang w:eastAsia="zh-CN"/>
              </w:rPr>
            </w:pPr>
            <w:r>
              <w:rPr>
                <w:rFonts w:hint="eastAsia"/>
                <w:sz w:val="18"/>
                <w:lang w:val="en-US" w:eastAsia="zh-CN"/>
              </w:rPr>
              <w:t>5</w:t>
            </w:r>
          </w:p>
        </w:tc>
        <w:tc>
          <w:tcPr>
            <w:tcW w:w="1324" w:type="dxa"/>
            <w:vAlign w:val="center"/>
          </w:tcPr>
          <w:p>
            <w:pPr>
              <w:spacing w:line="360" w:lineRule="exact"/>
              <w:jc w:val="center"/>
              <w:rPr>
                <w:rFonts w:hint="eastAsia" w:eastAsia="宋体"/>
                <w:sz w:val="18"/>
                <w:lang w:eastAsia="zh-CN"/>
              </w:rPr>
            </w:pPr>
            <w:r>
              <w:rPr>
                <w:rFonts w:hint="eastAsia"/>
                <w:sz w:val="18"/>
                <w:lang w:val="en-US" w:eastAsia="zh-CN"/>
              </w:rPr>
              <w:t>10</w:t>
            </w:r>
          </w:p>
        </w:tc>
        <w:tc>
          <w:tcPr>
            <w:tcW w:w="1324" w:type="dxa"/>
            <w:vAlign w:val="center"/>
          </w:tcPr>
          <w:p>
            <w:pPr>
              <w:spacing w:line="360" w:lineRule="exact"/>
              <w:jc w:val="center"/>
              <w:rPr>
                <w:rFonts w:hint="eastAsia" w:eastAsia="宋体"/>
                <w:sz w:val="18"/>
                <w:lang w:eastAsia="zh-CN"/>
              </w:rPr>
            </w:pPr>
            <w:r>
              <w:rPr>
                <w:rFonts w:hint="eastAsia"/>
                <w:sz w:val="18"/>
                <w:lang w:val="en-US" w:eastAsia="zh-CN"/>
              </w:rPr>
              <w:t>15</w:t>
            </w:r>
          </w:p>
        </w:tc>
        <w:tc>
          <w:tcPr>
            <w:tcW w:w="1324" w:type="dxa"/>
            <w:vAlign w:val="center"/>
          </w:tcPr>
          <w:p>
            <w:pPr>
              <w:spacing w:line="360" w:lineRule="exact"/>
              <w:jc w:val="both"/>
              <w:rPr>
                <w:rFonts w:hint="eastAsia" w:eastAsia="宋体"/>
                <w:sz w:val="18"/>
                <w:lang w:eastAsia="zh-CN"/>
              </w:rPr>
            </w:pPr>
            <w:r>
              <w:rPr>
                <w:rFonts w:hint="eastAsia"/>
                <w:sz w:val="18"/>
                <w:lang w:val="en-US" w:eastAsia="zh-CN"/>
              </w:rPr>
              <w:t>20</w:t>
            </w:r>
          </w:p>
        </w:tc>
      </w:tr>
    </w:tbl>
    <w:p>
      <w:pPr>
        <w:spacing w:line="360" w:lineRule="exact"/>
        <w:ind w:firstLine="420"/>
        <w:jc w:val="center"/>
        <w:rPr>
          <w:rFonts w:ascii="黑体" w:eastAsia="黑体"/>
        </w:rPr>
      </w:pPr>
    </w:p>
    <w:p>
      <w:pPr>
        <w:ind w:firstLine="420"/>
        <w:rPr>
          <w:rFonts w:hint="eastAsia"/>
        </w:rPr>
      </w:pPr>
      <w:r>
        <w:rPr>
          <w:rFonts w:hint="eastAsia"/>
        </w:rPr>
        <w:t>因镧铁合金易在空气中氧化，故准确分析其氧含量有一定难度，故本标准结合实际，给出了相关取样建议，见5.4.2：</w:t>
      </w:r>
    </w:p>
    <w:p>
      <w:pPr>
        <w:ind w:firstLine="420"/>
      </w:pPr>
      <w:r>
        <w:rPr>
          <w:rFonts w:hint="eastAsia"/>
        </w:rPr>
        <w:t>6.2中规定了镧铁合金包装的要求，规定了防氧化包装措施。</w:t>
      </w:r>
    </w:p>
    <w:p>
      <w:pPr>
        <w:pStyle w:val="2"/>
        <w:spacing w:before="156" w:after="156"/>
        <w:rPr>
          <w:rFonts w:hint="eastAsia"/>
        </w:rPr>
      </w:pPr>
      <w:r>
        <w:rPr>
          <w:rFonts w:hint="eastAsia"/>
          <w:sz w:val="22"/>
        </w:rPr>
        <w:t>三、</w:t>
      </w:r>
      <w:r>
        <w:rPr>
          <w:rFonts w:hint="eastAsia"/>
        </w:rPr>
        <w:t>主要试验（或验证）的分析、综述报告</w:t>
      </w:r>
    </w:p>
    <w:p>
      <w:pPr>
        <w:spacing w:line="440" w:lineRule="exact"/>
        <w:ind w:firstLine="440"/>
        <w:rPr>
          <w:rFonts w:cs="Calibri"/>
          <w:sz w:val="22"/>
          <w:szCs w:val="21"/>
          <w:shd w:val="clear" w:color="auto" w:fill="FFFFFF"/>
        </w:rPr>
      </w:pPr>
      <w:r>
        <w:rPr>
          <w:rFonts w:hint="eastAsia" w:hAnsi="宋体" w:cs="宋体"/>
          <w:sz w:val="22"/>
          <w:szCs w:val="21"/>
          <w:shd w:val="clear" w:color="auto" w:fill="FFFFFF"/>
          <w:lang w:bidi="ar"/>
        </w:rPr>
        <w:t>本产品通过各牌号产品的批量取样送检，共送检200余批次样品，依据现行分析方法，确定各元素含量、为标准制定提供数据支撑。</w:t>
      </w:r>
    </w:p>
    <w:p>
      <w:pPr>
        <w:ind w:firstLine="420"/>
        <w:rPr>
          <w:rFonts w:hint="eastAsia"/>
          <w:shd w:val="clear" w:color="auto" w:fill="FFFFFF"/>
          <w:lang w:bidi="ar"/>
        </w:rPr>
      </w:pPr>
      <w:r>
        <w:rPr>
          <w:rFonts w:hint="eastAsia"/>
          <w:shd w:val="clear" w:color="auto" w:fill="FFFFFF"/>
          <w:lang w:bidi="ar"/>
        </w:rPr>
        <w:t>取样结果范围统计见表</w:t>
      </w:r>
      <w:r>
        <w:rPr>
          <w:rFonts w:ascii="Times New Roman" w:hAnsi="Times New Roman" w:cs="Times New Roman"/>
          <w:shd w:val="clear" w:color="auto" w:fill="FFFFFF"/>
          <w:lang w:bidi="ar"/>
        </w:rPr>
        <w:t>1</w:t>
      </w:r>
      <w:r>
        <w:rPr>
          <w:rFonts w:hint="eastAsia"/>
          <w:shd w:val="clear" w:color="auto" w:fill="FFFFFF"/>
          <w:lang w:bidi="ar"/>
        </w:rPr>
        <w:t>。</w:t>
      </w:r>
    </w:p>
    <w:p>
      <w:pPr>
        <w:spacing w:line="440" w:lineRule="exact"/>
        <w:ind w:firstLine="400"/>
        <w:jc w:val="center"/>
        <w:rPr>
          <w:rFonts w:ascii="Times New Roman" w:hAnsi="Times New Roman" w:cs="Times New Roman"/>
          <w:sz w:val="20"/>
          <w:szCs w:val="20"/>
          <w:shd w:val="clear" w:color="auto" w:fill="FFFFFF"/>
        </w:rPr>
      </w:pPr>
      <w:r>
        <w:rPr>
          <w:rFonts w:hint="eastAsia" w:ascii="宋体" w:hAnsi="宋体" w:cs="宋体"/>
          <w:sz w:val="20"/>
          <w:szCs w:val="20"/>
          <w:shd w:val="clear" w:color="auto" w:fill="FFFFFF"/>
          <w:lang w:bidi="ar"/>
        </w:rPr>
        <w:t>表</w:t>
      </w:r>
      <w:r>
        <w:rPr>
          <w:rFonts w:ascii="Times New Roman" w:hAnsi="Times New Roman" w:cs="Times New Roman"/>
          <w:sz w:val="20"/>
          <w:szCs w:val="20"/>
          <w:shd w:val="clear" w:color="auto" w:fill="FFFFFF"/>
          <w:lang w:bidi="ar"/>
        </w:rPr>
        <w:t>1</w:t>
      </w:r>
    </w:p>
    <w:tbl>
      <w:tblPr>
        <w:tblStyle w:val="12"/>
        <w:tblW w:w="771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929"/>
        <w:gridCol w:w="1928"/>
        <w:gridCol w:w="1930"/>
        <w:gridCol w:w="19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410" w:hRule="atLeast"/>
          <w:jc w:val="center"/>
        </w:trPr>
        <w:tc>
          <w:tcPr>
            <w:tcW w:w="1929" w:type="dxa"/>
            <w:tcBorders>
              <w:top w:val="single" w:color="auto" w:sz="12" w:space="0"/>
              <w:left w:val="single" w:color="auto" w:sz="12" w:space="0"/>
              <w:bottom w:val="single" w:color="auto" w:sz="12" w:space="0"/>
              <w:right w:val="single" w:color="auto" w:sz="2" w:space="0"/>
            </w:tcBorders>
            <w:shd w:val="clear" w:color="auto" w:fill="auto"/>
          </w:tcPr>
          <w:p>
            <w:pPr>
              <w:spacing w:line="440" w:lineRule="exact"/>
              <w:ind w:firstLine="402"/>
              <w:jc w:val="center"/>
              <w:rPr>
                <w:rFonts w:ascii="Times New Roman" w:hAnsi="Times New Roman" w:cs="Times New Roman"/>
                <w:b/>
                <w:sz w:val="20"/>
                <w:szCs w:val="20"/>
              </w:rPr>
            </w:pPr>
            <w:r>
              <w:rPr>
                <w:rFonts w:hint="eastAsia" w:ascii="宋体" w:hAnsi="宋体" w:cs="宋体"/>
                <w:b/>
                <w:sz w:val="20"/>
                <w:szCs w:val="20"/>
                <w:lang w:bidi="ar"/>
              </w:rPr>
              <w:t>元素</w:t>
            </w:r>
          </w:p>
        </w:tc>
        <w:tc>
          <w:tcPr>
            <w:tcW w:w="1928" w:type="dxa"/>
            <w:tcBorders>
              <w:top w:val="single" w:color="auto" w:sz="12" w:space="0"/>
              <w:left w:val="single" w:color="auto" w:sz="2" w:space="0"/>
              <w:bottom w:val="single" w:color="auto" w:sz="12" w:space="0"/>
              <w:right w:val="single" w:color="auto" w:sz="2" w:space="0"/>
            </w:tcBorders>
            <w:shd w:val="clear" w:color="auto" w:fill="auto"/>
          </w:tcPr>
          <w:p>
            <w:pPr>
              <w:spacing w:line="440" w:lineRule="exact"/>
              <w:ind w:firstLine="402"/>
              <w:jc w:val="center"/>
              <w:rPr>
                <w:rFonts w:ascii="Times New Roman" w:hAnsi="Times New Roman" w:cs="Times New Roman"/>
                <w:b/>
                <w:sz w:val="20"/>
                <w:szCs w:val="20"/>
              </w:rPr>
            </w:pPr>
            <w:r>
              <w:rPr>
                <w:rFonts w:hint="eastAsia" w:ascii="宋体" w:hAnsi="宋体" w:cs="宋体"/>
                <w:b/>
                <w:sz w:val="20"/>
                <w:szCs w:val="20"/>
                <w:lang w:bidi="ar"/>
              </w:rPr>
              <w:t>质量分数</w:t>
            </w:r>
            <w:r>
              <w:rPr>
                <w:rFonts w:ascii="Times New Roman" w:hAnsi="Times New Roman" w:cs="Times New Roman"/>
                <w:b/>
                <w:sz w:val="20"/>
                <w:szCs w:val="20"/>
                <w:lang w:bidi="ar"/>
              </w:rPr>
              <w:t>/%</w:t>
            </w:r>
          </w:p>
        </w:tc>
        <w:tc>
          <w:tcPr>
            <w:tcW w:w="1930" w:type="dxa"/>
            <w:tcBorders>
              <w:top w:val="single" w:color="auto" w:sz="12" w:space="0"/>
              <w:left w:val="single" w:color="auto" w:sz="2" w:space="0"/>
              <w:bottom w:val="single" w:color="auto" w:sz="12" w:space="0"/>
              <w:right w:val="single" w:color="auto" w:sz="2" w:space="0"/>
            </w:tcBorders>
            <w:shd w:val="clear" w:color="auto" w:fill="auto"/>
          </w:tcPr>
          <w:p>
            <w:pPr>
              <w:spacing w:line="440" w:lineRule="exact"/>
              <w:ind w:firstLine="402"/>
              <w:jc w:val="center"/>
              <w:rPr>
                <w:rFonts w:ascii="Times New Roman" w:hAnsi="Times New Roman" w:cs="Times New Roman"/>
                <w:b/>
                <w:sz w:val="20"/>
                <w:szCs w:val="20"/>
              </w:rPr>
            </w:pPr>
            <w:r>
              <w:rPr>
                <w:rFonts w:hint="eastAsia" w:ascii="宋体" w:hAnsi="宋体" w:cs="宋体"/>
                <w:b/>
                <w:sz w:val="20"/>
                <w:szCs w:val="20"/>
                <w:lang w:bidi="ar"/>
              </w:rPr>
              <w:t>元素</w:t>
            </w:r>
          </w:p>
        </w:tc>
        <w:tc>
          <w:tcPr>
            <w:tcW w:w="1929" w:type="dxa"/>
            <w:tcBorders>
              <w:top w:val="single" w:color="auto" w:sz="12" w:space="0"/>
              <w:left w:val="single" w:color="auto" w:sz="2" w:space="0"/>
              <w:bottom w:val="single" w:color="auto" w:sz="12" w:space="0"/>
              <w:right w:val="single" w:color="auto" w:sz="12" w:space="0"/>
            </w:tcBorders>
            <w:shd w:val="clear" w:color="auto" w:fill="auto"/>
          </w:tcPr>
          <w:p>
            <w:pPr>
              <w:spacing w:line="440" w:lineRule="exact"/>
              <w:ind w:firstLine="402"/>
              <w:jc w:val="center"/>
              <w:rPr>
                <w:rFonts w:ascii="Times New Roman" w:hAnsi="Times New Roman" w:cs="Times New Roman"/>
                <w:b/>
                <w:sz w:val="20"/>
                <w:szCs w:val="20"/>
              </w:rPr>
            </w:pPr>
            <w:r>
              <w:rPr>
                <w:rFonts w:hint="eastAsia" w:ascii="宋体" w:hAnsi="宋体" w:cs="宋体"/>
                <w:b/>
                <w:sz w:val="20"/>
                <w:szCs w:val="20"/>
                <w:lang w:bidi="ar"/>
              </w:rPr>
              <w:t>质量分数</w:t>
            </w:r>
            <w:r>
              <w:rPr>
                <w:rFonts w:ascii="Times New Roman" w:hAnsi="Times New Roman" w:cs="Times New Roman"/>
                <w:b/>
                <w:sz w:val="20"/>
                <w:szCs w:val="20"/>
                <w:lang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679" w:hRule="atLeast"/>
          <w:jc w:val="center"/>
        </w:trPr>
        <w:tc>
          <w:tcPr>
            <w:tcW w:w="1929" w:type="dxa"/>
            <w:tcBorders>
              <w:top w:val="single" w:color="auto" w:sz="12" w:space="0"/>
              <w:left w:val="single" w:color="auto" w:sz="12" w:space="0"/>
              <w:bottom w:val="single" w:color="auto" w:sz="12" w:space="0"/>
              <w:right w:val="single" w:color="auto" w:sz="2" w:space="0"/>
            </w:tcBorders>
            <w:shd w:val="clear" w:color="auto" w:fill="auto"/>
            <w:vAlign w:val="center"/>
          </w:tcPr>
          <w:p>
            <w:pPr>
              <w:spacing w:line="440" w:lineRule="exact"/>
              <w:ind w:firstLine="400"/>
              <w:jc w:val="center"/>
              <w:rPr>
                <w:rFonts w:ascii="Times New Roman" w:hAnsi="Times New Roman" w:cs="Times New Roman"/>
                <w:sz w:val="20"/>
                <w:szCs w:val="20"/>
              </w:rPr>
            </w:pPr>
            <w:r>
              <w:rPr>
                <w:rFonts w:hint="eastAsia" w:ascii="宋体" w:hAnsi="宋体" w:cs="宋体"/>
                <w:sz w:val="20"/>
                <w:szCs w:val="20"/>
                <w:lang w:bidi="ar"/>
              </w:rPr>
              <w:t>碳</w:t>
            </w:r>
          </w:p>
          <w:p>
            <w:pPr>
              <w:spacing w:line="440" w:lineRule="exact"/>
              <w:ind w:firstLine="400"/>
              <w:jc w:val="center"/>
              <w:rPr>
                <w:rFonts w:ascii="Times New Roman" w:hAnsi="Times New Roman" w:cs="Times New Roman"/>
                <w:sz w:val="20"/>
                <w:szCs w:val="20"/>
              </w:rPr>
            </w:pPr>
            <w:r>
              <w:rPr>
                <w:rFonts w:hint="eastAsia" w:ascii="宋体" w:hAnsi="宋体" w:cs="宋体"/>
                <w:sz w:val="20"/>
                <w:szCs w:val="20"/>
                <w:lang w:bidi="ar"/>
              </w:rPr>
              <w:t>硅</w:t>
            </w:r>
          </w:p>
          <w:p>
            <w:pPr>
              <w:spacing w:line="440" w:lineRule="exact"/>
              <w:ind w:firstLine="400"/>
              <w:jc w:val="center"/>
              <w:rPr>
                <w:rFonts w:ascii="宋体" w:hAnsi="宋体" w:cs="宋体"/>
                <w:sz w:val="20"/>
                <w:szCs w:val="20"/>
                <w:lang w:bidi="ar"/>
              </w:rPr>
            </w:pPr>
            <w:r>
              <w:rPr>
                <w:rFonts w:hint="eastAsia" w:ascii="宋体" w:hAnsi="宋体" w:cs="宋体"/>
                <w:sz w:val="20"/>
                <w:szCs w:val="20"/>
                <w:lang w:bidi="ar"/>
              </w:rPr>
              <w:t>硫</w:t>
            </w:r>
          </w:p>
        </w:tc>
        <w:tc>
          <w:tcPr>
            <w:tcW w:w="1928" w:type="dxa"/>
            <w:tcBorders>
              <w:top w:val="single" w:color="auto" w:sz="12" w:space="0"/>
              <w:left w:val="single" w:color="auto" w:sz="2" w:space="0"/>
              <w:bottom w:val="single" w:color="auto" w:sz="12" w:space="0"/>
              <w:right w:val="single" w:color="auto" w:sz="2" w:space="0"/>
            </w:tcBorders>
            <w:shd w:val="clear" w:color="auto" w:fill="auto"/>
            <w:vAlign w:val="center"/>
          </w:tcPr>
          <w:p>
            <w:pPr>
              <w:spacing w:line="440" w:lineRule="exact"/>
              <w:ind w:firstLine="400"/>
              <w:jc w:val="center"/>
              <w:rPr>
                <w:rFonts w:ascii="Times New Roman" w:hAnsi="Times New Roman" w:cs="Times New Roman"/>
                <w:sz w:val="20"/>
                <w:szCs w:val="20"/>
              </w:rPr>
            </w:pPr>
            <w:r>
              <w:rPr>
                <w:rFonts w:hint="eastAsia" w:ascii="宋体" w:hAnsi="宋体" w:cs="宋体"/>
                <w:sz w:val="20"/>
                <w:szCs w:val="20"/>
                <w:lang w:bidi="ar"/>
              </w:rPr>
              <w:t>0.015～0.025</w:t>
            </w:r>
          </w:p>
          <w:p>
            <w:pPr>
              <w:spacing w:line="440" w:lineRule="exact"/>
              <w:ind w:firstLine="400"/>
              <w:jc w:val="center"/>
              <w:rPr>
                <w:rFonts w:ascii="Times New Roman" w:hAnsi="Times New Roman" w:cs="Times New Roman"/>
                <w:sz w:val="20"/>
                <w:szCs w:val="20"/>
              </w:rPr>
            </w:pPr>
            <w:r>
              <w:rPr>
                <w:rFonts w:hint="eastAsia" w:ascii="宋体" w:hAnsi="宋体" w:cs="宋体"/>
                <w:sz w:val="20"/>
                <w:szCs w:val="20"/>
                <w:lang w:bidi="ar"/>
              </w:rPr>
              <w:t>0.005～0.03</w:t>
            </w:r>
          </w:p>
          <w:p>
            <w:pPr>
              <w:spacing w:line="440" w:lineRule="exact"/>
              <w:ind w:firstLine="400"/>
              <w:jc w:val="center"/>
              <w:rPr>
                <w:rFonts w:ascii="Times New Roman" w:hAnsi="Times New Roman" w:cs="Times New Roman"/>
                <w:sz w:val="20"/>
                <w:szCs w:val="20"/>
              </w:rPr>
            </w:pPr>
            <w:r>
              <w:rPr>
                <w:rFonts w:hint="eastAsia" w:ascii="宋体" w:hAnsi="宋体" w:cs="宋体"/>
                <w:sz w:val="20"/>
                <w:szCs w:val="20"/>
                <w:lang w:bidi="ar"/>
              </w:rPr>
              <w:t>0.005～0.01</w:t>
            </w:r>
          </w:p>
        </w:tc>
        <w:tc>
          <w:tcPr>
            <w:tcW w:w="1930" w:type="dxa"/>
            <w:tcBorders>
              <w:top w:val="single" w:color="auto" w:sz="12" w:space="0"/>
              <w:left w:val="single" w:color="auto" w:sz="2" w:space="0"/>
              <w:bottom w:val="single" w:color="auto" w:sz="12" w:space="0"/>
              <w:right w:val="single" w:color="auto" w:sz="2" w:space="0"/>
            </w:tcBorders>
            <w:shd w:val="clear" w:color="auto" w:fill="auto"/>
            <w:vAlign w:val="center"/>
          </w:tcPr>
          <w:p>
            <w:pPr>
              <w:spacing w:line="440" w:lineRule="exact"/>
              <w:ind w:firstLine="400"/>
              <w:jc w:val="center"/>
              <w:rPr>
                <w:rFonts w:ascii="宋体" w:hAnsi="宋体" w:cs="宋体"/>
                <w:sz w:val="20"/>
                <w:szCs w:val="20"/>
                <w:lang w:bidi="ar"/>
              </w:rPr>
            </w:pPr>
            <w:r>
              <w:rPr>
                <w:rFonts w:hint="eastAsia" w:ascii="宋体" w:hAnsi="宋体" w:cs="宋体"/>
                <w:sz w:val="20"/>
                <w:szCs w:val="20"/>
                <w:lang w:bidi="ar"/>
              </w:rPr>
              <w:t>磷</w:t>
            </w:r>
          </w:p>
          <w:p>
            <w:pPr>
              <w:spacing w:line="440" w:lineRule="exact"/>
              <w:ind w:firstLine="400"/>
              <w:jc w:val="center"/>
              <w:rPr>
                <w:rFonts w:ascii="宋体" w:hAnsi="宋体" w:cs="宋体"/>
                <w:sz w:val="20"/>
                <w:szCs w:val="20"/>
                <w:lang w:bidi="ar"/>
              </w:rPr>
            </w:pPr>
            <w:r>
              <w:rPr>
                <w:rFonts w:hint="eastAsia" w:ascii="宋体" w:hAnsi="宋体" w:cs="宋体"/>
                <w:sz w:val="20"/>
                <w:szCs w:val="20"/>
                <w:lang w:bidi="ar"/>
              </w:rPr>
              <w:t>氧</w:t>
            </w:r>
          </w:p>
          <w:p>
            <w:pPr>
              <w:spacing w:line="440" w:lineRule="exact"/>
              <w:ind w:firstLine="400"/>
              <w:jc w:val="center"/>
              <w:rPr>
                <w:rFonts w:hint="eastAsia" w:ascii="Times New Roman" w:hAnsi="Times New Roman" w:cs="Times New Roman"/>
                <w:sz w:val="20"/>
                <w:szCs w:val="20"/>
              </w:rPr>
            </w:pPr>
            <w:r>
              <w:rPr>
                <w:rFonts w:hint="eastAsia" w:ascii="Times New Roman" w:hAnsi="Times New Roman" w:cs="Times New Roman"/>
                <w:sz w:val="20"/>
                <w:szCs w:val="20"/>
              </w:rPr>
              <w:t>锰</w:t>
            </w:r>
          </w:p>
        </w:tc>
        <w:tc>
          <w:tcPr>
            <w:tcW w:w="1929" w:type="dxa"/>
            <w:tcBorders>
              <w:top w:val="single" w:color="auto" w:sz="12" w:space="0"/>
              <w:left w:val="single" w:color="auto" w:sz="2" w:space="0"/>
              <w:bottom w:val="single" w:color="auto" w:sz="12" w:space="0"/>
              <w:right w:val="single" w:color="auto" w:sz="12" w:space="0"/>
            </w:tcBorders>
            <w:shd w:val="clear" w:color="auto" w:fill="auto"/>
            <w:vAlign w:val="center"/>
          </w:tcPr>
          <w:p>
            <w:pPr>
              <w:spacing w:line="440" w:lineRule="exact"/>
              <w:ind w:firstLine="400"/>
              <w:jc w:val="center"/>
              <w:rPr>
                <w:rFonts w:ascii="Times New Roman" w:hAnsi="Times New Roman" w:cs="Times New Roman"/>
                <w:sz w:val="20"/>
                <w:szCs w:val="20"/>
              </w:rPr>
            </w:pPr>
            <w:r>
              <w:rPr>
                <w:rFonts w:ascii="Times New Roman" w:hAnsi="Times New Roman" w:cs="Times New Roman"/>
                <w:sz w:val="20"/>
                <w:szCs w:val="20"/>
              </w:rPr>
              <w:t>0.005～0.01</w:t>
            </w:r>
          </w:p>
          <w:p>
            <w:pPr>
              <w:spacing w:line="440" w:lineRule="exact"/>
              <w:ind w:firstLine="400"/>
              <w:jc w:val="center"/>
              <w:rPr>
                <w:rFonts w:ascii="Times New Roman" w:hAnsi="Times New Roman" w:cs="Times New Roman"/>
                <w:sz w:val="20"/>
                <w:szCs w:val="20"/>
              </w:rPr>
            </w:pPr>
            <w:r>
              <w:rPr>
                <w:rFonts w:hint="eastAsia" w:ascii="Times New Roman" w:hAnsi="Times New Roman" w:cs="Times New Roman"/>
                <w:sz w:val="20"/>
                <w:szCs w:val="20"/>
              </w:rPr>
              <w:t>0.004～0.05</w:t>
            </w:r>
          </w:p>
          <w:p>
            <w:pPr>
              <w:spacing w:line="440" w:lineRule="exact"/>
              <w:ind w:firstLine="400"/>
              <w:jc w:val="center"/>
              <w:rPr>
                <w:rFonts w:ascii="Times New Roman" w:hAnsi="Times New Roman" w:cs="Times New Roman"/>
                <w:color w:val="70AD47"/>
                <w:sz w:val="20"/>
                <w:szCs w:val="20"/>
              </w:rPr>
            </w:pPr>
            <w:r>
              <w:rPr>
                <w:rFonts w:hint="eastAsia" w:ascii="Times New Roman" w:hAnsi="Times New Roman" w:cs="Times New Roman"/>
                <w:sz w:val="20"/>
                <w:szCs w:val="20"/>
              </w:rPr>
              <w:t>0.01～0.2</w:t>
            </w:r>
          </w:p>
        </w:tc>
      </w:tr>
    </w:tbl>
    <w:p>
      <w:pPr>
        <w:ind w:firstLine="440"/>
        <w:rPr>
          <w:rFonts w:hint="eastAsia"/>
          <w:sz w:val="22"/>
          <w:szCs w:val="21"/>
        </w:rPr>
      </w:pPr>
    </w:p>
    <w:p>
      <w:pPr>
        <w:pStyle w:val="2"/>
        <w:spacing w:before="156" w:after="156"/>
        <w:rPr>
          <w:rFonts w:hint="eastAsia"/>
        </w:rPr>
      </w:pPr>
      <w:r>
        <w:rPr>
          <w:rFonts w:hint="eastAsia"/>
        </w:rPr>
        <w:t>四、标准水平分析</w:t>
      </w:r>
    </w:p>
    <w:p>
      <w:pPr>
        <w:ind w:firstLine="420"/>
      </w:pPr>
      <w:r>
        <w:rPr>
          <w:rFonts w:hint="eastAsia"/>
        </w:rPr>
        <w:t>本产品完全满足稀土钢生产需求，具有较高的推广价值，与同类标准比较，技术处于先进水平。</w:t>
      </w:r>
    </w:p>
    <w:p>
      <w:pPr>
        <w:pStyle w:val="2"/>
        <w:spacing w:before="156" w:after="156"/>
      </w:pPr>
      <w:r>
        <w:rPr>
          <w:rFonts w:hint="eastAsia"/>
        </w:rPr>
        <w:t>五、与现行法律、法规规章主相关标准的协调性</w:t>
      </w:r>
    </w:p>
    <w:p>
      <w:pPr>
        <w:ind w:firstLine="420"/>
      </w:pPr>
      <w:r>
        <w:rPr>
          <w:rFonts w:hint="eastAsia"/>
        </w:rPr>
        <w:t>本标准完全满足现行国家法规的要求，本标准根据GB/T1.1-2009《标准化工作导则》的规定编写；充分满足市场并有利于创新发展的原则；本着通用性的原则，使得标准既要满足现有大多数产品的需要，同时充分考虑国内外相关技术发展趋势，使得本标准具有技术先进性的要求。标准文本内容表述合理，格式规范，与现行法律、法规完全相符。目前，国际及国内无此产品标准。</w:t>
      </w:r>
    </w:p>
    <w:p>
      <w:pPr>
        <w:pStyle w:val="2"/>
        <w:spacing w:before="156" w:after="156"/>
      </w:pPr>
      <w:r>
        <w:rPr>
          <w:rFonts w:hint="eastAsia"/>
        </w:rPr>
        <w:t>六、标准中涉及专利的知识产权分析</w:t>
      </w:r>
    </w:p>
    <w:p>
      <w:pPr>
        <w:ind w:firstLine="420"/>
      </w:pPr>
      <w:r>
        <w:rPr>
          <w:rFonts w:hint="eastAsia"/>
        </w:rPr>
        <w:t>本标准未涉及相关知识产权。</w:t>
      </w:r>
    </w:p>
    <w:p>
      <w:pPr>
        <w:pStyle w:val="2"/>
        <w:spacing w:before="156" w:after="156"/>
      </w:pPr>
      <w:r>
        <w:rPr>
          <w:rFonts w:hint="eastAsia"/>
        </w:rPr>
        <w:t>七、重大分歧意见的处理经过和依据</w:t>
      </w:r>
    </w:p>
    <w:p>
      <w:pPr>
        <w:ind w:firstLine="420"/>
      </w:pPr>
      <w:r>
        <w:rPr>
          <w:rFonts w:hint="eastAsia"/>
        </w:rPr>
        <w:t>在本标准起草和编制过程中，征求了生产、技术、检测、应用客户等相关单位意见，同意该标准确定的相关技术内容。</w:t>
      </w:r>
    </w:p>
    <w:p>
      <w:pPr>
        <w:pStyle w:val="2"/>
        <w:spacing w:before="156" w:after="156"/>
      </w:pPr>
      <w:r>
        <w:rPr>
          <w:rFonts w:hint="eastAsia"/>
        </w:rPr>
        <w:t xml:space="preserve">八、标准作为强制性或推荐性国家（或行业）标准的建议 </w:t>
      </w:r>
    </w:p>
    <w:p>
      <w:pPr>
        <w:ind w:firstLine="420"/>
        <w:rPr>
          <w:rFonts w:hint="eastAsia"/>
          <w:szCs w:val="28"/>
        </w:rPr>
      </w:pPr>
      <w:r>
        <w:rPr>
          <w:rFonts w:hint="eastAsia"/>
        </w:rPr>
        <w:t xml:space="preserve">此次制订的《氢氧化铈》国家标准建议为推荐性国家标准。 </w:t>
      </w:r>
    </w:p>
    <w:p>
      <w:pPr>
        <w:pStyle w:val="2"/>
        <w:spacing w:before="156" w:after="156"/>
      </w:pPr>
      <w:r>
        <w:rPr>
          <w:rFonts w:hint="eastAsia"/>
        </w:rPr>
        <w:t>九、贯彻标准的要求和措施建议</w:t>
      </w:r>
    </w:p>
    <w:p>
      <w:pPr>
        <w:ind w:firstLine="420"/>
      </w:pPr>
      <w:r>
        <w:rPr>
          <w:rFonts w:hint="eastAsia"/>
        </w:rPr>
        <w:t>组织措施：为使标准更好地发挥技术指导作用，提高产品质量水平，建议做好宣传培训，使各企业掌握标准的各项技术要求，使标准的应用真正落到实处，不断提高产品质量，提高市场竞争力，同时对《镧铁合金》团体标准执行情况进行跟踪调查，及时发现标准中存在的问题，不断修订完善。</w:t>
      </w:r>
    </w:p>
    <w:p>
      <w:pPr>
        <w:ind w:firstLine="420"/>
      </w:pPr>
      <w:r>
        <w:rPr>
          <w:rFonts w:hint="eastAsia"/>
        </w:rPr>
        <w:t>技术措施：镧铁合金标准针对钢铁企业对原料的要求制定，依托大量生产实践，对产品外观、成分做了合理要求，相关企业参照使用本套标准时，应认真解读系列方法标准，根据产品要求，选择最适宜的牌号要求。</w:t>
      </w:r>
    </w:p>
    <w:p>
      <w:pPr>
        <w:pStyle w:val="2"/>
        <w:spacing w:before="156" w:after="156"/>
      </w:pPr>
      <w:r>
        <w:rPr>
          <w:rFonts w:hint="eastAsia"/>
        </w:rPr>
        <w:t>十、预期的经济和社会效益</w:t>
      </w:r>
    </w:p>
    <w:p>
      <w:pPr>
        <w:ind w:firstLine="420"/>
      </w:pPr>
      <w:r>
        <w:rPr>
          <w:rFonts w:hint="eastAsia"/>
        </w:rPr>
        <w:t>本产品目前在部分钢材中已得到产业化应用，有巨大的应用前景，本标准能购很好推动市场良性发展，扩大镧的应用范围，对稀土行业有较大经济效益。</w:t>
      </w:r>
    </w:p>
    <w:p>
      <w:pPr>
        <w:ind w:firstLine="420"/>
        <w:rPr>
          <w:rFonts w:hint="eastAsia"/>
        </w:rPr>
      </w:pPr>
      <w:r>
        <w:rPr>
          <w:rFonts w:hint="eastAsia"/>
        </w:rPr>
        <w:t>本产品的标准化，可以规范产品市场、增大产品的需求量，为稀土资源找寻一条应用出路，同时也为稀土钢的生产提供合格、优质的原料，保障稀土钢生产的首要步骤，为开发具有高品质系列化稀土钢产品奠定坚实的基础。推动了我国稀土钢产业的发展。发展稀土钢不但可以促进钢铁产业升级，还可以实现稀土元素的综合利用，对促进稀土行业健康发展同样具有积极作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仿宋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 PAGE   \* MERGEFORMAT </w:instrText>
    </w:r>
    <w:r>
      <w:fldChar w:fldCharType="separate"/>
    </w:r>
    <w:r>
      <w:rPr>
        <w:lang w:val="zh-CN"/>
      </w:rPr>
      <w:t>2</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62BC"/>
    <w:rsid w:val="00000D73"/>
    <w:rsid w:val="0000486E"/>
    <w:rsid w:val="000050DD"/>
    <w:rsid w:val="0000602E"/>
    <w:rsid w:val="00007290"/>
    <w:rsid w:val="00013AF1"/>
    <w:rsid w:val="00014E37"/>
    <w:rsid w:val="00017A4A"/>
    <w:rsid w:val="00021160"/>
    <w:rsid w:val="000212A6"/>
    <w:rsid w:val="00021745"/>
    <w:rsid w:val="000226F1"/>
    <w:rsid w:val="000231BC"/>
    <w:rsid w:val="00024ACB"/>
    <w:rsid w:val="00033053"/>
    <w:rsid w:val="0003383D"/>
    <w:rsid w:val="00037733"/>
    <w:rsid w:val="0004211C"/>
    <w:rsid w:val="000462F2"/>
    <w:rsid w:val="00046775"/>
    <w:rsid w:val="00050383"/>
    <w:rsid w:val="0005272A"/>
    <w:rsid w:val="00057B90"/>
    <w:rsid w:val="00060691"/>
    <w:rsid w:val="000630CB"/>
    <w:rsid w:val="00066331"/>
    <w:rsid w:val="00070D2D"/>
    <w:rsid w:val="00071B05"/>
    <w:rsid w:val="0007380B"/>
    <w:rsid w:val="0007677E"/>
    <w:rsid w:val="00080364"/>
    <w:rsid w:val="000879D7"/>
    <w:rsid w:val="000902F4"/>
    <w:rsid w:val="000903DF"/>
    <w:rsid w:val="000935BD"/>
    <w:rsid w:val="00095317"/>
    <w:rsid w:val="000979F1"/>
    <w:rsid w:val="000A690D"/>
    <w:rsid w:val="000B05CF"/>
    <w:rsid w:val="000B12E6"/>
    <w:rsid w:val="000B2FE9"/>
    <w:rsid w:val="000B337C"/>
    <w:rsid w:val="000B6599"/>
    <w:rsid w:val="000B69A6"/>
    <w:rsid w:val="000B770B"/>
    <w:rsid w:val="000C0CBD"/>
    <w:rsid w:val="000C11A3"/>
    <w:rsid w:val="000C3BAB"/>
    <w:rsid w:val="000C7910"/>
    <w:rsid w:val="000D157C"/>
    <w:rsid w:val="000D288E"/>
    <w:rsid w:val="000D2BCE"/>
    <w:rsid w:val="000D7D6B"/>
    <w:rsid w:val="000E0177"/>
    <w:rsid w:val="000E023E"/>
    <w:rsid w:val="000E4111"/>
    <w:rsid w:val="000E4916"/>
    <w:rsid w:val="000F0837"/>
    <w:rsid w:val="000F21DC"/>
    <w:rsid w:val="000F348F"/>
    <w:rsid w:val="000F3681"/>
    <w:rsid w:val="000F3D70"/>
    <w:rsid w:val="000F4B0A"/>
    <w:rsid w:val="001001C5"/>
    <w:rsid w:val="001021AF"/>
    <w:rsid w:val="00104DFD"/>
    <w:rsid w:val="00105C4C"/>
    <w:rsid w:val="001110B1"/>
    <w:rsid w:val="001137EE"/>
    <w:rsid w:val="00116035"/>
    <w:rsid w:val="001221AD"/>
    <w:rsid w:val="00124C6D"/>
    <w:rsid w:val="0013224A"/>
    <w:rsid w:val="00142B33"/>
    <w:rsid w:val="00143FEC"/>
    <w:rsid w:val="00150252"/>
    <w:rsid w:val="00150EFB"/>
    <w:rsid w:val="00150F1D"/>
    <w:rsid w:val="00157335"/>
    <w:rsid w:val="00157FED"/>
    <w:rsid w:val="00161A52"/>
    <w:rsid w:val="00172D6A"/>
    <w:rsid w:val="00182219"/>
    <w:rsid w:val="001836E3"/>
    <w:rsid w:val="00193F6F"/>
    <w:rsid w:val="001978D2"/>
    <w:rsid w:val="001A2B82"/>
    <w:rsid w:val="001A52C4"/>
    <w:rsid w:val="001B0ACA"/>
    <w:rsid w:val="001B11F5"/>
    <w:rsid w:val="001B148E"/>
    <w:rsid w:val="001B1A65"/>
    <w:rsid w:val="001B393E"/>
    <w:rsid w:val="001B493D"/>
    <w:rsid w:val="001B4A18"/>
    <w:rsid w:val="001B4D34"/>
    <w:rsid w:val="001C02AF"/>
    <w:rsid w:val="001C75A3"/>
    <w:rsid w:val="001D0B4B"/>
    <w:rsid w:val="001D4087"/>
    <w:rsid w:val="001E0268"/>
    <w:rsid w:val="001E1511"/>
    <w:rsid w:val="001E3675"/>
    <w:rsid w:val="001F5456"/>
    <w:rsid w:val="001F6592"/>
    <w:rsid w:val="00204482"/>
    <w:rsid w:val="0020483C"/>
    <w:rsid w:val="002062EF"/>
    <w:rsid w:val="00206DA5"/>
    <w:rsid w:val="00210956"/>
    <w:rsid w:val="002145AB"/>
    <w:rsid w:val="00214BBB"/>
    <w:rsid w:val="002159B5"/>
    <w:rsid w:val="00220543"/>
    <w:rsid w:val="00220A3F"/>
    <w:rsid w:val="00222CDF"/>
    <w:rsid w:val="00224B3F"/>
    <w:rsid w:val="00225DB1"/>
    <w:rsid w:val="002300C5"/>
    <w:rsid w:val="00230D23"/>
    <w:rsid w:val="00234A0C"/>
    <w:rsid w:val="00235BBF"/>
    <w:rsid w:val="00236616"/>
    <w:rsid w:val="00241B70"/>
    <w:rsid w:val="00244087"/>
    <w:rsid w:val="00244651"/>
    <w:rsid w:val="00244F56"/>
    <w:rsid w:val="0025191C"/>
    <w:rsid w:val="002538D1"/>
    <w:rsid w:val="00253D8D"/>
    <w:rsid w:val="002574EC"/>
    <w:rsid w:val="00260675"/>
    <w:rsid w:val="00265270"/>
    <w:rsid w:val="0027049B"/>
    <w:rsid w:val="00274C72"/>
    <w:rsid w:val="00282ACB"/>
    <w:rsid w:val="0028418B"/>
    <w:rsid w:val="00290EDE"/>
    <w:rsid w:val="00295E8F"/>
    <w:rsid w:val="00297D13"/>
    <w:rsid w:val="002A4E4A"/>
    <w:rsid w:val="002A5710"/>
    <w:rsid w:val="002A7938"/>
    <w:rsid w:val="002B6A2E"/>
    <w:rsid w:val="002C0B33"/>
    <w:rsid w:val="002C19DF"/>
    <w:rsid w:val="002C215C"/>
    <w:rsid w:val="002C23AD"/>
    <w:rsid w:val="002C306C"/>
    <w:rsid w:val="002D1E0C"/>
    <w:rsid w:val="002D4C56"/>
    <w:rsid w:val="002D66B5"/>
    <w:rsid w:val="002D7CAC"/>
    <w:rsid w:val="002E0E52"/>
    <w:rsid w:val="002E60B6"/>
    <w:rsid w:val="002E72F5"/>
    <w:rsid w:val="002E7395"/>
    <w:rsid w:val="002F27AA"/>
    <w:rsid w:val="002F3119"/>
    <w:rsid w:val="002F3D76"/>
    <w:rsid w:val="002F56EC"/>
    <w:rsid w:val="002F67A9"/>
    <w:rsid w:val="002F7561"/>
    <w:rsid w:val="00302636"/>
    <w:rsid w:val="003039CC"/>
    <w:rsid w:val="00304351"/>
    <w:rsid w:val="003069B1"/>
    <w:rsid w:val="00306DD7"/>
    <w:rsid w:val="00310347"/>
    <w:rsid w:val="00314A8E"/>
    <w:rsid w:val="003215B2"/>
    <w:rsid w:val="00323259"/>
    <w:rsid w:val="00323B30"/>
    <w:rsid w:val="00323E84"/>
    <w:rsid w:val="00324C34"/>
    <w:rsid w:val="003262B3"/>
    <w:rsid w:val="003313ED"/>
    <w:rsid w:val="00331698"/>
    <w:rsid w:val="003334B4"/>
    <w:rsid w:val="0033390B"/>
    <w:rsid w:val="00337019"/>
    <w:rsid w:val="00345E57"/>
    <w:rsid w:val="00345FCF"/>
    <w:rsid w:val="003510DF"/>
    <w:rsid w:val="003566CB"/>
    <w:rsid w:val="0036164A"/>
    <w:rsid w:val="00361C98"/>
    <w:rsid w:val="00361D86"/>
    <w:rsid w:val="00363BDC"/>
    <w:rsid w:val="00364352"/>
    <w:rsid w:val="0036749D"/>
    <w:rsid w:val="00370000"/>
    <w:rsid w:val="0037078D"/>
    <w:rsid w:val="00372B23"/>
    <w:rsid w:val="0037572E"/>
    <w:rsid w:val="003766D6"/>
    <w:rsid w:val="00377382"/>
    <w:rsid w:val="00377F28"/>
    <w:rsid w:val="00380016"/>
    <w:rsid w:val="00381826"/>
    <w:rsid w:val="00382C9A"/>
    <w:rsid w:val="00390713"/>
    <w:rsid w:val="00390943"/>
    <w:rsid w:val="003A0441"/>
    <w:rsid w:val="003A1E89"/>
    <w:rsid w:val="003A4D69"/>
    <w:rsid w:val="003A5D8C"/>
    <w:rsid w:val="003B2ADD"/>
    <w:rsid w:val="003B5600"/>
    <w:rsid w:val="003C2104"/>
    <w:rsid w:val="003C6293"/>
    <w:rsid w:val="003D0185"/>
    <w:rsid w:val="003D0A66"/>
    <w:rsid w:val="003D6B18"/>
    <w:rsid w:val="003D701D"/>
    <w:rsid w:val="003D75FD"/>
    <w:rsid w:val="003E4396"/>
    <w:rsid w:val="003E781C"/>
    <w:rsid w:val="003F02CD"/>
    <w:rsid w:val="003F035C"/>
    <w:rsid w:val="003F0BE7"/>
    <w:rsid w:val="003F1E4D"/>
    <w:rsid w:val="003F2DD3"/>
    <w:rsid w:val="003F43AD"/>
    <w:rsid w:val="003F5C2E"/>
    <w:rsid w:val="0040053B"/>
    <w:rsid w:val="0040248A"/>
    <w:rsid w:val="004029E4"/>
    <w:rsid w:val="004030F4"/>
    <w:rsid w:val="0040753C"/>
    <w:rsid w:val="00407B6C"/>
    <w:rsid w:val="00412944"/>
    <w:rsid w:val="00412EB1"/>
    <w:rsid w:val="00416514"/>
    <w:rsid w:val="00416D9D"/>
    <w:rsid w:val="00421AA3"/>
    <w:rsid w:val="004233BA"/>
    <w:rsid w:val="00424A17"/>
    <w:rsid w:val="00424FC3"/>
    <w:rsid w:val="004262FE"/>
    <w:rsid w:val="00426625"/>
    <w:rsid w:val="00426696"/>
    <w:rsid w:val="004312A8"/>
    <w:rsid w:val="00435A35"/>
    <w:rsid w:val="00436113"/>
    <w:rsid w:val="004373AC"/>
    <w:rsid w:val="0043758F"/>
    <w:rsid w:val="0044122E"/>
    <w:rsid w:val="00441F9E"/>
    <w:rsid w:val="00451F2B"/>
    <w:rsid w:val="0045233E"/>
    <w:rsid w:val="00455E7D"/>
    <w:rsid w:val="00457571"/>
    <w:rsid w:val="00473A37"/>
    <w:rsid w:val="00474FC4"/>
    <w:rsid w:val="00475C49"/>
    <w:rsid w:val="004844C2"/>
    <w:rsid w:val="00484FA1"/>
    <w:rsid w:val="00487629"/>
    <w:rsid w:val="00487F95"/>
    <w:rsid w:val="00490080"/>
    <w:rsid w:val="00494775"/>
    <w:rsid w:val="004A4E9C"/>
    <w:rsid w:val="004B1AA7"/>
    <w:rsid w:val="004B22BB"/>
    <w:rsid w:val="004B5B78"/>
    <w:rsid w:val="004C0E59"/>
    <w:rsid w:val="004C1F80"/>
    <w:rsid w:val="004C2E6F"/>
    <w:rsid w:val="004C4133"/>
    <w:rsid w:val="004C4CDE"/>
    <w:rsid w:val="004C70D8"/>
    <w:rsid w:val="004D3D50"/>
    <w:rsid w:val="004D5462"/>
    <w:rsid w:val="004E0399"/>
    <w:rsid w:val="004E077B"/>
    <w:rsid w:val="004E216A"/>
    <w:rsid w:val="004E408A"/>
    <w:rsid w:val="004E6591"/>
    <w:rsid w:val="004E6FA4"/>
    <w:rsid w:val="004F1B52"/>
    <w:rsid w:val="004F5C39"/>
    <w:rsid w:val="00502C90"/>
    <w:rsid w:val="00503A56"/>
    <w:rsid w:val="005143D5"/>
    <w:rsid w:val="005162C8"/>
    <w:rsid w:val="00520C67"/>
    <w:rsid w:val="00523DCA"/>
    <w:rsid w:val="005270FD"/>
    <w:rsid w:val="0053206B"/>
    <w:rsid w:val="0053381D"/>
    <w:rsid w:val="00540409"/>
    <w:rsid w:val="00541770"/>
    <w:rsid w:val="00541CF5"/>
    <w:rsid w:val="005439C6"/>
    <w:rsid w:val="00544F81"/>
    <w:rsid w:val="005463CE"/>
    <w:rsid w:val="00553080"/>
    <w:rsid w:val="005575D7"/>
    <w:rsid w:val="00557E03"/>
    <w:rsid w:val="00563A5C"/>
    <w:rsid w:val="00564E32"/>
    <w:rsid w:val="00566D8C"/>
    <w:rsid w:val="005676D3"/>
    <w:rsid w:val="005678B3"/>
    <w:rsid w:val="005719E9"/>
    <w:rsid w:val="005729AC"/>
    <w:rsid w:val="00573253"/>
    <w:rsid w:val="0057463B"/>
    <w:rsid w:val="005758E4"/>
    <w:rsid w:val="00577F83"/>
    <w:rsid w:val="00582179"/>
    <w:rsid w:val="005839E5"/>
    <w:rsid w:val="00587176"/>
    <w:rsid w:val="005906ED"/>
    <w:rsid w:val="005933ED"/>
    <w:rsid w:val="005953D9"/>
    <w:rsid w:val="0059560E"/>
    <w:rsid w:val="005A1D05"/>
    <w:rsid w:val="005A3494"/>
    <w:rsid w:val="005A4886"/>
    <w:rsid w:val="005A73A3"/>
    <w:rsid w:val="005B16A8"/>
    <w:rsid w:val="005B42B4"/>
    <w:rsid w:val="005B7D97"/>
    <w:rsid w:val="005C1022"/>
    <w:rsid w:val="005C3894"/>
    <w:rsid w:val="005C5316"/>
    <w:rsid w:val="005D3059"/>
    <w:rsid w:val="005D4B7D"/>
    <w:rsid w:val="005D4E8A"/>
    <w:rsid w:val="005D5A7A"/>
    <w:rsid w:val="005D6705"/>
    <w:rsid w:val="005E1D97"/>
    <w:rsid w:val="005E259C"/>
    <w:rsid w:val="005E28BB"/>
    <w:rsid w:val="005E3D07"/>
    <w:rsid w:val="005F0DC2"/>
    <w:rsid w:val="005F65DC"/>
    <w:rsid w:val="005F6997"/>
    <w:rsid w:val="006018E0"/>
    <w:rsid w:val="00603FC9"/>
    <w:rsid w:val="00605E9F"/>
    <w:rsid w:val="00614294"/>
    <w:rsid w:val="00617068"/>
    <w:rsid w:val="00617B3F"/>
    <w:rsid w:val="00617F40"/>
    <w:rsid w:val="00621135"/>
    <w:rsid w:val="0062674D"/>
    <w:rsid w:val="006323A1"/>
    <w:rsid w:val="006418E2"/>
    <w:rsid w:val="006448F6"/>
    <w:rsid w:val="00646A74"/>
    <w:rsid w:val="00647FBC"/>
    <w:rsid w:val="00651E5F"/>
    <w:rsid w:val="00654C83"/>
    <w:rsid w:val="00661D01"/>
    <w:rsid w:val="00663353"/>
    <w:rsid w:val="00663A0F"/>
    <w:rsid w:val="006641E4"/>
    <w:rsid w:val="0066580D"/>
    <w:rsid w:val="00670972"/>
    <w:rsid w:val="00670D04"/>
    <w:rsid w:val="00670DA3"/>
    <w:rsid w:val="00673373"/>
    <w:rsid w:val="006740D1"/>
    <w:rsid w:val="00674398"/>
    <w:rsid w:val="00682E9C"/>
    <w:rsid w:val="00684707"/>
    <w:rsid w:val="00685878"/>
    <w:rsid w:val="0068728A"/>
    <w:rsid w:val="00697B98"/>
    <w:rsid w:val="006A21E4"/>
    <w:rsid w:val="006A751A"/>
    <w:rsid w:val="006B16FB"/>
    <w:rsid w:val="006B445F"/>
    <w:rsid w:val="006B7EE2"/>
    <w:rsid w:val="006C708C"/>
    <w:rsid w:val="006C7850"/>
    <w:rsid w:val="006D6420"/>
    <w:rsid w:val="006E0CA2"/>
    <w:rsid w:val="006E3739"/>
    <w:rsid w:val="006F04FA"/>
    <w:rsid w:val="006F29BE"/>
    <w:rsid w:val="006F7348"/>
    <w:rsid w:val="007010D6"/>
    <w:rsid w:val="00706328"/>
    <w:rsid w:val="00706CDA"/>
    <w:rsid w:val="00715400"/>
    <w:rsid w:val="00716E76"/>
    <w:rsid w:val="00720850"/>
    <w:rsid w:val="0072231B"/>
    <w:rsid w:val="007228CC"/>
    <w:rsid w:val="00722C6F"/>
    <w:rsid w:val="00722D5D"/>
    <w:rsid w:val="00726E71"/>
    <w:rsid w:val="007412DE"/>
    <w:rsid w:val="007439A5"/>
    <w:rsid w:val="007464FD"/>
    <w:rsid w:val="007474B9"/>
    <w:rsid w:val="0075239B"/>
    <w:rsid w:val="007555EE"/>
    <w:rsid w:val="00757244"/>
    <w:rsid w:val="00762C93"/>
    <w:rsid w:val="00763848"/>
    <w:rsid w:val="00764B41"/>
    <w:rsid w:val="00766F61"/>
    <w:rsid w:val="00772627"/>
    <w:rsid w:val="007846C9"/>
    <w:rsid w:val="00786761"/>
    <w:rsid w:val="0079010D"/>
    <w:rsid w:val="00792571"/>
    <w:rsid w:val="00794020"/>
    <w:rsid w:val="00794594"/>
    <w:rsid w:val="00795D16"/>
    <w:rsid w:val="007A087A"/>
    <w:rsid w:val="007A288C"/>
    <w:rsid w:val="007A521F"/>
    <w:rsid w:val="007A6F3C"/>
    <w:rsid w:val="007B016B"/>
    <w:rsid w:val="007B03B2"/>
    <w:rsid w:val="007B28FB"/>
    <w:rsid w:val="007B6C7A"/>
    <w:rsid w:val="007B6D5C"/>
    <w:rsid w:val="007C1FCA"/>
    <w:rsid w:val="007C3AAE"/>
    <w:rsid w:val="007C47AB"/>
    <w:rsid w:val="007C7C3A"/>
    <w:rsid w:val="007D1864"/>
    <w:rsid w:val="007D1F6F"/>
    <w:rsid w:val="007D668E"/>
    <w:rsid w:val="007E59C5"/>
    <w:rsid w:val="007E5FD6"/>
    <w:rsid w:val="007E649C"/>
    <w:rsid w:val="007E6680"/>
    <w:rsid w:val="007F0949"/>
    <w:rsid w:val="007F62BC"/>
    <w:rsid w:val="007F7573"/>
    <w:rsid w:val="00800407"/>
    <w:rsid w:val="00801440"/>
    <w:rsid w:val="00802BB7"/>
    <w:rsid w:val="00807786"/>
    <w:rsid w:val="008121A3"/>
    <w:rsid w:val="00812679"/>
    <w:rsid w:val="00817549"/>
    <w:rsid w:val="00817A0B"/>
    <w:rsid w:val="00830241"/>
    <w:rsid w:val="00830B11"/>
    <w:rsid w:val="008328B2"/>
    <w:rsid w:val="008347B9"/>
    <w:rsid w:val="00852335"/>
    <w:rsid w:val="00852D9C"/>
    <w:rsid w:val="0086453D"/>
    <w:rsid w:val="008662F5"/>
    <w:rsid w:val="00870D07"/>
    <w:rsid w:val="00875D92"/>
    <w:rsid w:val="008772CF"/>
    <w:rsid w:val="0087741E"/>
    <w:rsid w:val="00882F2B"/>
    <w:rsid w:val="0088422D"/>
    <w:rsid w:val="00885D54"/>
    <w:rsid w:val="0088613E"/>
    <w:rsid w:val="008877F1"/>
    <w:rsid w:val="008901D1"/>
    <w:rsid w:val="0089140A"/>
    <w:rsid w:val="00896284"/>
    <w:rsid w:val="00897D02"/>
    <w:rsid w:val="008A3476"/>
    <w:rsid w:val="008A5FEE"/>
    <w:rsid w:val="008A6340"/>
    <w:rsid w:val="008B05D1"/>
    <w:rsid w:val="008B2631"/>
    <w:rsid w:val="008B6887"/>
    <w:rsid w:val="008B7CD4"/>
    <w:rsid w:val="008C1674"/>
    <w:rsid w:val="008C3555"/>
    <w:rsid w:val="008C7B85"/>
    <w:rsid w:val="008D3448"/>
    <w:rsid w:val="008D5BB6"/>
    <w:rsid w:val="008E175E"/>
    <w:rsid w:val="008E3844"/>
    <w:rsid w:val="008E4646"/>
    <w:rsid w:val="008E4663"/>
    <w:rsid w:val="008E77AA"/>
    <w:rsid w:val="008F7172"/>
    <w:rsid w:val="00901387"/>
    <w:rsid w:val="0090482E"/>
    <w:rsid w:val="00907E19"/>
    <w:rsid w:val="00910EB0"/>
    <w:rsid w:val="00914A0E"/>
    <w:rsid w:val="0091749D"/>
    <w:rsid w:val="00922A9F"/>
    <w:rsid w:val="00923B95"/>
    <w:rsid w:val="00927E54"/>
    <w:rsid w:val="00931DF4"/>
    <w:rsid w:val="009326BD"/>
    <w:rsid w:val="009333B1"/>
    <w:rsid w:val="00933EDD"/>
    <w:rsid w:val="00940D1A"/>
    <w:rsid w:val="00954056"/>
    <w:rsid w:val="0095498A"/>
    <w:rsid w:val="00966026"/>
    <w:rsid w:val="00966405"/>
    <w:rsid w:val="00967357"/>
    <w:rsid w:val="00967981"/>
    <w:rsid w:val="00970EE0"/>
    <w:rsid w:val="00971807"/>
    <w:rsid w:val="00972E8E"/>
    <w:rsid w:val="00973937"/>
    <w:rsid w:val="009762C1"/>
    <w:rsid w:val="00976C88"/>
    <w:rsid w:val="00980A89"/>
    <w:rsid w:val="00985085"/>
    <w:rsid w:val="009871A7"/>
    <w:rsid w:val="009936CE"/>
    <w:rsid w:val="00993C0D"/>
    <w:rsid w:val="00993D72"/>
    <w:rsid w:val="00994A19"/>
    <w:rsid w:val="009A430E"/>
    <w:rsid w:val="009A4D37"/>
    <w:rsid w:val="009B4D27"/>
    <w:rsid w:val="009B5224"/>
    <w:rsid w:val="009C04B7"/>
    <w:rsid w:val="009C1BDD"/>
    <w:rsid w:val="009C2A54"/>
    <w:rsid w:val="009C6CEE"/>
    <w:rsid w:val="009C7605"/>
    <w:rsid w:val="009C7FB1"/>
    <w:rsid w:val="009D31A2"/>
    <w:rsid w:val="009D41E0"/>
    <w:rsid w:val="009D4624"/>
    <w:rsid w:val="009D46EB"/>
    <w:rsid w:val="009D7E0C"/>
    <w:rsid w:val="009E0FD5"/>
    <w:rsid w:val="009E1DB2"/>
    <w:rsid w:val="009E2CED"/>
    <w:rsid w:val="009E2D03"/>
    <w:rsid w:val="009E398D"/>
    <w:rsid w:val="009E3C01"/>
    <w:rsid w:val="009E76A8"/>
    <w:rsid w:val="009E79F0"/>
    <w:rsid w:val="009F08F7"/>
    <w:rsid w:val="009F777F"/>
    <w:rsid w:val="00A033C1"/>
    <w:rsid w:val="00A04CCF"/>
    <w:rsid w:val="00A0623A"/>
    <w:rsid w:val="00A06830"/>
    <w:rsid w:val="00A06B98"/>
    <w:rsid w:val="00A07460"/>
    <w:rsid w:val="00A12EAE"/>
    <w:rsid w:val="00A12F33"/>
    <w:rsid w:val="00A20DB5"/>
    <w:rsid w:val="00A24B4B"/>
    <w:rsid w:val="00A32AC9"/>
    <w:rsid w:val="00A34521"/>
    <w:rsid w:val="00A356B8"/>
    <w:rsid w:val="00A361FA"/>
    <w:rsid w:val="00A36452"/>
    <w:rsid w:val="00A36AB8"/>
    <w:rsid w:val="00A420CD"/>
    <w:rsid w:val="00A44746"/>
    <w:rsid w:val="00A529F2"/>
    <w:rsid w:val="00A52AC1"/>
    <w:rsid w:val="00A53617"/>
    <w:rsid w:val="00A55280"/>
    <w:rsid w:val="00A5530B"/>
    <w:rsid w:val="00A573D6"/>
    <w:rsid w:val="00A63B2E"/>
    <w:rsid w:val="00A73720"/>
    <w:rsid w:val="00A739E5"/>
    <w:rsid w:val="00A74C1B"/>
    <w:rsid w:val="00A75A29"/>
    <w:rsid w:val="00A800F9"/>
    <w:rsid w:val="00A821EB"/>
    <w:rsid w:val="00A82B1D"/>
    <w:rsid w:val="00A83584"/>
    <w:rsid w:val="00A84411"/>
    <w:rsid w:val="00A87D96"/>
    <w:rsid w:val="00A97E57"/>
    <w:rsid w:val="00AA40EB"/>
    <w:rsid w:val="00AA5E73"/>
    <w:rsid w:val="00AA6690"/>
    <w:rsid w:val="00AB0F31"/>
    <w:rsid w:val="00AB2075"/>
    <w:rsid w:val="00AB6426"/>
    <w:rsid w:val="00AB6530"/>
    <w:rsid w:val="00AC263A"/>
    <w:rsid w:val="00AC6919"/>
    <w:rsid w:val="00AD76D2"/>
    <w:rsid w:val="00AE4F48"/>
    <w:rsid w:val="00AE59C4"/>
    <w:rsid w:val="00AE6A8B"/>
    <w:rsid w:val="00AF15B2"/>
    <w:rsid w:val="00AF4783"/>
    <w:rsid w:val="00B023F8"/>
    <w:rsid w:val="00B03C57"/>
    <w:rsid w:val="00B1032C"/>
    <w:rsid w:val="00B1071C"/>
    <w:rsid w:val="00B1141D"/>
    <w:rsid w:val="00B12E2E"/>
    <w:rsid w:val="00B12EA9"/>
    <w:rsid w:val="00B145FE"/>
    <w:rsid w:val="00B174F1"/>
    <w:rsid w:val="00B239D0"/>
    <w:rsid w:val="00B24E1C"/>
    <w:rsid w:val="00B30C78"/>
    <w:rsid w:val="00B31593"/>
    <w:rsid w:val="00B4077A"/>
    <w:rsid w:val="00B40C90"/>
    <w:rsid w:val="00B413A1"/>
    <w:rsid w:val="00B42497"/>
    <w:rsid w:val="00B43A30"/>
    <w:rsid w:val="00B46017"/>
    <w:rsid w:val="00B46DC1"/>
    <w:rsid w:val="00B5609C"/>
    <w:rsid w:val="00B56ACB"/>
    <w:rsid w:val="00B60490"/>
    <w:rsid w:val="00B6049C"/>
    <w:rsid w:val="00B60BFC"/>
    <w:rsid w:val="00B60E7C"/>
    <w:rsid w:val="00B615A1"/>
    <w:rsid w:val="00B6263A"/>
    <w:rsid w:val="00B6681F"/>
    <w:rsid w:val="00B71B71"/>
    <w:rsid w:val="00B72668"/>
    <w:rsid w:val="00B73DBE"/>
    <w:rsid w:val="00B76141"/>
    <w:rsid w:val="00B80C3D"/>
    <w:rsid w:val="00B80F6E"/>
    <w:rsid w:val="00B830FF"/>
    <w:rsid w:val="00B8332A"/>
    <w:rsid w:val="00B95AB4"/>
    <w:rsid w:val="00BA006A"/>
    <w:rsid w:val="00BA4AA1"/>
    <w:rsid w:val="00BA4E15"/>
    <w:rsid w:val="00BB252E"/>
    <w:rsid w:val="00BB33E3"/>
    <w:rsid w:val="00BB3D89"/>
    <w:rsid w:val="00BC3E0C"/>
    <w:rsid w:val="00BC639E"/>
    <w:rsid w:val="00BC6CC2"/>
    <w:rsid w:val="00BC760C"/>
    <w:rsid w:val="00BD0985"/>
    <w:rsid w:val="00BD0C30"/>
    <w:rsid w:val="00BE0413"/>
    <w:rsid w:val="00BE1ED5"/>
    <w:rsid w:val="00BE428C"/>
    <w:rsid w:val="00BE6D3E"/>
    <w:rsid w:val="00BE794A"/>
    <w:rsid w:val="00BF1F8D"/>
    <w:rsid w:val="00BF28CE"/>
    <w:rsid w:val="00BF7653"/>
    <w:rsid w:val="00BF773B"/>
    <w:rsid w:val="00C02680"/>
    <w:rsid w:val="00C044A3"/>
    <w:rsid w:val="00C06BE1"/>
    <w:rsid w:val="00C06DB1"/>
    <w:rsid w:val="00C10462"/>
    <w:rsid w:val="00C1099A"/>
    <w:rsid w:val="00C214E3"/>
    <w:rsid w:val="00C24BE5"/>
    <w:rsid w:val="00C25935"/>
    <w:rsid w:val="00C26F3A"/>
    <w:rsid w:val="00C33526"/>
    <w:rsid w:val="00C35A82"/>
    <w:rsid w:val="00C36E93"/>
    <w:rsid w:val="00C412AC"/>
    <w:rsid w:val="00C45B1E"/>
    <w:rsid w:val="00C52C75"/>
    <w:rsid w:val="00C53518"/>
    <w:rsid w:val="00C55253"/>
    <w:rsid w:val="00C620D8"/>
    <w:rsid w:val="00C67F5F"/>
    <w:rsid w:val="00C705B8"/>
    <w:rsid w:val="00C74F38"/>
    <w:rsid w:val="00C777EC"/>
    <w:rsid w:val="00C82120"/>
    <w:rsid w:val="00C832C4"/>
    <w:rsid w:val="00C87D74"/>
    <w:rsid w:val="00C93B0F"/>
    <w:rsid w:val="00C94453"/>
    <w:rsid w:val="00C9445B"/>
    <w:rsid w:val="00C953E3"/>
    <w:rsid w:val="00C95513"/>
    <w:rsid w:val="00C97E88"/>
    <w:rsid w:val="00CA2F94"/>
    <w:rsid w:val="00CB4AAE"/>
    <w:rsid w:val="00CC37A7"/>
    <w:rsid w:val="00CC3A0B"/>
    <w:rsid w:val="00CC44B8"/>
    <w:rsid w:val="00CC6A9B"/>
    <w:rsid w:val="00CD00D4"/>
    <w:rsid w:val="00CD3232"/>
    <w:rsid w:val="00CD40C8"/>
    <w:rsid w:val="00CD7492"/>
    <w:rsid w:val="00CE0785"/>
    <w:rsid w:val="00CE17AF"/>
    <w:rsid w:val="00CF1C0C"/>
    <w:rsid w:val="00CF3C27"/>
    <w:rsid w:val="00CF4651"/>
    <w:rsid w:val="00D006EA"/>
    <w:rsid w:val="00D04E68"/>
    <w:rsid w:val="00D06C4D"/>
    <w:rsid w:val="00D07DD3"/>
    <w:rsid w:val="00D10783"/>
    <w:rsid w:val="00D13263"/>
    <w:rsid w:val="00D13DF2"/>
    <w:rsid w:val="00D1501E"/>
    <w:rsid w:val="00D17066"/>
    <w:rsid w:val="00D21349"/>
    <w:rsid w:val="00D32C88"/>
    <w:rsid w:val="00D32EBA"/>
    <w:rsid w:val="00D3367D"/>
    <w:rsid w:val="00D33D55"/>
    <w:rsid w:val="00D37121"/>
    <w:rsid w:val="00D371D0"/>
    <w:rsid w:val="00D40B41"/>
    <w:rsid w:val="00D41D96"/>
    <w:rsid w:val="00D44C66"/>
    <w:rsid w:val="00D468F1"/>
    <w:rsid w:val="00D5224B"/>
    <w:rsid w:val="00D5264F"/>
    <w:rsid w:val="00D52A25"/>
    <w:rsid w:val="00D5467E"/>
    <w:rsid w:val="00D55071"/>
    <w:rsid w:val="00D5594F"/>
    <w:rsid w:val="00D56D62"/>
    <w:rsid w:val="00D579B5"/>
    <w:rsid w:val="00D6172B"/>
    <w:rsid w:val="00D6299A"/>
    <w:rsid w:val="00D64A68"/>
    <w:rsid w:val="00D66431"/>
    <w:rsid w:val="00D70CAA"/>
    <w:rsid w:val="00D71903"/>
    <w:rsid w:val="00D73E53"/>
    <w:rsid w:val="00D824A4"/>
    <w:rsid w:val="00D838D7"/>
    <w:rsid w:val="00D84776"/>
    <w:rsid w:val="00D853D8"/>
    <w:rsid w:val="00D875B1"/>
    <w:rsid w:val="00D8785B"/>
    <w:rsid w:val="00D91F36"/>
    <w:rsid w:val="00D92BBC"/>
    <w:rsid w:val="00D9508B"/>
    <w:rsid w:val="00DA29AA"/>
    <w:rsid w:val="00DA4F4F"/>
    <w:rsid w:val="00DA7B25"/>
    <w:rsid w:val="00DB0E07"/>
    <w:rsid w:val="00DB3276"/>
    <w:rsid w:val="00DB3D3E"/>
    <w:rsid w:val="00DB596F"/>
    <w:rsid w:val="00DC098E"/>
    <w:rsid w:val="00DC2521"/>
    <w:rsid w:val="00DC30BF"/>
    <w:rsid w:val="00DC46B2"/>
    <w:rsid w:val="00DD6FA8"/>
    <w:rsid w:val="00DE10B2"/>
    <w:rsid w:val="00DE1174"/>
    <w:rsid w:val="00DE238F"/>
    <w:rsid w:val="00DE40D9"/>
    <w:rsid w:val="00DE53EE"/>
    <w:rsid w:val="00DE5489"/>
    <w:rsid w:val="00DE5EA3"/>
    <w:rsid w:val="00DF1FCE"/>
    <w:rsid w:val="00DF5B78"/>
    <w:rsid w:val="00DF6F39"/>
    <w:rsid w:val="00E005F8"/>
    <w:rsid w:val="00E07792"/>
    <w:rsid w:val="00E11182"/>
    <w:rsid w:val="00E11D04"/>
    <w:rsid w:val="00E1539B"/>
    <w:rsid w:val="00E158CB"/>
    <w:rsid w:val="00E17C05"/>
    <w:rsid w:val="00E17EFB"/>
    <w:rsid w:val="00E25046"/>
    <w:rsid w:val="00E25A1C"/>
    <w:rsid w:val="00E3152D"/>
    <w:rsid w:val="00E3564A"/>
    <w:rsid w:val="00E35A41"/>
    <w:rsid w:val="00E37CA7"/>
    <w:rsid w:val="00E4123F"/>
    <w:rsid w:val="00E4204D"/>
    <w:rsid w:val="00E447EA"/>
    <w:rsid w:val="00E459A8"/>
    <w:rsid w:val="00E466CD"/>
    <w:rsid w:val="00E46F04"/>
    <w:rsid w:val="00E47066"/>
    <w:rsid w:val="00E513A7"/>
    <w:rsid w:val="00E54E69"/>
    <w:rsid w:val="00E55C49"/>
    <w:rsid w:val="00E56576"/>
    <w:rsid w:val="00E56890"/>
    <w:rsid w:val="00E602E4"/>
    <w:rsid w:val="00E602EF"/>
    <w:rsid w:val="00E617D5"/>
    <w:rsid w:val="00E61850"/>
    <w:rsid w:val="00E622AF"/>
    <w:rsid w:val="00E66229"/>
    <w:rsid w:val="00E7069D"/>
    <w:rsid w:val="00E7309D"/>
    <w:rsid w:val="00E75367"/>
    <w:rsid w:val="00E83A48"/>
    <w:rsid w:val="00E84DB1"/>
    <w:rsid w:val="00E87868"/>
    <w:rsid w:val="00E90C02"/>
    <w:rsid w:val="00E92D7B"/>
    <w:rsid w:val="00E951EC"/>
    <w:rsid w:val="00E9665C"/>
    <w:rsid w:val="00EA74D8"/>
    <w:rsid w:val="00EB04CB"/>
    <w:rsid w:val="00EB49DD"/>
    <w:rsid w:val="00EC08BE"/>
    <w:rsid w:val="00EC17F5"/>
    <w:rsid w:val="00EC189D"/>
    <w:rsid w:val="00EC3689"/>
    <w:rsid w:val="00EC375B"/>
    <w:rsid w:val="00EC408F"/>
    <w:rsid w:val="00EC6CA5"/>
    <w:rsid w:val="00EC6E04"/>
    <w:rsid w:val="00ED18C4"/>
    <w:rsid w:val="00ED1FFC"/>
    <w:rsid w:val="00ED2DB8"/>
    <w:rsid w:val="00EE19D0"/>
    <w:rsid w:val="00EE3A04"/>
    <w:rsid w:val="00EE3E04"/>
    <w:rsid w:val="00EE5E48"/>
    <w:rsid w:val="00EF0992"/>
    <w:rsid w:val="00EF1E28"/>
    <w:rsid w:val="00EF454F"/>
    <w:rsid w:val="00F00FD3"/>
    <w:rsid w:val="00F03A7A"/>
    <w:rsid w:val="00F0576F"/>
    <w:rsid w:val="00F12EC0"/>
    <w:rsid w:val="00F145E5"/>
    <w:rsid w:val="00F17463"/>
    <w:rsid w:val="00F17A4E"/>
    <w:rsid w:val="00F20438"/>
    <w:rsid w:val="00F21810"/>
    <w:rsid w:val="00F23606"/>
    <w:rsid w:val="00F239F8"/>
    <w:rsid w:val="00F26378"/>
    <w:rsid w:val="00F31597"/>
    <w:rsid w:val="00F33A50"/>
    <w:rsid w:val="00F363E1"/>
    <w:rsid w:val="00F403C5"/>
    <w:rsid w:val="00F426B1"/>
    <w:rsid w:val="00F43CC5"/>
    <w:rsid w:val="00F520DF"/>
    <w:rsid w:val="00F52128"/>
    <w:rsid w:val="00F53804"/>
    <w:rsid w:val="00F53DEA"/>
    <w:rsid w:val="00F54BE6"/>
    <w:rsid w:val="00F54D94"/>
    <w:rsid w:val="00F56E7C"/>
    <w:rsid w:val="00F5711B"/>
    <w:rsid w:val="00F70693"/>
    <w:rsid w:val="00F70751"/>
    <w:rsid w:val="00F70E65"/>
    <w:rsid w:val="00F720E9"/>
    <w:rsid w:val="00F733BB"/>
    <w:rsid w:val="00F735D9"/>
    <w:rsid w:val="00F739A8"/>
    <w:rsid w:val="00F761C0"/>
    <w:rsid w:val="00F77CA1"/>
    <w:rsid w:val="00F80F36"/>
    <w:rsid w:val="00F81366"/>
    <w:rsid w:val="00F82B8A"/>
    <w:rsid w:val="00F837DB"/>
    <w:rsid w:val="00F83933"/>
    <w:rsid w:val="00F862D5"/>
    <w:rsid w:val="00F90EC8"/>
    <w:rsid w:val="00F935AE"/>
    <w:rsid w:val="00F96578"/>
    <w:rsid w:val="00F973B7"/>
    <w:rsid w:val="00FA0163"/>
    <w:rsid w:val="00FA0559"/>
    <w:rsid w:val="00FA13A5"/>
    <w:rsid w:val="00FA37C8"/>
    <w:rsid w:val="00FA3B3B"/>
    <w:rsid w:val="00FB0A7C"/>
    <w:rsid w:val="00FB1CC8"/>
    <w:rsid w:val="00FB43EC"/>
    <w:rsid w:val="00FB4C4D"/>
    <w:rsid w:val="00FB5946"/>
    <w:rsid w:val="00FB6B51"/>
    <w:rsid w:val="00FC0494"/>
    <w:rsid w:val="00FC410B"/>
    <w:rsid w:val="00FC4657"/>
    <w:rsid w:val="00FD5059"/>
    <w:rsid w:val="00FD6C19"/>
    <w:rsid w:val="00FD6E75"/>
    <w:rsid w:val="00FD7428"/>
    <w:rsid w:val="00FE1E21"/>
    <w:rsid w:val="00FE2DD3"/>
    <w:rsid w:val="00FE2E2A"/>
    <w:rsid w:val="00FE3D9A"/>
    <w:rsid w:val="00FE5E5A"/>
    <w:rsid w:val="00FF3658"/>
    <w:rsid w:val="025B36DC"/>
    <w:rsid w:val="03504F71"/>
    <w:rsid w:val="03825885"/>
    <w:rsid w:val="03CD56DE"/>
    <w:rsid w:val="06B448EF"/>
    <w:rsid w:val="07D10BC8"/>
    <w:rsid w:val="080D46CB"/>
    <w:rsid w:val="0CC71A2E"/>
    <w:rsid w:val="134275C7"/>
    <w:rsid w:val="15440D05"/>
    <w:rsid w:val="1BF85BE2"/>
    <w:rsid w:val="1C0C157A"/>
    <w:rsid w:val="1CA35C32"/>
    <w:rsid w:val="1D443657"/>
    <w:rsid w:val="1D7F1659"/>
    <w:rsid w:val="21774F48"/>
    <w:rsid w:val="21CC58F5"/>
    <w:rsid w:val="2371122D"/>
    <w:rsid w:val="266F1D18"/>
    <w:rsid w:val="26967D66"/>
    <w:rsid w:val="281C5968"/>
    <w:rsid w:val="29B35277"/>
    <w:rsid w:val="2C5E02B3"/>
    <w:rsid w:val="2C8E0B61"/>
    <w:rsid w:val="2CC108CA"/>
    <w:rsid w:val="2CE1542E"/>
    <w:rsid w:val="2EC82235"/>
    <w:rsid w:val="30592EE5"/>
    <w:rsid w:val="32B310BD"/>
    <w:rsid w:val="35037B43"/>
    <w:rsid w:val="37D85BC2"/>
    <w:rsid w:val="39A76D0F"/>
    <w:rsid w:val="39B67A30"/>
    <w:rsid w:val="3B0E7426"/>
    <w:rsid w:val="3C852F12"/>
    <w:rsid w:val="3D62470E"/>
    <w:rsid w:val="3DEA2AC5"/>
    <w:rsid w:val="3E090A96"/>
    <w:rsid w:val="3F4F3B9F"/>
    <w:rsid w:val="42A012DD"/>
    <w:rsid w:val="43DA70B7"/>
    <w:rsid w:val="45B3030E"/>
    <w:rsid w:val="49D97C06"/>
    <w:rsid w:val="4B723608"/>
    <w:rsid w:val="4BA0546D"/>
    <w:rsid w:val="4D882D78"/>
    <w:rsid w:val="52142AEC"/>
    <w:rsid w:val="538A2832"/>
    <w:rsid w:val="53FA2055"/>
    <w:rsid w:val="59F208E7"/>
    <w:rsid w:val="5AF474B8"/>
    <w:rsid w:val="5EB73272"/>
    <w:rsid w:val="5FE33623"/>
    <w:rsid w:val="69571FDA"/>
    <w:rsid w:val="6A4B5282"/>
    <w:rsid w:val="6CB46566"/>
    <w:rsid w:val="6CD360FF"/>
    <w:rsid w:val="6EFC5CBC"/>
    <w:rsid w:val="6FF33160"/>
    <w:rsid w:val="70535B65"/>
    <w:rsid w:val="71324E6D"/>
    <w:rsid w:val="73445AAB"/>
    <w:rsid w:val="74D93943"/>
    <w:rsid w:val="751F7BBC"/>
    <w:rsid w:val="76823163"/>
    <w:rsid w:val="780A49EB"/>
    <w:rsid w:val="7B1A6007"/>
    <w:rsid w:val="7B1F2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黑体"/>
      <w:kern w:val="2"/>
      <w:sz w:val="21"/>
      <w:szCs w:val="22"/>
      <w:lang w:val="en-US" w:eastAsia="zh-CN" w:bidi="ar-SA"/>
    </w:rPr>
  </w:style>
  <w:style w:type="paragraph" w:styleId="2">
    <w:name w:val="heading 1"/>
    <w:basedOn w:val="1"/>
    <w:next w:val="1"/>
    <w:link w:val="21"/>
    <w:qFormat/>
    <w:uiPriority w:val="0"/>
    <w:pPr>
      <w:keepNext/>
      <w:keepLines/>
      <w:adjustRightInd w:val="0"/>
      <w:snapToGrid w:val="0"/>
      <w:spacing w:before="50" w:beforeLines="50" w:after="50" w:afterLines="50"/>
      <w:ind w:firstLine="0" w:firstLineChars="0"/>
      <w:outlineLvl w:val="0"/>
    </w:pPr>
    <w:rPr>
      <w:rFonts w:ascii="Arial" w:hAnsi="Arial" w:eastAsia="黑体" w:cs="Times New Roman"/>
      <w:bCs/>
      <w:snapToGrid w:val="0"/>
      <w:kern w:val="0"/>
      <w:szCs w:val="28"/>
    </w:rPr>
  </w:style>
  <w:style w:type="paragraph" w:styleId="3">
    <w:name w:val="heading 2"/>
    <w:basedOn w:val="1"/>
    <w:next w:val="1"/>
    <w:link w:val="29"/>
    <w:unhideWhenUsed/>
    <w:qFormat/>
    <w:uiPriority w:val="9"/>
    <w:pPr>
      <w:keepNext/>
      <w:keepLines/>
      <w:ind w:firstLine="0" w:firstLineChars="0"/>
      <w:outlineLvl w:val="1"/>
    </w:pPr>
    <w:rPr>
      <w:rFonts w:eastAsia="黑体" w:asciiTheme="majorHAnsi" w:hAnsiTheme="majorHAnsi" w:cstheme="majorBidi"/>
      <w:bCs/>
      <w:szCs w:val="32"/>
    </w:rPr>
  </w:style>
  <w:style w:type="paragraph" w:styleId="4">
    <w:name w:val="heading 3"/>
    <w:basedOn w:val="1"/>
    <w:next w:val="1"/>
    <w:link w:val="30"/>
    <w:unhideWhenUsed/>
    <w:qFormat/>
    <w:uiPriority w:val="9"/>
    <w:pPr>
      <w:keepNext/>
      <w:keepLines/>
      <w:ind w:firstLine="0" w:firstLineChars="0"/>
      <w:outlineLvl w:val="2"/>
    </w:pPr>
    <w:rPr>
      <w:rFonts w:eastAsia="黑体"/>
      <w:bCs/>
      <w:szCs w:val="32"/>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Body Text 3"/>
    <w:basedOn w:val="1"/>
    <w:link w:val="26"/>
    <w:unhideWhenUsed/>
    <w:qFormat/>
    <w:uiPriority w:val="99"/>
    <w:pPr>
      <w:widowControl/>
    </w:pPr>
    <w:rPr>
      <w:rFonts w:ascii="Times New Roman" w:hAnsi="Times New Roman" w:eastAsia="仿宋_GB2312" w:cs="Times New Roman"/>
      <w:kern w:val="0"/>
      <w:sz w:val="28"/>
      <w:szCs w:val="28"/>
    </w:rPr>
  </w:style>
  <w:style w:type="paragraph" w:styleId="6">
    <w:name w:val="Balloon Text"/>
    <w:basedOn w:val="1"/>
    <w:link w:val="24"/>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0"/>
    <w:pPr>
      <w:widowControl/>
      <w:spacing w:before="100" w:beforeAutospacing="1" w:after="100" w:afterAutospacing="1"/>
    </w:pPr>
    <w:rPr>
      <w:rFonts w:ascii="宋体" w:hAnsi="宋体" w:cs="宋体"/>
      <w:color w:val="000000"/>
      <w:kern w:val="0"/>
      <w:sz w:val="24"/>
    </w:rPr>
  </w:style>
  <w:style w:type="paragraph" w:styleId="11">
    <w:name w:val="index 1"/>
    <w:basedOn w:val="1"/>
    <w:next w:val="1"/>
    <w:unhideWhenUsed/>
    <w:uiPriority w:val="99"/>
    <w:pPr>
      <w:spacing w:line="240" w:lineRule="atLeast"/>
      <w:jc w:val="center"/>
    </w:pPr>
    <w:rPr>
      <w:rFonts w:ascii="汉仪仿宋简" w:hAnsi="宋体" w:eastAsia="汉仪仿宋简" w:cs="宋体"/>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22"/>
    <w:rPr>
      <w:b/>
    </w:rPr>
  </w:style>
  <w:style w:type="character" w:styleId="16">
    <w:name w:val="page number"/>
    <w:basedOn w:val="14"/>
    <w:unhideWhenUsed/>
    <w:qFormat/>
    <w:uiPriority w:val="0"/>
  </w:style>
  <w:style w:type="character" w:styleId="17">
    <w:name w:val="FollowedHyperlink"/>
    <w:basedOn w:val="14"/>
    <w:unhideWhenUsed/>
    <w:qFormat/>
    <w:uiPriority w:val="0"/>
    <w:rPr>
      <w:color w:val="000000"/>
      <w:u w:val="none"/>
    </w:rPr>
  </w:style>
  <w:style w:type="character" w:styleId="18">
    <w:name w:val="Hyperlink"/>
    <w:basedOn w:val="14"/>
    <w:unhideWhenUsed/>
    <w:qFormat/>
    <w:uiPriority w:val="99"/>
    <w:rPr>
      <w:color w:val="000000"/>
      <w:u w:val="none"/>
    </w:rPr>
  </w:style>
  <w:style w:type="paragraph" w:customStyle="1" w:styleId="19">
    <w:name w:val="样式 首行缩进:  2 字符"/>
    <w:basedOn w:val="9"/>
    <w:qFormat/>
    <w:uiPriority w:val="0"/>
    <w:pPr>
      <w:tabs>
        <w:tab w:val="right" w:leader="dot" w:pos="8303"/>
      </w:tabs>
      <w:adjustRightInd w:val="0"/>
      <w:snapToGrid w:val="0"/>
      <w:spacing w:before="120" w:after="120" w:line="300" w:lineRule="auto"/>
      <w:ind w:firstLine="560"/>
    </w:pPr>
    <w:rPr>
      <w:rFonts w:ascii="Times New Roman" w:hAnsi="Times New Roman" w:eastAsia="仿宋_GB2312" w:cs="Times New Roman"/>
      <w:bCs/>
      <w:caps/>
      <w:snapToGrid w:val="0"/>
      <w:kern w:val="0"/>
      <w:sz w:val="28"/>
      <w:szCs w:val="20"/>
    </w:rPr>
  </w:style>
  <w:style w:type="paragraph" w:customStyle="1" w:styleId="20">
    <w:name w:val="列出段落1"/>
    <w:basedOn w:val="1"/>
    <w:qFormat/>
    <w:uiPriority w:val="34"/>
    <w:pPr>
      <w:ind w:firstLine="420"/>
    </w:pPr>
  </w:style>
  <w:style w:type="character" w:customStyle="1" w:styleId="21">
    <w:name w:val="标题 1 字符"/>
    <w:basedOn w:val="14"/>
    <w:link w:val="2"/>
    <w:qFormat/>
    <w:uiPriority w:val="0"/>
    <w:rPr>
      <w:rFonts w:ascii="Arial" w:hAnsi="Arial" w:eastAsia="黑体"/>
      <w:bCs/>
      <w:snapToGrid w:val="0"/>
      <w:sz w:val="21"/>
      <w:szCs w:val="28"/>
    </w:rPr>
  </w:style>
  <w:style w:type="character" w:customStyle="1" w:styleId="22">
    <w:name w:val="页眉 字符"/>
    <w:basedOn w:val="14"/>
    <w:link w:val="8"/>
    <w:qFormat/>
    <w:uiPriority w:val="99"/>
    <w:rPr>
      <w:sz w:val="18"/>
      <w:szCs w:val="18"/>
    </w:rPr>
  </w:style>
  <w:style w:type="character" w:customStyle="1" w:styleId="23">
    <w:name w:val="页脚 字符"/>
    <w:basedOn w:val="14"/>
    <w:link w:val="7"/>
    <w:qFormat/>
    <w:uiPriority w:val="99"/>
    <w:rPr>
      <w:sz w:val="18"/>
      <w:szCs w:val="18"/>
    </w:rPr>
  </w:style>
  <w:style w:type="character" w:customStyle="1" w:styleId="24">
    <w:name w:val="批注框文本 字符"/>
    <w:basedOn w:val="14"/>
    <w:link w:val="6"/>
    <w:semiHidden/>
    <w:qFormat/>
    <w:uiPriority w:val="99"/>
    <w:rPr>
      <w:sz w:val="18"/>
      <w:szCs w:val="18"/>
    </w:rPr>
  </w:style>
  <w:style w:type="paragraph" w:customStyle="1" w:styleId="25">
    <w:name w:val="列表段落1"/>
    <w:basedOn w:val="1"/>
    <w:unhideWhenUsed/>
    <w:qFormat/>
    <w:uiPriority w:val="34"/>
    <w:pPr>
      <w:ind w:firstLine="420"/>
    </w:pPr>
  </w:style>
  <w:style w:type="character" w:customStyle="1" w:styleId="26">
    <w:name w:val="正文文本 3 字符"/>
    <w:basedOn w:val="14"/>
    <w:link w:val="5"/>
    <w:qFormat/>
    <w:uiPriority w:val="99"/>
    <w:rPr>
      <w:rFonts w:eastAsia="仿宋_GB2312"/>
      <w:sz w:val="28"/>
      <w:szCs w:val="28"/>
    </w:rPr>
  </w:style>
  <w:style w:type="character" w:customStyle="1" w:styleId="27">
    <w:name w:val="msoins"/>
    <w:basedOn w:val="14"/>
    <w:qFormat/>
    <w:uiPriority w:val="0"/>
    <w:rPr>
      <w:color w:val="FF0000"/>
      <w:u w:val="single"/>
    </w:rPr>
  </w:style>
  <w:style w:type="paragraph" w:customStyle="1" w:styleId="28">
    <w:name w:val="List Paragraph"/>
    <w:basedOn w:val="1"/>
    <w:qFormat/>
    <w:uiPriority w:val="99"/>
    <w:pPr>
      <w:ind w:firstLine="420"/>
    </w:pPr>
  </w:style>
  <w:style w:type="character" w:customStyle="1" w:styleId="29">
    <w:name w:val="标题 2 字符"/>
    <w:basedOn w:val="14"/>
    <w:link w:val="3"/>
    <w:qFormat/>
    <w:uiPriority w:val="9"/>
    <w:rPr>
      <w:rFonts w:eastAsia="黑体" w:asciiTheme="majorHAnsi" w:hAnsiTheme="majorHAnsi" w:cstheme="majorBidi"/>
      <w:bCs/>
      <w:kern w:val="2"/>
      <w:sz w:val="21"/>
      <w:szCs w:val="32"/>
    </w:rPr>
  </w:style>
  <w:style w:type="character" w:customStyle="1" w:styleId="30">
    <w:name w:val="标题 3 字符"/>
    <w:basedOn w:val="14"/>
    <w:link w:val="4"/>
    <w:qFormat/>
    <w:uiPriority w:val="9"/>
    <w:rPr>
      <w:rFonts w:ascii="Calibri" w:hAnsi="Calibri" w:eastAsia="黑体" w:cs="黑体"/>
      <w:bCs/>
      <w:kern w:val="2"/>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CF531-A676-4EAD-8534-C8AE5ACBEFE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628</Words>
  <Characters>3584</Characters>
  <Lines>29</Lines>
  <Paragraphs>8</Paragraphs>
  <TotalTime>0</TotalTime>
  <ScaleCrop>false</ScaleCrop>
  <LinksUpToDate>false</LinksUpToDate>
  <CharactersWithSpaces>4204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2017-04-17T06:41:00Z</dcterms:created>
  <dc:creator>解萍</dc:creator>
  <cp:lastModifiedBy>高兰</cp:lastModifiedBy>
  <cp:lastPrinted>2016-02-17T08:56:00Z</cp:lastPrinted>
  <dcterms:modified xsi:type="dcterms:W3CDTF">2019-08-08T02:57:38Z</dcterms:modified>
  <dc:title>中国水利学会标准管理办法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