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right" w:pos="9638"/>
        </w:tabs>
        <w:jc w:val="center"/>
        <w:rPr>
          <w:rFonts w:cs="宋体"/>
          <w:b/>
          <w:bCs/>
          <w:sz w:val="32"/>
          <w:szCs w:val="32"/>
        </w:rPr>
      </w:pPr>
      <w:r>
        <w:rPr>
          <w:rFonts w:hint="eastAsia" w:cs="宋体"/>
          <w:b/>
          <w:bCs/>
          <w:sz w:val="32"/>
          <w:szCs w:val="32"/>
        </w:rPr>
        <w:t>稀土行业标准《氟化铈》</w:t>
      </w:r>
      <w:r>
        <w:rPr>
          <w:rFonts w:hint="eastAsia" w:cs="宋体"/>
          <w:b/>
          <w:bCs/>
          <w:sz w:val="32"/>
          <w:szCs w:val="32"/>
          <w:lang w:eastAsia="zh-CN"/>
        </w:rPr>
        <w:t>（送审稿</w:t>
      </w:r>
      <w:bookmarkStart w:id="0" w:name="_GoBack"/>
      <w:bookmarkEnd w:id="0"/>
      <w:r>
        <w:rPr>
          <w:rFonts w:hint="eastAsia" w:cs="宋体"/>
          <w:b/>
          <w:bCs/>
          <w:sz w:val="32"/>
          <w:szCs w:val="32"/>
          <w:lang w:eastAsia="zh-CN"/>
        </w:rPr>
        <w:t>）</w:t>
      </w:r>
      <w:r>
        <w:rPr>
          <w:rFonts w:hint="eastAsia" w:cs="宋体"/>
          <w:b/>
          <w:bCs/>
          <w:sz w:val="32"/>
          <w:szCs w:val="32"/>
        </w:rPr>
        <w:t>编制说明</w:t>
      </w:r>
    </w:p>
    <w:p>
      <w:pPr>
        <w:tabs>
          <w:tab w:val="center" w:pos="4819"/>
          <w:tab w:val="right" w:pos="9638"/>
        </w:tabs>
        <w:spacing w:beforeLines="100" w:afterLines="50" w:line="360" w:lineRule="auto"/>
        <w:ind w:firstLine="480" w:firstLineChars="200"/>
        <w:jc w:val="left"/>
        <w:rPr>
          <w:rFonts w:ascii="Times New Roman" w:hAnsi="Times New Roman" w:eastAsia="黑体" w:cs="Times New Roman"/>
          <w:sz w:val="24"/>
          <w:szCs w:val="24"/>
        </w:rPr>
      </w:pPr>
      <w:r>
        <w:rPr>
          <w:rFonts w:ascii="Times New Roman" w:hAnsi="Times New Roman" w:eastAsia="黑体" w:cs="Times New Roman"/>
          <w:sz w:val="24"/>
          <w:szCs w:val="24"/>
        </w:rPr>
        <w:t>1  工作简况</w:t>
      </w:r>
    </w:p>
    <w:p>
      <w:pPr>
        <w:spacing w:line="360" w:lineRule="auto"/>
        <w:ind w:firstLine="480" w:firstLineChars="200"/>
        <w:rPr>
          <w:rFonts w:ascii="Times New Roman" w:hAnsi="Times New Roman" w:cs="Times New Roman"/>
          <w:sz w:val="24"/>
          <w:szCs w:val="24"/>
        </w:rPr>
      </w:pPr>
      <w:r>
        <w:rPr>
          <w:rFonts w:ascii="Times New Roman" w:hAnsi="Times New Roman" w:eastAsia="黑体" w:cs="Times New Roman"/>
          <w:sz w:val="24"/>
          <w:szCs w:val="24"/>
        </w:rPr>
        <w:t>1.1  立项背景</w:t>
      </w:r>
    </w:p>
    <w:p>
      <w:pPr>
        <w:adjustRightInd w:val="0"/>
        <w:snapToGrid w:val="0"/>
        <w:spacing w:line="360" w:lineRule="auto"/>
        <w:ind w:firstLine="480" w:firstLineChars="20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我国是稀土生产大国，其中铈类产品占稀土产量的近半，传统行业多用于生产玻璃澄清剂、抛光粉等，应用受限，附加值较低。研究铈类产品的新用途、新工艺，提高其附加值，对稀土工作者来说，任重而道远。</w:t>
      </w:r>
    </w:p>
    <w:p>
      <w:pPr>
        <w:adjustRightInd w:val="0"/>
        <w:snapToGrid w:val="0"/>
        <w:spacing w:line="360" w:lineRule="auto"/>
        <w:ind w:firstLine="480" w:firstLineChars="20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随着各类稀土新材料如稀土储氢材料、储电材料、稀土磁性材料、稀土合金等新材料的出现，为铈类产品的广泛应用打开了提高其价值的通道。在新材料应用中，铈都是以金属铈的形式使用。金属铈的提取一般由稀土氯化物电解、稀土氧化物电解和金属热还原制得，其中氯化物电解工艺因对环境污染较大，已被淘汰。</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氟化铈是在熔盐电解法和金属热还原法制备金属铈时主要的原料之一，每年国内用量在1000吨以上，生产及使用厂家众多，如有研稀土、北方稀土、赣州晨光、甘肃稀土、湖南稀土院、四川江铜稀土等。各企业或自己生产，或委托加工，或外购，来源不一，质量各异。</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多年来氟化铈没有行业统一行业标准，唯一能参照的是XB/T 209-2012《氟化轻稀土》，但其中稀土总量、氟含量、稀土杂质、非稀土杂质等指标与生产实际中的氟化铈相差较大，并不能完全套用。</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制定氟化铈的行业标准，明确产品中各项指标及检测方法，有利于减少贸易纠纷，提高金属铈产品质量的稳定性、统一性。制定氟化铈的行业标准也有利于促进稀土材料的有序、健康发展，符合《中国制造2025》及《“十三五”国家科技创新规划》中坚持绿色发展、发展新材料技术的指导思想。</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国务院办公厅印发的《国家标准化体系建设发展规划（2016～2018年）》标准化工作重点中提出“完善钢铁、有色金属、石化、化工、建材、黄金、稀土等原材料工业标准，加快标准制修订工作，充分发挥标准的上下游协同作用，加快传统材料升级换代步伐。全面推进新材料标准体系建设，重点开展新型功能材料、先进结构材料和高性能复合材料等标准研制，积极开展前沿新材料领域标准预研，有效保障新材料推广应用，促进材料工业结构调整”。本标准的提出，完全符合完善稀土产品标准体系、夯实标准化基础的总体要求。</w:t>
      </w:r>
    </w:p>
    <w:p>
      <w:pPr>
        <w:spacing w:line="360" w:lineRule="auto"/>
        <w:ind w:firstLine="480" w:firstLineChars="200"/>
        <w:rPr>
          <w:rFonts w:ascii="黑体" w:hAnsi="黑体" w:eastAsia="黑体" w:cs="Times New Roman"/>
          <w:sz w:val="24"/>
          <w:szCs w:val="24"/>
        </w:rPr>
      </w:pPr>
      <w:r>
        <w:rPr>
          <w:rFonts w:ascii="黑体" w:hAnsi="黑体" w:eastAsia="黑体"/>
          <w:sz w:val="24"/>
          <w:szCs w:val="24"/>
        </w:rPr>
        <w:t>1.2</w:t>
      </w:r>
      <w:r>
        <w:rPr>
          <w:rFonts w:hint="eastAsia" w:ascii="黑体" w:hAnsi="黑体" w:eastAsia="黑体" w:cs="宋体"/>
          <w:sz w:val="24"/>
          <w:szCs w:val="24"/>
        </w:rPr>
        <w:t xml:space="preserve">  任务来源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全国稀土标准化技术委员会（稀标委[2018]23号）文件转发“工业和信息化部办公厅关于印发2018年第一批稀土行业标准制修订计划的通知”（工信厅科[2018]31号）的要求，由四川乐山锐丰冶金有限公司牵头负责起草稀土行业标准《氟化铈》，并在2018年8月包头工作会议上确定了参加起草单位。</w:t>
      </w:r>
    </w:p>
    <w:tbl>
      <w:tblPr>
        <w:tblStyle w:val="5"/>
        <w:tblW w:w="93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734"/>
        <w:gridCol w:w="2044"/>
        <w:gridCol w:w="286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tcPr>
          <w:p>
            <w:pPr>
              <w:spacing w:line="36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计划编号</w:t>
            </w:r>
          </w:p>
        </w:tc>
        <w:tc>
          <w:tcPr>
            <w:tcW w:w="1734" w:type="dxa"/>
          </w:tcPr>
          <w:p>
            <w:pPr>
              <w:spacing w:line="36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行业标准名称</w:t>
            </w:r>
          </w:p>
        </w:tc>
        <w:tc>
          <w:tcPr>
            <w:tcW w:w="2044" w:type="dxa"/>
          </w:tcPr>
          <w:p>
            <w:pPr>
              <w:spacing w:line="36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牵头/负责起草单位</w:t>
            </w:r>
          </w:p>
        </w:tc>
        <w:tc>
          <w:tcPr>
            <w:tcW w:w="2862" w:type="dxa"/>
          </w:tcPr>
          <w:p>
            <w:pPr>
              <w:spacing w:line="36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报名参加起草或验证单位</w:t>
            </w:r>
          </w:p>
        </w:tc>
        <w:tc>
          <w:tcPr>
            <w:tcW w:w="1110" w:type="dxa"/>
            <w:vAlign w:val="center"/>
          </w:tcPr>
          <w:p>
            <w:pPr>
              <w:spacing w:line="36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项目周期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vAlign w:val="center"/>
          </w:tcPr>
          <w:p>
            <w:pPr>
              <w:spacing w:line="360" w:lineRule="auto"/>
              <w:rPr>
                <w:rFonts w:ascii="Times New Roman" w:hAnsi="Times New Roman" w:cs="Times New Roman" w:eastAsiaTheme="minorEastAsia"/>
              </w:rPr>
            </w:pPr>
            <w:r>
              <w:rPr>
                <w:rFonts w:ascii="Times New Roman" w:hAnsi="Times New Roman" w:cs="Times New Roman" w:eastAsiaTheme="minorEastAsia"/>
              </w:rPr>
              <w:t>2018-0638T-XB</w:t>
            </w:r>
          </w:p>
        </w:tc>
        <w:tc>
          <w:tcPr>
            <w:tcW w:w="1734" w:type="dxa"/>
            <w:vAlign w:val="center"/>
          </w:tcPr>
          <w:p>
            <w:pPr>
              <w:spacing w:line="360" w:lineRule="auto"/>
              <w:jc w:val="center"/>
              <w:rPr>
                <w:rFonts w:ascii="Times New Roman" w:hAnsi="Times New Roman" w:cs="Times New Roman" w:eastAsiaTheme="minorEastAsia"/>
              </w:rPr>
            </w:pPr>
            <w:r>
              <w:rPr>
                <w:rFonts w:ascii="Times New Roman" w:hAnsi="Times New Roman" w:cs="Times New Roman" w:eastAsiaTheme="minorEastAsia"/>
              </w:rPr>
              <w:t>氟化铈</w:t>
            </w:r>
          </w:p>
        </w:tc>
        <w:tc>
          <w:tcPr>
            <w:tcW w:w="2044" w:type="dxa"/>
            <w:vAlign w:val="center"/>
          </w:tcPr>
          <w:p>
            <w:pPr>
              <w:spacing w:line="360" w:lineRule="auto"/>
              <w:rPr>
                <w:rFonts w:ascii="Times New Roman" w:hAnsi="Times New Roman" w:cs="Times New Roman" w:eastAsiaTheme="minorEastAsia"/>
              </w:rPr>
            </w:pPr>
            <w:r>
              <w:rPr>
                <w:rFonts w:ascii="Times New Roman" w:hAnsi="Times New Roman" w:cs="Times New Roman" w:eastAsiaTheme="minorEastAsia"/>
              </w:rPr>
              <w:t>四川乐山锐丰冶金有限公司</w:t>
            </w:r>
          </w:p>
        </w:tc>
        <w:tc>
          <w:tcPr>
            <w:tcW w:w="2862" w:type="dxa"/>
            <w:vAlign w:val="center"/>
          </w:tcPr>
          <w:p>
            <w:pPr>
              <w:pStyle w:val="10"/>
              <w:spacing w:before="0" w:line="240" w:lineRule="auto"/>
              <w:jc w:val="both"/>
              <w:rPr>
                <w:rFonts w:cs="Calibri" w:asciiTheme="minorEastAsia" w:hAnsiTheme="minorEastAsia" w:eastAsiaTheme="minorEastAsia"/>
                <w:sz w:val="21"/>
                <w:szCs w:val="21"/>
              </w:rPr>
            </w:pPr>
            <w:r>
              <w:rPr>
                <w:rFonts w:hint="eastAsia" w:cs="Calibri"/>
                <w:color w:val="000000"/>
                <w:sz w:val="21"/>
                <w:szCs w:val="21"/>
              </w:rPr>
              <w:t>包头稀土研究院、中国北方稀土（集团）高科技股份有限公司、甘肃稀土新材料股份有限公司、赣州有色冶金研究院、四川江铜稀土有限责任公司、四川省冕宁方兴稀土有限公司、包头华美稀土高科有限公司、赣州湛海工贸有限公司、虔东稀土集团股份有限公司、江西金世纪新材料股份有限公司、乐山有研稀土新材料有限公司、有研稀土新材料股份有限公司、益阳鸿源稀土有限责任公司、赣州晨光稀土新材料股份有限公司。</w:t>
            </w:r>
          </w:p>
        </w:tc>
        <w:tc>
          <w:tcPr>
            <w:tcW w:w="1110" w:type="dxa"/>
            <w:vAlign w:val="center"/>
          </w:tcPr>
          <w:p>
            <w:pPr>
              <w:pStyle w:val="10"/>
              <w:spacing w:before="0" w:line="240" w:lineRule="auto"/>
              <w:rPr>
                <w:rFonts w:cs="Calibri" w:asciiTheme="minorEastAsia" w:hAnsiTheme="minorEastAsia" w:eastAsiaTheme="minorEastAsia"/>
                <w:sz w:val="21"/>
                <w:szCs w:val="21"/>
              </w:rPr>
            </w:pPr>
            <w:r>
              <w:rPr>
                <w:rFonts w:hint="eastAsia" w:cs="Calibri" w:asciiTheme="minorEastAsia" w:hAnsiTheme="minorEastAsia" w:eastAsiaTheme="minorEastAsia"/>
                <w:sz w:val="21"/>
                <w:szCs w:val="21"/>
              </w:rPr>
              <w:t>2019</w:t>
            </w:r>
          </w:p>
        </w:tc>
      </w:tr>
    </w:tbl>
    <w:p>
      <w:pPr>
        <w:spacing w:line="360" w:lineRule="auto"/>
        <w:ind w:firstLine="470" w:firstLineChars="196"/>
        <w:rPr>
          <w:rFonts w:ascii="黑体" w:hAnsi="黑体" w:eastAsia="黑体" w:cs="宋体"/>
          <w:bCs/>
          <w:sz w:val="24"/>
          <w:szCs w:val="24"/>
        </w:rPr>
      </w:pPr>
      <w:r>
        <w:rPr>
          <w:rFonts w:hint="eastAsia" w:ascii="黑体" w:hAnsi="黑体" w:eastAsia="黑体" w:cs="宋体"/>
          <w:bCs/>
          <w:sz w:val="24"/>
          <w:szCs w:val="24"/>
        </w:rPr>
        <w:t>1.3  起草单位简介</w:t>
      </w:r>
    </w:p>
    <w:p>
      <w:pPr>
        <w:spacing w:beforeLines="50" w:afterLines="50" w:line="360" w:lineRule="auto"/>
        <w:ind w:firstLine="482" w:firstLineChars="200"/>
        <w:rPr>
          <w:rFonts w:ascii="宋体" w:hAnsi="宋体" w:cs="宋体"/>
          <w:color w:val="000000"/>
          <w:sz w:val="24"/>
          <w:szCs w:val="24"/>
        </w:rPr>
      </w:pPr>
      <w:r>
        <w:rPr>
          <w:rFonts w:hint="eastAsia"/>
          <w:b/>
          <w:bCs/>
          <w:color w:val="000000"/>
          <w:sz w:val="24"/>
          <w:szCs w:val="24"/>
        </w:rPr>
        <w:t>四川省乐山锐丰冶金有限公司</w:t>
      </w:r>
      <w:r>
        <w:rPr>
          <w:rFonts w:hint="eastAsia" w:ascii="宋体" w:hAnsi="宋体" w:cs="宋体"/>
          <w:b/>
          <w:bCs/>
          <w:color w:val="000000"/>
          <w:sz w:val="24"/>
          <w:szCs w:val="24"/>
        </w:rPr>
        <w:t xml:space="preserve"> </w:t>
      </w:r>
      <w:r>
        <w:rPr>
          <w:rFonts w:hint="eastAsia" w:ascii="宋体" w:hAnsi="宋体" w:cs="宋体"/>
          <w:color w:val="000000"/>
          <w:sz w:val="24"/>
          <w:szCs w:val="24"/>
        </w:rPr>
        <w:t xml:space="preserve">   </w:t>
      </w:r>
    </w:p>
    <w:p>
      <w:pPr>
        <w:spacing w:line="360" w:lineRule="auto"/>
        <w:ind w:firstLine="480"/>
        <w:rPr>
          <w:rFonts w:ascii="Times New Roman" w:hAnsi="Times New Roman" w:cs="Times New Roman"/>
          <w:color w:val="000000"/>
          <w:sz w:val="24"/>
          <w:szCs w:val="24"/>
        </w:rPr>
      </w:pPr>
      <w:r>
        <w:rPr>
          <w:rFonts w:ascii="Times New Roman" w:hAnsi="Times New Roman" w:cs="Times New Roman"/>
          <w:color w:val="000000"/>
          <w:sz w:val="24"/>
          <w:szCs w:val="24"/>
        </w:rPr>
        <w:t>四川省乐山锐丰冶金有限公司成立于2001年6月，位于交通便捷、盐化工发达的乐山市五通桥区盐磷化工产业园，紧邻乐宜高速，距乐山港、成乐高速仅20公里。公司占地面积49000㎡，注册资金857.14万元，资产逾2.3亿元。目前公司拥有中高级技术人员38人，员工200余人，年产值超亿元，利税超千万，是集产品研发、生产为一体的稀土深加工企业，年可处理稀土精矿5500吨REO/年。主要生产纯度99%镨钕氧化物（用于磁性材料）；纯度99.95%氧化镧（主要用于石油催化材料、镧玻璃）；纯度99.995%氧化铈（主要用于催化剂、玻璃澄清剂、抛光粉等）；稀土富集物（主要用于稀土硅铁、脱色剂等）；超细抛光粉（主要用于水晶、玻璃、手机屏、液晶屏等抛光）；稀土氯化物等四十余种规格的产品。产品销往包头、江西、山东、广东、浙江、武汉、荷兰、美国、意大利、韩国、日本、斯洛文尼亚等多个地区和国家。</w:t>
      </w:r>
    </w:p>
    <w:p>
      <w:pPr>
        <w:spacing w:line="360" w:lineRule="auto"/>
        <w:ind w:firstLine="480"/>
        <w:rPr>
          <w:rFonts w:ascii="Times New Roman" w:hAnsi="Times New Roman" w:cs="Times New Roman"/>
          <w:color w:val="000000"/>
          <w:sz w:val="24"/>
          <w:szCs w:val="24"/>
        </w:rPr>
      </w:pPr>
      <w:r>
        <w:rPr>
          <w:rFonts w:ascii="Times New Roman" w:hAnsi="Times New Roman" w:cs="Times New Roman"/>
          <w:color w:val="000000"/>
          <w:sz w:val="24"/>
          <w:szCs w:val="24"/>
        </w:rPr>
        <w:t>公司拥有完善的质检、管理体系和先进独特的工艺流程、配套完善的设施设备</w:t>
      </w:r>
      <w:r>
        <w:rPr>
          <w:rFonts w:hint="eastAsia" w:ascii="宋体" w:hAnsi="宋体" w:cs="宋体"/>
          <w:color w:val="000000"/>
          <w:sz w:val="24"/>
          <w:szCs w:val="24"/>
        </w:rPr>
        <w:t>，产品</w:t>
      </w:r>
      <w:r>
        <w:rPr>
          <w:rFonts w:ascii="Times New Roman" w:hAnsi="Times New Roman" w:cs="Times New Roman"/>
          <w:color w:val="000000"/>
          <w:sz w:val="24"/>
          <w:szCs w:val="24"/>
        </w:rPr>
        <w:t>质量稳居国内一流水平。2014年公司与四川大学、成都理工大学、四川万凯丰稀土新能源科技有限公司、绵阳西磁磁电有限公司以及成都八九九科技有限公司六家联合开发“高品质稀土功能材料的研究与开发”的科研项目。2017年10月被评为国家高新技术企业、四川省企业技术中心。公司现拥有六项已授权专利。</w:t>
      </w:r>
    </w:p>
    <w:p>
      <w:pPr>
        <w:spacing w:line="360" w:lineRule="auto"/>
        <w:ind w:firstLine="480"/>
        <w:rPr>
          <w:rFonts w:ascii="Times New Roman" w:hAnsi="Times New Roman" w:cs="Times New Roman"/>
          <w:color w:val="000000"/>
          <w:sz w:val="24"/>
          <w:szCs w:val="24"/>
        </w:rPr>
      </w:pPr>
      <w:r>
        <w:rPr>
          <w:rFonts w:ascii="Times New Roman" w:hAnsi="Times New Roman" w:cs="Times New Roman"/>
          <w:color w:val="000000"/>
          <w:sz w:val="24"/>
          <w:szCs w:val="24"/>
        </w:rPr>
        <w:t>公司实施了ISO9001质量管理体系并通过了认证；获得海关进出口货物收发货人报关注册登记证书，并备案登记“对外贸易经营者备案登记表”；通过资质单位的“安全评价”并备案。2011年度投资近两千万元，升级、优化环保设施，2012年5月通过国家环保部环保核查，并获得国家“稀土生产指令性计划”；2012年12月纳入国家工信部稀土行业准入公告；2012年7月加入中国稀土行业协会；2012年11月完成“少铈氯化稀土、玻璃澄清剂、抛光粉节能减排技改项目”环评并取得批复（川环审批[2012]723号）；2014年5月“少铈氯化稀土、玻璃澄清剂、抛光粉节能减排技改项目”通过省环保厅验收。2014年11月加入全国稀土标准化技术委员会，并主持和参与多项稀土产品标准的制修定工作；2015年2月完成第一轮清洁生产审核验收工作，2017年12月完成第二轮清洁审核验收工作，确保环保、清洁生产的可持续运行。</w:t>
      </w:r>
    </w:p>
    <w:p>
      <w:pPr>
        <w:spacing w:line="360" w:lineRule="auto"/>
        <w:ind w:firstLine="480"/>
        <w:rPr>
          <w:rFonts w:ascii="Times New Roman" w:hAnsi="Times New Roman" w:cs="Times New Roman"/>
          <w:color w:val="000000"/>
          <w:sz w:val="24"/>
          <w:szCs w:val="24"/>
        </w:rPr>
      </w:pPr>
      <w:r>
        <w:rPr>
          <w:rFonts w:ascii="Times New Roman" w:hAnsi="Times New Roman" w:cs="Times New Roman"/>
          <w:color w:val="000000"/>
          <w:sz w:val="24"/>
          <w:szCs w:val="24"/>
        </w:rPr>
        <w:t>本着诚信携手、共创共赢、专业高效的原则，四川省乐山锐丰冶金有限公司在新的起点上，坚持团结、环保、持续健康发展的目标奋进。</w:t>
      </w:r>
    </w:p>
    <w:p>
      <w:pPr>
        <w:spacing w:beforeLines="50" w:afterLines="50" w:line="360" w:lineRule="auto"/>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1.4  本标准工作过程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我公司在项目申报初期，组织人员调研了国内氟化铈生产、使用厂家，查询相关资料，了解国内外氟化铈的生产动态及应用领域的变化，在此基础上形成了标准草案。</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2018年8月，包头会议确定了标准的参加起草单位后，建立了《氟化铈》行标制订工作组的微信群，邀请了各起草单位的标准化工作人员及工程技术人员参加。大家各抒己见，对《氟化铈》草案进行了热烈的的讨论，提出了很多富有建设性的意见。根据各位专家的意见，对草案进行了修改完善，形成了《氟化铈》标准征求意见稿，并于2018年11月9日发送至34家稀土企业征求意见。根据各企业的反馈意见，对征求意见稿进行了修改、补充和完善，最终于2018年11月下旬形成《氟化铈》标准预审稿、标准征求意见稿意见汇总处理表及编制说明，并于2018年11月26日前上传至稀土标委会秘书处，由秘书处挂网征求意见。</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本标准于2018年12月4日，在福州稀土标标准工作会议上进行</w:t>
      </w:r>
      <w:r>
        <w:rPr>
          <w:rFonts w:hint="eastAsia" w:ascii="Times New Roman" w:hAnsi="Times New Roman" w:cs="Times New Roman"/>
          <w:sz w:val="24"/>
          <w:szCs w:val="24"/>
        </w:rPr>
        <w:t>了</w:t>
      </w:r>
      <w:r>
        <w:rPr>
          <w:rFonts w:ascii="Times New Roman" w:hAnsi="Times New Roman" w:cs="Times New Roman"/>
          <w:sz w:val="24"/>
          <w:szCs w:val="24"/>
        </w:rPr>
        <w:t>预审</w:t>
      </w:r>
      <w:r>
        <w:rPr>
          <w:rFonts w:hint="eastAsia" w:ascii="Times New Roman" w:hAnsi="Times New Roman" w:cs="Times New Roman"/>
          <w:sz w:val="24"/>
          <w:szCs w:val="24"/>
        </w:rPr>
        <w:t>，在预审会上，专家就本标准的适用范围、规范性引用文件、部分元素的含量范围及部分检测项目的分析方法引用等提出了修改意见。</w:t>
      </w:r>
    </w:p>
    <w:p>
      <w:pPr>
        <w:spacing w:line="360" w:lineRule="auto"/>
        <w:ind w:firstLine="480" w:firstLineChars="200"/>
        <w:rPr>
          <w:sz w:val="24"/>
          <w:szCs w:val="24"/>
        </w:rPr>
      </w:pPr>
      <w:r>
        <w:rPr>
          <w:rFonts w:hint="eastAsia"/>
          <w:sz w:val="24"/>
          <w:szCs w:val="24"/>
        </w:rPr>
        <w:t>福州会议后，编制单位按照预审会专家的意见对标准预定稿进行了修改补充，在预审稿的基础上修订了以下主要内容：修订了标准的适用范围、调整了规范性引用文件的顺序、删除了原标准中氯根的要求、调整了2N5及2N两个牌号中铁与钙的含量范围（参照GB/T 4155-2012《氧化铈》）、针对样品的前处理与现行标准不一致的问题增加了附录、通过试验规定了水分的测量温度。</w:t>
      </w:r>
    </w:p>
    <w:p>
      <w:pPr>
        <w:spacing w:line="360" w:lineRule="auto"/>
        <w:ind w:firstLine="480" w:firstLineChars="200"/>
        <w:rPr>
          <w:sz w:val="24"/>
          <w:szCs w:val="24"/>
        </w:rPr>
      </w:pPr>
      <w:r>
        <w:rPr>
          <w:rFonts w:hint="eastAsia"/>
          <w:sz w:val="24"/>
          <w:szCs w:val="24"/>
        </w:rPr>
        <w:t>2019年4月初，最终形成了《氟化铈》的标准送审稿，上传至稀土标委会秘书处，挂网征求意见。</w:t>
      </w:r>
    </w:p>
    <w:p>
      <w:pPr>
        <w:spacing w:line="360" w:lineRule="auto"/>
        <w:ind w:firstLine="480" w:firstLineChars="200"/>
        <w:rPr>
          <w:rFonts w:hint="eastAsia"/>
          <w:sz w:val="24"/>
          <w:szCs w:val="24"/>
        </w:rPr>
      </w:pPr>
      <w:r>
        <w:rPr>
          <w:rFonts w:hint="eastAsia"/>
          <w:sz w:val="24"/>
          <w:szCs w:val="24"/>
        </w:rPr>
        <w:t>本标准于2019年4月17日，在嘉兴稀土标准工作会议上进行了审定，审定会专家提出了以下意见：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 前言中标准起草单位和起草人应按各起草单位和起草人在本标准中的参与程度排序。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范围“</w:t>
      </w:r>
      <w:r>
        <w:rPr>
          <w:rFonts w:asciiTheme="minorEastAsia" w:hAnsiTheme="minorEastAsia" w:eastAsiaTheme="minorEastAsia"/>
          <w:sz w:val="24"/>
          <w:szCs w:val="24"/>
        </w:rPr>
        <w:t>本标准适用于化学法制得的供生产金属铈、</w:t>
      </w:r>
      <w:r>
        <w:rPr>
          <w:rFonts w:hint="eastAsia" w:asciiTheme="minorEastAsia" w:hAnsiTheme="minorEastAsia" w:eastAsiaTheme="minorEastAsia"/>
          <w:sz w:val="24"/>
          <w:szCs w:val="24"/>
        </w:rPr>
        <w:t>玻璃与晶体材料</w:t>
      </w:r>
      <w:r>
        <w:rPr>
          <w:rFonts w:asciiTheme="minorEastAsia" w:hAnsiTheme="minorEastAsia" w:eastAsiaTheme="minorEastAsia"/>
          <w:sz w:val="24"/>
          <w:szCs w:val="24"/>
        </w:rPr>
        <w:t>等用的氟化铈。</w:t>
      </w:r>
      <w:r>
        <w:rPr>
          <w:rFonts w:hint="eastAsia" w:asciiTheme="minorEastAsia" w:hAnsiTheme="minorEastAsia" w:eastAsiaTheme="minorEastAsia"/>
          <w:sz w:val="24"/>
          <w:szCs w:val="24"/>
        </w:rPr>
        <w:t>”中“晶体材料”由建议单位（赣州湛海）再确认后决定是否保留。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4.1.3“</w:t>
      </w:r>
      <w:r>
        <w:rPr>
          <w:rFonts w:asciiTheme="minorEastAsia" w:hAnsiTheme="minorEastAsia" w:eastAsiaTheme="minorEastAsia"/>
          <w:sz w:val="24"/>
          <w:szCs w:val="24"/>
        </w:rPr>
        <w:t>稀土杂质含量的分析方法</w:t>
      </w:r>
      <w:r>
        <w:rPr>
          <w:rFonts w:hint="eastAsia" w:asciiTheme="minorEastAsia" w:hAnsiTheme="minorEastAsia" w:eastAsiaTheme="minorEastAsia"/>
          <w:sz w:val="24"/>
          <w:szCs w:val="24"/>
        </w:rPr>
        <w:t>按</w:t>
      </w:r>
      <w:r>
        <w:rPr>
          <w:rFonts w:asciiTheme="minorEastAsia" w:hAnsiTheme="minorEastAsia" w:eastAsiaTheme="minorEastAsia"/>
          <w:sz w:val="24"/>
          <w:szCs w:val="24"/>
        </w:rPr>
        <w:t>GB/T 18115.2的规定进行</w:t>
      </w:r>
      <w:r>
        <w:rPr>
          <w:rFonts w:hint="eastAsia" w:asciiTheme="minorEastAsia" w:hAnsiTheme="minorEastAsia" w:eastAsiaTheme="minorEastAsia"/>
          <w:sz w:val="24"/>
          <w:szCs w:val="24"/>
        </w:rPr>
        <w:t>”修改为“</w:t>
      </w:r>
      <w:r>
        <w:rPr>
          <w:rFonts w:asciiTheme="minorEastAsia" w:hAnsiTheme="minorEastAsia" w:eastAsiaTheme="minorEastAsia"/>
          <w:sz w:val="24"/>
          <w:szCs w:val="24"/>
        </w:rPr>
        <w:t>稀土杂质含量的分析方法</w:t>
      </w:r>
      <w:r>
        <w:rPr>
          <w:rFonts w:hint="eastAsia" w:asciiTheme="minorEastAsia" w:hAnsiTheme="minorEastAsia" w:eastAsiaTheme="minorEastAsia"/>
          <w:sz w:val="24"/>
          <w:szCs w:val="24"/>
        </w:rPr>
        <w:t>除前处理部分外按</w:t>
      </w:r>
      <w:r>
        <w:rPr>
          <w:rFonts w:asciiTheme="minorEastAsia" w:hAnsiTheme="minorEastAsia" w:eastAsiaTheme="minorEastAsia"/>
          <w:sz w:val="24"/>
          <w:szCs w:val="24"/>
        </w:rPr>
        <w:t>GB/T 18115.2的规定进行</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 4.1.5“</w:t>
      </w:r>
      <w:r>
        <w:rPr>
          <w:rFonts w:asciiTheme="minorEastAsia" w:hAnsiTheme="minorEastAsia" w:eastAsiaTheme="minorEastAsia"/>
          <w:sz w:val="24"/>
          <w:szCs w:val="24"/>
        </w:rPr>
        <w:t>Fe2O3、Al2O3、NiO含量的分析方法按GB/T 12690.5的规定进行</w:t>
      </w:r>
      <w:r>
        <w:rPr>
          <w:rFonts w:hint="eastAsia" w:asciiTheme="minorEastAsia" w:hAnsiTheme="minorEastAsia" w:eastAsiaTheme="minorEastAsia"/>
          <w:sz w:val="24"/>
          <w:szCs w:val="24"/>
        </w:rPr>
        <w:t>”修改为“</w:t>
      </w:r>
      <w:r>
        <w:rPr>
          <w:rFonts w:asciiTheme="minorEastAsia" w:hAnsiTheme="minorEastAsia" w:eastAsiaTheme="minorEastAsia"/>
          <w:sz w:val="24"/>
          <w:szCs w:val="24"/>
        </w:rPr>
        <w:t>Fe2O3、Al2O3、NiO含量的分析方法</w:t>
      </w:r>
      <w:r>
        <w:rPr>
          <w:rFonts w:hint="eastAsia" w:asciiTheme="minorEastAsia" w:hAnsiTheme="minorEastAsia" w:eastAsiaTheme="minorEastAsia"/>
          <w:sz w:val="24"/>
          <w:szCs w:val="24"/>
        </w:rPr>
        <w:t>除前处理部分外</w:t>
      </w:r>
      <w:r>
        <w:rPr>
          <w:rFonts w:asciiTheme="minorEastAsia" w:hAnsiTheme="minorEastAsia" w:eastAsiaTheme="minorEastAsia"/>
          <w:sz w:val="24"/>
          <w:szCs w:val="24"/>
        </w:rPr>
        <w:t>按GB/T 12690.5的规定进行</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 4.1.6“</w:t>
      </w:r>
      <w:r>
        <w:rPr>
          <w:rFonts w:asciiTheme="minorEastAsia" w:hAnsiTheme="minorEastAsia" w:eastAsiaTheme="minorEastAsia"/>
          <w:sz w:val="24"/>
          <w:szCs w:val="24"/>
        </w:rPr>
        <w:t>CaO</w:t>
      </w:r>
      <w:r>
        <w:rPr>
          <w:rFonts w:hint="eastAsia" w:asciiTheme="minorEastAsia" w:hAnsiTheme="minorEastAsia" w:eastAsiaTheme="minorEastAsia"/>
          <w:sz w:val="24"/>
          <w:szCs w:val="24"/>
        </w:rPr>
        <w:t>含量的分析方法按</w:t>
      </w:r>
      <w:r>
        <w:rPr>
          <w:rFonts w:asciiTheme="minorEastAsia" w:hAnsiTheme="minorEastAsia" w:eastAsiaTheme="minorEastAsia"/>
          <w:sz w:val="24"/>
          <w:szCs w:val="24"/>
        </w:rPr>
        <w:t>GB/T 12690.</w:t>
      </w:r>
      <w:r>
        <w:rPr>
          <w:rFonts w:hint="eastAsia" w:asciiTheme="minorEastAsia" w:hAnsiTheme="minorEastAsia" w:eastAsiaTheme="minorEastAsia"/>
          <w:sz w:val="24"/>
          <w:szCs w:val="24"/>
        </w:rPr>
        <w:t>1</w:t>
      </w:r>
      <w:r>
        <w:rPr>
          <w:rFonts w:asciiTheme="minorEastAsia" w:hAnsiTheme="minorEastAsia" w:eastAsiaTheme="minorEastAsia"/>
          <w:sz w:val="24"/>
          <w:szCs w:val="24"/>
        </w:rPr>
        <w:t>5</w:t>
      </w:r>
      <w:r>
        <w:rPr>
          <w:rFonts w:hint="eastAsia" w:asciiTheme="minorEastAsia" w:hAnsiTheme="minorEastAsia" w:eastAsiaTheme="minorEastAsia"/>
          <w:sz w:val="24"/>
          <w:szCs w:val="24"/>
        </w:rPr>
        <w:t>的规定进行”修改为“</w:t>
      </w:r>
      <w:r>
        <w:rPr>
          <w:rFonts w:asciiTheme="minorEastAsia" w:hAnsiTheme="minorEastAsia" w:eastAsiaTheme="minorEastAsia"/>
          <w:sz w:val="24"/>
          <w:szCs w:val="24"/>
        </w:rPr>
        <w:t>CaO</w:t>
      </w:r>
      <w:r>
        <w:rPr>
          <w:rFonts w:hint="eastAsia" w:asciiTheme="minorEastAsia" w:hAnsiTheme="minorEastAsia" w:eastAsiaTheme="minorEastAsia"/>
          <w:sz w:val="24"/>
          <w:szCs w:val="24"/>
        </w:rPr>
        <w:t>含量的分析方法除前处理部分外按</w:t>
      </w:r>
      <w:r>
        <w:rPr>
          <w:rFonts w:asciiTheme="minorEastAsia" w:hAnsiTheme="minorEastAsia" w:eastAsiaTheme="minorEastAsia"/>
          <w:sz w:val="24"/>
          <w:szCs w:val="24"/>
        </w:rPr>
        <w:t>GB/T 12690.</w:t>
      </w:r>
      <w:r>
        <w:rPr>
          <w:rFonts w:hint="eastAsia" w:asciiTheme="minorEastAsia" w:hAnsiTheme="minorEastAsia" w:eastAsiaTheme="minorEastAsia"/>
          <w:sz w:val="24"/>
          <w:szCs w:val="24"/>
        </w:rPr>
        <w:t>1</w:t>
      </w:r>
      <w:r>
        <w:rPr>
          <w:rFonts w:asciiTheme="minorEastAsia" w:hAnsiTheme="minorEastAsia" w:eastAsiaTheme="minorEastAsia"/>
          <w:sz w:val="24"/>
          <w:szCs w:val="24"/>
        </w:rPr>
        <w:t>5</w:t>
      </w:r>
      <w:r>
        <w:rPr>
          <w:rFonts w:hint="eastAsia" w:asciiTheme="minorEastAsia" w:hAnsiTheme="minorEastAsia" w:eastAsiaTheme="minorEastAsia"/>
          <w:sz w:val="24"/>
          <w:szCs w:val="24"/>
        </w:rPr>
        <w:t>的规定进行”。</w:t>
      </w:r>
    </w:p>
    <w:p>
      <w:pPr>
        <w:spacing w:line="360" w:lineRule="auto"/>
        <w:ind w:firstLine="480" w:firstLineChars="200"/>
        <w:rPr>
          <w:sz w:val="24"/>
          <w:szCs w:val="24"/>
        </w:rPr>
      </w:pPr>
      <w:r>
        <w:rPr>
          <w:rFonts w:hint="eastAsia" w:asciiTheme="minorEastAsia" w:hAnsiTheme="minorEastAsia" w:eastAsiaTheme="minorEastAsia"/>
          <w:sz w:val="24"/>
          <w:szCs w:val="24"/>
        </w:rPr>
        <w:t>(6) 4.1.7“</w:t>
      </w:r>
      <w:r>
        <w:rPr>
          <w:rFonts w:asciiTheme="minorEastAsia" w:hAnsiTheme="minorEastAsia" w:eastAsiaTheme="minorEastAsia"/>
          <w:sz w:val="24"/>
          <w:szCs w:val="24"/>
        </w:rPr>
        <w:t>水分量的分析方法按GB/T 12690.3</w:t>
      </w:r>
      <w:r>
        <w:rPr>
          <w:rFonts w:hint="eastAsia" w:asciiTheme="minorEastAsia" w:hAnsiTheme="minorEastAsia" w:eastAsiaTheme="minorEastAsia"/>
          <w:sz w:val="24"/>
          <w:szCs w:val="24"/>
        </w:rPr>
        <w:t>的规定进行</w:t>
      </w:r>
      <w:r>
        <w:rPr>
          <w:rFonts w:asciiTheme="minorEastAsia" w:hAnsiTheme="minorEastAsia" w:eastAsiaTheme="minorEastAsia"/>
          <w:sz w:val="24"/>
          <w:szCs w:val="24"/>
        </w:rPr>
        <w:t>，烘干温度为</w:t>
      </w:r>
      <w:r>
        <w:rPr>
          <w:rFonts w:hint="eastAsia" w:asciiTheme="minorEastAsia" w:hAnsiTheme="minorEastAsia" w:eastAsiaTheme="minorEastAsia"/>
          <w:sz w:val="24"/>
          <w:szCs w:val="24"/>
        </w:rPr>
        <w:t>25</w:t>
      </w:r>
      <w:r>
        <w:rPr>
          <w:rFonts w:asciiTheme="minorEastAsia" w:hAnsiTheme="minorEastAsia" w:eastAsiaTheme="minorEastAsia"/>
          <w:sz w:val="24"/>
          <w:szCs w:val="24"/>
        </w:rPr>
        <w:t>0±5℃</w:t>
      </w:r>
      <w:r>
        <w:rPr>
          <w:rFonts w:hint="eastAsia" w:asciiTheme="minorEastAsia" w:hAnsiTheme="minorEastAsia" w:eastAsiaTheme="minorEastAsia"/>
          <w:sz w:val="24"/>
          <w:szCs w:val="24"/>
        </w:rPr>
        <w:t>”修改为“H2O含量</w:t>
      </w:r>
      <w:r>
        <w:rPr>
          <w:rFonts w:asciiTheme="minorEastAsia" w:hAnsiTheme="minorEastAsia" w:eastAsiaTheme="minorEastAsia"/>
          <w:sz w:val="24"/>
          <w:szCs w:val="24"/>
        </w:rPr>
        <w:t>的分析方</w:t>
      </w:r>
      <w:r>
        <w:rPr>
          <w:sz w:val="24"/>
          <w:szCs w:val="24"/>
        </w:rPr>
        <w:t>法按GB/T 12690.3</w:t>
      </w:r>
      <w:r>
        <w:rPr>
          <w:rFonts w:hint="eastAsia"/>
          <w:sz w:val="24"/>
          <w:szCs w:val="24"/>
        </w:rPr>
        <w:t>的规定进行</w:t>
      </w:r>
      <w:r>
        <w:rPr>
          <w:sz w:val="24"/>
          <w:szCs w:val="24"/>
        </w:rPr>
        <w:t>，烘干温度为250</w:t>
      </w:r>
      <w:r>
        <w:rPr>
          <w:rFonts w:hint="eastAsia"/>
          <w:sz w:val="24"/>
          <w:szCs w:val="24"/>
        </w:rPr>
        <w:t>℃</w:t>
      </w:r>
      <w:r>
        <w:rPr>
          <w:sz w:val="24"/>
          <w:szCs w:val="24"/>
        </w:rPr>
        <w:t>~255℃”</w:t>
      </w:r>
      <w:r>
        <w:rPr>
          <w:rFonts w:hint="eastAsia"/>
          <w:sz w:val="24"/>
          <w:szCs w:val="24"/>
        </w:rPr>
        <w:t>。</w:t>
      </w:r>
    </w:p>
    <w:p>
      <w:pPr>
        <w:spacing w:line="360" w:lineRule="auto"/>
        <w:ind w:firstLine="480" w:firstLineChars="200"/>
        <w:rPr>
          <w:sz w:val="24"/>
          <w:szCs w:val="24"/>
        </w:rPr>
      </w:pPr>
      <w:r>
        <w:rPr>
          <w:rFonts w:hint="eastAsia" w:asciiTheme="minorEastAsia" w:hAnsiTheme="minorEastAsia" w:eastAsiaTheme="minorEastAsia"/>
          <w:sz w:val="24"/>
          <w:szCs w:val="24"/>
        </w:rPr>
        <w:t>(7) 附</w:t>
      </w:r>
      <w:r>
        <w:rPr>
          <w:rFonts w:hint="eastAsia"/>
          <w:sz w:val="24"/>
          <w:szCs w:val="24"/>
        </w:rPr>
        <w:t>录A 标题改为“氟化铈中稀土杂质含量分析时的前处理”，文中章节序号需调整，溶解样品时所用试剂需列出。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 附录B标题改为“氟化铈中</w:t>
      </w:r>
      <w:r>
        <w:rPr>
          <w:rFonts w:asciiTheme="minorEastAsia" w:hAnsiTheme="minorEastAsia" w:eastAsiaTheme="minorEastAsia"/>
          <w:sz w:val="24"/>
          <w:szCs w:val="24"/>
        </w:rPr>
        <w:t>Fe2O3、Al2O3、NiO含量分析</w:t>
      </w:r>
      <w:r>
        <w:rPr>
          <w:rFonts w:hint="eastAsia" w:asciiTheme="minorEastAsia" w:hAnsiTheme="minorEastAsia" w:eastAsiaTheme="minorEastAsia"/>
          <w:sz w:val="24"/>
          <w:szCs w:val="24"/>
        </w:rPr>
        <w:t>时的前处理”，文中章节序号需调整，溶解样品时所用试剂需列出。</w:t>
      </w:r>
    </w:p>
    <w:p>
      <w:pPr>
        <w:spacing w:line="360" w:lineRule="auto"/>
        <w:ind w:firstLine="480" w:firstLineChars="200"/>
        <w:rPr>
          <w:sz w:val="24"/>
          <w:szCs w:val="24"/>
        </w:rPr>
      </w:pPr>
      <w:r>
        <w:rPr>
          <w:rFonts w:hint="eastAsia" w:asciiTheme="minorEastAsia" w:hAnsiTheme="minorEastAsia" w:eastAsiaTheme="minorEastAsia"/>
          <w:sz w:val="24"/>
          <w:szCs w:val="24"/>
        </w:rPr>
        <w:t>(9) 附录C</w:t>
      </w:r>
      <w:r>
        <w:rPr>
          <w:rFonts w:hint="eastAsia"/>
          <w:sz w:val="24"/>
          <w:szCs w:val="24"/>
        </w:rPr>
        <w:t>标题改为“氟化铈中</w:t>
      </w:r>
      <w:r>
        <w:rPr>
          <w:sz w:val="24"/>
          <w:szCs w:val="24"/>
        </w:rPr>
        <w:t>CaO</w:t>
      </w:r>
      <w:r>
        <w:rPr>
          <w:rFonts w:hint="eastAsia"/>
          <w:sz w:val="24"/>
          <w:szCs w:val="24"/>
        </w:rPr>
        <w:t>含量分析时的前处理”，文中章节序号需调整，溶解样品时所用试剂需列出。</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审定会结束后，我们根据各起草单位在本标准起草过程中的提出有效意见的数量、回复意见的及时性等参与程度，对各起草单位重新进行了排序，并获得了各起草单位的基本认可。</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根据专家提出的本标准的产品能否适用于晶体材料，由提出单位查证后确认，本标准不适用于晶体材料，因此在产品的适用范围内删除了晶体材料。</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针对审定会专家提出的产品杂质的分析方法描述及附录部分不符合规范的意见，起草单位对对此部分进行了修改，并将修改后的版本上传于《氟化铈》行标制订工作微信群内，征求各参与起草单位意见。参与起草单位专家对修改后附录部分提出了具体的意见，根据专家意见，起草单位完善了本标准，于2017年7月底形成了《氟化铈》标准送审稿，</w:t>
      </w:r>
      <w:r>
        <w:rPr>
          <w:rFonts w:hint="eastAsia"/>
          <w:sz w:val="24"/>
          <w:szCs w:val="24"/>
        </w:rPr>
        <w:t>上传至稀土标委会秘书处，挂网征求意见。</w:t>
      </w:r>
    </w:p>
    <w:p>
      <w:pPr>
        <w:spacing w:line="360" w:lineRule="auto"/>
        <w:ind w:firstLine="480" w:firstLineChars="200"/>
        <w:rPr>
          <w:rFonts w:ascii="Times New Roman" w:hAnsi="Times New Roman" w:cs="Times New Roman"/>
          <w:sz w:val="24"/>
          <w:szCs w:val="24"/>
        </w:rPr>
      </w:pPr>
      <w:r>
        <w:rPr>
          <w:rFonts w:hint="eastAsia"/>
          <w:sz w:val="24"/>
          <w:szCs w:val="24"/>
        </w:rPr>
        <w:t>本标准将于2019年8月15~16日，在赣州稀土标准工作会议上进行补充审定。</w:t>
      </w:r>
    </w:p>
    <w:p>
      <w:pPr>
        <w:spacing w:beforeLines="50" w:afterLines="50" w:line="360" w:lineRule="auto"/>
        <w:ind w:firstLine="539"/>
        <w:rPr>
          <w:rFonts w:ascii="黑体" w:hAnsi="黑体" w:eastAsia="黑体" w:cs="Times New Roman"/>
          <w:sz w:val="24"/>
          <w:szCs w:val="24"/>
        </w:rPr>
      </w:pPr>
      <w:r>
        <w:rPr>
          <w:rFonts w:ascii="黑体" w:hAnsi="黑体" w:eastAsia="黑体"/>
          <w:sz w:val="24"/>
          <w:szCs w:val="24"/>
        </w:rPr>
        <w:t>2</w:t>
      </w:r>
      <w:r>
        <w:rPr>
          <w:rFonts w:hint="eastAsia" w:ascii="黑体" w:hAnsi="黑体" w:eastAsia="黑体"/>
          <w:sz w:val="24"/>
          <w:szCs w:val="24"/>
        </w:rPr>
        <w:t xml:space="preserve">  </w:t>
      </w:r>
      <w:r>
        <w:rPr>
          <w:rFonts w:hint="eastAsia" w:ascii="黑体" w:hAnsi="黑体" w:eastAsia="黑体" w:cs="宋体"/>
          <w:sz w:val="24"/>
          <w:szCs w:val="24"/>
        </w:rPr>
        <w:t>标准制订原则</w:t>
      </w:r>
    </w:p>
    <w:p>
      <w:pPr>
        <w:adjustRightInd w:val="0"/>
        <w:snapToGrid w:val="0"/>
        <w:spacing w:line="360" w:lineRule="auto"/>
        <w:ind w:firstLine="480" w:firstLineChars="200"/>
        <w:rPr>
          <w:rFonts w:ascii="黑体" w:hAnsi="黑体" w:eastAsia="黑体" w:cs="黑体"/>
          <w:color w:val="000000"/>
          <w:sz w:val="24"/>
        </w:rPr>
      </w:pPr>
      <w:r>
        <w:rPr>
          <w:rFonts w:hint="eastAsia" w:ascii="黑体" w:hAnsi="黑体" w:eastAsia="黑体" w:cs="黑体"/>
          <w:color w:val="000000"/>
          <w:sz w:val="24"/>
        </w:rPr>
        <w:t xml:space="preserve">2.1 </w:t>
      </w:r>
      <w:r>
        <w:rPr>
          <w:rFonts w:hint="eastAsia" w:ascii="宋体" w:hAnsi="宋体"/>
          <w:color w:val="000000"/>
          <w:sz w:val="24"/>
        </w:rPr>
        <w:t xml:space="preserve"> </w:t>
      </w:r>
      <w:r>
        <w:rPr>
          <w:rFonts w:hint="eastAsia" w:ascii="黑体" w:hAnsi="黑体" w:eastAsia="黑体" w:cs="黑体"/>
          <w:color w:val="000000"/>
          <w:sz w:val="24"/>
        </w:rPr>
        <w:t>规范性</w:t>
      </w:r>
    </w:p>
    <w:p>
      <w:pPr>
        <w:adjustRightInd w:val="0"/>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本次制定应符合有色金属产品标准编写规则的要求（GB/T1.1 标准化工作导则 第1部分 标准的结构和编写、GB/T1.3 产品标准编写规定、GB/T20001.4 标准编写规则 第4部分 化学分析方法和《有色金属冶炼产品、加工产品、化学分析方法国家标准、行业标准编写示例》）；</w:t>
      </w:r>
    </w:p>
    <w:p>
      <w:pPr>
        <w:adjustRightInd w:val="0"/>
        <w:snapToGrid w:val="0"/>
        <w:spacing w:line="360" w:lineRule="auto"/>
        <w:ind w:firstLine="480" w:firstLineChars="200"/>
        <w:rPr>
          <w:rFonts w:ascii="黑体" w:hAnsi="黑体" w:eastAsia="黑体" w:cs="黑体"/>
          <w:color w:val="000000"/>
          <w:sz w:val="24"/>
        </w:rPr>
      </w:pPr>
      <w:r>
        <w:rPr>
          <w:rFonts w:hint="eastAsia" w:ascii="黑体" w:hAnsi="黑体" w:eastAsia="黑体" w:cs="黑体"/>
          <w:color w:val="000000"/>
          <w:sz w:val="24"/>
        </w:rPr>
        <w:t>2.2  适宜性</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征集并汇总生产企业及使用企业的意见，查阅文献及用户技术要求，使本标准尽可能符合氟化铈生产、使用企业的实际需求；</w:t>
      </w:r>
    </w:p>
    <w:p>
      <w:pPr>
        <w:adjustRightInd w:val="0"/>
        <w:snapToGrid w:val="0"/>
        <w:spacing w:line="360" w:lineRule="auto"/>
        <w:ind w:firstLine="480" w:firstLineChars="200"/>
        <w:rPr>
          <w:rFonts w:ascii="黑体" w:hAnsi="黑体" w:eastAsia="黑体" w:cs="黑体"/>
          <w:color w:val="000000"/>
          <w:sz w:val="24"/>
        </w:rPr>
      </w:pPr>
      <w:r>
        <w:rPr>
          <w:rFonts w:hint="eastAsia" w:ascii="黑体" w:hAnsi="黑体" w:eastAsia="黑体" w:cs="黑体"/>
          <w:color w:val="000000"/>
          <w:sz w:val="24"/>
        </w:rPr>
        <w:t>2.3  先进性</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本标准的制定时，重点考虑了工艺优化、技术进步对产品稀土产品质量的影响、根据下游客户需求及产品发展趋势，确保标准的技术先进性。该标准为国内首次提出，填补了国内标准空白。通过标准的建立，为氟化铈的生产提供了最基本的技术依据，节省了大量人力物力，创造出良好的社会效益和可观的经济效益。</w:t>
      </w:r>
    </w:p>
    <w:p>
      <w:pPr>
        <w:spacing w:beforeLines="50" w:afterLines="50" w:line="360" w:lineRule="auto"/>
        <w:ind w:firstLine="480" w:firstLineChars="200"/>
        <w:rPr>
          <w:rFonts w:ascii="宋体" w:hAnsi="宋体"/>
          <w:bCs/>
          <w:sz w:val="24"/>
        </w:rPr>
      </w:pPr>
      <w:r>
        <w:rPr>
          <w:rFonts w:hint="eastAsia" w:ascii="黑体" w:hAnsi="黑体" w:eastAsia="黑体" w:cs="宋体"/>
          <w:sz w:val="24"/>
          <w:szCs w:val="24"/>
        </w:rPr>
        <w:t>3  标准主要内容及确定依据</w:t>
      </w:r>
      <w:r>
        <w:rPr>
          <w:rFonts w:hint="eastAsia" w:ascii="宋体" w:hAnsi="宋体"/>
          <w:b/>
          <w:bCs/>
          <w:sz w:val="24"/>
        </w:rPr>
        <w:t xml:space="preserve">   </w:t>
      </w:r>
    </w:p>
    <w:p>
      <w:pPr>
        <w:adjustRightInd w:val="0"/>
        <w:snapToGrid w:val="0"/>
        <w:spacing w:line="360" w:lineRule="auto"/>
        <w:ind w:firstLine="480" w:firstLineChars="200"/>
        <w:rPr>
          <w:rFonts w:ascii="黑体" w:hAnsi="黑体" w:eastAsia="黑体" w:cs="黑体"/>
          <w:sz w:val="24"/>
        </w:rPr>
      </w:pPr>
      <w:r>
        <w:rPr>
          <w:rFonts w:hint="eastAsia" w:ascii="黑体" w:hAnsi="黑体" w:eastAsia="黑体" w:cs="黑体"/>
          <w:sz w:val="24"/>
        </w:rPr>
        <w:t>3.1主要内容与适用范围</w:t>
      </w:r>
    </w:p>
    <w:p>
      <w:pPr>
        <w:adjustRightInd w:val="0"/>
        <w:snapToGrid w:val="0"/>
        <w:spacing w:line="360" w:lineRule="auto"/>
        <w:ind w:firstLine="480" w:firstLineChars="200"/>
        <w:rPr>
          <w:rFonts w:ascii="宋体" w:hAnsi="宋体"/>
          <w:bCs/>
          <w:sz w:val="24"/>
        </w:rPr>
      </w:pPr>
      <w:r>
        <w:rPr>
          <w:rFonts w:hint="eastAsia" w:ascii="宋体" w:hAnsi="宋体"/>
          <w:bCs/>
          <w:sz w:val="24"/>
        </w:rPr>
        <w:t>规定了氟化铈产品的要求、试验方法、检验规则与标志、包装、运输、贮存及质量证明书。</w:t>
      </w:r>
    </w:p>
    <w:p>
      <w:pPr>
        <w:adjustRightInd w:val="0"/>
        <w:snapToGrid w:val="0"/>
        <w:spacing w:line="360" w:lineRule="auto"/>
        <w:ind w:firstLine="480" w:firstLineChars="200"/>
        <w:rPr>
          <w:rFonts w:ascii="宋体" w:hAnsi="宋体"/>
          <w:bCs/>
          <w:sz w:val="24"/>
        </w:rPr>
      </w:pPr>
      <w:r>
        <w:rPr>
          <w:rFonts w:hint="eastAsia" w:ascii="宋体" w:hAnsi="宋体"/>
          <w:bCs/>
          <w:sz w:val="24"/>
        </w:rPr>
        <w:t>根据技术资料的汇总及用户技术指标的要求确定了标准的适用范围，本标准标准适用于化学法制得的</w:t>
      </w:r>
      <w:r>
        <w:rPr>
          <w:rFonts w:ascii="宋体" w:hAnsi="宋体"/>
          <w:bCs/>
          <w:sz w:val="24"/>
        </w:rPr>
        <w:t>供生产金属铈、冶金</w:t>
      </w:r>
      <w:r>
        <w:rPr>
          <w:rFonts w:hint="eastAsia" w:ascii="宋体" w:hAnsi="宋体"/>
          <w:bCs/>
          <w:sz w:val="24"/>
        </w:rPr>
        <w:t>、</w:t>
      </w:r>
      <w:r>
        <w:rPr>
          <w:rFonts w:ascii="宋体" w:hAnsi="宋体"/>
          <w:bCs/>
          <w:sz w:val="24"/>
        </w:rPr>
        <w:t>特种钢</w:t>
      </w:r>
      <w:r>
        <w:rPr>
          <w:rFonts w:hint="eastAsia" w:ascii="宋体" w:hAnsi="宋体"/>
          <w:bCs/>
          <w:sz w:val="24"/>
        </w:rPr>
        <w:t>、玻璃与晶体材料</w:t>
      </w:r>
      <w:r>
        <w:rPr>
          <w:rFonts w:ascii="宋体" w:hAnsi="宋体"/>
          <w:bCs/>
          <w:sz w:val="24"/>
        </w:rPr>
        <w:t>等用的氟化铈</w:t>
      </w:r>
      <w:r>
        <w:rPr>
          <w:rFonts w:hint="eastAsia" w:ascii="宋体" w:hAnsi="宋体"/>
          <w:bCs/>
          <w:sz w:val="24"/>
        </w:rPr>
        <w:t>。</w:t>
      </w:r>
    </w:p>
    <w:p>
      <w:pPr>
        <w:adjustRightInd w:val="0"/>
        <w:snapToGrid w:val="0"/>
        <w:spacing w:line="360" w:lineRule="auto"/>
        <w:ind w:firstLine="480" w:firstLineChars="200"/>
        <w:rPr>
          <w:rFonts w:ascii="黑体" w:hAnsi="黑体" w:eastAsia="黑体" w:cs="黑体"/>
          <w:sz w:val="24"/>
        </w:rPr>
      </w:pPr>
      <w:r>
        <w:rPr>
          <w:rFonts w:hint="eastAsia" w:ascii="黑体" w:hAnsi="黑体" w:eastAsia="黑体" w:cs="黑体"/>
          <w:sz w:val="24"/>
        </w:rPr>
        <w:t>3.2规范性引用文件</w:t>
      </w:r>
    </w:p>
    <w:p>
      <w:pPr>
        <w:adjustRightInd w:val="0"/>
        <w:snapToGrid w:val="0"/>
        <w:spacing w:line="360" w:lineRule="auto"/>
        <w:ind w:firstLine="480" w:firstLineChars="200"/>
        <w:rPr>
          <w:rFonts w:ascii="宋体" w:hAnsi="宋体"/>
          <w:bCs/>
          <w:sz w:val="24"/>
        </w:rPr>
      </w:pPr>
      <w:r>
        <w:rPr>
          <w:rFonts w:hint="eastAsia" w:ascii="宋体" w:hAnsi="宋体"/>
          <w:bCs/>
          <w:sz w:val="24"/>
        </w:rPr>
        <w:t>引用文件全部是标准正文中需要的内容，部分标准是参照执行。</w:t>
      </w:r>
    </w:p>
    <w:p>
      <w:pPr>
        <w:adjustRightInd w:val="0"/>
        <w:snapToGrid w:val="0"/>
        <w:spacing w:line="360" w:lineRule="auto"/>
        <w:ind w:firstLine="480" w:firstLineChars="200"/>
        <w:rPr>
          <w:rFonts w:ascii="宋体" w:hAnsi="宋体"/>
          <w:bCs/>
          <w:sz w:val="24"/>
        </w:rPr>
      </w:pPr>
      <w:r>
        <w:rPr>
          <w:rFonts w:ascii="Times New Roman" w:hAnsi="Times New Roman" w:cs="Times New Roman"/>
          <w:bCs/>
          <w:sz w:val="24"/>
        </w:rPr>
        <w:t>GB/T  8170   数值</w:t>
      </w:r>
      <w:r>
        <w:rPr>
          <w:rFonts w:hint="eastAsia" w:ascii="宋体" w:hAnsi="宋体"/>
          <w:bCs/>
          <w:sz w:val="24"/>
        </w:rPr>
        <w:t>修约规则与极限数值的表示和判定</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GB/T  12690  稀土金属及其氧化物中非稀土杂质化学分析方法</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GB/T  14635  稀土金属及其化合物中化学分析方法  稀土总量的测定</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GB/T  17803  稀土产品牌号表示方法</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GB/T  18115.2  稀土金属及其氧化物中稀土杂质化学分析方法  铈中镧、镨、钕、钐、铕、钆、铽、镝、钬、铒、铥、镱、镥和钇量的测定</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XB/T  615  氟化稀土化学分析方法  氟量的测定  水蒸气蒸馏-EDTA滴定法</w:t>
      </w:r>
    </w:p>
    <w:p>
      <w:pPr>
        <w:adjustRightInd w:val="0"/>
        <w:snapToGrid w:val="0"/>
        <w:spacing w:line="360" w:lineRule="auto"/>
        <w:ind w:firstLine="480" w:firstLineChars="200"/>
        <w:rPr>
          <w:rFonts w:ascii="黑体" w:hAnsi="黑体" w:eastAsia="黑体" w:cs="Times New Roman"/>
          <w:bCs/>
          <w:sz w:val="24"/>
        </w:rPr>
      </w:pPr>
      <w:r>
        <w:rPr>
          <w:rFonts w:hint="eastAsia" w:ascii="黑体" w:hAnsi="黑体" w:eastAsia="黑体" w:cs="Times New Roman"/>
          <w:bCs/>
          <w:sz w:val="24"/>
        </w:rPr>
        <w:t>3.3 标准主要技术内容的确定及依据</w:t>
      </w:r>
    </w:p>
    <w:p>
      <w:pPr>
        <w:pStyle w:val="12"/>
        <w:numPr>
          <w:ilvl w:val="0"/>
          <w:numId w:val="0"/>
        </w:numPr>
        <w:spacing w:line="360" w:lineRule="auto"/>
        <w:ind w:left="660" w:leftChars="200" w:hanging="240" w:hangingChars="100"/>
        <w:rPr>
          <w:color w:val="000000"/>
          <w:sz w:val="24"/>
          <w:szCs w:val="24"/>
        </w:rPr>
      </w:pPr>
      <w:r>
        <w:rPr>
          <w:rFonts w:hint="eastAsia" w:ascii="黑体"/>
          <w:color w:val="000000"/>
          <w:sz w:val="24"/>
          <w:szCs w:val="24"/>
        </w:rPr>
        <w:t xml:space="preserve">3.3.1  </w:t>
      </w:r>
      <w:r>
        <w:rPr>
          <w:rFonts w:hint="eastAsia"/>
          <w:color w:val="000000"/>
          <w:sz w:val="24"/>
          <w:szCs w:val="24"/>
        </w:rPr>
        <w:t>产品分类</w:t>
      </w:r>
    </w:p>
    <w:p>
      <w:pPr>
        <w:pStyle w:val="11"/>
        <w:spacing w:line="360" w:lineRule="auto"/>
        <w:ind w:firstLine="420" w:firstLineChars="0"/>
        <w:rPr>
          <w:rFonts w:ascii="Times New Roman"/>
          <w:color w:val="000000"/>
          <w:sz w:val="24"/>
          <w:szCs w:val="24"/>
        </w:rPr>
      </w:pPr>
      <w:r>
        <w:rPr>
          <w:rFonts w:hint="eastAsia" w:hAnsi="宋体"/>
          <w:color w:val="000000"/>
          <w:sz w:val="24"/>
          <w:szCs w:val="24"/>
        </w:rPr>
        <w:t>产品按化学成分分为四个牌号：</w:t>
      </w:r>
      <w:r>
        <w:rPr>
          <w:rFonts w:ascii="Times New Roman"/>
          <w:color w:val="000000"/>
          <w:sz w:val="24"/>
          <w:szCs w:val="24"/>
        </w:rPr>
        <w:t>CeF</w:t>
      </w:r>
      <w:r>
        <w:rPr>
          <w:rFonts w:ascii="Times New Roman"/>
          <w:color w:val="000000"/>
          <w:sz w:val="24"/>
          <w:szCs w:val="24"/>
          <w:vertAlign w:val="subscript"/>
        </w:rPr>
        <w:t>3</w:t>
      </w:r>
      <w:r>
        <w:rPr>
          <w:rFonts w:ascii="Times New Roman"/>
          <w:color w:val="000000"/>
          <w:sz w:val="24"/>
          <w:szCs w:val="24"/>
        </w:rPr>
        <w:t>-4N</w:t>
      </w:r>
      <w:r>
        <w:rPr>
          <w:rFonts w:ascii="Times New Roman" w:hAnsi="宋体"/>
          <w:color w:val="000000"/>
          <w:sz w:val="24"/>
          <w:szCs w:val="24"/>
        </w:rPr>
        <w:t>、</w:t>
      </w:r>
      <w:r>
        <w:rPr>
          <w:rFonts w:ascii="Times New Roman"/>
          <w:color w:val="000000"/>
          <w:sz w:val="24"/>
          <w:szCs w:val="24"/>
        </w:rPr>
        <w:t>CeF</w:t>
      </w:r>
      <w:r>
        <w:rPr>
          <w:rFonts w:ascii="Times New Roman"/>
          <w:color w:val="000000"/>
          <w:sz w:val="24"/>
          <w:szCs w:val="24"/>
          <w:vertAlign w:val="subscript"/>
        </w:rPr>
        <w:t>3</w:t>
      </w:r>
      <w:r>
        <w:rPr>
          <w:rFonts w:ascii="Times New Roman"/>
          <w:color w:val="000000"/>
          <w:sz w:val="24"/>
          <w:szCs w:val="24"/>
        </w:rPr>
        <w:t>-3N</w:t>
      </w:r>
      <w:r>
        <w:rPr>
          <w:rFonts w:ascii="Times New Roman" w:hAnsi="宋体"/>
          <w:color w:val="000000"/>
          <w:sz w:val="24"/>
          <w:szCs w:val="24"/>
        </w:rPr>
        <w:t>、</w:t>
      </w:r>
      <w:r>
        <w:rPr>
          <w:rFonts w:ascii="Times New Roman"/>
          <w:color w:val="000000"/>
          <w:sz w:val="24"/>
          <w:szCs w:val="24"/>
        </w:rPr>
        <w:t>CeF</w:t>
      </w:r>
      <w:r>
        <w:rPr>
          <w:rFonts w:ascii="Times New Roman"/>
          <w:color w:val="000000"/>
          <w:sz w:val="24"/>
          <w:szCs w:val="24"/>
          <w:vertAlign w:val="subscript"/>
        </w:rPr>
        <w:t>3</w:t>
      </w:r>
      <w:r>
        <w:rPr>
          <w:rFonts w:ascii="Times New Roman"/>
          <w:color w:val="000000"/>
          <w:sz w:val="24"/>
          <w:szCs w:val="24"/>
        </w:rPr>
        <w:t>-2N5</w:t>
      </w:r>
      <w:r>
        <w:rPr>
          <w:rFonts w:ascii="Times New Roman" w:hAnsi="宋体"/>
          <w:color w:val="000000"/>
          <w:sz w:val="24"/>
          <w:szCs w:val="24"/>
        </w:rPr>
        <w:t>、</w:t>
      </w:r>
      <w:r>
        <w:rPr>
          <w:rFonts w:ascii="Times New Roman"/>
          <w:color w:val="000000"/>
          <w:sz w:val="24"/>
          <w:szCs w:val="24"/>
        </w:rPr>
        <w:t>CeF</w:t>
      </w:r>
      <w:r>
        <w:rPr>
          <w:rFonts w:ascii="Times New Roman"/>
          <w:color w:val="000000"/>
          <w:sz w:val="24"/>
          <w:szCs w:val="24"/>
          <w:vertAlign w:val="subscript"/>
        </w:rPr>
        <w:t>3</w:t>
      </w:r>
      <w:r>
        <w:rPr>
          <w:rFonts w:ascii="Times New Roman"/>
          <w:color w:val="000000"/>
          <w:sz w:val="24"/>
          <w:szCs w:val="24"/>
        </w:rPr>
        <w:t>-2N</w:t>
      </w:r>
      <w:r>
        <w:rPr>
          <w:rFonts w:ascii="Times New Roman" w:hAnsi="宋体"/>
          <w:color w:val="000000"/>
          <w:sz w:val="24"/>
          <w:szCs w:val="24"/>
        </w:rPr>
        <w:t>，产品牌号表示方法符合</w:t>
      </w:r>
      <w:r>
        <w:rPr>
          <w:rFonts w:ascii="Times New Roman"/>
          <w:color w:val="000000"/>
          <w:sz w:val="24"/>
          <w:szCs w:val="24"/>
        </w:rPr>
        <w:t>GB/T</w:t>
      </w:r>
      <w:r>
        <w:rPr>
          <w:rFonts w:hint="eastAsia" w:ascii="Times New Roman"/>
          <w:color w:val="000000"/>
          <w:sz w:val="24"/>
          <w:szCs w:val="24"/>
        </w:rPr>
        <w:t xml:space="preserve">  </w:t>
      </w:r>
      <w:r>
        <w:rPr>
          <w:rFonts w:ascii="Times New Roman"/>
          <w:color w:val="000000"/>
          <w:sz w:val="24"/>
          <w:szCs w:val="24"/>
        </w:rPr>
        <w:t>17803的规定。</w:t>
      </w:r>
    </w:p>
    <w:p>
      <w:pPr>
        <w:pStyle w:val="12"/>
        <w:numPr>
          <w:ilvl w:val="0"/>
          <w:numId w:val="0"/>
        </w:numPr>
        <w:spacing w:line="360" w:lineRule="auto"/>
        <w:ind w:firstLine="480" w:firstLineChars="200"/>
        <w:rPr>
          <w:color w:val="000000"/>
          <w:sz w:val="24"/>
          <w:szCs w:val="24"/>
        </w:rPr>
      </w:pPr>
      <w:r>
        <w:rPr>
          <w:rFonts w:hint="eastAsia" w:ascii="黑体" w:hAnsi="黑体"/>
          <w:color w:val="000000"/>
          <w:sz w:val="24"/>
          <w:szCs w:val="24"/>
        </w:rPr>
        <w:t>3.3.2</w:t>
      </w:r>
      <w:r>
        <w:rPr>
          <w:rFonts w:hint="eastAsia"/>
          <w:color w:val="000000"/>
          <w:sz w:val="24"/>
          <w:szCs w:val="24"/>
        </w:rPr>
        <w:t xml:space="preserve">  化学成分</w:t>
      </w:r>
    </w:p>
    <w:p>
      <w:pPr>
        <w:pStyle w:val="11"/>
        <w:spacing w:line="360" w:lineRule="auto"/>
        <w:ind w:firstLine="480"/>
        <w:rPr>
          <w:rFonts w:hAnsi="宋体"/>
          <w:color w:val="000000"/>
          <w:sz w:val="24"/>
          <w:szCs w:val="24"/>
        </w:rPr>
      </w:pPr>
      <w:r>
        <w:rPr>
          <w:rFonts w:hint="eastAsia" w:hAnsi="宋体"/>
          <w:color w:val="000000"/>
          <w:sz w:val="24"/>
          <w:szCs w:val="24"/>
        </w:rPr>
        <w:t>产品的化学成分应符合表1的规定。如需方对产品有特殊要求，供需双方可另行协商确定。</w:t>
      </w:r>
    </w:p>
    <w:p>
      <w:pPr>
        <w:pStyle w:val="11"/>
        <w:ind w:firstLine="482"/>
        <w:jc w:val="center"/>
        <w:rPr>
          <w:rFonts w:ascii="黑体" w:hAnsi="黑体" w:eastAsia="黑体"/>
          <w:b/>
          <w:color w:val="000000"/>
          <w:sz w:val="24"/>
          <w:szCs w:val="24"/>
        </w:rPr>
      </w:pPr>
      <w:r>
        <w:rPr>
          <w:rFonts w:hint="eastAsia" w:ascii="黑体" w:hAnsi="黑体" w:eastAsia="黑体"/>
          <w:b/>
          <w:color w:val="000000"/>
          <w:sz w:val="24"/>
          <w:szCs w:val="24"/>
        </w:rPr>
        <w:t>表1</w:t>
      </w:r>
    </w:p>
    <w:tbl>
      <w:tblPr>
        <w:tblStyle w:val="4"/>
        <w:tblW w:w="93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66"/>
        <w:gridCol w:w="535"/>
        <w:gridCol w:w="599"/>
        <w:gridCol w:w="425"/>
        <w:gridCol w:w="567"/>
        <w:gridCol w:w="567"/>
        <w:gridCol w:w="567"/>
        <w:gridCol w:w="567"/>
        <w:gridCol w:w="567"/>
        <w:gridCol w:w="567"/>
        <w:gridCol w:w="595"/>
        <w:gridCol w:w="595"/>
        <w:gridCol w:w="596"/>
        <w:gridCol w:w="595"/>
        <w:gridCol w:w="596"/>
        <w:gridCol w:w="5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c>
          <w:tcPr>
            <w:tcW w:w="866" w:type="dxa"/>
            <w:vMerge w:val="restart"/>
            <w:vAlign w:val="center"/>
          </w:tcPr>
          <w:p>
            <w:pPr>
              <w:pStyle w:val="11"/>
              <w:widowControl w:val="0"/>
              <w:spacing w:line="400" w:lineRule="exact"/>
              <w:ind w:firstLine="0" w:firstLineChars="0"/>
              <w:jc w:val="center"/>
              <w:rPr>
                <w:rFonts w:ascii="Times New Roman" w:hAnsi="宋体"/>
                <w:color w:val="000000"/>
                <w:sz w:val="18"/>
                <w:szCs w:val="18"/>
              </w:rPr>
            </w:pPr>
            <w:r>
              <w:rPr>
                <w:rFonts w:ascii="Times New Roman" w:hAnsi="宋体"/>
                <w:color w:val="000000"/>
                <w:sz w:val="18"/>
                <w:szCs w:val="18"/>
              </w:rPr>
              <w:t>产品</w:t>
            </w:r>
          </w:p>
          <w:p>
            <w:pPr>
              <w:pStyle w:val="11"/>
              <w:widowControl w:val="0"/>
              <w:spacing w:line="400" w:lineRule="exact"/>
              <w:ind w:firstLine="0" w:firstLineChars="0"/>
              <w:jc w:val="center"/>
              <w:rPr>
                <w:rFonts w:ascii="Times New Roman"/>
                <w:color w:val="000000"/>
                <w:sz w:val="18"/>
                <w:szCs w:val="18"/>
              </w:rPr>
            </w:pPr>
            <w:r>
              <w:rPr>
                <w:rFonts w:ascii="Times New Roman" w:hAnsi="宋体"/>
                <w:color w:val="000000"/>
                <w:sz w:val="18"/>
                <w:szCs w:val="18"/>
              </w:rPr>
              <w:t>牌号</w:t>
            </w:r>
          </w:p>
        </w:tc>
        <w:tc>
          <w:tcPr>
            <w:tcW w:w="8494" w:type="dxa"/>
            <w:gridSpan w:val="15"/>
            <w:vAlign w:val="center"/>
          </w:tcPr>
          <w:p>
            <w:pPr>
              <w:pStyle w:val="11"/>
              <w:widowControl w:val="0"/>
              <w:spacing w:line="400" w:lineRule="exact"/>
              <w:ind w:firstLine="0" w:firstLineChars="0"/>
              <w:jc w:val="center"/>
              <w:rPr>
                <w:rFonts w:ascii="Times New Roman"/>
                <w:color w:val="000000"/>
                <w:sz w:val="18"/>
                <w:szCs w:val="18"/>
              </w:rPr>
            </w:pPr>
            <w:r>
              <w:rPr>
                <w:rFonts w:ascii="Times New Roman" w:hAnsi="宋体"/>
                <w:color w:val="000000"/>
                <w:sz w:val="18"/>
                <w:szCs w:val="18"/>
              </w:rPr>
              <w:t>化学成分（质量分数）</w:t>
            </w:r>
            <w:r>
              <w:rPr>
                <w:rFonts w:ascii="Times New Roman"/>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59" w:hRule="atLeast"/>
        </w:trPr>
        <w:tc>
          <w:tcPr>
            <w:tcW w:w="866" w:type="dxa"/>
            <w:vMerge w:val="continue"/>
            <w:vAlign w:val="center"/>
          </w:tcPr>
          <w:p>
            <w:pPr>
              <w:pStyle w:val="11"/>
              <w:widowControl w:val="0"/>
              <w:spacing w:line="400" w:lineRule="exact"/>
              <w:ind w:firstLine="0" w:firstLineChars="0"/>
              <w:jc w:val="center"/>
              <w:rPr>
                <w:rFonts w:ascii="Times New Roman"/>
                <w:color w:val="000000"/>
                <w:sz w:val="18"/>
                <w:szCs w:val="18"/>
              </w:rPr>
            </w:pPr>
          </w:p>
        </w:tc>
        <w:tc>
          <w:tcPr>
            <w:tcW w:w="535" w:type="dxa"/>
            <w:vMerge w:val="restart"/>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REO</w:t>
            </w:r>
          </w:p>
        </w:tc>
        <w:tc>
          <w:tcPr>
            <w:tcW w:w="599" w:type="dxa"/>
            <w:vMerge w:val="restart"/>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CeO</w:t>
            </w:r>
            <w:r>
              <w:rPr>
                <w:rFonts w:ascii="Times New Roman"/>
                <w:color w:val="000000"/>
                <w:sz w:val="18"/>
                <w:szCs w:val="18"/>
                <w:vertAlign w:val="subscript"/>
              </w:rPr>
              <w:t>2</w:t>
            </w:r>
            <w:r>
              <w:rPr>
                <w:rFonts w:ascii="Times New Roman"/>
                <w:color w:val="000000"/>
                <w:sz w:val="18"/>
                <w:szCs w:val="18"/>
              </w:rPr>
              <w:t>/</w:t>
            </w:r>
          </w:p>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REO</w:t>
            </w:r>
          </w:p>
          <w:p>
            <w:pPr>
              <w:pStyle w:val="11"/>
              <w:widowControl w:val="0"/>
              <w:spacing w:line="400" w:lineRule="exact"/>
              <w:ind w:firstLine="0" w:firstLineChars="0"/>
              <w:jc w:val="center"/>
              <w:rPr>
                <w:rFonts w:ascii="Times New Roman"/>
                <w:color w:val="000000"/>
                <w:sz w:val="18"/>
                <w:szCs w:val="18"/>
              </w:rPr>
            </w:pPr>
            <w:r>
              <w:rPr>
                <w:rFonts w:ascii="Times New Roman" w:hAnsi="宋体"/>
                <w:color w:val="000000"/>
                <w:sz w:val="18"/>
                <w:szCs w:val="18"/>
              </w:rPr>
              <w:t>不小于</w:t>
            </w:r>
          </w:p>
        </w:tc>
        <w:tc>
          <w:tcPr>
            <w:tcW w:w="425" w:type="dxa"/>
            <w:vMerge w:val="restart"/>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F</w:t>
            </w:r>
          </w:p>
        </w:tc>
        <w:tc>
          <w:tcPr>
            <w:tcW w:w="6935" w:type="dxa"/>
            <w:gridSpan w:val="12"/>
            <w:vAlign w:val="center"/>
          </w:tcPr>
          <w:p>
            <w:pPr>
              <w:pStyle w:val="11"/>
              <w:widowControl w:val="0"/>
              <w:spacing w:line="400" w:lineRule="exact"/>
              <w:ind w:firstLine="0" w:firstLineChars="0"/>
              <w:jc w:val="center"/>
              <w:rPr>
                <w:rFonts w:ascii="Times New Roman"/>
                <w:color w:val="000000"/>
                <w:sz w:val="18"/>
                <w:szCs w:val="18"/>
              </w:rPr>
            </w:pPr>
            <w:r>
              <w:rPr>
                <w:rFonts w:ascii="Times New Roman" w:hAnsi="宋体"/>
                <w:color w:val="000000"/>
                <w:sz w:val="18"/>
                <w:szCs w:val="18"/>
              </w:rPr>
              <w:t>杂质含量，不大于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5" w:hRule="atLeast"/>
        </w:trPr>
        <w:tc>
          <w:tcPr>
            <w:tcW w:w="866" w:type="dxa"/>
            <w:vMerge w:val="continue"/>
            <w:vAlign w:val="center"/>
          </w:tcPr>
          <w:p>
            <w:pPr>
              <w:pStyle w:val="11"/>
              <w:widowControl w:val="0"/>
              <w:spacing w:line="400" w:lineRule="exact"/>
              <w:ind w:firstLine="0" w:firstLineChars="0"/>
              <w:jc w:val="center"/>
              <w:rPr>
                <w:rFonts w:ascii="Times New Roman"/>
                <w:color w:val="000000"/>
                <w:sz w:val="18"/>
                <w:szCs w:val="18"/>
              </w:rPr>
            </w:pPr>
          </w:p>
        </w:tc>
        <w:tc>
          <w:tcPr>
            <w:tcW w:w="535" w:type="dxa"/>
            <w:vMerge w:val="continue"/>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p>
        </w:tc>
        <w:tc>
          <w:tcPr>
            <w:tcW w:w="599" w:type="dxa"/>
            <w:vMerge w:val="continue"/>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p>
        </w:tc>
        <w:tc>
          <w:tcPr>
            <w:tcW w:w="425" w:type="dxa"/>
            <w:vMerge w:val="continue"/>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p>
        </w:tc>
        <w:tc>
          <w:tcPr>
            <w:tcW w:w="3402" w:type="dxa"/>
            <w:gridSpan w:val="6"/>
            <w:vAlign w:val="center"/>
          </w:tcPr>
          <w:p>
            <w:pPr>
              <w:pStyle w:val="11"/>
              <w:widowControl w:val="0"/>
              <w:spacing w:line="400" w:lineRule="exact"/>
              <w:ind w:firstLine="0" w:firstLineChars="0"/>
              <w:jc w:val="center"/>
              <w:rPr>
                <w:rFonts w:ascii="Times New Roman"/>
                <w:color w:val="000000"/>
                <w:sz w:val="18"/>
                <w:szCs w:val="18"/>
              </w:rPr>
            </w:pPr>
            <w:r>
              <w:rPr>
                <w:rFonts w:ascii="Times New Roman" w:hAnsi="宋体"/>
                <w:color w:val="000000"/>
                <w:sz w:val="18"/>
                <w:szCs w:val="18"/>
              </w:rPr>
              <w:t>稀土杂质</w:t>
            </w:r>
          </w:p>
        </w:tc>
        <w:tc>
          <w:tcPr>
            <w:tcW w:w="2977" w:type="dxa"/>
            <w:gridSpan w:val="5"/>
            <w:vAlign w:val="center"/>
          </w:tcPr>
          <w:p>
            <w:pPr>
              <w:pStyle w:val="11"/>
              <w:widowControl w:val="0"/>
              <w:spacing w:line="400" w:lineRule="exact"/>
              <w:ind w:firstLine="0" w:firstLineChars="0"/>
              <w:jc w:val="center"/>
              <w:rPr>
                <w:rFonts w:ascii="Times New Roman"/>
                <w:color w:val="000000"/>
                <w:sz w:val="18"/>
                <w:szCs w:val="18"/>
              </w:rPr>
            </w:pPr>
            <w:r>
              <w:rPr>
                <w:rFonts w:ascii="Times New Roman" w:hAnsi="宋体"/>
                <w:color w:val="000000"/>
                <w:sz w:val="18"/>
                <w:szCs w:val="18"/>
              </w:rPr>
              <w:t>非稀土杂质</w:t>
            </w:r>
          </w:p>
        </w:tc>
        <w:tc>
          <w:tcPr>
            <w:tcW w:w="556" w:type="dxa"/>
            <w:vMerge w:val="restart"/>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H</w:t>
            </w:r>
            <w:r>
              <w:rPr>
                <w:rFonts w:ascii="Times New Roman"/>
                <w:color w:val="000000"/>
                <w:sz w:val="18"/>
                <w:szCs w:val="18"/>
                <w:vertAlign w:val="subscript"/>
              </w:rPr>
              <w:t>2</w:t>
            </w:r>
            <w:r>
              <w:rPr>
                <w:rFonts w:ascii="Times New Roman"/>
                <w:color w:val="000000"/>
                <w:sz w:val="18"/>
                <w:szCs w:val="18"/>
              </w:rPr>
              <w:t>O</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35" w:hRule="atLeast"/>
        </w:trPr>
        <w:tc>
          <w:tcPr>
            <w:tcW w:w="866" w:type="dxa"/>
            <w:vMerge w:val="continue"/>
            <w:tcBorders>
              <w:bottom w:val="single" w:color="auto" w:sz="12" w:space="0"/>
            </w:tcBorders>
            <w:vAlign w:val="center"/>
          </w:tcPr>
          <w:p>
            <w:pPr>
              <w:pStyle w:val="11"/>
              <w:widowControl w:val="0"/>
              <w:spacing w:line="400" w:lineRule="exact"/>
              <w:ind w:firstLine="0" w:firstLineChars="0"/>
              <w:jc w:val="center"/>
              <w:rPr>
                <w:rFonts w:ascii="Times New Roman"/>
                <w:color w:val="000000"/>
                <w:sz w:val="18"/>
                <w:szCs w:val="18"/>
              </w:rPr>
            </w:pPr>
          </w:p>
        </w:tc>
        <w:tc>
          <w:tcPr>
            <w:tcW w:w="535" w:type="dxa"/>
            <w:vMerge w:val="continue"/>
            <w:tcBorders>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p>
        </w:tc>
        <w:tc>
          <w:tcPr>
            <w:tcW w:w="599" w:type="dxa"/>
            <w:vMerge w:val="continue"/>
            <w:tcBorders>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p>
        </w:tc>
        <w:tc>
          <w:tcPr>
            <w:tcW w:w="425" w:type="dxa"/>
            <w:vMerge w:val="continue"/>
            <w:tcBorders>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p>
        </w:tc>
        <w:tc>
          <w:tcPr>
            <w:tcW w:w="567" w:type="dxa"/>
            <w:tcBorders>
              <w:bottom w:val="single" w:color="auto" w:sz="12"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La</w:t>
            </w:r>
            <w:r>
              <w:rPr>
                <w:rFonts w:hint="eastAsia" w:ascii="Times New Roman"/>
                <w:color w:val="000000"/>
                <w:sz w:val="18"/>
                <w:szCs w:val="18"/>
                <w:vertAlign w:val="subscript"/>
              </w:rPr>
              <w:t>2</w:t>
            </w:r>
            <w:r>
              <w:rPr>
                <w:rFonts w:hint="eastAsia" w:ascii="Times New Roman"/>
                <w:color w:val="000000"/>
                <w:sz w:val="18"/>
                <w:szCs w:val="18"/>
              </w:rPr>
              <w:t>O</w:t>
            </w:r>
            <w:r>
              <w:rPr>
                <w:rFonts w:hint="eastAsia" w:ascii="Times New Roman"/>
                <w:color w:val="000000"/>
                <w:sz w:val="18"/>
                <w:szCs w:val="18"/>
                <w:vertAlign w:val="subscript"/>
              </w:rPr>
              <w:t>3</w:t>
            </w:r>
          </w:p>
        </w:tc>
        <w:tc>
          <w:tcPr>
            <w:tcW w:w="567" w:type="dxa"/>
            <w:tcBorders>
              <w:bottom w:val="single" w:color="auto" w:sz="12"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Pr</w:t>
            </w:r>
            <w:r>
              <w:rPr>
                <w:rFonts w:hint="eastAsia" w:ascii="Times New Roman"/>
                <w:color w:val="000000"/>
                <w:sz w:val="18"/>
                <w:szCs w:val="18"/>
                <w:vertAlign w:val="subscript"/>
              </w:rPr>
              <w:t>6</w:t>
            </w:r>
            <w:r>
              <w:rPr>
                <w:rFonts w:hint="eastAsia" w:ascii="Times New Roman"/>
                <w:color w:val="000000"/>
                <w:sz w:val="18"/>
                <w:szCs w:val="18"/>
              </w:rPr>
              <w:t>O</w:t>
            </w:r>
            <w:r>
              <w:rPr>
                <w:rFonts w:hint="eastAsia" w:ascii="Times New Roman"/>
                <w:color w:val="000000"/>
                <w:sz w:val="18"/>
                <w:szCs w:val="18"/>
                <w:vertAlign w:val="subscript"/>
              </w:rPr>
              <w:t>11</w:t>
            </w:r>
          </w:p>
        </w:tc>
        <w:tc>
          <w:tcPr>
            <w:tcW w:w="567" w:type="dxa"/>
            <w:tcBorders>
              <w:bottom w:val="single" w:color="auto" w:sz="12"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Nd</w:t>
            </w:r>
            <w:r>
              <w:rPr>
                <w:rFonts w:hint="eastAsia" w:ascii="Times New Roman"/>
                <w:color w:val="000000"/>
                <w:sz w:val="18"/>
                <w:szCs w:val="18"/>
                <w:vertAlign w:val="subscript"/>
              </w:rPr>
              <w:t>2</w:t>
            </w:r>
            <w:r>
              <w:rPr>
                <w:rFonts w:hint="eastAsia" w:ascii="Times New Roman"/>
                <w:color w:val="000000"/>
                <w:sz w:val="18"/>
                <w:szCs w:val="18"/>
              </w:rPr>
              <w:t>O</w:t>
            </w:r>
            <w:r>
              <w:rPr>
                <w:rFonts w:hint="eastAsia" w:ascii="Times New Roman"/>
                <w:color w:val="000000"/>
                <w:sz w:val="18"/>
                <w:szCs w:val="18"/>
                <w:vertAlign w:val="subscript"/>
              </w:rPr>
              <w:t>3</w:t>
            </w:r>
          </w:p>
        </w:tc>
        <w:tc>
          <w:tcPr>
            <w:tcW w:w="567" w:type="dxa"/>
            <w:tcBorders>
              <w:bottom w:val="single" w:color="auto" w:sz="12"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Sm</w:t>
            </w:r>
            <w:r>
              <w:rPr>
                <w:rFonts w:hint="eastAsia" w:ascii="Times New Roman"/>
                <w:color w:val="000000"/>
                <w:sz w:val="18"/>
                <w:szCs w:val="18"/>
                <w:vertAlign w:val="subscript"/>
              </w:rPr>
              <w:t>2</w:t>
            </w:r>
            <w:r>
              <w:rPr>
                <w:rFonts w:hint="eastAsia" w:ascii="Times New Roman"/>
                <w:color w:val="000000"/>
                <w:sz w:val="18"/>
                <w:szCs w:val="18"/>
              </w:rPr>
              <w:t>O</w:t>
            </w:r>
            <w:r>
              <w:rPr>
                <w:rFonts w:hint="eastAsia" w:ascii="Times New Roman"/>
                <w:color w:val="000000"/>
                <w:sz w:val="18"/>
                <w:szCs w:val="18"/>
                <w:vertAlign w:val="subscript"/>
              </w:rPr>
              <w:t>3</w:t>
            </w:r>
          </w:p>
        </w:tc>
        <w:tc>
          <w:tcPr>
            <w:tcW w:w="567" w:type="dxa"/>
            <w:tcBorders>
              <w:bottom w:val="single" w:color="auto" w:sz="12"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Y</w:t>
            </w:r>
            <w:r>
              <w:rPr>
                <w:rFonts w:hint="eastAsia" w:ascii="Times New Roman"/>
                <w:color w:val="000000"/>
                <w:sz w:val="18"/>
                <w:szCs w:val="18"/>
                <w:vertAlign w:val="subscript"/>
              </w:rPr>
              <w:t>2</w:t>
            </w:r>
            <w:r>
              <w:rPr>
                <w:rFonts w:hint="eastAsia" w:ascii="Times New Roman"/>
                <w:color w:val="000000"/>
                <w:sz w:val="18"/>
                <w:szCs w:val="18"/>
              </w:rPr>
              <w:t>O</w:t>
            </w:r>
            <w:r>
              <w:rPr>
                <w:rFonts w:hint="eastAsia" w:ascii="Times New Roman"/>
                <w:color w:val="000000"/>
                <w:sz w:val="18"/>
                <w:szCs w:val="18"/>
                <w:vertAlign w:val="subscript"/>
              </w:rPr>
              <w:t>3</w:t>
            </w:r>
          </w:p>
        </w:tc>
        <w:tc>
          <w:tcPr>
            <w:tcW w:w="567" w:type="dxa"/>
            <w:tcBorders>
              <w:bottom w:val="single" w:color="auto" w:sz="12" w:space="0"/>
            </w:tcBorders>
            <w:tcMar>
              <w:left w:w="57" w:type="dxa"/>
              <w:right w:w="57"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其它稀土合量</w:t>
            </w:r>
          </w:p>
        </w:tc>
        <w:tc>
          <w:tcPr>
            <w:tcW w:w="595" w:type="dxa"/>
            <w:tcBorders>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Fe</w:t>
            </w:r>
            <w:r>
              <w:rPr>
                <w:rFonts w:ascii="Times New Roman"/>
                <w:color w:val="000000"/>
                <w:sz w:val="18"/>
                <w:szCs w:val="18"/>
                <w:vertAlign w:val="subscript"/>
              </w:rPr>
              <w:t>2</w:t>
            </w:r>
            <w:r>
              <w:rPr>
                <w:rFonts w:ascii="Times New Roman"/>
                <w:color w:val="000000"/>
                <w:sz w:val="18"/>
                <w:szCs w:val="18"/>
              </w:rPr>
              <w:t>O</w:t>
            </w:r>
            <w:r>
              <w:rPr>
                <w:rFonts w:ascii="Times New Roman"/>
                <w:color w:val="000000"/>
                <w:sz w:val="18"/>
                <w:szCs w:val="18"/>
                <w:vertAlign w:val="subscript"/>
              </w:rPr>
              <w:t>3</w:t>
            </w:r>
          </w:p>
        </w:tc>
        <w:tc>
          <w:tcPr>
            <w:tcW w:w="595" w:type="dxa"/>
            <w:tcBorders>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SiO</w:t>
            </w:r>
            <w:r>
              <w:rPr>
                <w:rFonts w:ascii="Times New Roman"/>
                <w:color w:val="000000"/>
                <w:sz w:val="18"/>
                <w:szCs w:val="18"/>
                <w:vertAlign w:val="subscript"/>
              </w:rPr>
              <w:t>2</w:t>
            </w:r>
          </w:p>
        </w:tc>
        <w:tc>
          <w:tcPr>
            <w:tcW w:w="596" w:type="dxa"/>
            <w:tcBorders>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CaO</w:t>
            </w:r>
          </w:p>
        </w:tc>
        <w:tc>
          <w:tcPr>
            <w:tcW w:w="595" w:type="dxa"/>
            <w:tcBorders>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Al</w:t>
            </w:r>
            <w:r>
              <w:rPr>
                <w:rFonts w:ascii="Times New Roman"/>
                <w:color w:val="000000"/>
                <w:sz w:val="18"/>
                <w:szCs w:val="18"/>
                <w:vertAlign w:val="subscript"/>
              </w:rPr>
              <w:t>2</w:t>
            </w:r>
            <w:r>
              <w:rPr>
                <w:rFonts w:ascii="Times New Roman"/>
                <w:color w:val="000000"/>
                <w:sz w:val="18"/>
                <w:szCs w:val="18"/>
              </w:rPr>
              <w:t>O</w:t>
            </w:r>
            <w:r>
              <w:rPr>
                <w:rFonts w:ascii="Times New Roman"/>
                <w:color w:val="000000"/>
                <w:sz w:val="18"/>
                <w:szCs w:val="18"/>
                <w:vertAlign w:val="subscript"/>
              </w:rPr>
              <w:t>3</w:t>
            </w:r>
          </w:p>
        </w:tc>
        <w:tc>
          <w:tcPr>
            <w:tcW w:w="596" w:type="dxa"/>
            <w:tcBorders>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NiO</w:t>
            </w:r>
          </w:p>
        </w:tc>
        <w:tc>
          <w:tcPr>
            <w:tcW w:w="556" w:type="dxa"/>
            <w:vMerge w:val="continue"/>
            <w:tcBorders>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c>
          <w:tcPr>
            <w:tcW w:w="866" w:type="dxa"/>
            <w:tcBorders>
              <w:top w:val="single" w:color="auto" w:sz="12"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CeF</w:t>
            </w:r>
            <w:r>
              <w:rPr>
                <w:rFonts w:ascii="Times New Roman"/>
                <w:color w:val="000000"/>
                <w:sz w:val="18"/>
                <w:szCs w:val="18"/>
                <w:vertAlign w:val="subscript"/>
              </w:rPr>
              <w:t>3</w:t>
            </w:r>
            <w:r>
              <w:rPr>
                <w:rFonts w:ascii="Times New Roman"/>
                <w:color w:val="000000"/>
                <w:sz w:val="18"/>
                <w:szCs w:val="18"/>
              </w:rPr>
              <w:t>-4N</w:t>
            </w:r>
          </w:p>
        </w:tc>
        <w:tc>
          <w:tcPr>
            <w:tcW w:w="535" w:type="dxa"/>
            <w:tcBorders>
              <w:top w:val="single" w:color="auto" w:sz="12"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86±1</w:t>
            </w:r>
          </w:p>
        </w:tc>
        <w:tc>
          <w:tcPr>
            <w:tcW w:w="599" w:type="dxa"/>
            <w:tcBorders>
              <w:top w:val="single" w:color="auto" w:sz="12"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99.99</w:t>
            </w:r>
          </w:p>
        </w:tc>
        <w:tc>
          <w:tcPr>
            <w:tcW w:w="425" w:type="dxa"/>
            <w:tcBorders>
              <w:top w:val="single" w:color="auto" w:sz="12"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28±1</w:t>
            </w:r>
          </w:p>
        </w:tc>
        <w:tc>
          <w:tcPr>
            <w:tcW w:w="567" w:type="dxa"/>
            <w:tcBorders>
              <w:top w:val="single" w:color="auto" w:sz="12"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0.002</w:t>
            </w:r>
          </w:p>
        </w:tc>
        <w:tc>
          <w:tcPr>
            <w:tcW w:w="567" w:type="dxa"/>
            <w:tcBorders>
              <w:top w:val="single" w:color="auto" w:sz="12"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0.002</w:t>
            </w:r>
          </w:p>
        </w:tc>
        <w:tc>
          <w:tcPr>
            <w:tcW w:w="567" w:type="dxa"/>
            <w:tcBorders>
              <w:top w:val="single" w:color="auto" w:sz="12"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0.001</w:t>
            </w:r>
          </w:p>
        </w:tc>
        <w:tc>
          <w:tcPr>
            <w:tcW w:w="567" w:type="dxa"/>
            <w:tcBorders>
              <w:top w:val="single" w:color="auto" w:sz="12"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0.001</w:t>
            </w:r>
          </w:p>
        </w:tc>
        <w:tc>
          <w:tcPr>
            <w:tcW w:w="567" w:type="dxa"/>
            <w:tcBorders>
              <w:top w:val="single" w:color="auto" w:sz="12"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w:t>
            </w:r>
            <w:r>
              <w:rPr>
                <w:rFonts w:hint="eastAsia" w:ascii="Times New Roman"/>
                <w:color w:val="000000"/>
                <w:sz w:val="18"/>
                <w:szCs w:val="18"/>
              </w:rPr>
              <w:t>0</w:t>
            </w:r>
            <w:r>
              <w:rPr>
                <w:rFonts w:ascii="Times New Roman"/>
                <w:color w:val="000000"/>
                <w:sz w:val="18"/>
                <w:szCs w:val="18"/>
              </w:rPr>
              <w:t>0</w:t>
            </w:r>
            <w:r>
              <w:rPr>
                <w:rFonts w:hint="eastAsia" w:ascii="Times New Roman"/>
                <w:color w:val="000000"/>
                <w:sz w:val="18"/>
                <w:szCs w:val="18"/>
              </w:rPr>
              <w:t>2</w:t>
            </w:r>
          </w:p>
        </w:tc>
        <w:tc>
          <w:tcPr>
            <w:tcW w:w="567" w:type="dxa"/>
            <w:tcBorders>
              <w:top w:val="single" w:color="auto" w:sz="12"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0.002</w:t>
            </w:r>
          </w:p>
        </w:tc>
        <w:tc>
          <w:tcPr>
            <w:tcW w:w="595" w:type="dxa"/>
            <w:tcBorders>
              <w:top w:val="single" w:color="auto" w:sz="12"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0.001</w:t>
            </w:r>
          </w:p>
        </w:tc>
        <w:tc>
          <w:tcPr>
            <w:tcW w:w="595" w:type="dxa"/>
            <w:tcBorders>
              <w:top w:val="single" w:color="auto" w:sz="12"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0.02</w:t>
            </w:r>
          </w:p>
        </w:tc>
        <w:tc>
          <w:tcPr>
            <w:tcW w:w="596" w:type="dxa"/>
            <w:tcBorders>
              <w:top w:val="single" w:color="auto" w:sz="12"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0.005</w:t>
            </w:r>
          </w:p>
        </w:tc>
        <w:tc>
          <w:tcPr>
            <w:tcW w:w="595" w:type="dxa"/>
            <w:tcBorders>
              <w:top w:val="single" w:color="auto" w:sz="12"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0.01</w:t>
            </w:r>
          </w:p>
        </w:tc>
        <w:tc>
          <w:tcPr>
            <w:tcW w:w="596" w:type="dxa"/>
            <w:tcBorders>
              <w:top w:val="single" w:color="auto" w:sz="12"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0.01</w:t>
            </w:r>
          </w:p>
        </w:tc>
        <w:tc>
          <w:tcPr>
            <w:tcW w:w="556" w:type="dxa"/>
            <w:tcBorders>
              <w:top w:val="single" w:color="auto" w:sz="12"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c>
          <w:tcPr>
            <w:tcW w:w="866" w:type="dxa"/>
            <w:tcBorders>
              <w:top w:val="single" w:color="auto" w:sz="6"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CeF</w:t>
            </w:r>
            <w:r>
              <w:rPr>
                <w:rFonts w:ascii="Times New Roman"/>
                <w:color w:val="000000"/>
                <w:sz w:val="18"/>
                <w:szCs w:val="18"/>
                <w:vertAlign w:val="subscript"/>
              </w:rPr>
              <w:t>3</w:t>
            </w:r>
            <w:r>
              <w:rPr>
                <w:rFonts w:ascii="Times New Roman"/>
                <w:color w:val="000000"/>
                <w:sz w:val="18"/>
                <w:szCs w:val="18"/>
              </w:rPr>
              <w:t>-3N</w:t>
            </w:r>
          </w:p>
        </w:tc>
        <w:tc>
          <w:tcPr>
            <w:tcW w:w="535"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86±1</w:t>
            </w:r>
          </w:p>
        </w:tc>
        <w:tc>
          <w:tcPr>
            <w:tcW w:w="599"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99.9</w:t>
            </w:r>
          </w:p>
        </w:tc>
        <w:tc>
          <w:tcPr>
            <w:tcW w:w="425"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28±1</w:t>
            </w:r>
          </w:p>
        </w:tc>
        <w:tc>
          <w:tcPr>
            <w:tcW w:w="3402" w:type="dxa"/>
            <w:gridSpan w:val="6"/>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0.1</w:t>
            </w:r>
          </w:p>
        </w:tc>
        <w:tc>
          <w:tcPr>
            <w:tcW w:w="595"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0.02</w:t>
            </w:r>
          </w:p>
        </w:tc>
        <w:tc>
          <w:tcPr>
            <w:tcW w:w="595"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0.05</w:t>
            </w:r>
          </w:p>
        </w:tc>
        <w:tc>
          <w:tcPr>
            <w:tcW w:w="596"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0.03</w:t>
            </w:r>
          </w:p>
        </w:tc>
        <w:tc>
          <w:tcPr>
            <w:tcW w:w="595"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0.03</w:t>
            </w:r>
          </w:p>
        </w:tc>
        <w:tc>
          <w:tcPr>
            <w:tcW w:w="596"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0.05</w:t>
            </w:r>
          </w:p>
        </w:tc>
        <w:tc>
          <w:tcPr>
            <w:tcW w:w="556" w:type="dxa"/>
            <w:tcBorders>
              <w:top w:val="single" w:color="auto" w:sz="6"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c>
          <w:tcPr>
            <w:tcW w:w="866" w:type="dxa"/>
            <w:tcBorders>
              <w:top w:val="single" w:color="auto" w:sz="6"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CeF</w:t>
            </w:r>
            <w:r>
              <w:rPr>
                <w:rFonts w:ascii="Times New Roman"/>
                <w:color w:val="000000"/>
                <w:sz w:val="18"/>
                <w:szCs w:val="18"/>
                <w:vertAlign w:val="subscript"/>
              </w:rPr>
              <w:t>3</w:t>
            </w:r>
            <w:r>
              <w:rPr>
                <w:rFonts w:ascii="Times New Roman"/>
                <w:color w:val="000000"/>
                <w:sz w:val="18"/>
                <w:szCs w:val="18"/>
              </w:rPr>
              <w:t>-2N5</w:t>
            </w:r>
          </w:p>
        </w:tc>
        <w:tc>
          <w:tcPr>
            <w:tcW w:w="535"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86±1</w:t>
            </w:r>
          </w:p>
        </w:tc>
        <w:tc>
          <w:tcPr>
            <w:tcW w:w="599"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99.5</w:t>
            </w:r>
          </w:p>
        </w:tc>
        <w:tc>
          <w:tcPr>
            <w:tcW w:w="425"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28±1</w:t>
            </w:r>
          </w:p>
        </w:tc>
        <w:tc>
          <w:tcPr>
            <w:tcW w:w="3402" w:type="dxa"/>
            <w:gridSpan w:val="6"/>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0.5</w:t>
            </w:r>
          </w:p>
        </w:tc>
        <w:tc>
          <w:tcPr>
            <w:tcW w:w="595"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0.0</w:t>
            </w:r>
            <w:r>
              <w:rPr>
                <w:rFonts w:hint="eastAsia" w:ascii="Times New Roman"/>
                <w:color w:val="000000"/>
                <w:sz w:val="18"/>
                <w:szCs w:val="18"/>
              </w:rPr>
              <w:t>2</w:t>
            </w:r>
          </w:p>
        </w:tc>
        <w:tc>
          <w:tcPr>
            <w:tcW w:w="595"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0.0</w:t>
            </w:r>
            <w:r>
              <w:rPr>
                <w:rFonts w:hint="eastAsia" w:ascii="Times New Roman"/>
                <w:color w:val="000000"/>
                <w:sz w:val="18"/>
                <w:szCs w:val="18"/>
              </w:rPr>
              <w:t>5</w:t>
            </w:r>
          </w:p>
        </w:tc>
        <w:tc>
          <w:tcPr>
            <w:tcW w:w="596"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w:t>
            </w:r>
            <w:r>
              <w:rPr>
                <w:rFonts w:hint="eastAsia" w:ascii="Times New Roman"/>
                <w:color w:val="000000"/>
                <w:sz w:val="18"/>
                <w:szCs w:val="18"/>
              </w:rPr>
              <w:t>5</w:t>
            </w:r>
          </w:p>
        </w:tc>
        <w:tc>
          <w:tcPr>
            <w:tcW w:w="595"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0.0</w:t>
            </w:r>
            <w:r>
              <w:rPr>
                <w:rFonts w:hint="eastAsia" w:ascii="Times New Roman"/>
                <w:color w:val="000000"/>
                <w:sz w:val="18"/>
                <w:szCs w:val="18"/>
              </w:rPr>
              <w:t>3</w:t>
            </w:r>
          </w:p>
        </w:tc>
        <w:tc>
          <w:tcPr>
            <w:tcW w:w="596" w:type="dxa"/>
            <w:tcBorders>
              <w:top w:val="single" w:color="auto" w:sz="6" w:space="0"/>
              <w:bottom w:val="single" w:color="auto" w:sz="6"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0.05</w:t>
            </w:r>
          </w:p>
        </w:tc>
        <w:tc>
          <w:tcPr>
            <w:tcW w:w="556" w:type="dxa"/>
            <w:tcBorders>
              <w:top w:val="single" w:color="auto" w:sz="6" w:space="0"/>
              <w:bottom w:val="single" w:color="auto" w:sz="6"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c>
          <w:tcPr>
            <w:tcW w:w="866" w:type="dxa"/>
            <w:tcBorders>
              <w:top w:val="single" w:color="auto" w:sz="6" w:space="0"/>
              <w:bottom w:val="single" w:color="auto" w:sz="12"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CeF</w:t>
            </w:r>
            <w:r>
              <w:rPr>
                <w:rFonts w:ascii="Times New Roman"/>
                <w:color w:val="000000"/>
                <w:sz w:val="18"/>
                <w:szCs w:val="18"/>
                <w:vertAlign w:val="subscript"/>
              </w:rPr>
              <w:t>3</w:t>
            </w:r>
            <w:r>
              <w:rPr>
                <w:rFonts w:ascii="Times New Roman"/>
                <w:color w:val="000000"/>
                <w:sz w:val="18"/>
                <w:szCs w:val="18"/>
              </w:rPr>
              <w:t>-2N</w:t>
            </w:r>
          </w:p>
        </w:tc>
        <w:tc>
          <w:tcPr>
            <w:tcW w:w="535" w:type="dxa"/>
            <w:tcBorders>
              <w:top w:val="single" w:color="auto" w:sz="6" w:space="0"/>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86±1</w:t>
            </w:r>
          </w:p>
        </w:tc>
        <w:tc>
          <w:tcPr>
            <w:tcW w:w="599" w:type="dxa"/>
            <w:tcBorders>
              <w:top w:val="single" w:color="auto" w:sz="6" w:space="0"/>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99.0</w:t>
            </w:r>
          </w:p>
        </w:tc>
        <w:tc>
          <w:tcPr>
            <w:tcW w:w="425" w:type="dxa"/>
            <w:tcBorders>
              <w:top w:val="single" w:color="auto" w:sz="6" w:space="0"/>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28±1</w:t>
            </w:r>
          </w:p>
        </w:tc>
        <w:tc>
          <w:tcPr>
            <w:tcW w:w="3402" w:type="dxa"/>
            <w:gridSpan w:val="6"/>
            <w:tcBorders>
              <w:top w:val="single" w:color="auto" w:sz="6" w:space="0"/>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1.0</w:t>
            </w:r>
          </w:p>
        </w:tc>
        <w:tc>
          <w:tcPr>
            <w:tcW w:w="595" w:type="dxa"/>
            <w:tcBorders>
              <w:top w:val="single" w:color="auto" w:sz="6" w:space="0"/>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w:t>
            </w:r>
            <w:r>
              <w:rPr>
                <w:rFonts w:hint="eastAsia" w:ascii="Times New Roman"/>
                <w:color w:val="000000"/>
                <w:sz w:val="18"/>
                <w:szCs w:val="18"/>
              </w:rPr>
              <w:t>04</w:t>
            </w:r>
          </w:p>
        </w:tc>
        <w:tc>
          <w:tcPr>
            <w:tcW w:w="595" w:type="dxa"/>
            <w:tcBorders>
              <w:top w:val="single" w:color="auto" w:sz="6" w:space="0"/>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w:t>
            </w:r>
            <w:r>
              <w:rPr>
                <w:rFonts w:hint="eastAsia" w:ascii="Times New Roman"/>
                <w:color w:val="000000"/>
                <w:sz w:val="18"/>
                <w:szCs w:val="18"/>
              </w:rPr>
              <w:t>05</w:t>
            </w:r>
          </w:p>
        </w:tc>
        <w:tc>
          <w:tcPr>
            <w:tcW w:w="596" w:type="dxa"/>
            <w:tcBorders>
              <w:top w:val="single" w:color="auto" w:sz="6" w:space="0"/>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w:t>
            </w:r>
            <w:r>
              <w:rPr>
                <w:rFonts w:hint="eastAsia" w:ascii="Times New Roman"/>
                <w:color w:val="000000"/>
                <w:sz w:val="18"/>
                <w:szCs w:val="18"/>
              </w:rPr>
              <w:t>5</w:t>
            </w:r>
          </w:p>
        </w:tc>
        <w:tc>
          <w:tcPr>
            <w:tcW w:w="595" w:type="dxa"/>
            <w:tcBorders>
              <w:top w:val="single" w:color="auto" w:sz="6" w:space="0"/>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w:t>
            </w:r>
            <w:r>
              <w:rPr>
                <w:rFonts w:hint="eastAsia" w:ascii="Times New Roman"/>
                <w:color w:val="000000"/>
                <w:sz w:val="18"/>
                <w:szCs w:val="18"/>
              </w:rPr>
              <w:t>03</w:t>
            </w:r>
          </w:p>
        </w:tc>
        <w:tc>
          <w:tcPr>
            <w:tcW w:w="596" w:type="dxa"/>
            <w:tcBorders>
              <w:top w:val="single" w:color="auto" w:sz="6" w:space="0"/>
              <w:bottom w:val="single" w:color="auto" w:sz="12" w:space="0"/>
            </w:tcBorders>
            <w:tcMar>
              <w:left w:w="28" w:type="dxa"/>
              <w:right w:w="28" w:type="dxa"/>
            </w:tcMar>
            <w:vAlign w:val="center"/>
          </w:tcPr>
          <w:p>
            <w:pPr>
              <w:pStyle w:val="11"/>
              <w:widowControl w:val="0"/>
              <w:spacing w:line="400" w:lineRule="exact"/>
              <w:ind w:firstLine="0" w:firstLineChars="0"/>
              <w:jc w:val="center"/>
              <w:rPr>
                <w:rFonts w:ascii="Times New Roman"/>
                <w:color w:val="000000"/>
                <w:sz w:val="18"/>
                <w:szCs w:val="18"/>
              </w:rPr>
            </w:pPr>
            <w:r>
              <w:rPr>
                <w:rFonts w:hint="eastAsia" w:ascii="Times New Roman"/>
                <w:color w:val="000000"/>
                <w:sz w:val="18"/>
                <w:szCs w:val="18"/>
              </w:rPr>
              <w:t>0.05</w:t>
            </w:r>
          </w:p>
        </w:tc>
        <w:tc>
          <w:tcPr>
            <w:tcW w:w="556" w:type="dxa"/>
            <w:tcBorders>
              <w:top w:val="single" w:color="auto" w:sz="6" w:space="0"/>
              <w:bottom w:val="single" w:color="auto" w:sz="12" w:space="0"/>
            </w:tcBorders>
            <w:tcMar>
              <w:left w:w="0" w:type="dxa"/>
              <w:right w:w="0" w:type="dxa"/>
            </w:tcMar>
            <w:vAlign w:val="center"/>
          </w:tcPr>
          <w:p>
            <w:pPr>
              <w:pStyle w:val="11"/>
              <w:widowControl w:val="0"/>
              <w:spacing w:line="400" w:lineRule="exact"/>
              <w:ind w:firstLine="0" w:firstLineChars="0"/>
              <w:jc w:val="center"/>
              <w:rPr>
                <w:rFonts w:ascii="Times New Roman"/>
                <w:color w:val="000000"/>
                <w:sz w:val="18"/>
                <w:szCs w:val="18"/>
              </w:rPr>
            </w:pPr>
            <w:r>
              <w:rPr>
                <w:rFonts w:ascii="Times New Roman"/>
                <w:color w:val="000000"/>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c>
          <w:tcPr>
            <w:tcW w:w="9360" w:type="dxa"/>
            <w:gridSpan w:val="16"/>
            <w:tcBorders>
              <w:top w:val="single" w:color="auto" w:sz="12" w:space="0"/>
            </w:tcBorders>
            <w:tcMar>
              <w:left w:w="0" w:type="dxa"/>
              <w:right w:w="0" w:type="dxa"/>
            </w:tcMar>
            <w:vAlign w:val="center"/>
          </w:tcPr>
          <w:p>
            <w:pPr>
              <w:pStyle w:val="11"/>
              <w:widowControl w:val="0"/>
              <w:spacing w:line="400" w:lineRule="exact"/>
              <w:ind w:firstLine="360"/>
              <w:jc w:val="left"/>
              <w:rPr>
                <w:rFonts w:ascii="Times New Roman"/>
                <w:color w:val="000000"/>
                <w:sz w:val="18"/>
                <w:szCs w:val="18"/>
              </w:rPr>
            </w:pPr>
            <w:r>
              <w:rPr>
                <w:rFonts w:hint="eastAsia" w:ascii="黑体" w:hAnsi="黑体" w:eastAsia="黑体"/>
                <w:color w:val="000000"/>
                <w:sz w:val="18"/>
                <w:szCs w:val="18"/>
              </w:rPr>
              <w:t>注</w:t>
            </w:r>
            <w:r>
              <w:rPr>
                <w:rFonts w:hint="eastAsia" w:ascii="Times New Roman"/>
                <w:color w:val="000000"/>
                <w:sz w:val="18"/>
                <w:szCs w:val="18"/>
              </w:rPr>
              <w:t>：其它稀土元素包括Eu、Gd、Tb、Dy、Ho、Er、Tm、Yb、Lu。</w:t>
            </w:r>
          </w:p>
        </w:tc>
      </w:tr>
    </w:tbl>
    <w:p>
      <w:pPr>
        <w:widowControl/>
        <w:adjustRightInd w:val="0"/>
        <w:snapToGrid w:val="0"/>
        <w:spacing w:beforeLines="50" w:line="360" w:lineRule="auto"/>
        <w:ind w:firstLine="480" w:firstLineChars="200"/>
        <w:jc w:val="left"/>
        <w:rPr>
          <w:rFonts w:ascii="黑体" w:hAnsi="黑体" w:eastAsia="黑体"/>
          <w:kern w:val="0"/>
          <w:sz w:val="24"/>
          <w:szCs w:val="24"/>
        </w:rPr>
      </w:pPr>
      <w:r>
        <w:rPr>
          <w:rFonts w:hint="eastAsia" w:ascii="黑体" w:hAnsi="黑体" w:eastAsia="黑体" w:cs="Times New Roman"/>
          <w:bCs/>
          <w:sz w:val="24"/>
          <w:szCs w:val="24"/>
        </w:rPr>
        <w:t>3.3.3</w:t>
      </w:r>
      <w:r>
        <w:rPr>
          <w:rFonts w:hint="eastAsia" w:ascii="黑体" w:hAnsi="黑体" w:eastAsia="黑体"/>
          <w:kern w:val="0"/>
          <w:sz w:val="24"/>
          <w:szCs w:val="24"/>
        </w:rPr>
        <w:t>产品牌号的确定</w:t>
      </w:r>
    </w:p>
    <w:p>
      <w:pPr>
        <w:widowControl/>
        <w:adjustRightInd w:val="0"/>
        <w:snapToGrid w:val="0"/>
        <w:spacing w:line="360" w:lineRule="auto"/>
        <w:ind w:firstLine="480" w:firstLineChars="200"/>
        <w:rPr>
          <w:sz w:val="24"/>
          <w:szCs w:val="24"/>
        </w:rPr>
      </w:pPr>
      <w:r>
        <w:rPr>
          <w:rFonts w:hint="eastAsia"/>
          <w:kern w:val="0"/>
          <w:sz w:val="24"/>
          <w:szCs w:val="24"/>
        </w:rPr>
        <w:t>氟化铈主要以氧化铈为原料制得，其中大部分用于</w:t>
      </w:r>
      <w:r>
        <w:rPr>
          <w:kern w:val="0"/>
          <w:sz w:val="24"/>
          <w:szCs w:val="24"/>
        </w:rPr>
        <w:t>生产金属铈、冶金</w:t>
      </w:r>
      <w:r>
        <w:rPr>
          <w:rFonts w:hint="eastAsia"/>
          <w:kern w:val="0"/>
          <w:sz w:val="24"/>
          <w:szCs w:val="24"/>
        </w:rPr>
        <w:t>及</w:t>
      </w:r>
      <w:r>
        <w:rPr>
          <w:kern w:val="0"/>
          <w:sz w:val="24"/>
          <w:szCs w:val="24"/>
        </w:rPr>
        <w:t>特种钢</w:t>
      </w:r>
      <w:r>
        <w:rPr>
          <w:rFonts w:hint="eastAsia"/>
          <w:kern w:val="0"/>
          <w:sz w:val="24"/>
          <w:szCs w:val="24"/>
        </w:rPr>
        <w:t>，在实际生产中其CeO</w:t>
      </w:r>
      <w:r>
        <w:rPr>
          <w:rFonts w:hint="eastAsia"/>
          <w:kern w:val="0"/>
          <w:sz w:val="24"/>
          <w:szCs w:val="24"/>
          <w:vertAlign w:val="subscript"/>
        </w:rPr>
        <w:t>2</w:t>
      </w:r>
      <w:r>
        <w:rPr>
          <w:rFonts w:hint="eastAsia"/>
          <w:kern w:val="0"/>
          <w:sz w:val="24"/>
          <w:szCs w:val="24"/>
        </w:rPr>
        <w:t>/REO的相对纯度在一般要求大于99%，部分氟化铈产品用于玻璃和晶体材料，其纯度要求大于99.99%。结合氧化铈的国标牌号，在此标准中，确定氟化铈按CeO</w:t>
      </w:r>
      <w:r>
        <w:rPr>
          <w:rFonts w:hint="eastAsia"/>
          <w:kern w:val="0"/>
          <w:sz w:val="24"/>
          <w:szCs w:val="24"/>
          <w:vertAlign w:val="subscript"/>
        </w:rPr>
        <w:t>2</w:t>
      </w:r>
      <w:r>
        <w:rPr>
          <w:rFonts w:hint="eastAsia"/>
          <w:kern w:val="0"/>
          <w:sz w:val="24"/>
          <w:szCs w:val="24"/>
        </w:rPr>
        <w:t>/REO的相对纯度分为</w:t>
      </w:r>
      <w:r>
        <w:rPr>
          <w:rFonts w:hint="eastAsia" w:hAnsi="宋体"/>
          <w:color w:val="000000"/>
          <w:sz w:val="24"/>
          <w:szCs w:val="24"/>
        </w:rPr>
        <w:t>四个牌号：</w:t>
      </w:r>
      <w:r>
        <w:rPr>
          <w:rFonts w:ascii="Times New Roman"/>
          <w:color w:val="000000"/>
          <w:sz w:val="24"/>
          <w:szCs w:val="24"/>
        </w:rPr>
        <w:t>CeF</w:t>
      </w:r>
      <w:r>
        <w:rPr>
          <w:rFonts w:ascii="Times New Roman"/>
          <w:color w:val="000000"/>
          <w:sz w:val="24"/>
          <w:szCs w:val="24"/>
          <w:vertAlign w:val="subscript"/>
        </w:rPr>
        <w:t>3</w:t>
      </w:r>
      <w:r>
        <w:rPr>
          <w:rFonts w:ascii="Times New Roman"/>
          <w:color w:val="000000"/>
          <w:sz w:val="24"/>
          <w:szCs w:val="24"/>
        </w:rPr>
        <w:t>-4N</w:t>
      </w:r>
      <w:r>
        <w:rPr>
          <w:rFonts w:ascii="Times New Roman" w:hAnsi="宋体"/>
          <w:color w:val="000000"/>
          <w:sz w:val="24"/>
          <w:szCs w:val="24"/>
        </w:rPr>
        <w:t>、</w:t>
      </w:r>
      <w:r>
        <w:rPr>
          <w:rFonts w:ascii="Times New Roman"/>
          <w:color w:val="000000"/>
          <w:sz w:val="24"/>
          <w:szCs w:val="24"/>
        </w:rPr>
        <w:t>CeF</w:t>
      </w:r>
      <w:r>
        <w:rPr>
          <w:rFonts w:ascii="Times New Roman"/>
          <w:color w:val="000000"/>
          <w:sz w:val="24"/>
          <w:szCs w:val="24"/>
          <w:vertAlign w:val="subscript"/>
        </w:rPr>
        <w:t>3</w:t>
      </w:r>
      <w:r>
        <w:rPr>
          <w:rFonts w:ascii="Times New Roman"/>
          <w:color w:val="000000"/>
          <w:sz w:val="24"/>
          <w:szCs w:val="24"/>
        </w:rPr>
        <w:t>-3N</w:t>
      </w:r>
      <w:r>
        <w:rPr>
          <w:rFonts w:ascii="Times New Roman" w:hAnsi="宋体"/>
          <w:color w:val="000000"/>
          <w:sz w:val="24"/>
          <w:szCs w:val="24"/>
        </w:rPr>
        <w:t>、</w:t>
      </w:r>
      <w:r>
        <w:rPr>
          <w:rFonts w:ascii="Times New Roman"/>
          <w:color w:val="000000"/>
          <w:sz w:val="24"/>
          <w:szCs w:val="24"/>
        </w:rPr>
        <w:t>CeF</w:t>
      </w:r>
      <w:r>
        <w:rPr>
          <w:rFonts w:ascii="Times New Roman"/>
          <w:color w:val="000000"/>
          <w:sz w:val="24"/>
          <w:szCs w:val="24"/>
          <w:vertAlign w:val="subscript"/>
        </w:rPr>
        <w:t>3</w:t>
      </w:r>
      <w:r>
        <w:rPr>
          <w:rFonts w:ascii="Times New Roman"/>
          <w:color w:val="000000"/>
          <w:sz w:val="24"/>
          <w:szCs w:val="24"/>
        </w:rPr>
        <w:t>-2N5</w:t>
      </w:r>
      <w:r>
        <w:rPr>
          <w:rFonts w:ascii="Times New Roman" w:hAnsi="宋体"/>
          <w:color w:val="000000"/>
          <w:sz w:val="24"/>
          <w:szCs w:val="24"/>
        </w:rPr>
        <w:t>、</w:t>
      </w:r>
      <w:r>
        <w:rPr>
          <w:rFonts w:ascii="Times New Roman"/>
          <w:color w:val="000000"/>
          <w:sz w:val="24"/>
          <w:szCs w:val="24"/>
        </w:rPr>
        <w:t>CeF</w:t>
      </w:r>
      <w:r>
        <w:rPr>
          <w:rFonts w:ascii="Times New Roman"/>
          <w:color w:val="000000"/>
          <w:sz w:val="24"/>
          <w:szCs w:val="24"/>
          <w:vertAlign w:val="subscript"/>
        </w:rPr>
        <w:t>3</w:t>
      </w:r>
      <w:r>
        <w:rPr>
          <w:rFonts w:ascii="Times New Roman"/>
          <w:color w:val="000000"/>
          <w:sz w:val="24"/>
          <w:szCs w:val="24"/>
        </w:rPr>
        <w:t>-2N</w:t>
      </w:r>
      <w:r>
        <w:rPr>
          <w:rFonts w:hint="eastAsia"/>
          <w:sz w:val="24"/>
          <w:szCs w:val="24"/>
        </w:rPr>
        <w:t>。</w:t>
      </w:r>
    </w:p>
    <w:p>
      <w:pPr>
        <w:widowControl/>
        <w:adjustRightInd w:val="0"/>
        <w:snapToGrid w:val="0"/>
        <w:spacing w:line="360" w:lineRule="auto"/>
        <w:ind w:firstLine="480" w:firstLineChars="200"/>
        <w:jc w:val="left"/>
        <w:rPr>
          <w:rFonts w:ascii="黑体" w:hAnsi="黑体" w:eastAsia="黑体"/>
          <w:sz w:val="24"/>
          <w:szCs w:val="24"/>
        </w:rPr>
      </w:pPr>
      <w:r>
        <w:rPr>
          <w:rFonts w:hint="eastAsia" w:ascii="黑体" w:hAnsi="黑体" w:eastAsia="黑体"/>
          <w:sz w:val="24"/>
          <w:szCs w:val="24"/>
        </w:rPr>
        <w:t>3.3.4 技术指标的确定</w:t>
      </w:r>
    </w:p>
    <w:p>
      <w:pPr>
        <w:widowControl/>
        <w:adjustRightInd w:val="0"/>
        <w:snapToGrid w:val="0"/>
        <w:spacing w:line="360" w:lineRule="auto"/>
        <w:ind w:firstLine="480" w:firstLineChars="200"/>
        <w:jc w:val="left"/>
        <w:rPr>
          <w:rFonts w:ascii="Times New Roman" w:hAnsi="Times New Roman" w:cs="Times New Roman"/>
          <w:bCs/>
          <w:sz w:val="24"/>
        </w:rPr>
      </w:pPr>
      <w:r>
        <w:rPr>
          <w:rFonts w:hint="eastAsia"/>
          <w:sz w:val="24"/>
          <w:szCs w:val="24"/>
        </w:rPr>
        <w:t>技术指标的确定综合考虑了氟化铈原料（氧化铈）标准指标、氟化铈生产的工艺、以及氟化铈使用时对金属铈质量的影响程度，汇总了氟化铈生产使用过程中，上下游企业的质量要求，最终确定标准技术指标。</w:t>
      </w:r>
    </w:p>
    <w:p>
      <w:pPr>
        <w:spacing w:beforeLines="50" w:afterLines="50" w:line="360" w:lineRule="auto"/>
        <w:ind w:firstLine="480" w:firstLineChars="200"/>
        <w:rPr>
          <w:rFonts w:ascii="黑体" w:hAnsi="黑体" w:eastAsia="黑体" w:cs="Times New Roman"/>
          <w:sz w:val="24"/>
          <w:szCs w:val="24"/>
        </w:rPr>
      </w:pPr>
      <w:r>
        <w:rPr>
          <w:rFonts w:hint="eastAsia" w:ascii="黑体" w:hAnsi="黑体" w:eastAsia="黑体" w:cs="宋体"/>
          <w:sz w:val="24"/>
          <w:szCs w:val="24"/>
        </w:rPr>
        <w:t>4  标准水平分析</w:t>
      </w:r>
    </w:p>
    <w:p>
      <w:pPr>
        <w:adjustRightInd w:val="0"/>
        <w:snapToGrid w:val="0"/>
        <w:spacing w:line="360" w:lineRule="auto"/>
        <w:ind w:firstLine="470" w:firstLineChars="196"/>
        <w:rPr>
          <w:rFonts w:cs="Times New Roman"/>
          <w:sz w:val="24"/>
          <w:szCs w:val="24"/>
        </w:rPr>
      </w:pPr>
      <w:r>
        <w:rPr>
          <w:rFonts w:hint="eastAsia" w:ascii="宋体" w:hAnsi="宋体"/>
          <w:sz w:val="24"/>
        </w:rPr>
        <w:t>《氟化铈》行业标准属首次的制订，目前尚无国际化的标准，随着生产技术进步、下游用户对产品要求的不断提高，该产品种类、质量要求也会发生变化。本标准处于国内领先水平，对国内生产企业及相关行业的技术进步将产生积极的推动作用。</w:t>
      </w:r>
    </w:p>
    <w:p>
      <w:pPr>
        <w:widowControl/>
        <w:adjustRightInd w:val="0"/>
        <w:snapToGrid w:val="0"/>
        <w:spacing w:beforeLines="50" w:afterLines="50" w:line="360" w:lineRule="auto"/>
        <w:ind w:firstLine="480" w:firstLineChars="200"/>
        <w:rPr>
          <w:rFonts w:ascii="黑体" w:hAnsi="黑体" w:eastAsia="黑体" w:cs="黑体"/>
          <w:bCs/>
          <w:color w:val="000000"/>
          <w:sz w:val="24"/>
          <w:szCs w:val="24"/>
        </w:rPr>
      </w:pPr>
      <w:r>
        <w:rPr>
          <w:rFonts w:hint="eastAsia" w:ascii="黑体" w:hAnsi="黑体" w:eastAsia="黑体" w:cs="宋体"/>
          <w:sz w:val="24"/>
          <w:szCs w:val="24"/>
        </w:rPr>
        <w:t xml:space="preserve">5  </w:t>
      </w:r>
      <w:r>
        <w:rPr>
          <w:rFonts w:hint="eastAsia" w:ascii="黑体" w:hAnsi="黑体" w:eastAsia="黑体" w:cs="黑体"/>
          <w:bCs/>
          <w:color w:val="000000"/>
          <w:sz w:val="24"/>
          <w:szCs w:val="24"/>
        </w:rPr>
        <w:t>标准中如涉及专利，应有明确的知识产权说明</w:t>
      </w:r>
    </w:p>
    <w:p>
      <w:pPr>
        <w:widowControl/>
        <w:adjustRightInd w:val="0"/>
        <w:snapToGrid w:val="0"/>
        <w:spacing w:line="360" w:lineRule="auto"/>
        <w:ind w:firstLine="480" w:firstLineChars="200"/>
        <w:rPr>
          <w:color w:val="000000"/>
          <w:sz w:val="24"/>
          <w:szCs w:val="24"/>
        </w:rPr>
      </w:pPr>
      <w:r>
        <w:rPr>
          <w:rFonts w:hint="eastAsia"/>
          <w:color w:val="000000"/>
          <w:sz w:val="24"/>
          <w:szCs w:val="24"/>
        </w:rPr>
        <w:t>标准中未涉及专利。</w:t>
      </w:r>
    </w:p>
    <w:p>
      <w:pPr>
        <w:spacing w:beforeLines="50" w:afterLines="50" w:line="360" w:lineRule="auto"/>
        <w:ind w:firstLine="480" w:firstLineChars="200"/>
        <w:rPr>
          <w:rFonts w:cs="Times New Roman"/>
          <w:sz w:val="24"/>
          <w:szCs w:val="24"/>
        </w:rPr>
      </w:pPr>
      <w:r>
        <w:rPr>
          <w:rFonts w:hint="eastAsia" w:ascii="黑体" w:hAnsi="黑体" w:eastAsia="黑体" w:cs="宋体"/>
          <w:sz w:val="24"/>
          <w:szCs w:val="24"/>
        </w:rPr>
        <w:t>6  重大分歧意见的处理经过和依据</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本标准制订过程中各起草单位讨论热情积极，参与程度高。对各单位提出的意见经讨论后，能最大程度的保持一致，无重大分歧意见。仅对个别指标如何在实际检测中去操作，有不同提议，留待稀土标准工作会议上讨论，听取更广泛的意见以完善本标准。</w:t>
      </w:r>
    </w:p>
    <w:p>
      <w:pPr>
        <w:spacing w:beforeLines="50" w:afterLines="50" w:line="360" w:lineRule="auto"/>
        <w:ind w:firstLine="480" w:firstLineChars="200"/>
        <w:rPr>
          <w:rFonts w:ascii="黑体" w:hAnsi="黑体" w:eastAsia="黑体" w:cs="宋体"/>
          <w:sz w:val="24"/>
          <w:szCs w:val="24"/>
        </w:rPr>
      </w:pPr>
      <w:r>
        <w:rPr>
          <w:rFonts w:hint="eastAsia" w:ascii="黑体" w:hAnsi="黑体" w:eastAsia="黑体" w:cs="宋体"/>
          <w:sz w:val="24"/>
          <w:szCs w:val="24"/>
        </w:rPr>
        <w:t>7  国家标准作为强制或推荐性国家标准的建议</w:t>
      </w:r>
    </w:p>
    <w:p>
      <w:pPr>
        <w:spacing w:line="360" w:lineRule="auto"/>
        <w:ind w:firstLine="480" w:firstLineChars="200"/>
        <w:rPr>
          <w:rFonts w:cs="Times New Roman"/>
          <w:sz w:val="24"/>
          <w:szCs w:val="24"/>
        </w:rPr>
      </w:pPr>
      <w:r>
        <w:rPr>
          <w:rFonts w:hint="eastAsia" w:cs="宋体"/>
          <w:sz w:val="24"/>
          <w:szCs w:val="24"/>
        </w:rPr>
        <w:t>此次制订的《氟化铈》标准，建议为推荐性行业标准。</w:t>
      </w:r>
    </w:p>
    <w:p>
      <w:pPr>
        <w:spacing w:beforeLines="50" w:afterLines="50" w:line="360" w:lineRule="auto"/>
        <w:ind w:firstLine="480" w:firstLineChars="200"/>
        <w:rPr>
          <w:rFonts w:ascii="黑体" w:hAnsi="黑体" w:eastAsia="黑体" w:cs="Times New Roman"/>
          <w:sz w:val="24"/>
          <w:szCs w:val="24"/>
        </w:rPr>
      </w:pPr>
      <w:r>
        <w:rPr>
          <w:rFonts w:hint="eastAsia" w:ascii="黑体" w:hAnsi="黑体" w:eastAsia="黑体" w:cs="宋体"/>
          <w:sz w:val="24"/>
          <w:szCs w:val="24"/>
        </w:rPr>
        <w:t>8  贯彻标准的要求和措施建议</w:t>
      </w:r>
    </w:p>
    <w:p>
      <w:pPr>
        <w:spacing w:line="360" w:lineRule="auto"/>
        <w:ind w:firstLine="480" w:firstLineChars="200"/>
        <w:rPr>
          <w:rFonts w:cs="Times New Roman"/>
          <w:sz w:val="24"/>
          <w:szCs w:val="24"/>
        </w:rPr>
      </w:pPr>
      <w:r>
        <w:rPr>
          <w:rFonts w:hint="eastAsia" w:cs="宋体"/>
          <w:sz w:val="24"/>
          <w:szCs w:val="24"/>
        </w:rPr>
        <w:t>本标准在制定过程中遵循了“规范性”、“适宜性”、与“先进性”原则，在充分调研生产企业产品现状及发展趋势、下游用户需求的基础上编制而成。主要技术指标通过调研、论证，已兼顾到多数企业的一般性要求和部分特殊要求，本标准不能包含全部特殊使用要求。</w:t>
      </w:r>
    </w:p>
    <w:p>
      <w:pPr>
        <w:spacing w:line="360" w:lineRule="auto"/>
        <w:ind w:firstLine="480" w:firstLineChars="200"/>
        <w:rPr>
          <w:rFonts w:cs="Times New Roman"/>
          <w:sz w:val="24"/>
          <w:szCs w:val="24"/>
        </w:rPr>
      </w:pPr>
      <w:r>
        <w:rPr>
          <w:rFonts w:hint="eastAsia" w:cs="宋体"/>
          <w:sz w:val="24"/>
          <w:szCs w:val="24"/>
        </w:rPr>
        <w:t>企业应按照本标准组织生产，若企业和客户还有更多的特殊要求，应在合同中协商规定。本标准具有良好的可贯彻性，因此不需要特殊的组织措施或技术措施。</w:t>
      </w:r>
    </w:p>
    <w:p>
      <w:pPr>
        <w:spacing w:beforeLines="50" w:afterLines="50" w:line="360" w:lineRule="auto"/>
        <w:ind w:firstLine="480" w:firstLineChars="200"/>
        <w:rPr>
          <w:rFonts w:ascii="黑体" w:hAnsi="黑体" w:eastAsia="黑体" w:cs="Times New Roman"/>
          <w:sz w:val="24"/>
          <w:szCs w:val="24"/>
        </w:rPr>
      </w:pPr>
      <w:r>
        <w:rPr>
          <w:rFonts w:hint="eastAsia" w:ascii="黑体" w:hAnsi="黑体" w:eastAsia="黑体" w:cs="宋体"/>
          <w:sz w:val="24"/>
          <w:szCs w:val="24"/>
        </w:rPr>
        <w:t>9  预期效果</w:t>
      </w:r>
    </w:p>
    <w:p>
      <w:pPr>
        <w:spacing w:line="360" w:lineRule="auto"/>
        <w:ind w:firstLine="480" w:firstLineChars="200"/>
        <w:rPr>
          <w:rFonts w:cs="宋体"/>
          <w:sz w:val="24"/>
          <w:szCs w:val="24"/>
        </w:rPr>
      </w:pPr>
      <w:r>
        <w:rPr>
          <w:rFonts w:hint="eastAsia" w:cs="宋体"/>
          <w:sz w:val="24"/>
          <w:szCs w:val="24"/>
        </w:rPr>
        <w:t>标准的制订将彻底解决氟化铈生产、检测、交易过程中多年无标准可依的现状，促进行业的健康有序发展。</w:t>
      </w:r>
    </w:p>
    <w:p>
      <w:pPr>
        <w:spacing w:beforeLines="50" w:afterLines="50" w:line="360" w:lineRule="auto"/>
        <w:ind w:firstLine="480" w:firstLineChars="200"/>
        <w:rPr>
          <w:rFonts w:ascii="黑体" w:hAnsi="黑体" w:eastAsia="黑体" w:cs="黑体"/>
          <w:sz w:val="24"/>
          <w:szCs w:val="24"/>
        </w:rPr>
      </w:pPr>
      <w:r>
        <w:rPr>
          <w:rFonts w:hint="eastAsia" w:ascii="黑体" w:hAnsi="黑体" w:eastAsia="黑体" w:cs="黑体"/>
          <w:sz w:val="24"/>
          <w:szCs w:val="24"/>
        </w:rPr>
        <w:t>10  其他应予说明的事项</w:t>
      </w:r>
    </w:p>
    <w:p>
      <w:pPr>
        <w:adjustRightInd w:val="0"/>
        <w:snapToGrid w:val="0"/>
        <w:spacing w:line="360" w:lineRule="auto"/>
        <w:ind w:firstLine="470" w:firstLineChars="196"/>
        <w:rPr>
          <w:rFonts w:cs="Times New Roman"/>
          <w:sz w:val="24"/>
          <w:szCs w:val="24"/>
        </w:rPr>
      </w:pPr>
      <w:r>
        <w:rPr>
          <w:rFonts w:hint="eastAsia" w:cs="宋体"/>
          <w:sz w:val="24"/>
          <w:szCs w:val="24"/>
        </w:rPr>
        <w:t>在标准制订过程中得</w:t>
      </w:r>
      <w:r>
        <w:rPr>
          <w:rFonts w:hint="eastAsia"/>
          <w:color w:val="000000"/>
          <w:sz w:val="24"/>
          <w:szCs w:val="24"/>
        </w:rPr>
        <w:t>到全国稀土标准化技术委员会秘书处及参加起草单位、提出过意见或建议单位的大力支持，在此表示衷心的感谢！</w:t>
      </w:r>
    </w:p>
    <w:p>
      <w:pPr>
        <w:spacing w:line="360" w:lineRule="auto"/>
        <w:ind w:firstLine="5280" w:firstLineChars="2200"/>
        <w:rPr>
          <w:rFonts w:cs="宋体"/>
          <w:sz w:val="24"/>
          <w:szCs w:val="24"/>
        </w:rPr>
      </w:pPr>
      <w:r>
        <w:rPr>
          <w:rFonts w:hint="eastAsia" w:cs="宋体"/>
          <w:sz w:val="24"/>
          <w:szCs w:val="24"/>
        </w:rPr>
        <w:t>四川省乐山锐丰冶金有限公司</w:t>
      </w:r>
    </w:p>
    <w:p>
      <w:pPr>
        <w:wordWrap w:val="0"/>
        <w:spacing w:line="360" w:lineRule="auto"/>
        <w:ind w:right="480" w:firstLine="5160" w:firstLineChars="2150"/>
        <w:rPr>
          <w:rFonts w:cs="Times New Roman"/>
          <w:sz w:val="28"/>
          <w:szCs w:val="28"/>
        </w:rPr>
      </w:pPr>
      <w:r>
        <w:rPr>
          <w:rFonts w:hint="eastAsia" w:cs="宋体"/>
          <w:sz w:val="24"/>
          <w:szCs w:val="24"/>
        </w:rPr>
        <w:t xml:space="preserve">   </w:t>
      </w:r>
      <w:r>
        <w:rPr>
          <w:rFonts w:hint="eastAsia" w:cs="Times New Roman"/>
          <w:sz w:val="28"/>
          <w:szCs w:val="28"/>
        </w:rPr>
        <w:t xml:space="preserve">2018年7月29日      </w:t>
      </w:r>
    </w:p>
    <w:sectPr>
      <w:footerReference r:id="rId3" w:type="default"/>
      <w:pgSz w:w="11906" w:h="16838"/>
      <w:pgMar w:top="1418" w:right="1247" w:bottom="136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35AE7"/>
    <w:multiLevelType w:val="multilevel"/>
    <w:tmpl w:val="71035AE7"/>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12"/>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24"/>
    <w:rsid w:val="0000588D"/>
    <w:rsid w:val="000109A1"/>
    <w:rsid w:val="0001241A"/>
    <w:rsid w:val="00023B02"/>
    <w:rsid w:val="0003522B"/>
    <w:rsid w:val="0005173B"/>
    <w:rsid w:val="00054FAA"/>
    <w:rsid w:val="000B5302"/>
    <w:rsid w:val="000D4D4E"/>
    <w:rsid w:val="000D7B58"/>
    <w:rsid w:val="000E3DB7"/>
    <w:rsid w:val="001049F3"/>
    <w:rsid w:val="0016061B"/>
    <w:rsid w:val="001B13CC"/>
    <w:rsid w:val="001B251F"/>
    <w:rsid w:val="001F17F3"/>
    <w:rsid w:val="00201492"/>
    <w:rsid w:val="0020523B"/>
    <w:rsid w:val="002144FC"/>
    <w:rsid w:val="00223243"/>
    <w:rsid w:val="002359F9"/>
    <w:rsid w:val="0026047F"/>
    <w:rsid w:val="00267024"/>
    <w:rsid w:val="00274640"/>
    <w:rsid w:val="002950EB"/>
    <w:rsid w:val="002D7B9B"/>
    <w:rsid w:val="002E118E"/>
    <w:rsid w:val="002E533F"/>
    <w:rsid w:val="002F1A13"/>
    <w:rsid w:val="002F73B0"/>
    <w:rsid w:val="00330186"/>
    <w:rsid w:val="0034445F"/>
    <w:rsid w:val="003548DA"/>
    <w:rsid w:val="003574C8"/>
    <w:rsid w:val="00386FC3"/>
    <w:rsid w:val="003A126F"/>
    <w:rsid w:val="003A5F3E"/>
    <w:rsid w:val="00426BF6"/>
    <w:rsid w:val="00427636"/>
    <w:rsid w:val="00431730"/>
    <w:rsid w:val="0043320F"/>
    <w:rsid w:val="00436A2D"/>
    <w:rsid w:val="00443B01"/>
    <w:rsid w:val="004677A3"/>
    <w:rsid w:val="0047590E"/>
    <w:rsid w:val="004942B4"/>
    <w:rsid w:val="004C1967"/>
    <w:rsid w:val="004E3E50"/>
    <w:rsid w:val="004E7069"/>
    <w:rsid w:val="00500706"/>
    <w:rsid w:val="00502032"/>
    <w:rsid w:val="00541550"/>
    <w:rsid w:val="00544D03"/>
    <w:rsid w:val="0056475F"/>
    <w:rsid w:val="00564DAC"/>
    <w:rsid w:val="005A24D6"/>
    <w:rsid w:val="005A3F36"/>
    <w:rsid w:val="005B3D61"/>
    <w:rsid w:val="0060257B"/>
    <w:rsid w:val="00610C6F"/>
    <w:rsid w:val="00616E30"/>
    <w:rsid w:val="006615C9"/>
    <w:rsid w:val="006777A2"/>
    <w:rsid w:val="00697841"/>
    <w:rsid w:val="006A77D5"/>
    <w:rsid w:val="006B4D44"/>
    <w:rsid w:val="006B6D39"/>
    <w:rsid w:val="006E5CDD"/>
    <w:rsid w:val="006F2E6B"/>
    <w:rsid w:val="00710C0A"/>
    <w:rsid w:val="00722787"/>
    <w:rsid w:val="007313F7"/>
    <w:rsid w:val="0073158E"/>
    <w:rsid w:val="00741585"/>
    <w:rsid w:val="00744F07"/>
    <w:rsid w:val="007C219A"/>
    <w:rsid w:val="00827EE3"/>
    <w:rsid w:val="0085474D"/>
    <w:rsid w:val="0086111B"/>
    <w:rsid w:val="008E49FB"/>
    <w:rsid w:val="009027DE"/>
    <w:rsid w:val="00905D99"/>
    <w:rsid w:val="00923A60"/>
    <w:rsid w:val="00941282"/>
    <w:rsid w:val="009428DB"/>
    <w:rsid w:val="00977C3C"/>
    <w:rsid w:val="009D69F9"/>
    <w:rsid w:val="009F5140"/>
    <w:rsid w:val="009F670B"/>
    <w:rsid w:val="00A45044"/>
    <w:rsid w:val="00AA4F56"/>
    <w:rsid w:val="00AE5383"/>
    <w:rsid w:val="00B01861"/>
    <w:rsid w:val="00B0303B"/>
    <w:rsid w:val="00B12380"/>
    <w:rsid w:val="00B1705E"/>
    <w:rsid w:val="00B214F9"/>
    <w:rsid w:val="00B671C5"/>
    <w:rsid w:val="00B83868"/>
    <w:rsid w:val="00B84C8C"/>
    <w:rsid w:val="00BC6A96"/>
    <w:rsid w:val="00BC74B8"/>
    <w:rsid w:val="00BD246F"/>
    <w:rsid w:val="00BD6A3E"/>
    <w:rsid w:val="00BE6E3B"/>
    <w:rsid w:val="00BF5394"/>
    <w:rsid w:val="00BF716D"/>
    <w:rsid w:val="00C04D28"/>
    <w:rsid w:val="00C80FF4"/>
    <w:rsid w:val="00C9051F"/>
    <w:rsid w:val="00CB432F"/>
    <w:rsid w:val="00CC0B3E"/>
    <w:rsid w:val="00CC63D6"/>
    <w:rsid w:val="00CE2F8B"/>
    <w:rsid w:val="00D079B7"/>
    <w:rsid w:val="00D11363"/>
    <w:rsid w:val="00D2121A"/>
    <w:rsid w:val="00D25D9D"/>
    <w:rsid w:val="00D47ADB"/>
    <w:rsid w:val="00D52B11"/>
    <w:rsid w:val="00D86C4D"/>
    <w:rsid w:val="00DB2E77"/>
    <w:rsid w:val="00DC22F1"/>
    <w:rsid w:val="00E24D81"/>
    <w:rsid w:val="00E44223"/>
    <w:rsid w:val="00E6563D"/>
    <w:rsid w:val="00E6587A"/>
    <w:rsid w:val="00E96D7F"/>
    <w:rsid w:val="00EA0F18"/>
    <w:rsid w:val="00EA6700"/>
    <w:rsid w:val="00EF2306"/>
    <w:rsid w:val="00EF4798"/>
    <w:rsid w:val="00F11133"/>
    <w:rsid w:val="00F12AF7"/>
    <w:rsid w:val="00F810CE"/>
    <w:rsid w:val="00F9379D"/>
    <w:rsid w:val="00FB7A79"/>
    <w:rsid w:val="00FD2515"/>
    <w:rsid w:val="00FF3C6C"/>
    <w:rsid w:val="02C455A4"/>
    <w:rsid w:val="049C5052"/>
    <w:rsid w:val="0C081FAA"/>
    <w:rsid w:val="0DF479A0"/>
    <w:rsid w:val="1B8640C8"/>
    <w:rsid w:val="2384335D"/>
    <w:rsid w:val="2B0B1086"/>
    <w:rsid w:val="38CA15BF"/>
    <w:rsid w:val="3CE63744"/>
    <w:rsid w:val="41D8241B"/>
    <w:rsid w:val="440A3454"/>
    <w:rsid w:val="45885E92"/>
    <w:rsid w:val="54043CB1"/>
    <w:rsid w:val="617A2DE5"/>
    <w:rsid w:val="798C43E2"/>
    <w:rsid w:val="7AB96D60"/>
    <w:rsid w:val="7EDA76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locked/>
    <w:uiPriority w:val="99"/>
    <w:rPr>
      <w:sz w:val="18"/>
      <w:szCs w:val="18"/>
    </w:rPr>
  </w:style>
  <w:style w:type="character" w:customStyle="1" w:styleId="8">
    <w:name w:val="页脚 Char"/>
    <w:basedOn w:val="6"/>
    <w:link w:val="2"/>
    <w:semiHidden/>
    <w:qFormat/>
    <w:locked/>
    <w:uiPriority w:val="99"/>
    <w:rPr>
      <w:sz w:val="18"/>
      <w:szCs w:val="18"/>
    </w:rPr>
  </w:style>
  <w:style w:type="paragraph" w:styleId="9">
    <w:name w:val="List Paragraph"/>
    <w:basedOn w:val="1"/>
    <w:qFormat/>
    <w:uiPriority w:val="99"/>
    <w:pPr>
      <w:ind w:firstLine="420" w:firstLineChars="200"/>
    </w:pPr>
  </w:style>
  <w:style w:type="paragraph" w:customStyle="1" w:styleId="1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一级条标题"/>
    <w:next w:val="11"/>
    <w:qFormat/>
    <w:uiPriority w:val="0"/>
    <w:pPr>
      <w:numPr>
        <w:ilvl w:val="2"/>
        <w:numId w:val="1"/>
      </w:numPr>
      <w:outlineLvl w:val="2"/>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969</Words>
  <Characters>5525</Characters>
  <Lines>46</Lines>
  <Paragraphs>12</Paragraphs>
  <TotalTime>317</TotalTime>
  <ScaleCrop>false</ScaleCrop>
  <LinksUpToDate>false</LinksUpToDate>
  <CharactersWithSpaces>6482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2018-07-27T06:45:00Z</dcterms:created>
  <dc:creator>User</dc:creator>
  <cp:lastModifiedBy>高兰</cp:lastModifiedBy>
  <cp:lastPrinted>2016-11-03T08:53:00Z</cp:lastPrinted>
  <dcterms:modified xsi:type="dcterms:W3CDTF">2019-08-08T02:56:21Z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