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adjustRightInd w:val="0"/>
        <w:snapToGrid w:val="0"/>
        <w:spacing w:beforeLines="50"/>
        <w:jc w:val="center"/>
      </w:pPr>
      <w:r>
        <w:rPr>
          <w:rFonts w:hint="eastAsia" w:ascii="黑体" w:eastAsia="黑体"/>
          <w:sz w:val="32"/>
          <w:szCs w:val="32"/>
        </w:rPr>
        <w:t xml:space="preserve">稀土国家标准《稀土金属及其氧化物中稀土杂质化学分析方法 </w:t>
      </w:r>
      <w:r>
        <w:rPr>
          <w:rFonts w:hint="eastAsia" w:ascii="黑体" w:hAnsi="黑体" w:eastAsia="黑体" w:cs="黑体"/>
          <w:sz w:val="32"/>
          <w:szCs w:val="32"/>
        </w:rPr>
        <w:t>第1部分：</w:t>
      </w:r>
      <w:r>
        <w:rPr>
          <w:rFonts w:hint="eastAsia" w:ascii="黑体" w:eastAsia="黑体"/>
          <w:sz w:val="32"/>
          <w:szCs w:val="32"/>
        </w:rPr>
        <w:t>镧中铈、镨、钕、钐、铕、铽、镝、钬、铒、铥、镱、镥和钇量的测定》（</w:t>
      </w:r>
      <w:r>
        <w:rPr>
          <w:rFonts w:hint="eastAsia" w:ascii="黑体" w:eastAsia="黑体"/>
          <w:sz w:val="32"/>
          <w:szCs w:val="32"/>
          <w:lang w:eastAsia="zh-CN"/>
        </w:rPr>
        <w:t>送审稿</w:t>
      </w:r>
      <w:r>
        <w:rPr>
          <w:rFonts w:hint="eastAsia" w:ascii="黑体" w:eastAsia="黑体"/>
          <w:sz w:val="32"/>
          <w:szCs w:val="32"/>
        </w:rPr>
        <w:t>）编制说明</w:t>
      </w:r>
    </w:p>
    <w:p>
      <w:pPr>
        <w:adjustRightInd w:val="0"/>
        <w:snapToGrid w:val="0"/>
        <w:spacing w:beforeLines="100" w:line="360" w:lineRule="auto"/>
        <w:rPr>
          <w:rFonts w:ascii="Arial" w:hAnsi="Arial" w:cs="Arial" w:eastAsiaTheme="minorEastAsia"/>
          <w:szCs w:val="21"/>
        </w:rPr>
      </w:pPr>
      <w:r>
        <w:rPr>
          <w:rFonts w:ascii="Arial" w:hAnsi="Arial" w:cs="Arial" w:eastAsiaTheme="minorEastAsia"/>
          <w:szCs w:val="21"/>
        </w:rPr>
        <w:t>一、工作简况</w:t>
      </w:r>
    </w:p>
    <w:p>
      <w:pPr>
        <w:adjustRightInd w:val="0"/>
        <w:snapToGrid w:val="0"/>
        <w:spacing w:line="360" w:lineRule="auto"/>
        <w:rPr>
          <w:rFonts w:ascii="Arial" w:hAnsi="Arial" w:cs="Arial" w:eastAsiaTheme="minorEastAsia"/>
          <w:szCs w:val="21"/>
        </w:rPr>
      </w:pPr>
      <w:r>
        <w:rPr>
          <w:rFonts w:ascii="Arial" w:hAnsi="Arial" w:cs="Arial" w:eastAsiaTheme="minorEastAsia"/>
          <w:szCs w:val="21"/>
        </w:rPr>
        <w:t>1、立项目的</w:t>
      </w:r>
    </w:p>
    <w:p>
      <w:pPr>
        <w:spacing w:line="360" w:lineRule="auto"/>
        <w:ind w:firstLine="210" w:firstLineChars="100"/>
        <w:rPr>
          <w:rFonts w:ascii="Arial" w:hAnsi="Arial" w:cs="Arial" w:eastAsiaTheme="minorEastAsia"/>
          <w:szCs w:val="21"/>
        </w:rPr>
      </w:pPr>
      <w:r>
        <w:rPr>
          <w:rFonts w:hint="eastAsia" w:ascii="Arial" w:hAnsi="Arial" w:cs="Arial" w:eastAsiaTheme="minorEastAsia"/>
          <w:szCs w:val="21"/>
        </w:rPr>
        <w:t xml:space="preserve">  </w:t>
      </w:r>
      <w:r>
        <w:rPr>
          <w:rFonts w:eastAsiaTheme="minorEastAsia"/>
          <w:szCs w:val="21"/>
        </w:rPr>
        <w:t>随着稀土产业的发展</w:t>
      </w:r>
      <w:r>
        <w:rPr>
          <w:rFonts w:hint="eastAsia" w:eastAsiaTheme="minorEastAsia"/>
          <w:szCs w:val="21"/>
        </w:rPr>
        <w:t>，需要分析方法标准适应新的产业要求，以便更好地服务于稀土产品及其标准。</w:t>
      </w:r>
      <w:r>
        <w:rPr>
          <w:rFonts w:hint="eastAsia" w:asciiTheme="minorEastAsia" w:hAnsiTheme="minorEastAsia" w:eastAsiaTheme="minorEastAsia"/>
          <w:szCs w:val="21"/>
        </w:rPr>
        <w:t>单一稀土产品的纯度直接决定了在贸易中贸易价格，GB/T18115.1-2006从1996年开始起草，2000年首次实施，2006年修订，现隔已10年，近几年，随着市场要求的不断提升，产品纯度也越来越高，现高纯氧化镧产品已达99.9995%，检测方法已不能与之配套；现行</w:t>
      </w:r>
      <w:r>
        <w:rPr>
          <w:rFonts w:ascii="Arial" w:hAnsi="Arial" w:cs="Arial" w:eastAsiaTheme="minorEastAsia"/>
          <w:szCs w:val="21"/>
        </w:rPr>
        <w:t>《稀土金属及其氧化物中稀土杂质化学分析方法</w:t>
      </w:r>
      <w:r>
        <w:rPr>
          <w:rFonts w:hint="eastAsia" w:asciiTheme="minorEastAsia" w:hAnsiTheme="minorEastAsia" w:eastAsiaTheme="minorEastAsia" w:cstheme="minorEastAsia"/>
          <w:szCs w:val="21"/>
        </w:rPr>
        <w:t xml:space="preserve"> 镧中铈、镨、钕、钐、铕、铽、镝、钬、铒、铥、镱、镥和钇量的测定</w:t>
      </w:r>
      <w:r>
        <w:rPr>
          <w:rFonts w:ascii="Arial" w:hAnsi="Arial" w:cs="Arial" w:eastAsiaTheme="minorEastAsia"/>
          <w:szCs w:val="21"/>
        </w:rPr>
        <w:t xml:space="preserve"> 电感耦合等离子体发射光谱法》</w:t>
      </w:r>
      <w:r>
        <w:rPr>
          <w:rFonts w:hint="eastAsia" w:asciiTheme="minorEastAsia" w:hAnsiTheme="minorEastAsia" w:eastAsiaTheme="minorEastAsia"/>
          <w:color w:val="000000"/>
          <w:szCs w:val="21"/>
          <w:shd w:val="clear" w:color="auto" w:fill="FFFFFF"/>
        </w:rPr>
        <w:t>参加起草的试验仪器是以较早进入我国的日本</w:t>
      </w:r>
      <w:r>
        <w:rPr>
          <w:rFonts w:asciiTheme="minorEastAsia" w:hAnsiTheme="minorEastAsia" w:eastAsiaTheme="minorEastAsia"/>
          <w:color w:val="000000"/>
          <w:szCs w:val="21"/>
          <w:shd w:val="clear" w:color="auto" w:fill="FFFFFF"/>
        </w:rPr>
        <w:t>岛津</w:t>
      </w:r>
      <w:r>
        <w:rPr>
          <w:rFonts w:hint="eastAsia" w:asciiTheme="minorEastAsia" w:hAnsiTheme="minorEastAsia" w:eastAsiaTheme="minorEastAsia"/>
          <w:color w:val="000000"/>
          <w:szCs w:val="21"/>
          <w:shd w:val="clear" w:color="auto" w:fill="FFFFFF"/>
        </w:rPr>
        <w:t>等离子光谱仪（1000Ⅱ）为主，</w:t>
      </w:r>
      <w:r>
        <w:rPr>
          <w:rFonts w:ascii="Arial" w:hAnsi="Arial" w:cs="Arial" w:eastAsiaTheme="minorEastAsia"/>
          <w:szCs w:val="21"/>
        </w:rPr>
        <w:t>近年来电感耦合等离子体发射光谱分析技术有了大幅的提高，检测速度，检测范围都有了显著改变</w:t>
      </w:r>
      <w:r>
        <w:rPr>
          <w:rFonts w:hint="eastAsia" w:ascii="Arial" w:hAnsi="Arial" w:cs="Arial" w:eastAsiaTheme="minorEastAsia"/>
          <w:szCs w:val="21"/>
        </w:rPr>
        <w:t>。</w:t>
      </w:r>
      <w:r>
        <w:rPr>
          <w:rFonts w:ascii="Arial" w:hAnsi="Arial" w:cs="Arial" w:eastAsiaTheme="minorEastAsia"/>
          <w:szCs w:val="21"/>
        </w:rPr>
        <w:t>所以修订该标准势在必行。</w:t>
      </w:r>
    </w:p>
    <w:p>
      <w:pPr>
        <w:adjustRightInd w:val="0"/>
        <w:snapToGrid w:val="0"/>
        <w:spacing w:line="360" w:lineRule="auto"/>
        <w:rPr>
          <w:rFonts w:ascii="Arial" w:hAnsi="Arial" w:cs="Arial" w:eastAsiaTheme="minorEastAsia"/>
          <w:szCs w:val="21"/>
        </w:rPr>
      </w:pPr>
      <w:r>
        <w:rPr>
          <w:rFonts w:ascii="Arial" w:hAnsi="Arial" w:cs="Arial" w:eastAsiaTheme="minorEastAsia"/>
          <w:szCs w:val="21"/>
        </w:rPr>
        <w:t>2、任务来源</w:t>
      </w:r>
    </w:p>
    <w:p>
      <w:pPr>
        <w:adjustRightInd w:val="0"/>
        <w:snapToGrid w:val="0"/>
        <w:spacing w:line="360" w:lineRule="auto"/>
        <w:ind w:firstLine="420" w:firstLineChars="200"/>
        <w:rPr>
          <w:rFonts w:ascii="Arial" w:hAnsi="Arial" w:cs="Arial" w:eastAsiaTheme="minorEastAsia"/>
          <w:szCs w:val="21"/>
        </w:rPr>
      </w:pPr>
      <w:r>
        <w:rPr>
          <w:rFonts w:hint="eastAsia" w:ascii="Arial" w:hAnsi="Arial" w:cs="Arial" w:eastAsiaTheme="minorEastAsia"/>
          <w:szCs w:val="21"/>
        </w:rPr>
        <w:t>江阴加华新材料资源有限公司</w:t>
      </w:r>
      <w:r>
        <w:rPr>
          <w:rFonts w:ascii="Arial" w:hAnsi="Arial" w:cs="Arial" w:eastAsiaTheme="minorEastAsia"/>
          <w:szCs w:val="21"/>
        </w:rPr>
        <w:t>于201</w:t>
      </w:r>
      <w:r>
        <w:rPr>
          <w:rFonts w:hint="eastAsia" w:ascii="Arial" w:hAnsi="Arial" w:cs="Arial" w:eastAsiaTheme="minorEastAsia"/>
          <w:szCs w:val="21"/>
        </w:rPr>
        <w:t>6</w:t>
      </w:r>
      <w:r>
        <w:rPr>
          <w:rFonts w:ascii="Arial" w:hAnsi="Arial" w:cs="Arial" w:eastAsiaTheme="minorEastAsia"/>
          <w:szCs w:val="21"/>
        </w:rPr>
        <w:t>年底，向稀标委提出了《稀土金属及其氧化物中稀土杂质化学分析方法</w:t>
      </w:r>
      <w:r>
        <w:rPr>
          <w:rFonts w:hint="eastAsia" w:ascii="Arial" w:hAnsi="Arial" w:cs="Arial" w:eastAsiaTheme="minorEastAsia"/>
          <w:szCs w:val="21"/>
        </w:rPr>
        <w:t xml:space="preserve"> </w:t>
      </w:r>
      <w:r>
        <w:rPr>
          <w:rFonts w:ascii="Arial" w:hAnsi="Arial" w:cs="Arial" w:eastAsiaTheme="minorEastAsia"/>
          <w:szCs w:val="21"/>
        </w:rPr>
        <w:t>第</w:t>
      </w:r>
      <w:r>
        <w:rPr>
          <w:rFonts w:hint="eastAsia" w:ascii="Arial" w:hAnsi="Arial" w:cs="Arial" w:eastAsiaTheme="minorEastAsia"/>
          <w:szCs w:val="21"/>
        </w:rPr>
        <w:t>1</w:t>
      </w:r>
      <w:r>
        <w:rPr>
          <w:rFonts w:ascii="Arial" w:hAnsi="Arial" w:cs="Arial" w:eastAsiaTheme="minorEastAsia"/>
          <w:szCs w:val="21"/>
        </w:rPr>
        <w:t>部分：</w:t>
      </w:r>
      <w:r>
        <w:rPr>
          <w:rFonts w:hint="eastAsia" w:ascii="Arial" w:hAnsi="Arial" w:cs="Arial" w:eastAsiaTheme="minorEastAsia"/>
          <w:szCs w:val="21"/>
        </w:rPr>
        <w:t xml:space="preserve"> </w:t>
      </w:r>
      <w:r>
        <w:rPr>
          <w:rFonts w:hint="eastAsia" w:asciiTheme="minorEastAsia" w:hAnsiTheme="minorEastAsia" w:eastAsiaTheme="minorEastAsia" w:cstheme="minorEastAsia"/>
          <w:szCs w:val="21"/>
        </w:rPr>
        <w:t>镧中铈、镨、钕、钐、铕、钆、铽、镝、钬、铒、铥、镱、镥和钇量的测定</w:t>
      </w:r>
      <w:r>
        <w:rPr>
          <w:rFonts w:ascii="Arial" w:hAnsi="Arial" w:cs="Arial" w:eastAsiaTheme="minorEastAsia"/>
          <w:szCs w:val="21"/>
        </w:rPr>
        <w:t>》的修订建议。全国稀土标准化技术委员会于201</w:t>
      </w:r>
      <w:r>
        <w:rPr>
          <w:rFonts w:hint="eastAsia" w:ascii="Arial" w:hAnsi="Arial" w:cs="Arial" w:eastAsiaTheme="minorEastAsia"/>
          <w:szCs w:val="21"/>
        </w:rPr>
        <w:t>8</w:t>
      </w:r>
      <w:r>
        <w:rPr>
          <w:rFonts w:ascii="Arial" w:hAnsi="Arial" w:cs="Arial" w:eastAsiaTheme="minorEastAsia"/>
          <w:szCs w:val="21"/>
        </w:rPr>
        <w:t>年</w:t>
      </w:r>
      <w:r>
        <w:rPr>
          <w:rFonts w:hint="eastAsia" w:ascii="Arial" w:hAnsi="Arial" w:cs="Arial" w:eastAsiaTheme="minorEastAsia"/>
          <w:szCs w:val="21"/>
        </w:rPr>
        <w:t>1</w:t>
      </w:r>
      <w:r>
        <w:rPr>
          <w:rFonts w:ascii="Arial" w:hAnsi="Arial" w:cs="Arial" w:eastAsiaTheme="minorEastAsia"/>
          <w:szCs w:val="21"/>
        </w:rPr>
        <w:t>月</w:t>
      </w:r>
      <w:r>
        <w:rPr>
          <w:rFonts w:hint="eastAsia" w:ascii="Arial" w:hAnsi="Arial" w:cs="Arial" w:eastAsiaTheme="minorEastAsia"/>
          <w:szCs w:val="21"/>
        </w:rPr>
        <w:t>14</w:t>
      </w:r>
      <w:r>
        <w:rPr>
          <w:rFonts w:ascii="Arial" w:hAnsi="Arial" w:cs="Arial" w:eastAsiaTheme="minorEastAsia"/>
          <w:szCs w:val="21"/>
        </w:rPr>
        <w:t>日</w:t>
      </w:r>
      <w:r>
        <w:rPr>
          <w:rFonts w:hint="eastAsia" w:ascii="Arial" w:hAnsi="Arial" w:cs="Arial" w:eastAsiaTheme="minorEastAsia"/>
          <w:szCs w:val="21"/>
        </w:rPr>
        <w:t>至15日</w:t>
      </w:r>
      <w:r>
        <w:rPr>
          <w:rFonts w:ascii="Arial" w:hAnsi="Arial" w:cs="Arial" w:eastAsiaTheme="minorEastAsia"/>
          <w:szCs w:val="21"/>
        </w:rPr>
        <w:t>在</w:t>
      </w:r>
      <w:r>
        <w:rPr>
          <w:rFonts w:hint="eastAsia" w:ascii="Arial" w:hAnsi="Arial" w:cs="Arial" w:eastAsiaTheme="minorEastAsia"/>
          <w:szCs w:val="21"/>
        </w:rPr>
        <w:t>浙江桐乡</w:t>
      </w:r>
      <w:r>
        <w:rPr>
          <w:rFonts w:ascii="Arial" w:hAnsi="Arial" w:cs="Arial" w:eastAsiaTheme="minorEastAsia"/>
          <w:szCs w:val="21"/>
        </w:rPr>
        <w:t>召开了201</w:t>
      </w:r>
      <w:r>
        <w:rPr>
          <w:rFonts w:hint="eastAsia" w:ascii="Arial" w:hAnsi="Arial" w:cs="Arial" w:eastAsiaTheme="minorEastAsia"/>
          <w:szCs w:val="21"/>
        </w:rPr>
        <w:t>8</w:t>
      </w:r>
      <w:r>
        <w:rPr>
          <w:rFonts w:ascii="Arial" w:hAnsi="Arial" w:cs="Arial" w:eastAsiaTheme="minorEastAsia"/>
          <w:szCs w:val="21"/>
        </w:rPr>
        <w:t>年度第一次稀土标准工作会议，确定由江阴加华新材料资源有限公司负责国家标准《稀土金属及其氧化物中稀土杂质化学分析方法 第</w:t>
      </w:r>
      <w:r>
        <w:rPr>
          <w:rFonts w:hint="eastAsia" w:ascii="Arial" w:hAnsi="Arial" w:cs="Arial" w:eastAsiaTheme="minorEastAsia"/>
          <w:szCs w:val="21"/>
        </w:rPr>
        <w:t>1</w:t>
      </w:r>
      <w:r>
        <w:rPr>
          <w:rFonts w:ascii="Arial" w:hAnsi="Arial" w:cs="Arial" w:eastAsiaTheme="minorEastAsia"/>
          <w:szCs w:val="21"/>
        </w:rPr>
        <w:t xml:space="preserve">部分： </w:t>
      </w:r>
      <w:r>
        <w:rPr>
          <w:rFonts w:hint="eastAsia" w:asciiTheme="minorEastAsia" w:hAnsiTheme="minorEastAsia" w:eastAsiaTheme="minorEastAsia" w:cstheme="minorEastAsia"/>
          <w:szCs w:val="21"/>
        </w:rPr>
        <w:t>镧中铈、镨、钕、钐、铕、钆、铽、镝、钬、铒、铥、镱、镥和钇量的测定</w:t>
      </w:r>
      <w:r>
        <w:rPr>
          <w:rFonts w:ascii="Arial" w:hAnsi="Arial" w:cs="Arial" w:eastAsiaTheme="minorEastAsia"/>
          <w:szCs w:val="21"/>
        </w:rPr>
        <w:t>》的修订。</w:t>
      </w:r>
    </w:p>
    <w:p>
      <w:pPr>
        <w:adjustRightInd w:val="0"/>
        <w:snapToGrid w:val="0"/>
        <w:spacing w:line="360" w:lineRule="auto"/>
        <w:ind w:firstLine="420" w:firstLineChars="200"/>
        <w:rPr>
          <w:rFonts w:ascii="Arial" w:hAnsi="Arial" w:cs="Arial" w:eastAsiaTheme="minorEastAsia"/>
          <w:szCs w:val="21"/>
        </w:rPr>
      </w:pPr>
      <w:r>
        <w:rPr>
          <w:rFonts w:ascii="Arial" w:hAnsi="Arial" w:cs="Arial" w:eastAsiaTheme="minorEastAsia"/>
          <w:szCs w:val="21"/>
        </w:rPr>
        <w:t>201</w:t>
      </w:r>
      <w:r>
        <w:rPr>
          <w:rFonts w:hint="eastAsia" w:ascii="Arial" w:hAnsi="Arial" w:cs="Arial" w:eastAsiaTheme="minorEastAsia"/>
          <w:szCs w:val="21"/>
        </w:rPr>
        <w:t>8</w:t>
      </w:r>
      <w:r>
        <w:rPr>
          <w:rFonts w:ascii="Arial" w:hAnsi="Arial" w:cs="Arial" w:eastAsiaTheme="minorEastAsia"/>
          <w:szCs w:val="21"/>
        </w:rPr>
        <w:t>年根据“国家标准委关于下达201</w:t>
      </w:r>
      <w:r>
        <w:rPr>
          <w:rFonts w:hint="eastAsia" w:ascii="Arial" w:hAnsi="Arial" w:cs="Arial" w:eastAsiaTheme="minorEastAsia"/>
          <w:szCs w:val="21"/>
        </w:rPr>
        <w:t>7</w:t>
      </w:r>
      <w:r>
        <w:rPr>
          <w:rFonts w:ascii="Arial" w:hAnsi="Arial" w:cs="Arial" w:eastAsiaTheme="minorEastAsia"/>
          <w:szCs w:val="21"/>
        </w:rPr>
        <w:t>年第四批国家标准制修订计划的通知”［国标委综合（201</w:t>
      </w:r>
      <w:r>
        <w:rPr>
          <w:rFonts w:hint="eastAsia" w:ascii="Arial" w:hAnsi="Arial" w:cs="Arial" w:eastAsiaTheme="minorEastAsia"/>
          <w:szCs w:val="21"/>
        </w:rPr>
        <w:t>7</w:t>
      </w:r>
      <w:r>
        <w:rPr>
          <w:rFonts w:ascii="Arial" w:hAnsi="Arial" w:cs="Arial" w:eastAsiaTheme="minorEastAsia"/>
          <w:szCs w:val="21"/>
        </w:rPr>
        <w:t>）</w:t>
      </w:r>
      <w:r>
        <w:rPr>
          <w:rFonts w:hint="eastAsia" w:ascii="Arial" w:hAnsi="Arial" w:cs="Arial" w:eastAsiaTheme="minorEastAsia"/>
          <w:szCs w:val="21"/>
        </w:rPr>
        <w:t>12</w:t>
      </w:r>
      <w:r>
        <w:rPr>
          <w:rFonts w:ascii="Arial" w:hAnsi="Arial" w:cs="Arial" w:eastAsiaTheme="minorEastAsia"/>
          <w:szCs w:val="21"/>
        </w:rPr>
        <w:t>号］，《稀土金属及其氧化物中稀土杂质化学分析方法</w:t>
      </w:r>
      <w:r>
        <w:rPr>
          <w:rFonts w:hint="eastAsia" w:ascii="Arial" w:hAnsi="Arial" w:cs="Arial" w:eastAsiaTheme="minorEastAsia"/>
          <w:szCs w:val="21"/>
        </w:rPr>
        <w:t xml:space="preserve"> </w:t>
      </w:r>
      <w:r>
        <w:rPr>
          <w:rFonts w:ascii="Arial" w:hAnsi="Arial" w:cs="Arial" w:eastAsiaTheme="minorEastAsia"/>
          <w:szCs w:val="21"/>
        </w:rPr>
        <w:t>第</w:t>
      </w:r>
      <w:r>
        <w:rPr>
          <w:rFonts w:hint="eastAsia" w:ascii="Arial" w:hAnsi="Arial" w:cs="Arial" w:eastAsiaTheme="minorEastAsia"/>
          <w:szCs w:val="21"/>
        </w:rPr>
        <w:t>1</w:t>
      </w:r>
      <w:r>
        <w:rPr>
          <w:rFonts w:ascii="Arial" w:hAnsi="Arial" w:cs="Arial" w:eastAsiaTheme="minorEastAsia"/>
          <w:szCs w:val="21"/>
        </w:rPr>
        <w:t>部分：</w:t>
      </w:r>
      <w:r>
        <w:rPr>
          <w:rFonts w:hint="eastAsia" w:asciiTheme="minorEastAsia" w:hAnsiTheme="minorEastAsia" w:eastAsiaTheme="minorEastAsia" w:cstheme="minorEastAsia"/>
          <w:szCs w:val="21"/>
        </w:rPr>
        <w:t>镧中铈、镨、钕、钐、铕、钆、铽、镝、钬、铒、铥、镱、镥和钇量的测定</w:t>
      </w:r>
      <w:r>
        <w:rPr>
          <w:rFonts w:ascii="Arial" w:hAnsi="Arial" w:cs="Arial" w:eastAsiaTheme="minorEastAsia"/>
          <w:szCs w:val="21"/>
        </w:rPr>
        <w:t>》项目任务正式下达，项目编号为：201</w:t>
      </w:r>
      <w:r>
        <w:rPr>
          <w:rFonts w:hint="eastAsia" w:ascii="Arial" w:hAnsi="Arial" w:cs="Arial" w:eastAsiaTheme="minorEastAsia"/>
          <w:szCs w:val="21"/>
        </w:rPr>
        <w:t>73580-</w:t>
      </w:r>
      <w:r>
        <w:rPr>
          <w:rFonts w:ascii="Arial" w:hAnsi="Arial" w:cs="Arial" w:eastAsiaTheme="minorEastAsia"/>
          <w:szCs w:val="21"/>
        </w:rPr>
        <w:t>-T-469，计划完成时间为20</w:t>
      </w:r>
      <w:r>
        <w:rPr>
          <w:rFonts w:hint="eastAsia" w:ascii="Arial" w:hAnsi="Arial" w:cs="Arial" w:eastAsiaTheme="minorEastAsia"/>
          <w:szCs w:val="21"/>
        </w:rPr>
        <w:t>20</w:t>
      </w:r>
      <w:r>
        <w:rPr>
          <w:rFonts w:ascii="Arial" w:hAnsi="Arial" w:cs="Arial" w:eastAsiaTheme="minorEastAsia"/>
          <w:szCs w:val="21"/>
        </w:rPr>
        <w:t>年初。根据全国稀土标准化技术委员会稀土标委[201</w:t>
      </w:r>
      <w:r>
        <w:rPr>
          <w:rFonts w:hint="eastAsia" w:ascii="Arial" w:hAnsi="Arial" w:cs="Arial" w:eastAsiaTheme="minorEastAsia"/>
          <w:szCs w:val="21"/>
        </w:rPr>
        <w:t>8</w:t>
      </w:r>
      <w:r>
        <w:rPr>
          <w:rFonts w:ascii="Arial" w:hAnsi="Arial" w:cs="Arial" w:eastAsiaTheme="minorEastAsia"/>
          <w:szCs w:val="21"/>
        </w:rPr>
        <w:t>]0</w:t>
      </w:r>
      <w:r>
        <w:rPr>
          <w:rFonts w:hint="eastAsia" w:ascii="Arial" w:hAnsi="Arial" w:cs="Arial" w:eastAsiaTheme="minorEastAsia"/>
          <w:szCs w:val="21"/>
        </w:rPr>
        <w:t>3</w:t>
      </w:r>
      <w:r>
        <w:rPr>
          <w:rFonts w:ascii="Arial" w:hAnsi="Arial" w:cs="Arial" w:eastAsiaTheme="minorEastAsia"/>
          <w:szCs w:val="21"/>
        </w:rPr>
        <w:t>号文件的要求，该标准项目包括</w:t>
      </w:r>
      <w:bookmarkStart w:id="0" w:name="OLE_LINK4"/>
      <w:bookmarkStart w:id="1" w:name="OLE_LINK3"/>
      <w:r>
        <w:rPr>
          <w:rFonts w:ascii="Arial" w:hAnsi="Arial" w:cs="Arial" w:eastAsiaTheme="minorEastAsia"/>
          <w:szCs w:val="21"/>
        </w:rPr>
        <w:t>电感耦合等离子发射光谱法（方法1）及电感耦合等离子体质谱法（方法</w:t>
      </w:r>
      <w:r>
        <w:rPr>
          <w:rFonts w:hint="eastAsia" w:ascii="Arial" w:hAnsi="Arial" w:cs="Arial" w:eastAsiaTheme="minorEastAsia"/>
          <w:szCs w:val="21"/>
        </w:rPr>
        <w:t>2</w:t>
      </w:r>
      <w:r>
        <w:rPr>
          <w:rFonts w:ascii="Arial" w:hAnsi="Arial" w:cs="Arial" w:eastAsiaTheme="minorEastAsia"/>
          <w:szCs w:val="21"/>
        </w:rPr>
        <w:t>）</w:t>
      </w:r>
      <w:bookmarkEnd w:id="0"/>
      <w:bookmarkEnd w:id="1"/>
      <w:r>
        <w:rPr>
          <w:rFonts w:ascii="Arial" w:hAnsi="Arial" w:cs="Arial" w:eastAsiaTheme="minorEastAsia"/>
          <w:szCs w:val="21"/>
        </w:rPr>
        <w:t>两个部分的试验及验证单位情况见</w:t>
      </w:r>
      <w:r>
        <w:fldChar w:fldCharType="begin"/>
      </w:r>
      <w:r>
        <w:instrText xml:space="preserve"> REF _Ref496714443 \h  \* MERGEFORMAT </w:instrText>
      </w:r>
      <w:r>
        <w:fldChar w:fldCharType="separate"/>
      </w:r>
      <w:r>
        <w:rPr>
          <w:rFonts w:ascii="Arial" w:hAnsi="Arial" w:cs="Arial" w:eastAsiaTheme="minorEastAsia"/>
          <w:szCs w:val="21"/>
        </w:rPr>
        <w:t>表1</w:t>
      </w:r>
      <w:r>
        <w:rPr>
          <w:rFonts w:ascii="Arial" w:hAnsi="Arial" w:cs="Arial" w:eastAsiaTheme="minorEastAsia"/>
          <w:szCs w:val="21"/>
        </w:rPr>
        <w:fldChar w:fldCharType="end"/>
      </w:r>
      <w:r>
        <w:rPr>
          <w:rFonts w:ascii="Arial" w:hAnsi="Arial" w:cs="Arial" w:eastAsiaTheme="minorEastAsia"/>
          <w:szCs w:val="21"/>
        </w:rPr>
        <w:t>。</w:t>
      </w:r>
    </w:p>
    <w:p>
      <w:pPr>
        <w:adjustRightInd w:val="0"/>
        <w:snapToGrid w:val="0"/>
        <w:jc w:val="center"/>
        <w:rPr>
          <w:rFonts w:ascii="Arial" w:hAnsi="Arial" w:cs="Arial" w:eastAsiaTheme="minorEastAsia"/>
          <w:szCs w:val="21"/>
        </w:rPr>
      </w:pPr>
      <w:bookmarkStart w:id="2" w:name="_Ref496714443"/>
    </w:p>
    <w:p>
      <w:pPr>
        <w:adjustRightInd w:val="0"/>
        <w:snapToGrid w:val="0"/>
        <w:jc w:val="center"/>
        <w:rPr>
          <w:rFonts w:ascii="Arial" w:hAnsi="Arial" w:cs="Arial" w:eastAsiaTheme="minorEastAsia"/>
          <w:szCs w:val="21"/>
        </w:rPr>
      </w:pPr>
    </w:p>
    <w:p>
      <w:pPr>
        <w:adjustRightInd w:val="0"/>
        <w:snapToGrid w:val="0"/>
        <w:jc w:val="center"/>
        <w:rPr>
          <w:rFonts w:ascii="Arial" w:hAnsi="Arial" w:cs="Arial" w:eastAsiaTheme="minorEastAsia"/>
          <w:szCs w:val="21"/>
        </w:rPr>
      </w:pPr>
    </w:p>
    <w:p>
      <w:pPr>
        <w:adjustRightInd w:val="0"/>
        <w:snapToGrid w:val="0"/>
        <w:jc w:val="center"/>
        <w:rPr>
          <w:rFonts w:ascii="Arial" w:hAnsi="Arial" w:cs="Arial" w:eastAsiaTheme="minorEastAsia"/>
          <w:szCs w:val="21"/>
        </w:rPr>
      </w:pPr>
    </w:p>
    <w:p>
      <w:pPr>
        <w:adjustRightInd w:val="0"/>
        <w:snapToGrid w:val="0"/>
        <w:jc w:val="center"/>
        <w:rPr>
          <w:rFonts w:ascii="Arial" w:hAnsi="Arial" w:cs="Arial" w:eastAsiaTheme="minorEastAsia"/>
          <w:szCs w:val="21"/>
        </w:rPr>
      </w:pPr>
    </w:p>
    <w:p>
      <w:pPr>
        <w:adjustRightInd w:val="0"/>
        <w:snapToGrid w:val="0"/>
        <w:jc w:val="center"/>
        <w:rPr>
          <w:rFonts w:ascii="Arial" w:hAnsi="Arial" w:cs="Arial" w:eastAsiaTheme="minorEastAsia"/>
          <w:szCs w:val="21"/>
        </w:rPr>
      </w:pPr>
    </w:p>
    <w:p>
      <w:pPr>
        <w:adjustRightInd w:val="0"/>
        <w:snapToGrid w:val="0"/>
        <w:jc w:val="center"/>
        <w:rPr>
          <w:rFonts w:ascii="Arial" w:hAnsi="Arial" w:cs="Arial" w:eastAsiaTheme="minorEastAsia"/>
          <w:szCs w:val="21"/>
        </w:rPr>
      </w:pPr>
    </w:p>
    <w:p>
      <w:pPr>
        <w:adjustRightInd w:val="0"/>
        <w:snapToGrid w:val="0"/>
        <w:jc w:val="center"/>
        <w:rPr>
          <w:rFonts w:ascii="Arial" w:hAnsi="Arial" w:cs="Arial" w:eastAsiaTheme="minorEastAsia"/>
          <w:szCs w:val="21"/>
        </w:rPr>
      </w:pPr>
      <w:r>
        <w:rPr>
          <w:rFonts w:ascii="Arial" w:hAnsi="Arial" w:cs="Arial" w:eastAsiaTheme="minorEastAsia"/>
          <w:szCs w:val="21"/>
        </w:rPr>
        <w:t>表</w:t>
      </w:r>
      <w:r>
        <w:rPr>
          <w:rFonts w:ascii="Arial" w:hAnsi="Arial" w:cs="Arial" w:eastAsiaTheme="minorEastAsia"/>
          <w:szCs w:val="21"/>
        </w:rPr>
        <w:fldChar w:fldCharType="begin"/>
      </w:r>
      <w:r>
        <w:rPr>
          <w:rFonts w:ascii="Arial" w:hAnsi="Arial" w:cs="Arial" w:eastAsiaTheme="minorEastAsia"/>
          <w:szCs w:val="21"/>
        </w:rPr>
        <w:instrText xml:space="preserve">SEQ 表 \* ARABIC</w:instrText>
      </w:r>
      <w:r>
        <w:rPr>
          <w:rFonts w:ascii="Arial" w:hAnsi="Arial" w:cs="Arial" w:eastAsiaTheme="minorEastAsia"/>
          <w:szCs w:val="21"/>
        </w:rPr>
        <w:fldChar w:fldCharType="separate"/>
      </w:r>
      <w:r>
        <w:rPr>
          <w:rFonts w:ascii="Arial" w:hAnsi="Arial" w:cs="Arial" w:eastAsiaTheme="minorEastAsia"/>
          <w:szCs w:val="21"/>
        </w:rPr>
        <w:t>1</w:t>
      </w:r>
      <w:r>
        <w:rPr>
          <w:rFonts w:ascii="Arial" w:hAnsi="Arial" w:cs="Arial" w:eastAsiaTheme="minorEastAsia"/>
          <w:szCs w:val="21"/>
        </w:rPr>
        <w:fldChar w:fldCharType="end"/>
      </w:r>
      <w:bookmarkEnd w:id="2"/>
    </w:p>
    <w:tbl>
      <w:tblPr>
        <w:tblStyle w:val="18"/>
        <w:tblW w:w="8276"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494"/>
        <w:gridCol w:w="1365"/>
        <w:gridCol w:w="949"/>
        <w:gridCol w:w="825"/>
        <w:gridCol w:w="1043"/>
        <w:gridCol w:w="260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494" w:type="dxa"/>
            <w:vAlign w:val="center"/>
          </w:tcPr>
          <w:p>
            <w:pPr>
              <w:adjustRightInd w:val="0"/>
              <w:snapToGrid w:val="0"/>
              <w:spacing w:line="360" w:lineRule="auto"/>
              <w:jc w:val="center"/>
              <w:rPr>
                <w:rFonts w:ascii="Arial" w:hAnsi="Arial" w:cs="Arial" w:eastAsiaTheme="minorEastAsia"/>
                <w:sz w:val="18"/>
                <w:szCs w:val="18"/>
              </w:rPr>
            </w:pPr>
            <w:r>
              <w:rPr>
                <w:rFonts w:ascii="Arial" w:hAnsi="Arial" w:cs="Arial" w:eastAsiaTheme="minorEastAsia"/>
                <w:sz w:val="18"/>
                <w:szCs w:val="18"/>
              </w:rPr>
              <w:t>计划号</w:t>
            </w:r>
          </w:p>
        </w:tc>
        <w:tc>
          <w:tcPr>
            <w:tcW w:w="1365" w:type="dxa"/>
            <w:vAlign w:val="center"/>
          </w:tcPr>
          <w:p>
            <w:pPr>
              <w:adjustRightInd w:val="0"/>
              <w:snapToGrid w:val="0"/>
              <w:spacing w:line="360" w:lineRule="auto"/>
              <w:jc w:val="center"/>
              <w:rPr>
                <w:rFonts w:ascii="Arial" w:hAnsi="Arial" w:cs="Arial" w:eastAsiaTheme="minorEastAsia"/>
                <w:sz w:val="18"/>
                <w:szCs w:val="18"/>
              </w:rPr>
            </w:pPr>
            <w:r>
              <w:rPr>
                <w:rFonts w:ascii="Arial" w:hAnsi="Arial" w:cs="Arial" w:eastAsiaTheme="minorEastAsia"/>
                <w:sz w:val="18"/>
                <w:szCs w:val="18"/>
              </w:rPr>
              <w:t>项目名称</w:t>
            </w:r>
          </w:p>
        </w:tc>
        <w:tc>
          <w:tcPr>
            <w:tcW w:w="949" w:type="dxa"/>
            <w:vAlign w:val="center"/>
          </w:tcPr>
          <w:p>
            <w:pPr>
              <w:adjustRightInd w:val="0"/>
              <w:snapToGrid w:val="0"/>
              <w:spacing w:line="360" w:lineRule="auto"/>
              <w:jc w:val="center"/>
              <w:rPr>
                <w:rFonts w:ascii="Arial" w:hAnsi="Arial" w:cs="Arial" w:eastAsiaTheme="minorEastAsia"/>
                <w:sz w:val="18"/>
                <w:szCs w:val="18"/>
              </w:rPr>
            </w:pPr>
            <w:r>
              <w:rPr>
                <w:rFonts w:ascii="Arial" w:hAnsi="Arial" w:cs="Arial" w:eastAsiaTheme="minorEastAsia"/>
                <w:sz w:val="18"/>
                <w:szCs w:val="18"/>
              </w:rPr>
              <w:t>起草单位</w:t>
            </w:r>
          </w:p>
        </w:tc>
        <w:tc>
          <w:tcPr>
            <w:tcW w:w="1868" w:type="dxa"/>
            <w:gridSpan w:val="2"/>
            <w:vAlign w:val="center"/>
          </w:tcPr>
          <w:p>
            <w:pPr>
              <w:adjustRightInd w:val="0"/>
              <w:snapToGrid w:val="0"/>
              <w:spacing w:line="360" w:lineRule="auto"/>
              <w:jc w:val="center"/>
              <w:rPr>
                <w:rFonts w:ascii="Arial" w:hAnsi="Arial" w:cs="Arial" w:eastAsiaTheme="minorEastAsia"/>
                <w:sz w:val="18"/>
                <w:szCs w:val="18"/>
              </w:rPr>
            </w:pPr>
            <w:r>
              <w:rPr>
                <w:rFonts w:ascii="Arial" w:hAnsi="Arial" w:cs="Arial" w:eastAsiaTheme="minorEastAsia"/>
                <w:sz w:val="18"/>
                <w:szCs w:val="18"/>
              </w:rPr>
              <w:t>第一验证单位</w:t>
            </w:r>
          </w:p>
        </w:tc>
        <w:tc>
          <w:tcPr>
            <w:tcW w:w="2600" w:type="dxa"/>
            <w:vAlign w:val="center"/>
          </w:tcPr>
          <w:p>
            <w:pPr>
              <w:adjustRightInd w:val="0"/>
              <w:snapToGrid w:val="0"/>
              <w:spacing w:line="360" w:lineRule="auto"/>
              <w:jc w:val="center"/>
              <w:rPr>
                <w:rFonts w:ascii="Arial" w:hAnsi="Arial" w:cs="Arial" w:eastAsiaTheme="minorEastAsia"/>
                <w:sz w:val="18"/>
                <w:szCs w:val="18"/>
              </w:rPr>
            </w:pPr>
            <w:r>
              <w:rPr>
                <w:rFonts w:ascii="Arial" w:hAnsi="Arial" w:cs="Arial" w:eastAsiaTheme="minorEastAsia"/>
                <w:sz w:val="18"/>
                <w:szCs w:val="18"/>
              </w:rPr>
              <w:t>第二验证单位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494" w:type="dxa"/>
            <w:vMerge w:val="restart"/>
            <w:vAlign w:val="center"/>
          </w:tcPr>
          <w:p>
            <w:pPr>
              <w:adjustRightInd w:val="0"/>
              <w:snapToGrid w:val="0"/>
              <w:spacing w:line="360" w:lineRule="auto"/>
              <w:rPr>
                <w:rFonts w:ascii="Arial" w:hAnsi="Arial" w:cs="Arial" w:eastAsiaTheme="minorEastAsia"/>
                <w:sz w:val="18"/>
                <w:szCs w:val="18"/>
              </w:rPr>
            </w:pPr>
            <w:r>
              <w:rPr>
                <w:rFonts w:ascii="Arial" w:hAnsi="Arial" w:cs="Arial" w:eastAsiaTheme="minorEastAsia"/>
                <w:sz w:val="18"/>
                <w:szCs w:val="18"/>
              </w:rPr>
              <w:t>201</w:t>
            </w:r>
            <w:r>
              <w:rPr>
                <w:rFonts w:hint="eastAsia" w:ascii="Arial" w:hAnsi="Arial" w:cs="Arial" w:eastAsiaTheme="minorEastAsia"/>
                <w:sz w:val="18"/>
                <w:szCs w:val="18"/>
              </w:rPr>
              <w:t>73580</w:t>
            </w:r>
            <w:r>
              <w:rPr>
                <w:rFonts w:ascii="Arial" w:hAnsi="Arial" w:cs="Arial" w:eastAsiaTheme="minorEastAsia"/>
                <w:sz w:val="18"/>
                <w:szCs w:val="18"/>
              </w:rPr>
              <w:t>-T-469</w:t>
            </w:r>
          </w:p>
        </w:tc>
        <w:tc>
          <w:tcPr>
            <w:tcW w:w="1365" w:type="dxa"/>
            <w:vMerge w:val="restart"/>
            <w:vAlign w:val="center"/>
          </w:tcPr>
          <w:p>
            <w:pPr>
              <w:adjustRightInd w:val="0"/>
              <w:snapToGrid w:val="0"/>
              <w:rPr>
                <w:rFonts w:asciiTheme="minorEastAsia" w:hAnsiTheme="minorEastAsia" w:eastAsiaTheme="minorEastAsia" w:cstheme="minorEastAsia"/>
                <w:szCs w:val="21"/>
              </w:rPr>
            </w:pPr>
            <w:r>
              <w:rPr>
                <w:rFonts w:ascii="Arial" w:hAnsi="Arial" w:cs="Arial" w:eastAsiaTheme="minorEastAsia"/>
                <w:sz w:val="18"/>
                <w:szCs w:val="18"/>
              </w:rPr>
              <w:t>稀土金属及其氧化物中稀土杂质化学分析方法第</w:t>
            </w:r>
            <w:r>
              <w:rPr>
                <w:rFonts w:hint="eastAsia" w:ascii="Arial" w:hAnsi="Arial" w:cs="Arial" w:eastAsiaTheme="minorEastAsia"/>
                <w:sz w:val="18"/>
                <w:szCs w:val="18"/>
              </w:rPr>
              <w:t>1</w:t>
            </w:r>
            <w:r>
              <w:rPr>
                <w:rFonts w:ascii="Arial" w:hAnsi="Arial" w:cs="Arial" w:eastAsiaTheme="minorEastAsia"/>
                <w:sz w:val="18"/>
                <w:szCs w:val="18"/>
              </w:rPr>
              <w:t>部分：</w:t>
            </w:r>
            <w:r>
              <w:rPr>
                <w:rFonts w:hint="eastAsia" w:asciiTheme="minorEastAsia" w:hAnsiTheme="minorEastAsia" w:eastAsiaTheme="minorEastAsia" w:cstheme="minorEastAsia"/>
                <w:szCs w:val="21"/>
              </w:rPr>
              <w:t>镧中铈、镨、钕、钐、铕、</w:t>
            </w:r>
          </w:p>
          <w:p>
            <w:pPr>
              <w:adjustRightInd w:val="0"/>
              <w:snapToGrid w:val="0"/>
              <w:rPr>
                <w:rFonts w:ascii="Arial" w:hAnsi="Arial" w:cs="Arial" w:eastAsiaTheme="minorEastAsia"/>
                <w:sz w:val="18"/>
                <w:szCs w:val="18"/>
              </w:rPr>
            </w:pPr>
            <w:r>
              <w:rPr>
                <w:rFonts w:hint="eastAsia" w:asciiTheme="minorEastAsia" w:hAnsiTheme="minorEastAsia" w:eastAsiaTheme="minorEastAsia" w:cstheme="minorEastAsia"/>
                <w:szCs w:val="21"/>
              </w:rPr>
              <w:t>钆、铽、镝、钬、铒、铥、镱、镥和钇量的测定</w:t>
            </w:r>
          </w:p>
        </w:tc>
        <w:tc>
          <w:tcPr>
            <w:tcW w:w="949" w:type="dxa"/>
            <w:vMerge w:val="restart"/>
            <w:vAlign w:val="center"/>
          </w:tcPr>
          <w:p>
            <w:pPr>
              <w:adjustRightInd w:val="0"/>
              <w:snapToGrid w:val="0"/>
              <w:spacing w:line="360" w:lineRule="auto"/>
              <w:rPr>
                <w:rFonts w:ascii="Arial" w:hAnsi="Arial" w:cs="Arial" w:eastAsiaTheme="minorEastAsia"/>
                <w:sz w:val="18"/>
                <w:szCs w:val="18"/>
              </w:rPr>
            </w:pPr>
            <w:r>
              <w:rPr>
                <w:rFonts w:ascii="Arial" w:hAnsi="Arial" w:cs="Arial" w:eastAsiaTheme="minorEastAsia"/>
                <w:sz w:val="18"/>
                <w:szCs w:val="18"/>
              </w:rPr>
              <w:t>江阴加华新材料资源有限公司</w:t>
            </w:r>
          </w:p>
        </w:tc>
        <w:tc>
          <w:tcPr>
            <w:tcW w:w="825" w:type="dxa"/>
            <w:tcBorders>
              <w:right w:val="single" w:color="auto" w:sz="4" w:space="0"/>
            </w:tcBorders>
            <w:vAlign w:val="center"/>
          </w:tcPr>
          <w:p>
            <w:pPr>
              <w:adjustRightInd w:val="0"/>
              <w:snapToGrid w:val="0"/>
              <w:spacing w:line="360" w:lineRule="auto"/>
              <w:rPr>
                <w:rFonts w:ascii="Arial" w:hAnsi="Arial" w:cs="Arial" w:eastAsiaTheme="minorEastAsia"/>
                <w:sz w:val="18"/>
                <w:szCs w:val="18"/>
              </w:rPr>
            </w:pPr>
            <w:r>
              <w:rPr>
                <w:rFonts w:ascii="Arial" w:hAnsi="Arial" w:cs="Arial" w:eastAsiaTheme="minorEastAsia"/>
                <w:sz w:val="18"/>
                <w:szCs w:val="18"/>
              </w:rPr>
              <w:t>方法1：电感耦合等离子发射光谱法</w:t>
            </w:r>
          </w:p>
        </w:tc>
        <w:tc>
          <w:tcPr>
            <w:tcW w:w="1043" w:type="dxa"/>
            <w:tcBorders>
              <w:left w:val="single" w:color="auto" w:sz="4" w:space="0"/>
            </w:tcBorders>
            <w:vAlign w:val="center"/>
          </w:tcPr>
          <w:p>
            <w:pPr>
              <w:adjustRightInd w:val="0"/>
              <w:snapToGrid w:val="0"/>
              <w:spacing w:line="360" w:lineRule="auto"/>
              <w:rPr>
                <w:rFonts w:ascii="Arial" w:hAnsi="Arial" w:cs="Arial" w:eastAsiaTheme="minorEastAsia"/>
                <w:sz w:val="18"/>
                <w:szCs w:val="18"/>
              </w:rPr>
            </w:pPr>
            <w:r>
              <w:rPr>
                <w:rFonts w:ascii="Arial" w:hAnsi="Arial" w:cs="Arial" w:eastAsiaTheme="minorEastAsia"/>
                <w:sz w:val="18"/>
                <w:szCs w:val="18"/>
              </w:rPr>
              <w:t>湖南稀土金属材料研究院、</w:t>
            </w:r>
            <w:r>
              <w:rPr>
                <w:rFonts w:hint="eastAsia" w:ascii="Arial" w:hAnsi="Arial" w:cs="Arial" w:eastAsiaTheme="minorEastAsia"/>
                <w:sz w:val="18"/>
                <w:szCs w:val="18"/>
              </w:rPr>
              <w:t>定南大华新材料资源有限公司</w:t>
            </w:r>
          </w:p>
        </w:tc>
        <w:tc>
          <w:tcPr>
            <w:tcW w:w="2600" w:type="dxa"/>
            <w:vAlign w:val="center"/>
          </w:tcPr>
          <w:p>
            <w:pPr>
              <w:adjustRightInd w:val="0"/>
              <w:snapToGrid w:val="0"/>
              <w:spacing w:line="360" w:lineRule="auto"/>
              <w:rPr>
                <w:rFonts w:ascii="Arial" w:hAnsi="Arial" w:cs="Arial" w:eastAsiaTheme="minorEastAsia"/>
                <w:sz w:val="18"/>
                <w:szCs w:val="18"/>
              </w:rPr>
            </w:pPr>
            <w:r>
              <w:rPr>
                <w:rFonts w:hint="eastAsia" w:ascii="Arial" w:hAnsi="Arial" w:cs="Arial" w:eastAsiaTheme="minorEastAsia"/>
                <w:sz w:val="18"/>
                <w:szCs w:val="18"/>
              </w:rPr>
              <w:t>广东珠江稀土有限公司</w:t>
            </w:r>
            <w:r>
              <w:rPr>
                <w:rFonts w:ascii="Arial" w:hAnsi="Arial" w:cs="Arial" w:eastAsiaTheme="minorEastAsia"/>
                <w:sz w:val="18"/>
                <w:szCs w:val="18"/>
              </w:rPr>
              <w:t>、钢研纳克检测技术</w:t>
            </w:r>
            <w:r>
              <w:rPr>
                <w:rFonts w:hint="eastAsia" w:ascii="Arial" w:hAnsi="Arial" w:cs="Arial" w:eastAsiaTheme="minorEastAsia"/>
                <w:sz w:val="18"/>
                <w:szCs w:val="18"/>
              </w:rPr>
              <w:t>股份</w:t>
            </w:r>
            <w:r>
              <w:rPr>
                <w:rFonts w:ascii="Arial" w:hAnsi="Arial" w:cs="Arial" w:eastAsiaTheme="minorEastAsia"/>
                <w:sz w:val="18"/>
                <w:szCs w:val="18"/>
              </w:rPr>
              <w:t>有限公司</w:t>
            </w:r>
            <w:r>
              <w:rPr>
                <w:rFonts w:hint="eastAsia" w:ascii="Arial" w:hAnsi="Arial" w:cs="Arial" w:eastAsiaTheme="minorEastAsia"/>
                <w:sz w:val="18"/>
                <w:szCs w:val="18"/>
              </w:rPr>
              <w:t>（自制设备）</w:t>
            </w:r>
            <w:r>
              <w:rPr>
                <w:rFonts w:ascii="Arial" w:hAnsi="Arial" w:cs="Arial" w:eastAsiaTheme="minorEastAsia"/>
                <w:sz w:val="18"/>
                <w:szCs w:val="18"/>
              </w:rPr>
              <w:t>、</w:t>
            </w:r>
            <w:r>
              <w:rPr>
                <w:rFonts w:hint="eastAsia" w:ascii="Arial" w:hAnsi="Arial" w:cs="Arial" w:eastAsiaTheme="minorEastAsia"/>
                <w:sz w:val="18"/>
                <w:szCs w:val="18"/>
              </w:rPr>
              <w:t>福建省长汀金龙稀土有限公司、</w:t>
            </w:r>
            <w:r>
              <w:rPr>
                <w:rFonts w:ascii="Arial" w:hAnsi="Arial" w:cs="Arial" w:eastAsiaTheme="minorEastAsia"/>
                <w:sz w:val="18"/>
                <w:szCs w:val="18"/>
              </w:rPr>
              <w:t>中国有色桂林矿产地质研究院有限公司</w:t>
            </w:r>
            <w:r>
              <w:rPr>
                <w:rFonts w:hint="eastAsia" w:ascii="Arial" w:hAnsi="Arial" w:cs="Arial" w:eastAsiaTheme="minorEastAsia"/>
                <w:sz w:val="18"/>
                <w:szCs w:val="18"/>
              </w:rPr>
              <w:t>、</w:t>
            </w:r>
            <w:r>
              <w:rPr>
                <w:rFonts w:ascii="Arial" w:hAnsi="Arial" w:cs="Arial" w:eastAsiaTheme="minorEastAsia"/>
                <w:sz w:val="18"/>
                <w:szCs w:val="18"/>
              </w:rPr>
              <w:t>四川江铜稀土有限责任公司、</w:t>
            </w:r>
            <w:r>
              <w:rPr>
                <w:rFonts w:hint="eastAsia" w:ascii="Arial" w:hAnsi="Arial" w:cs="Arial" w:eastAsiaTheme="minorEastAsia"/>
                <w:sz w:val="18"/>
                <w:szCs w:val="18"/>
              </w:rPr>
              <w:t>淄博加华新材料资源有限公司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494" w:type="dxa"/>
            <w:vMerge w:val="continue"/>
            <w:vAlign w:val="center"/>
          </w:tcPr>
          <w:p>
            <w:pPr>
              <w:adjustRightInd w:val="0"/>
              <w:snapToGrid w:val="0"/>
              <w:spacing w:line="360" w:lineRule="auto"/>
              <w:rPr>
                <w:rFonts w:ascii="Arial" w:hAnsi="Arial" w:cs="Arial" w:eastAsiaTheme="minorEastAsia"/>
                <w:sz w:val="18"/>
                <w:szCs w:val="18"/>
              </w:rPr>
            </w:pPr>
          </w:p>
        </w:tc>
        <w:tc>
          <w:tcPr>
            <w:tcW w:w="1365" w:type="dxa"/>
            <w:vMerge w:val="continue"/>
            <w:vAlign w:val="center"/>
          </w:tcPr>
          <w:p>
            <w:pPr>
              <w:adjustRightInd w:val="0"/>
              <w:snapToGrid w:val="0"/>
              <w:spacing w:line="360" w:lineRule="auto"/>
              <w:rPr>
                <w:rFonts w:ascii="Arial" w:hAnsi="Arial" w:cs="Arial" w:eastAsiaTheme="minorEastAsia"/>
                <w:sz w:val="18"/>
                <w:szCs w:val="18"/>
              </w:rPr>
            </w:pPr>
          </w:p>
        </w:tc>
        <w:tc>
          <w:tcPr>
            <w:tcW w:w="949" w:type="dxa"/>
            <w:vMerge w:val="continue"/>
            <w:vAlign w:val="center"/>
          </w:tcPr>
          <w:p>
            <w:pPr>
              <w:adjustRightInd w:val="0"/>
              <w:snapToGrid w:val="0"/>
              <w:spacing w:line="360" w:lineRule="auto"/>
              <w:rPr>
                <w:rFonts w:ascii="Arial" w:hAnsi="Arial" w:cs="Arial" w:eastAsiaTheme="minorEastAsia"/>
                <w:sz w:val="18"/>
                <w:szCs w:val="18"/>
              </w:rPr>
            </w:pPr>
          </w:p>
        </w:tc>
        <w:tc>
          <w:tcPr>
            <w:tcW w:w="825" w:type="dxa"/>
            <w:tcBorders>
              <w:right w:val="single" w:color="auto" w:sz="4" w:space="0"/>
            </w:tcBorders>
            <w:vAlign w:val="center"/>
          </w:tcPr>
          <w:p>
            <w:pPr>
              <w:adjustRightInd w:val="0"/>
              <w:snapToGrid w:val="0"/>
              <w:spacing w:line="360" w:lineRule="auto"/>
              <w:rPr>
                <w:rFonts w:ascii="Arial" w:hAnsi="Arial" w:cs="Arial" w:eastAsiaTheme="minorEastAsia"/>
                <w:sz w:val="18"/>
                <w:szCs w:val="18"/>
              </w:rPr>
            </w:pPr>
            <w:r>
              <w:rPr>
                <w:rFonts w:ascii="Arial" w:hAnsi="Arial" w:cs="Arial" w:eastAsiaTheme="minorEastAsia"/>
                <w:sz w:val="18"/>
                <w:szCs w:val="18"/>
              </w:rPr>
              <w:t>方法</w:t>
            </w:r>
            <w:r>
              <w:rPr>
                <w:rFonts w:hint="eastAsia" w:ascii="Arial" w:hAnsi="Arial" w:cs="Arial" w:eastAsiaTheme="minorEastAsia"/>
                <w:sz w:val="18"/>
                <w:szCs w:val="18"/>
              </w:rPr>
              <w:t>2</w:t>
            </w:r>
            <w:r>
              <w:rPr>
                <w:rFonts w:ascii="Arial" w:hAnsi="Arial" w:cs="Arial" w:eastAsiaTheme="minorEastAsia"/>
                <w:sz w:val="18"/>
                <w:szCs w:val="18"/>
              </w:rPr>
              <w:t>：电感耦合等离子体质谱法</w:t>
            </w:r>
          </w:p>
        </w:tc>
        <w:tc>
          <w:tcPr>
            <w:tcW w:w="1043" w:type="dxa"/>
            <w:tcBorders>
              <w:left w:val="single" w:color="auto" w:sz="4" w:space="0"/>
            </w:tcBorders>
            <w:vAlign w:val="center"/>
          </w:tcPr>
          <w:p>
            <w:pPr>
              <w:adjustRightInd w:val="0"/>
              <w:snapToGrid w:val="0"/>
              <w:spacing w:line="360" w:lineRule="auto"/>
              <w:rPr>
                <w:rFonts w:ascii="Arial" w:hAnsi="Arial" w:cs="Arial" w:eastAsiaTheme="minorEastAsia"/>
                <w:sz w:val="18"/>
                <w:szCs w:val="18"/>
              </w:rPr>
            </w:pPr>
            <w:r>
              <w:rPr>
                <w:rFonts w:ascii="Arial" w:hAnsi="Arial" w:cs="Arial" w:eastAsiaTheme="minorEastAsia"/>
                <w:sz w:val="18"/>
                <w:szCs w:val="18"/>
              </w:rPr>
              <w:t>虔东稀土集团股份有限公司、</w:t>
            </w:r>
          </w:p>
          <w:p>
            <w:pPr>
              <w:adjustRightInd w:val="0"/>
              <w:snapToGrid w:val="0"/>
              <w:spacing w:line="360" w:lineRule="auto"/>
              <w:rPr>
                <w:rFonts w:ascii="Arial" w:hAnsi="Arial" w:cs="Arial" w:eastAsiaTheme="minorEastAsia"/>
                <w:sz w:val="18"/>
                <w:szCs w:val="18"/>
              </w:rPr>
            </w:pPr>
            <w:r>
              <w:rPr>
                <w:rFonts w:hint="eastAsia" w:ascii="Arial" w:hAnsi="Arial" w:cs="Arial" w:eastAsiaTheme="minorEastAsia"/>
                <w:sz w:val="18"/>
                <w:szCs w:val="18"/>
              </w:rPr>
              <w:t>赣州晨光稀土新材料有限公司</w:t>
            </w:r>
          </w:p>
        </w:tc>
        <w:tc>
          <w:tcPr>
            <w:tcW w:w="2600" w:type="dxa"/>
            <w:vAlign w:val="center"/>
          </w:tcPr>
          <w:p>
            <w:pPr>
              <w:adjustRightInd w:val="0"/>
              <w:snapToGrid w:val="0"/>
              <w:spacing w:line="360" w:lineRule="auto"/>
              <w:rPr>
                <w:rFonts w:ascii="Arial" w:hAnsi="Arial" w:cs="Arial" w:eastAsiaTheme="minorEastAsia"/>
                <w:sz w:val="18"/>
                <w:szCs w:val="18"/>
              </w:rPr>
            </w:pPr>
            <w:r>
              <w:rPr>
                <w:rFonts w:ascii="Arial" w:hAnsi="Arial" w:cs="Arial" w:eastAsiaTheme="minorEastAsia"/>
                <w:sz w:val="18"/>
                <w:szCs w:val="18"/>
              </w:rPr>
              <w:t>钢研纳克检测技术</w:t>
            </w:r>
            <w:r>
              <w:rPr>
                <w:rFonts w:hint="eastAsia" w:ascii="Arial" w:hAnsi="Arial" w:cs="Arial" w:eastAsiaTheme="minorEastAsia"/>
                <w:sz w:val="18"/>
                <w:szCs w:val="18"/>
              </w:rPr>
              <w:t>股份</w:t>
            </w:r>
            <w:r>
              <w:rPr>
                <w:rFonts w:ascii="Arial" w:hAnsi="Arial" w:cs="Arial" w:eastAsiaTheme="minorEastAsia"/>
                <w:sz w:val="18"/>
                <w:szCs w:val="18"/>
              </w:rPr>
              <w:t>有限公司、</w:t>
            </w:r>
            <w:r>
              <w:rPr>
                <w:rFonts w:hint="eastAsia" w:ascii="Arial" w:hAnsi="Arial" w:cs="Arial" w:eastAsiaTheme="minorEastAsia"/>
                <w:sz w:val="18"/>
                <w:szCs w:val="18"/>
              </w:rPr>
              <w:t>赣县红金稀土有限公司、</w:t>
            </w:r>
            <w:r>
              <w:rPr>
                <w:rFonts w:ascii="Arial" w:hAnsi="Arial" w:cs="Arial" w:eastAsiaTheme="minorEastAsia"/>
                <w:sz w:val="18"/>
                <w:szCs w:val="18"/>
              </w:rPr>
              <w:t>中国有色桂林矿产地质研究院有限公司</w:t>
            </w:r>
            <w:r>
              <w:rPr>
                <w:rFonts w:hint="eastAsia" w:ascii="Arial" w:hAnsi="Arial" w:cs="Arial" w:eastAsiaTheme="minorEastAsia"/>
                <w:sz w:val="18"/>
                <w:szCs w:val="18"/>
              </w:rPr>
              <w:t>、国标（北京）检验认证有限公司、</w:t>
            </w:r>
            <w:r>
              <w:rPr>
                <w:rFonts w:ascii="Arial" w:hAnsi="Arial" w:cs="Arial" w:eastAsiaTheme="minorEastAsia"/>
                <w:sz w:val="18"/>
                <w:szCs w:val="18"/>
              </w:rPr>
              <w:t>包头稀土研究院</w:t>
            </w:r>
          </w:p>
          <w:p>
            <w:pPr>
              <w:adjustRightInd w:val="0"/>
              <w:snapToGrid w:val="0"/>
              <w:spacing w:line="360" w:lineRule="auto"/>
              <w:rPr>
                <w:rFonts w:ascii="Arial" w:hAnsi="Arial" w:cs="Arial" w:eastAsiaTheme="minorEastAsia"/>
                <w:sz w:val="18"/>
                <w:szCs w:val="18"/>
              </w:rPr>
            </w:pPr>
          </w:p>
        </w:tc>
      </w:tr>
    </w:tbl>
    <w:p>
      <w:pPr>
        <w:adjustRightInd w:val="0"/>
        <w:snapToGrid w:val="0"/>
        <w:rPr>
          <w:rFonts w:ascii="Arial" w:hAnsi="Arial" w:cs="Arial" w:eastAsiaTheme="minorEastAsia"/>
          <w:sz w:val="18"/>
          <w:szCs w:val="18"/>
        </w:rPr>
      </w:pPr>
      <w:r>
        <w:rPr>
          <w:rFonts w:ascii="Arial" w:hAnsi="Arial" w:cs="Arial" w:eastAsiaTheme="minorEastAsia"/>
          <w:sz w:val="18"/>
          <w:szCs w:val="18"/>
        </w:rPr>
        <w:t>注：</w:t>
      </w:r>
      <w:r>
        <w:rPr>
          <w:rFonts w:hint="eastAsia" w:ascii="Arial" w:hAnsi="Arial" w:cs="Arial" w:eastAsiaTheme="minorEastAsia"/>
          <w:sz w:val="18"/>
          <w:szCs w:val="18"/>
        </w:rPr>
        <w:t>国标（北京）检验认证有限公司，由于仪器的特殊性，对带有校正方程的质量数无法给出值，因</w:t>
      </w:r>
      <w:r>
        <w:rPr>
          <w:rFonts w:ascii="Arial" w:hAnsi="Arial" w:cs="Arial" w:eastAsiaTheme="minorEastAsia"/>
          <w:sz w:val="18"/>
          <w:szCs w:val="18"/>
        </w:rPr>
        <w:t>而缺乏实验数据。</w:t>
      </w:r>
    </w:p>
    <w:p>
      <w:pPr>
        <w:adjustRightInd w:val="0"/>
        <w:snapToGrid w:val="0"/>
        <w:spacing w:line="360" w:lineRule="auto"/>
        <w:rPr>
          <w:rFonts w:asciiTheme="minorEastAsia" w:hAnsiTheme="minorEastAsia" w:eastAsiaTheme="minorEastAsia"/>
        </w:rPr>
      </w:pPr>
      <w:r>
        <w:rPr>
          <w:rFonts w:ascii="Arial" w:hAnsi="Arial" w:cs="Arial" w:eastAsiaTheme="minorEastAsia"/>
          <w:szCs w:val="21"/>
        </w:rPr>
        <w:t>3、标准项目编制工作组单位简况</w:t>
      </w:r>
    </w:p>
    <w:p>
      <w:pPr>
        <w:adjustRightInd w:val="0"/>
        <w:snapToGrid w:val="0"/>
        <w:spacing w:line="360" w:lineRule="auto"/>
        <w:ind w:firstLine="420" w:firstLineChars="200"/>
        <w:rPr>
          <w:rFonts w:ascii="Arial" w:hAnsi="Arial" w:cs="Arial" w:eastAsiaTheme="minorEastAsia"/>
          <w:color w:val="C00000"/>
          <w:szCs w:val="21"/>
        </w:rPr>
      </w:pPr>
      <w:r>
        <w:rPr>
          <w:rFonts w:cs="宋体" w:asciiTheme="minorEastAsia" w:hAnsiTheme="minorEastAsia" w:eastAsiaTheme="minorEastAsia"/>
          <w:kern w:val="0"/>
        </w:rPr>
        <w:t>江阴加华新材料资源有限公司成立于1993年10月28日，是由公司前身-江阴国营稀土材料厂与加拿大AMR公司共同合资组建，注册资本为1280万美元，</w:t>
      </w:r>
      <w:r>
        <w:rPr>
          <w:rFonts w:hint="eastAsia" w:cs="宋体" w:asciiTheme="minorEastAsia" w:hAnsiTheme="minorEastAsia" w:eastAsiaTheme="minorEastAsia"/>
          <w:kern w:val="0"/>
        </w:rPr>
        <w:t>公司实际</w:t>
      </w:r>
      <w:r>
        <w:rPr>
          <w:rFonts w:cs="宋体" w:asciiTheme="minorEastAsia" w:hAnsiTheme="minorEastAsia" w:eastAsiaTheme="minorEastAsia"/>
          <w:kern w:val="0"/>
        </w:rPr>
        <w:t>年分离能力达到4000吨以上。</w:t>
      </w:r>
      <w:r>
        <w:rPr>
          <w:rFonts w:hint="eastAsia" w:cs="宋体" w:asciiTheme="minorEastAsia" w:hAnsiTheme="minorEastAsia" w:eastAsiaTheme="minorEastAsia"/>
          <w:kern w:val="0"/>
        </w:rPr>
        <w:t>公司</w:t>
      </w:r>
      <w:r>
        <w:rPr>
          <w:rFonts w:cs="宋体" w:asciiTheme="minorEastAsia" w:hAnsiTheme="minorEastAsia" w:eastAsiaTheme="minorEastAsia"/>
          <w:kern w:val="0"/>
        </w:rPr>
        <w:t>属外资控股合资企业，</w:t>
      </w:r>
      <w:r>
        <w:rPr>
          <w:rFonts w:hint="eastAsia" w:cs="宋体" w:asciiTheme="minorEastAsia" w:hAnsiTheme="minorEastAsia" w:eastAsiaTheme="minorEastAsia"/>
          <w:kern w:val="0"/>
        </w:rPr>
        <w:t>总</w:t>
      </w:r>
      <w:r>
        <w:rPr>
          <w:rFonts w:cs="宋体" w:asciiTheme="minorEastAsia" w:hAnsiTheme="minorEastAsia" w:eastAsiaTheme="minorEastAsia"/>
          <w:kern w:val="0"/>
        </w:rPr>
        <w:t>公司</w:t>
      </w:r>
      <w:r>
        <w:rPr>
          <w:rFonts w:hint="eastAsia" w:cs="宋体" w:asciiTheme="minorEastAsia" w:hAnsiTheme="minorEastAsia" w:eastAsiaTheme="minorEastAsia"/>
          <w:kern w:val="0"/>
        </w:rPr>
        <w:t>的</w:t>
      </w:r>
      <w:r>
        <w:rPr>
          <w:rFonts w:cs="宋体" w:asciiTheme="minorEastAsia" w:hAnsiTheme="minorEastAsia" w:eastAsiaTheme="minorEastAsia"/>
          <w:kern w:val="0"/>
        </w:rPr>
        <w:t>稀土产业链从矿产品加工、稀土金属、磁性材料功能材料等终端应用为一体的全产业链的公司，江阴加华是一家集研发、生产和销售于一体的南方离子矿稀土产品制造商，共有十五种稀土产品，累计一百多个规格的稀土单一化合物及共沉物系列产品，主要包括单一稀土氧化物、混合稀土氧化物、稀土碳酸盐、稀土富集物及稀土磷酸盐等，产品种类齐全，质量一流</w:t>
      </w:r>
      <w:r>
        <w:rPr>
          <w:rFonts w:hint="eastAsia" w:cs="宋体" w:asciiTheme="minorEastAsia" w:hAnsiTheme="minorEastAsia" w:eastAsiaTheme="minorEastAsia"/>
          <w:kern w:val="0"/>
        </w:rPr>
        <w:t>。</w:t>
      </w:r>
      <w:r>
        <w:rPr>
          <w:rFonts w:cs="宋体" w:asciiTheme="minorEastAsia" w:hAnsiTheme="minorEastAsia" w:eastAsiaTheme="minorEastAsia"/>
          <w:kern w:val="0"/>
        </w:rPr>
        <w:t>公司研发机构以独立研发或合作研发的方式开发推向市场，产品的关键技术均已申报国家发明专利或实用新型专利，其中大部分已经获得授权</w:t>
      </w:r>
      <w:r>
        <w:rPr>
          <w:rFonts w:hint="eastAsia" w:cs="宋体" w:asciiTheme="minorEastAsia" w:hAnsiTheme="minorEastAsia" w:eastAsiaTheme="minorEastAsia"/>
          <w:kern w:val="0"/>
        </w:rPr>
        <w:t>。</w:t>
      </w:r>
      <w:r>
        <w:rPr>
          <w:rFonts w:hint="eastAsia" w:cs="宋体" w:asciiTheme="minorEastAsia" w:hAnsiTheme="minorEastAsia" w:eastAsiaTheme="minorEastAsia"/>
          <w:bCs/>
          <w:kern w:val="0"/>
        </w:rPr>
        <w:t>公司不断开发新产品，满足不同客户的需求，磷酸镧铈铽、超高纯氧化钇、小粒度大比表面积氧化钇、低钍高振密度氧化镥、低铁高纯氧化镧与氧化Y+Eu系列等产品是公司的品牌。</w:t>
      </w:r>
    </w:p>
    <w:p>
      <w:pPr>
        <w:adjustRightInd w:val="0"/>
        <w:snapToGrid w:val="0"/>
        <w:spacing w:line="360" w:lineRule="auto"/>
        <w:rPr>
          <w:rFonts w:ascii="Arial" w:hAnsi="Arial" w:cs="Arial" w:eastAsiaTheme="minorEastAsia"/>
          <w:szCs w:val="21"/>
        </w:rPr>
      </w:pPr>
      <w:r>
        <w:rPr>
          <w:rFonts w:ascii="Arial" w:hAnsi="Arial" w:cs="Arial" w:eastAsiaTheme="minorEastAsia"/>
          <w:szCs w:val="21"/>
        </w:rPr>
        <w:t>4、主要工作过程</w:t>
      </w:r>
    </w:p>
    <w:p>
      <w:pPr>
        <w:adjustRightInd w:val="0"/>
        <w:snapToGrid w:val="0"/>
        <w:spacing w:line="360" w:lineRule="auto"/>
        <w:rPr>
          <w:rFonts w:ascii="Arial" w:hAnsi="Arial" w:cs="Arial" w:eastAsiaTheme="minorEastAsia"/>
          <w:szCs w:val="21"/>
        </w:rPr>
      </w:pPr>
      <w:r>
        <w:rPr>
          <w:rFonts w:ascii="Arial" w:hAnsi="Arial" w:cs="Arial" w:eastAsiaTheme="minorEastAsia"/>
          <w:szCs w:val="21"/>
        </w:rPr>
        <w:t>4.1国内外标准的收集</w:t>
      </w:r>
    </w:p>
    <w:p>
      <w:pPr>
        <w:adjustRightInd w:val="0"/>
        <w:snapToGrid w:val="0"/>
        <w:spacing w:line="360" w:lineRule="auto"/>
        <w:ind w:firstLine="420" w:firstLineChars="200"/>
        <w:rPr>
          <w:rFonts w:ascii="Arial" w:hAnsi="Arial" w:cs="Arial" w:eastAsiaTheme="minorEastAsia"/>
          <w:szCs w:val="21"/>
        </w:rPr>
      </w:pPr>
      <w:r>
        <w:rPr>
          <w:rFonts w:ascii="Arial" w:hAnsi="Arial" w:cs="Arial" w:eastAsiaTheme="minorEastAsia"/>
          <w:szCs w:val="21"/>
        </w:rPr>
        <w:t>本标准是基于GB/T 1</w:t>
      </w:r>
      <w:r>
        <w:rPr>
          <w:rFonts w:hint="eastAsia" w:ascii="Arial" w:hAnsi="Arial" w:cs="Arial" w:eastAsiaTheme="minorEastAsia"/>
          <w:szCs w:val="21"/>
        </w:rPr>
        <w:t>8115.1</w:t>
      </w:r>
      <w:r>
        <w:rPr>
          <w:rFonts w:ascii="Arial" w:hAnsi="Arial" w:cs="Arial" w:eastAsiaTheme="minorEastAsia"/>
          <w:szCs w:val="21"/>
        </w:rPr>
        <w:t>-2006进行修订的，未查到其它与本标准完全一致的国内或国外标准。</w:t>
      </w:r>
    </w:p>
    <w:p>
      <w:pPr>
        <w:adjustRightInd w:val="0"/>
        <w:snapToGrid w:val="0"/>
        <w:spacing w:line="360" w:lineRule="auto"/>
        <w:ind w:firstLine="420" w:firstLineChars="200"/>
        <w:rPr>
          <w:rFonts w:ascii="Arial" w:hAnsi="Arial" w:cs="Arial" w:eastAsiaTheme="minorEastAsia"/>
          <w:szCs w:val="21"/>
        </w:rPr>
      </w:pPr>
      <w:r>
        <w:rPr>
          <w:rFonts w:ascii="Arial" w:hAnsi="Arial" w:cs="Arial" w:eastAsiaTheme="minorEastAsia"/>
          <w:szCs w:val="21"/>
        </w:rPr>
        <w:t>4.2方法1主要工作过程</w:t>
      </w:r>
    </w:p>
    <w:p>
      <w:pPr>
        <w:adjustRightInd w:val="0"/>
        <w:snapToGrid w:val="0"/>
        <w:spacing w:line="360" w:lineRule="auto"/>
        <w:ind w:firstLine="420" w:firstLineChars="200"/>
        <w:rPr>
          <w:rFonts w:ascii="Arial" w:hAnsi="Arial" w:cs="Arial" w:eastAsiaTheme="minorEastAsia"/>
          <w:szCs w:val="21"/>
        </w:rPr>
      </w:pPr>
      <w:r>
        <w:rPr>
          <w:rFonts w:ascii="Arial" w:hAnsi="Arial" w:cs="Arial" w:eastAsiaTheme="minorEastAsia"/>
          <w:szCs w:val="21"/>
        </w:rPr>
        <w:t>——</w:t>
      </w:r>
      <w:r>
        <w:rPr>
          <w:rFonts w:hint="eastAsia" w:ascii="Arial" w:hAnsi="Arial" w:cs="Arial" w:eastAsiaTheme="minorEastAsia"/>
          <w:szCs w:val="21"/>
        </w:rPr>
        <w:t>2016年11月，编写国标起草项目建议书。</w:t>
      </w:r>
    </w:p>
    <w:p>
      <w:pPr>
        <w:adjustRightInd w:val="0"/>
        <w:snapToGrid w:val="0"/>
        <w:spacing w:line="360" w:lineRule="auto"/>
        <w:ind w:firstLine="420" w:firstLineChars="200"/>
        <w:rPr>
          <w:rFonts w:ascii="Arial" w:hAnsi="Arial" w:cs="Arial" w:eastAsiaTheme="minorEastAsia"/>
          <w:szCs w:val="21"/>
        </w:rPr>
      </w:pPr>
      <w:r>
        <w:rPr>
          <w:rFonts w:ascii="Arial" w:hAnsi="Arial" w:cs="Arial" w:eastAsiaTheme="minorEastAsia"/>
          <w:szCs w:val="21"/>
        </w:rPr>
        <w:t>——</w:t>
      </w:r>
      <w:r>
        <w:rPr>
          <w:rFonts w:hint="eastAsia" w:ascii="Arial" w:hAnsi="Arial" w:cs="Arial" w:eastAsiaTheme="minorEastAsia"/>
          <w:szCs w:val="21"/>
        </w:rPr>
        <w:t>2016年12月，向全国稀土标准化委员会提出立项申请。</w:t>
      </w:r>
    </w:p>
    <w:p>
      <w:pPr>
        <w:adjustRightInd w:val="0"/>
        <w:snapToGrid w:val="0"/>
        <w:spacing w:line="360" w:lineRule="auto"/>
        <w:ind w:firstLine="210" w:firstLineChars="100"/>
        <w:rPr>
          <w:rFonts w:ascii="Arial" w:hAnsi="Arial" w:cs="Arial" w:eastAsiaTheme="minorEastAsia"/>
          <w:szCs w:val="21"/>
        </w:rPr>
      </w:pPr>
      <w:r>
        <w:rPr>
          <w:rFonts w:ascii="Arial" w:hAnsi="Arial" w:cs="Arial" w:eastAsiaTheme="minorEastAsia"/>
          <w:szCs w:val="21"/>
        </w:rPr>
        <w:t>——</w:t>
      </w:r>
      <w:r>
        <w:rPr>
          <w:rFonts w:hint="eastAsia" w:ascii="Arial" w:hAnsi="Arial" w:cs="Arial" w:eastAsiaTheme="minorEastAsia"/>
          <w:szCs w:val="21"/>
        </w:rPr>
        <w:t>2017年12月，获得国标委的批复，项目计划编号：</w:t>
      </w:r>
      <w:r>
        <w:rPr>
          <w:rFonts w:ascii="Arial" w:hAnsi="Arial" w:cs="Arial" w:eastAsiaTheme="minorEastAsia"/>
          <w:szCs w:val="21"/>
        </w:rPr>
        <w:t>201</w:t>
      </w:r>
      <w:r>
        <w:rPr>
          <w:rFonts w:hint="eastAsia" w:ascii="Arial" w:hAnsi="Arial" w:cs="Arial" w:eastAsiaTheme="minorEastAsia"/>
          <w:szCs w:val="21"/>
        </w:rPr>
        <w:t>73580</w:t>
      </w:r>
      <w:r>
        <w:rPr>
          <w:rFonts w:ascii="Arial" w:hAnsi="Arial" w:cs="Arial" w:eastAsiaTheme="minorEastAsia"/>
          <w:szCs w:val="21"/>
        </w:rPr>
        <w:t>-T-469</w:t>
      </w:r>
    </w:p>
    <w:p>
      <w:pPr>
        <w:adjustRightInd w:val="0"/>
        <w:snapToGrid w:val="0"/>
        <w:spacing w:line="360" w:lineRule="auto"/>
        <w:ind w:firstLine="210" w:firstLineChars="100"/>
        <w:rPr>
          <w:rFonts w:ascii="Arial" w:hAnsi="Arial" w:cs="Arial" w:eastAsiaTheme="minorEastAsia"/>
          <w:szCs w:val="21"/>
        </w:rPr>
      </w:pPr>
      <w:r>
        <w:rPr>
          <w:rFonts w:ascii="Arial" w:hAnsi="Arial" w:cs="Arial" w:eastAsiaTheme="minorEastAsia"/>
          <w:szCs w:val="21"/>
        </w:rPr>
        <w:t>——201</w:t>
      </w:r>
      <w:r>
        <w:rPr>
          <w:rFonts w:hint="eastAsia" w:ascii="Arial" w:hAnsi="Arial" w:cs="Arial" w:eastAsiaTheme="minorEastAsia"/>
          <w:szCs w:val="21"/>
        </w:rPr>
        <w:t>8</w:t>
      </w:r>
      <w:r>
        <w:rPr>
          <w:rFonts w:ascii="Arial" w:hAnsi="Arial" w:cs="Arial" w:eastAsiaTheme="minorEastAsia"/>
          <w:szCs w:val="21"/>
        </w:rPr>
        <w:t>年</w:t>
      </w:r>
      <w:r>
        <w:rPr>
          <w:rFonts w:hint="eastAsia" w:ascii="Arial" w:hAnsi="Arial" w:cs="Arial" w:eastAsiaTheme="minorEastAsia"/>
          <w:szCs w:val="21"/>
        </w:rPr>
        <w:t>1</w:t>
      </w:r>
      <w:r>
        <w:rPr>
          <w:rFonts w:ascii="Arial" w:hAnsi="Arial" w:cs="Arial" w:eastAsiaTheme="minorEastAsia"/>
          <w:szCs w:val="21"/>
        </w:rPr>
        <w:t>月，全国稀土标准化化技术委员会召开任务落实会，确定由江阴加华新材料资源有限公司起草本标准，虔东稀土集团股份有限公司、</w:t>
      </w:r>
      <w:r>
        <w:rPr>
          <w:rFonts w:hint="eastAsia" w:ascii="Arial" w:hAnsi="Arial" w:cs="Arial" w:eastAsiaTheme="minorEastAsia"/>
          <w:szCs w:val="21"/>
        </w:rPr>
        <w:t>赣州晨光稀土新材料有限公司、</w:t>
      </w:r>
      <w:r>
        <w:rPr>
          <w:rFonts w:ascii="Arial" w:hAnsi="Arial" w:cs="Arial" w:eastAsiaTheme="minorEastAsia"/>
          <w:szCs w:val="21"/>
        </w:rPr>
        <w:t>钢研纳克检测技术</w:t>
      </w:r>
      <w:r>
        <w:rPr>
          <w:rFonts w:hint="eastAsia" w:ascii="Arial" w:hAnsi="Arial" w:cs="Arial" w:eastAsiaTheme="minorEastAsia"/>
          <w:szCs w:val="21"/>
        </w:rPr>
        <w:t>股份</w:t>
      </w:r>
      <w:r>
        <w:rPr>
          <w:rFonts w:ascii="Arial" w:hAnsi="Arial" w:cs="Arial" w:eastAsiaTheme="minorEastAsia"/>
          <w:szCs w:val="21"/>
        </w:rPr>
        <w:t>有限公司、</w:t>
      </w:r>
      <w:r>
        <w:rPr>
          <w:rFonts w:hint="eastAsia" w:ascii="Arial" w:hAnsi="Arial" w:cs="Arial" w:eastAsiaTheme="minorEastAsia"/>
          <w:szCs w:val="21"/>
        </w:rPr>
        <w:t>赣县红金稀土有限公司、</w:t>
      </w:r>
      <w:r>
        <w:rPr>
          <w:rFonts w:ascii="Arial" w:hAnsi="Arial" w:cs="Arial" w:eastAsiaTheme="minorEastAsia"/>
          <w:szCs w:val="21"/>
        </w:rPr>
        <w:t>中国有色桂林矿产地质研究院有限公司等</w:t>
      </w:r>
      <w:r>
        <w:rPr>
          <w:rFonts w:hint="eastAsia" w:ascii="Arial" w:hAnsi="Arial" w:cs="Arial" w:eastAsiaTheme="minorEastAsia"/>
          <w:szCs w:val="21"/>
        </w:rPr>
        <w:t>7</w:t>
      </w:r>
      <w:r>
        <w:rPr>
          <w:rFonts w:ascii="Arial" w:hAnsi="Arial" w:cs="Arial" w:eastAsiaTheme="minorEastAsia"/>
          <w:szCs w:val="21"/>
        </w:rPr>
        <w:t>家单位参与起草验证。</w:t>
      </w:r>
    </w:p>
    <w:p>
      <w:pPr>
        <w:adjustRightInd w:val="0"/>
        <w:snapToGrid w:val="0"/>
        <w:spacing w:line="360" w:lineRule="auto"/>
        <w:ind w:firstLine="420" w:firstLineChars="200"/>
        <w:rPr>
          <w:rFonts w:ascii="Arial" w:hAnsi="Arial" w:cs="Arial" w:eastAsiaTheme="minorEastAsia"/>
          <w:szCs w:val="21"/>
        </w:rPr>
      </w:pPr>
      <w:r>
        <w:rPr>
          <w:rFonts w:ascii="Arial" w:hAnsi="Arial" w:cs="Arial" w:eastAsiaTheme="minorEastAsia"/>
          <w:szCs w:val="21"/>
        </w:rPr>
        <w:t>——201</w:t>
      </w:r>
      <w:r>
        <w:rPr>
          <w:rFonts w:hint="eastAsia" w:ascii="Arial" w:hAnsi="Arial" w:cs="Arial" w:eastAsiaTheme="minorEastAsia"/>
          <w:szCs w:val="21"/>
        </w:rPr>
        <w:t>8</w:t>
      </w:r>
      <w:r>
        <w:rPr>
          <w:rFonts w:ascii="Arial" w:hAnsi="Arial" w:cs="Arial" w:eastAsiaTheme="minorEastAsia"/>
          <w:szCs w:val="21"/>
        </w:rPr>
        <w:t>年</w:t>
      </w:r>
      <w:r>
        <w:rPr>
          <w:rFonts w:hint="eastAsia" w:ascii="Arial" w:hAnsi="Arial" w:cs="Arial" w:eastAsiaTheme="minorEastAsia"/>
          <w:szCs w:val="21"/>
        </w:rPr>
        <w:t>3</w:t>
      </w:r>
      <w:r>
        <w:rPr>
          <w:rFonts w:ascii="Arial" w:hAnsi="Arial" w:cs="Arial" w:eastAsiaTheme="minorEastAsia"/>
          <w:szCs w:val="21"/>
        </w:rPr>
        <w:t>月至201</w:t>
      </w:r>
      <w:r>
        <w:rPr>
          <w:rFonts w:hint="eastAsia" w:ascii="Arial" w:hAnsi="Arial" w:cs="Arial" w:eastAsiaTheme="minorEastAsia"/>
          <w:szCs w:val="21"/>
        </w:rPr>
        <w:t>8</w:t>
      </w:r>
      <w:r>
        <w:rPr>
          <w:rFonts w:ascii="Arial" w:hAnsi="Arial" w:cs="Arial" w:eastAsiaTheme="minorEastAsia"/>
          <w:szCs w:val="21"/>
        </w:rPr>
        <w:t>年</w:t>
      </w:r>
      <w:r>
        <w:rPr>
          <w:rFonts w:hint="eastAsia" w:ascii="Arial" w:hAnsi="Arial" w:cs="Arial" w:eastAsiaTheme="minorEastAsia"/>
          <w:szCs w:val="21"/>
        </w:rPr>
        <w:t>8</w:t>
      </w:r>
      <w:r>
        <w:rPr>
          <w:rFonts w:ascii="Arial" w:hAnsi="Arial" w:cs="Arial" w:eastAsiaTheme="minorEastAsia"/>
          <w:szCs w:val="21"/>
        </w:rPr>
        <w:t>月研制统一样品，准备相关材料，负责起草单位分组分人员根据试验方案进行不同的方法试验，完成试验报告和标准征求意见稿的编写工作。</w:t>
      </w:r>
    </w:p>
    <w:p>
      <w:pPr>
        <w:adjustRightInd w:val="0"/>
        <w:snapToGrid w:val="0"/>
        <w:spacing w:line="360" w:lineRule="auto"/>
        <w:ind w:firstLine="420" w:firstLineChars="200"/>
        <w:rPr>
          <w:rFonts w:ascii="Arial" w:hAnsi="Arial" w:cs="Arial" w:eastAsiaTheme="minorEastAsia"/>
          <w:szCs w:val="21"/>
        </w:rPr>
      </w:pPr>
      <w:r>
        <w:rPr>
          <w:rFonts w:ascii="Arial" w:hAnsi="Arial" w:cs="Arial" w:eastAsiaTheme="minorEastAsia"/>
          <w:szCs w:val="21"/>
        </w:rPr>
        <w:t>——201</w:t>
      </w:r>
      <w:r>
        <w:rPr>
          <w:rFonts w:hint="eastAsia" w:ascii="Arial" w:hAnsi="Arial" w:cs="Arial" w:eastAsiaTheme="minorEastAsia"/>
          <w:szCs w:val="21"/>
        </w:rPr>
        <w:t>8</w:t>
      </w:r>
      <w:r>
        <w:rPr>
          <w:rFonts w:ascii="Arial" w:hAnsi="Arial" w:cs="Arial" w:eastAsiaTheme="minorEastAsia"/>
          <w:szCs w:val="21"/>
        </w:rPr>
        <w:t>年</w:t>
      </w:r>
      <w:r>
        <w:rPr>
          <w:rFonts w:hint="eastAsia" w:ascii="Arial" w:hAnsi="Arial" w:cs="Arial" w:eastAsiaTheme="minorEastAsia"/>
          <w:szCs w:val="21"/>
        </w:rPr>
        <w:t>8</w:t>
      </w:r>
      <w:r>
        <w:rPr>
          <w:rFonts w:ascii="Arial" w:hAnsi="Arial" w:cs="Arial" w:eastAsiaTheme="minorEastAsia"/>
          <w:szCs w:val="21"/>
        </w:rPr>
        <w:t>月</w:t>
      </w:r>
      <w:r>
        <w:rPr>
          <w:rFonts w:hint="eastAsia" w:ascii="Arial" w:hAnsi="Arial" w:cs="Arial" w:eastAsiaTheme="minorEastAsia"/>
          <w:szCs w:val="21"/>
        </w:rPr>
        <w:t>下旬</w:t>
      </w:r>
      <w:r>
        <w:rPr>
          <w:rFonts w:ascii="Arial" w:hAnsi="Arial" w:cs="Arial" w:eastAsiaTheme="minorEastAsia"/>
          <w:szCs w:val="21"/>
        </w:rPr>
        <w:t>，将试验样品和试验报告寄发给有关验证单位，进行方法的验证和征求意见稿的意见征求工作。</w:t>
      </w:r>
    </w:p>
    <w:p>
      <w:pPr>
        <w:adjustRightInd w:val="0"/>
        <w:snapToGrid w:val="0"/>
        <w:spacing w:line="360" w:lineRule="auto"/>
        <w:ind w:firstLine="420" w:firstLineChars="200"/>
        <w:rPr>
          <w:rFonts w:ascii="Arial" w:hAnsi="Arial" w:cs="Arial" w:eastAsiaTheme="minorEastAsia"/>
          <w:szCs w:val="21"/>
        </w:rPr>
      </w:pPr>
      <w:r>
        <w:rPr>
          <w:rFonts w:ascii="Arial" w:hAnsi="Arial" w:cs="Arial" w:eastAsiaTheme="minorEastAsia"/>
          <w:szCs w:val="21"/>
        </w:rPr>
        <w:t>——201</w:t>
      </w:r>
      <w:r>
        <w:rPr>
          <w:rFonts w:hint="eastAsia" w:ascii="Arial" w:hAnsi="Arial" w:cs="Arial" w:eastAsiaTheme="minorEastAsia"/>
          <w:szCs w:val="21"/>
        </w:rPr>
        <w:t>9</w:t>
      </w:r>
      <w:r>
        <w:rPr>
          <w:rFonts w:ascii="Arial" w:hAnsi="Arial" w:cs="Arial" w:eastAsiaTheme="minorEastAsia"/>
          <w:szCs w:val="21"/>
        </w:rPr>
        <w:t>年</w:t>
      </w:r>
      <w:r>
        <w:rPr>
          <w:rFonts w:hint="eastAsia" w:ascii="Arial" w:hAnsi="Arial" w:cs="Arial" w:eastAsiaTheme="minorEastAsia"/>
          <w:szCs w:val="21"/>
        </w:rPr>
        <w:t>3</w:t>
      </w:r>
      <w:r>
        <w:rPr>
          <w:rFonts w:ascii="Arial" w:hAnsi="Arial" w:cs="Arial" w:eastAsiaTheme="minorEastAsia"/>
          <w:szCs w:val="21"/>
        </w:rPr>
        <w:t>月上旬各相关验证单位完成一验和二验，返回验证报告和意见。完成精密度试验和数据统计工作。根据征求意见，修改征求意见稿并形成预审稿。</w:t>
      </w:r>
    </w:p>
    <w:p>
      <w:pPr>
        <w:adjustRightInd w:val="0"/>
        <w:snapToGrid w:val="0"/>
        <w:spacing w:line="360" w:lineRule="auto"/>
        <w:ind w:firstLine="420" w:firstLineChars="200"/>
        <w:rPr>
          <w:rFonts w:ascii="Arial" w:hAnsi="Arial" w:cs="Arial" w:eastAsiaTheme="minorEastAsia"/>
          <w:szCs w:val="21"/>
        </w:rPr>
      </w:pPr>
      <w:r>
        <w:rPr>
          <w:rFonts w:ascii="Arial" w:hAnsi="Arial" w:cs="Arial" w:eastAsiaTheme="minorEastAsia"/>
          <w:szCs w:val="21"/>
        </w:rPr>
        <w:t>——201</w:t>
      </w:r>
      <w:r>
        <w:rPr>
          <w:rFonts w:hint="eastAsia" w:ascii="Arial" w:hAnsi="Arial" w:cs="Arial" w:eastAsiaTheme="minorEastAsia"/>
          <w:szCs w:val="21"/>
        </w:rPr>
        <w:t>9</w:t>
      </w:r>
      <w:r>
        <w:rPr>
          <w:rFonts w:ascii="Arial" w:hAnsi="Arial" w:cs="Arial" w:eastAsiaTheme="minorEastAsia"/>
          <w:szCs w:val="21"/>
        </w:rPr>
        <w:t>年</w:t>
      </w:r>
      <w:r>
        <w:rPr>
          <w:rFonts w:hint="eastAsia" w:ascii="Arial" w:hAnsi="Arial" w:cs="Arial" w:eastAsiaTheme="minorEastAsia"/>
          <w:szCs w:val="21"/>
          <w:lang w:val="en-US" w:eastAsia="zh-CN"/>
        </w:rPr>
        <w:t>4</w:t>
      </w:r>
      <w:r>
        <w:rPr>
          <w:rFonts w:ascii="Arial" w:hAnsi="Arial" w:cs="Arial" w:eastAsiaTheme="minorEastAsia"/>
          <w:szCs w:val="21"/>
        </w:rPr>
        <w:t>月</w:t>
      </w:r>
      <w:r>
        <w:rPr>
          <w:rFonts w:hint="eastAsia" w:ascii="Arial" w:hAnsi="Arial" w:cs="Arial" w:eastAsiaTheme="minorEastAsia"/>
          <w:szCs w:val="21"/>
          <w:lang w:eastAsia="zh-CN"/>
        </w:rPr>
        <w:t>至</w:t>
      </w:r>
      <w:r>
        <w:rPr>
          <w:rFonts w:hint="eastAsia" w:ascii="Arial" w:hAnsi="Arial" w:cs="Arial" w:eastAsiaTheme="minorEastAsia"/>
          <w:szCs w:val="21"/>
          <w:lang w:val="en-US" w:eastAsia="zh-CN"/>
        </w:rPr>
        <w:t>7月，</w:t>
      </w:r>
      <w:r>
        <w:rPr>
          <w:rFonts w:ascii="Arial" w:hAnsi="Arial" w:cs="Arial" w:eastAsiaTheme="minorEastAsia"/>
          <w:szCs w:val="21"/>
        </w:rPr>
        <w:t>根据预审会议意见进行补充实验，修改预审稿并形成标准送审稿。</w:t>
      </w:r>
    </w:p>
    <w:p>
      <w:pPr>
        <w:adjustRightInd w:val="0"/>
        <w:snapToGrid w:val="0"/>
        <w:spacing w:line="360" w:lineRule="auto"/>
        <w:rPr>
          <w:rFonts w:ascii="Arial" w:hAnsi="Arial" w:cs="Arial" w:eastAsiaTheme="minorEastAsia"/>
          <w:szCs w:val="21"/>
        </w:rPr>
      </w:pPr>
      <w:r>
        <w:rPr>
          <w:rFonts w:ascii="Arial" w:hAnsi="Arial" w:cs="Arial" w:eastAsiaTheme="minorEastAsia"/>
          <w:szCs w:val="21"/>
        </w:rPr>
        <w:t>4.</w:t>
      </w:r>
      <w:r>
        <w:rPr>
          <w:rFonts w:hint="eastAsia" w:ascii="Arial" w:hAnsi="Arial" w:cs="Arial" w:eastAsiaTheme="minorEastAsia"/>
          <w:szCs w:val="21"/>
        </w:rPr>
        <w:t>3</w:t>
      </w:r>
      <w:r>
        <w:rPr>
          <w:rFonts w:ascii="Arial" w:hAnsi="Arial" w:cs="Arial" w:eastAsiaTheme="minorEastAsia"/>
          <w:szCs w:val="21"/>
        </w:rPr>
        <w:t>方法</w:t>
      </w:r>
      <w:r>
        <w:rPr>
          <w:rFonts w:hint="eastAsia" w:ascii="Arial" w:hAnsi="Arial" w:cs="Arial" w:eastAsiaTheme="minorEastAsia"/>
          <w:szCs w:val="21"/>
        </w:rPr>
        <w:t>2</w:t>
      </w:r>
      <w:r>
        <w:rPr>
          <w:rFonts w:ascii="Arial" w:hAnsi="Arial" w:cs="Arial" w:eastAsiaTheme="minorEastAsia"/>
          <w:szCs w:val="21"/>
        </w:rPr>
        <w:t>主要工作过程</w:t>
      </w:r>
    </w:p>
    <w:p>
      <w:pPr>
        <w:adjustRightInd w:val="0"/>
        <w:snapToGrid w:val="0"/>
        <w:spacing w:line="360" w:lineRule="auto"/>
        <w:ind w:firstLine="420" w:firstLineChars="200"/>
        <w:rPr>
          <w:rFonts w:ascii="Arial" w:hAnsi="Arial" w:cs="Arial" w:eastAsiaTheme="minorEastAsia"/>
          <w:szCs w:val="21"/>
        </w:rPr>
      </w:pPr>
      <w:r>
        <w:rPr>
          <w:rFonts w:ascii="Arial" w:hAnsi="Arial" w:cs="Arial" w:eastAsiaTheme="minorEastAsia"/>
          <w:szCs w:val="21"/>
        </w:rPr>
        <w:t>——</w:t>
      </w:r>
      <w:r>
        <w:rPr>
          <w:rFonts w:hint="eastAsia" w:ascii="Arial" w:hAnsi="Arial" w:cs="Arial" w:eastAsiaTheme="minorEastAsia"/>
          <w:szCs w:val="21"/>
        </w:rPr>
        <w:t>2016年11月，编写国标起草项目建议书。</w:t>
      </w:r>
    </w:p>
    <w:p>
      <w:pPr>
        <w:adjustRightInd w:val="0"/>
        <w:snapToGrid w:val="0"/>
        <w:spacing w:line="360" w:lineRule="auto"/>
        <w:ind w:firstLine="420" w:firstLineChars="200"/>
        <w:rPr>
          <w:rFonts w:ascii="Arial" w:hAnsi="Arial" w:cs="Arial" w:eastAsiaTheme="minorEastAsia"/>
          <w:szCs w:val="21"/>
        </w:rPr>
      </w:pPr>
      <w:r>
        <w:rPr>
          <w:rFonts w:ascii="Arial" w:hAnsi="Arial" w:cs="Arial" w:eastAsiaTheme="minorEastAsia"/>
          <w:szCs w:val="21"/>
        </w:rPr>
        <w:t>——</w:t>
      </w:r>
      <w:r>
        <w:rPr>
          <w:rFonts w:hint="eastAsia" w:ascii="Arial" w:hAnsi="Arial" w:cs="Arial" w:eastAsiaTheme="minorEastAsia"/>
          <w:szCs w:val="21"/>
        </w:rPr>
        <w:t>2016年12月，向全国稀土标准化委员会提出立项申请。</w:t>
      </w:r>
    </w:p>
    <w:p>
      <w:pPr>
        <w:adjustRightInd w:val="0"/>
        <w:snapToGrid w:val="0"/>
        <w:spacing w:line="360" w:lineRule="auto"/>
        <w:ind w:firstLine="420" w:firstLineChars="200"/>
        <w:rPr>
          <w:rFonts w:ascii="Arial" w:hAnsi="Arial" w:cs="Arial" w:eastAsiaTheme="minorEastAsia"/>
          <w:szCs w:val="21"/>
        </w:rPr>
      </w:pPr>
      <w:r>
        <w:rPr>
          <w:rFonts w:ascii="Arial" w:hAnsi="Arial" w:cs="Arial" w:eastAsiaTheme="minorEastAsia"/>
          <w:szCs w:val="21"/>
        </w:rPr>
        <w:t>——</w:t>
      </w:r>
      <w:r>
        <w:rPr>
          <w:rFonts w:hint="eastAsia" w:ascii="Arial" w:hAnsi="Arial" w:cs="Arial" w:eastAsiaTheme="minorEastAsia"/>
          <w:szCs w:val="21"/>
        </w:rPr>
        <w:t>2017年12月，获得国标委的批复，项目计划编号：</w:t>
      </w:r>
      <w:r>
        <w:rPr>
          <w:rFonts w:ascii="Arial" w:hAnsi="Arial" w:cs="Arial" w:eastAsiaTheme="minorEastAsia"/>
          <w:szCs w:val="21"/>
        </w:rPr>
        <w:t>201</w:t>
      </w:r>
      <w:r>
        <w:rPr>
          <w:rFonts w:hint="eastAsia" w:ascii="Arial" w:hAnsi="Arial" w:cs="Arial" w:eastAsiaTheme="minorEastAsia"/>
          <w:szCs w:val="21"/>
        </w:rPr>
        <w:t>73580</w:t>
      </w:r>
      <w:r>
        <w:rPr>
          <w:rFonts w:ascii="Arial" w:hAnsi="Arial" w:cs="Arial" w:eastAsiaTheme="minorEastAsia"/>
          <w:szCs w:val="21"/>
        </w:rPr>
        <w:t>-T-469</w:t>
      </w:r>
    </w:p>
    <w:p>
      <w:pPr>
        <w:adjustRightInd w:val="0"/>
        <w:snapToGrid w:val="0"/>
        <w:spacing w:line="360" w:lineRule="auto"/>
        <w:ind w:firstLine="420" w:firstLineChars="200"/>
        <w:rPr>
          <w:rFonts w:ascii="Arial" w:hAnsi="Arial" w:cs="Arial" w:eastAsiaTheme="minorEastAsia"/>
          <w:szCs w:val="21"/>
        </w:rPr>
      </w:pPr>
      <w:r>
        <w:rPr>
          <w:rFonts w:ascii="Arial" w:hAnsi="Arial" w:cs="Arial" w:eastAsiaTheme="minorEastAsia"/>
          <w:szCs w:val="21"/>
        </w:rPr>
        <w:t>——201</w:t>
      </w:r>
      <w:r>
        <w:rPr>
          <w:rFonts w:hint="eastAsia" w:ascii="Arial" w:hAnsi="Arial" w:cs="Arial" w:eastAsiaTheme="minorEastAsia"/>
          <w:szCs w:val="21"/>
        </w:rPr>
        <w:t>8</w:t>
      </w:r>
      <w:r>
        <w:rPr>
          <w:rFonts w:ascii="Arial" w:hAnsi="Arial" w:cs="Arial" w:eastAsiaTheme="minorEastAsia"/>
          <w:szCs w:val="21"/>
        </w:rPr>
        <w:t>年</w:t>
      </w:r>
      <w:r>
        <w:rPr>
          <w:rFonts w:hint="eastAsia" w:ascii="Arial" w:hAnsi="Arial" w:cs="Arial" w:eastAsiaTheme="minorEastAsia"/>
          <w:szCs w:val="21"/>
        </w:rPr>
        <w:t>1</w:t>
      </w:r>
      <w:r>
        <w:rPr>
          <w:rFonts w:ascii="Arial" w:hAnsi="Arial" w:cs="Arial" w:eastAsiaTheme="minorEastAsia"/>
          <w:szCs w:val="21"/>
        </w:rPr>
        <w:t>月，全国稀土标准化化技术委员会召开任务落实会，确定由江阴加华新材料资源有限公司起草本标准，湖南稀土金属材料研究院、</w:t>
      </w:r>
      <w:r>
        <w:rPr>
          <w:rFonts w:hint="eastAsia" w:ascii="Arial" w:hAnsi="Arial" w:cs="Arial" w:eastAsiaTheme="minorEastAsia"/>
          <w:szCs w:val="21"/>
        </w:rPr>
        <w:t>定南大华新材料资源有限公司、广东珠江稀土有限公司</w:t>
      </w:r>
      <w:r>
        <w:rPr>
          <w:rFonts w:ascii="Arial" w:hAnsi="Arial" w:cs="Arial" w:eastAsiaTheme="minorEastAsia"/>
          <w:szCs w:val="21"/>
        </w:rPr>
        <w:t>、钢研纳克检测技术</w:t>
      </w:r>
      <w:r>
        <w:rPr>
          <w:rFonts w:hint="eastAsia" w:ascii="Arial" w:hAnsi="Arial" w:cs="Arial" w:eastAsiaTheme="minorEastAsia"/>
          <w:szCs w:val="21"/>
        </w:rPr>
        <w:t>股份</w:t>
      </w:r>
      <w:r>
        <w:rPr>
          <w:rFonts w:ascii="Arial" w:hAnsi="Arial" w:cs="Arial" w:eastAsiaTheme="minorEastAsia"/>
          <w:szCs w:val="21"/>
        </w:rPr>
        <w:t>有限公司、</w:t>
      </w:r>
      <w:r>
        <w:rPr>
          <w:rFonts w:hint="eastAsia" w:ascii="Arial" w:hAnsi="Arial" w:cs="Arial" w:eastAsiaTheme="minorEastAsia"/>
          <w:szCs w:val="21"/>
        </w:rPr>
        <w:t>福建省长汀金龙稀土有限公司</w:t>
      </w:r>
      <w:r>
        <w:rPr>
          <w:rFonts w:ascii="Arial" w:hAnsi="Arial" w:cs="Arial" w:eastAsiaTheme="minorEastAsia"/>
          <w:szCs w:val="21"/>
        </w:rPr>
        <w:t>等</w:t>
      </w:r>
      <w:r>
        <w:rPr>
          <w:rFonts w:hint="eastAsia" w:ascii="Arial" w:hAnsi="Arial" w:cs="Arial" w:eastAsiaTheme="minorEastAsia"/>
          <w:szCs w:val="21"/>
        </w:rPr>
        <w:t>8</w:t>
      </w:r>
      <w:r>
        <w:rPr>
          <w:rFonts w:ascii="Arial" w:hAnsi="Arial" w:cs="Arial" w:eastAsiaTheme="minorEastAsia"/>
          <w:szCs w:val="21"/>
        </w:rPr>
        <w:t>家单位参与起草验证。</w:t>
      </w:r>
    </w:p>
    <w:p>
      <w:pPr>
        <w:adjustRightInd w:val="0"/>
        <w:snapToGrid w:val="0"/>
        <w:spacing w:line="360" w:lineRule="auto"/>
        <w:ind w:firstLine="420" w:firstLineChars="200"/>
        <w:rPr>
          <w:rFonts w:ascii="Arial" w:hAnsi="Arial" w:cs="Arial" w:eastAsiaTheme="minorEastAsia"/>
          <w:szCs w:val="21"/>
        </w:rPr>
      </w:pPr>
      <w:r>
        <w:rPr>
          <w:rFonts w:ascii="Arial" w:hAnsi="Arial" w:cs="Arial" w:eastAsiaTheme="minorEastAsia"/>
          <w:szCs w:val="21"/>
        </w:rPr>
        <w:t>——201</w:t>
      </w:r>
      <w:r>
        <w:rPr>
          <w:rFonts w:hint="eastAsia" w:ascii="Arial" w:hAnsi="Arial" w:cs="Arial" w:eastAsiaTheme="minorEastAsia"/>
          <w:szCs w:val="21"/>
        </w:rPr>
        <w:t>8</w:t>
      </w:r>
      <w:r>
        <w:rPr>
          <w:rFonts w:ascii="Arial" w:hAnsi="Arial" w:cs="Arial" w:eastAsiaTheme="minorEastAsia"/>
          <w:szCs w:val="21"/>
        </w:rPr>
        <w:t>年</w:t>
      </w:r>
      <w:r>
        <w:rPr>
          <w:rFonts w:hint="eastAsia" w:ascii="Arial" w:hAnsi="Arial" w:cs="Arial" w:eastAsiaTheme="minorEastAsia"/>
          <w:szCs w:val="21"/>
        </w:rPr>
        <w:t>3</w:t>
      </w:r>
      <w:r>
        <w:rPr>
          <w:rFonts w:ascii="Arial" w:hAnsi="Arial" w:cs="Arial" w:eastAsiaTheme="minorEastAsia"/>
          <w:szCs w:val="21"/>
        </w:rPr>
        <w:t>月至201</w:t>
      </w:r>
      <w:r>
        <w:rPr>
          <w:rFonts w:hint="eastAsia" w:ascii="Arial" w:hAnsi="Arial" w:cs="Arial" w:eastAsiaTheme="minorEastAsia"/>
          <w:szCs w:val="21"/>
        </w:rPr>
        <w:t>8</w:t>
      </w:r>
      <w:r>
        <w:rPr>
          <w:rFonts w:ascii="Arial" w:hAnsi="Arial" w:cs="Arial" w:eastAsiaTheme="minorEastAsia"/>
          <w:szCs w:val="21"/>
        </w:rPr>
        <w:t>年</w:t>
      </w:r>
      <w:r>
        <w:rPr>
          <w:rFonts w:hint="eastAsia" w:ascii="Arial" w:hAnsi="Arial" w:cs="Arial" w:eastAsiaTheme="minorEastAsia"/>
          <w:szCs w:val="21"/>
        </w:rPr>
        <w:t>8</w:t>
      </w:r>
      <w:r>
        <w:rPr>
          <w:rFonts w:ascii="Arial" w:hAnsi="Arial" w:cs="Arial" w:eastAsiaTheme="minorEastAsia"/>
          <w:szCs w:val="21"/>
        </w:rPr>
        <w:t>月研制统一样品，准备相关材料，负责起草单位分组分人员根据试验方案进行不同的方法试验，完成试验报告和标准征求意见稿的编写工作。</w:t>
      </w:r>
    </w:p>
    <w:p>
      <w:pPr>
        <w:adjustRightInd w:val="0"/>
        <w:snapToGrid w:val="0"/>
        <w:spacing w:line="360" w:lineRule="auto"/>
        <w:ind w:firstLine="420" w:firstLineChars="200"/>
        <w:rPr>
          <w:rFonts w:ascii="Arial" w:hAnsi="Arial" w:cs="Arial" w:eastAsiaTheme="minorEastAsia"/>
          <w:szCs w:val="21"/>
        </w:rPr>
      </w:pPr>
      <w:r>
        <w:rPr>
          <w:rFonts w:ascii="Arial" w:hAnsi="Arial" w:cs="Arial" w:eastAsiaTheme="minorEastAsia"/>
          <w:szCs w:val="21"/>
        </w:rPr>
        <w:t>——201</w:t>
      </w:r>
      <w:r>
        <w:rPr>
          <w:rFonts w:hint="eastAsia" w:ascii="Arial" w:hAnsi="Arial" w:cs="Arial" w:eastAsiaTheme="minorEastAsia"/>
          <w:szCs w:val="21"/>
        </w:rPr>
        <w:t>8</w:t>
      </w:r>
      <w:r>
        <w:rPr>
          <w:rFonts w:ascii="Arial" w:hAnsi="Arial" w:cs="Arial" w:eastAsiaTheme="minorEastAsia"/>
          <w:szCs w:val="21"/>
        </w:rPr>
        <w:t>年</w:t>
      </w:r>
      <w:r>
        <w:rPr>
          <w:rFonts w:hint="eastAsia" w:ascii="Arial" w:hAnsi="Arial" w:cs="Arial" w:eastAsiaTheme="minorEastAsia"/>
          <w:szCs w:val="21"/>
        </w:rPr>
        <w:t>8</w:t>
      </w:r>
      <w:r>
        <w:rPr>
          <w:rFonts w:ascii="Arial" w:hAnsi="Arial" w:cs="Arial" w:eastAsiaTheme="minorEastAsia"/>
          <w:szCs w:val="21"/>
        </w:rPr>
        <w:t>月</w:t>
      </w:r>
      <w:r>
        <w:rPr>
          <w:rFonts w:hint="eastAsia" w:ascii="Arial" w:hAnsi="Arial" w:cs="Arial" w:eastAsiaTheme="minorEastAsia"/>
          <w:szCs w:val="21"/>
        </w:rPr>
        <w:t>下旬</w:t>
      </w:r>
      <w:r>
        <w:rPr>
          <w:rFonts w:ascii="Arial" w:hAnsi="Arial" w:cs="Arial" w:eastAsiaTheme="minorEastAsia"/>
          <w:szCs w:val="21"/>
        </w:rPr>
        <w:t>，将试验样品和试验报告寄发给有关验证单位，进行方法的验证和征求意见稿的意见征求工作。</w:t>
      </w:r>
    </w:p>
    <w:p>
      <w:pPr>
        <w:adjustRightInd w:val="0"/>
        <w:snapToGrid w:val="0"/>
        <w:spacing w:line="360" w:lineRule="auto"/>
        <w:ind w:firstLine="420" w:firstLineChars="200"/>
        <w:rPr>
          <w:rFonts w:ascii="Arial" w:hAnsi="Arial" w:cs="Arial" w:eastAsiaTheme="minorEastAsia"/>
          <w:szCs w:val="21"/>
        </w:rPr>
      </w:pPr>
      <w:r>
        <w:rPr>
          <w:rFonts w:ascii="Arial" w:hAnsi="Arial" w:cs="Arial" w:eastAsiaTheme="minorEastAsia"/>
          <w:szCs w:val="21"/>
        </w:rPr>
        <w:t>——201</w:t>
      </w:r>
      <w:r>
        <w:rPr>
          <w:rFonts w:hint="eastAsia" w:ascii="Arial" w:hAnsi="Arial" w:cs="Arial" w:eastAsiaTheme="minorEastAsia"/>
          <w:szCs w:val="21"/>
        </w:rPr>
        <w:t>9</w:t>
      </w:r>
      <w:r>
        <w:rPr>
          <w:rFonts w:ascii="Arial" w:hAnsi="Arial" w:cs="Arial" w:eastAsiaTheme="minorEastAsia"/>
          <w:szCs w:val="21"/>
        </w:rPr>
        <w:t>年</w:t>
      </w:r>
      <w:r>
        <w:rPr>
          <w:rFonts w:hint="eastAsia" w:ascii="Arial" w:hAnsi="Arial" w:cs="Arial" w:eastAsiaTheme="minorEastAsia"/>
          <w:szCs w:val="21"/>
        </w:rPr>
        <w:t>3</w:t>
      </w:r>
      <w:r>
        <w:rPr>
          <w:rFonts w:ascii="Arial" w:hAnsi="Arial" w:cs="Arial" w:eastAsiaTheme="minorEastAsia"/>
          <w:szCs w:val="21"/>
        </w:rPr>
        <w:t>月上旬各相关验证单位完成一验和二验，返回验证报告和意见。完成精密度试验和数据统计工作。根据征求意见，修改征求意见稿并形成预审稿。</w:t>
      </w:r>
    </w:p>
    <w:p>
      <w:pPr>
        <w:adjustRightInd w:val="0"/>
        <w:snapToGrid w:val="0"/>
        <w:spacing w:line="360" w:lineRule="auto"/>
        <w:ind w:firstLine="420" w:firstLineChars="200"/>
        <w:rPr>
          <w:rFonts w:ascii="Arial" w:hAnsi="Arial" w:cs="Arial" w:eastAsiaTheme="minorEastAsia"/>
          <w:szCs w:val="21"/>
        </w:rPr>
      </w:pPr>
      <w:r>
        <w:rPr>
          <w:rFonts w:ascii="Arial" w:hAnsi="Arial" w:cs="Arial" w:eastAsiaTheme="minorEastAsia"/>
          <w:szCs w:val="21"/>
        </w:rPr>
        <w:t>——201</w:t>
      </w:r>
      <w:r>
        <w:rPr>
          <w:rFonts w:hint="eastAsia" w:ascii="Arial" w:hAnsi="Arial" w:cs="Arial" w:eastAsiaTheme="minorEastAsia"/>
          <w:szCs w:val="21"/>
        </w:rPr>
        <w:t>9</w:t>
      </w:r>
      <w:r>
        <w:rPr>
          <w:rFonts w:ascii="Arial" w:hAnsi="Arial" w:cs="Arial" w:eastAsiaTheme="minorEastAsia"/>
          <w:szCs w:val="21"/>
        </w:rPr>
        <w:t>年</w:t>
      </w:r>
      <w:r>
        <w:rPr>
          <w:rFonts w:hint="eastAsia" w:ascii="Arial" w:hAnsi="Arial" w:cs="Arial" w:eastAsiaTheme="minorEastAsia"/>
          <w:szCs w:val="21"/>
          <w:lang w:val="en-US" w:eastAsia="zh-CN"/>
        </w:rPr>
        <w:t>4</w:t>
      </w:r>
      <w:r>
        <w:rPr>
          <w:rFonts w:ascii="Arial" w:hAnsi="Arial" w:cs="Arial" w:eastAsiaTheme="minorEastAsia"/>
          <w:szCs w:val="21"/>
        </w:rPr>
        <w:t>月</w:t>
      </w:r>
      <w:r>
        <w:rPr>
          <w:rFonts w:hint="eastAsia" w:ascii="Arial" w:hAnsi="Arial" w:cs="Arial" w:eastAsiaTheme="minorEastAsia"/>
          <w:szCs w:val="21"/>
          <w:lang w:eastAsia="zh-CN"/>
        </w:rPr>
        <w:t>至</w:t>
      </w:r>
      <w:r>
        <w:rPr>
          <w:rFonts w:hint="eastAsia" w:ascii="Arial" w:hAnsi="Arial" w:cs="Arial" w:eastAsiaTheme="minorEastAsia"/>
          <w:szCs w:val="21"/>
          <w:lang w:val="en-US" w:eastAsia="zh-CN"/>
        </w:rPr>
        <w:t>7月，</w:t>
      </w:r>
      <w:r>
        <w:rPr>
          <w:rFonts w:ascii="Arial" w:hAnsi="Arial" w:cs="Arial" w:eastAsiaTheme="minorEastAsia"/>
          <w:szCs w:val="21"/>
        </w:rPr>
        <w:t>根据预审会议意见进行补充实验，修改预审稿并形成标准送审稿。</w:t>
      </w:r>
    </w:p>
    <w:p>
      <w:pPr>
        <w:adjustRightInd w:val="0"/>
        <w:snapToGrid w:val="0"/>
        <w:spacing w:line="360" w:lineRule="auto"/>
        <w:rPr>
          <w:rFonts w:ascii="Arial" w:hAnsi="Arial" w:cs="Arial" w:eastAsiaTheme="minorEastAsia"/>
          <w:szCs w:val="21"/>
        </w:rPr>
      </w:pPr>
      <w:r>
        <w:rPr>
          <w:rFonts w:ascii="Arial" w:hAnsi="Arial" w:cs="Arial" w:eastAsiaTheme="minorEastAsia"/>
          <w:szCs w:val="21"/>
        </w:rPr>
        <w:t>4.</w:t>
      </w:r>
      <w:r>
        <w:rPr>
          <w:rFonts w:hint="eastAsia" w:ascii="Arial" w:hAnsi="Arial" w:cs="Arial" w:eastAsiaTheme="minorEastAsia"/>
          <w:szCs w:val="21"/>
          <w:lang w:val="en-US" w:eastAsia="zh-CN"/>
        </w:rPr>
        <w:t>4</w:t>
      </w:r>
      <w:r>
        <w:rPr>
          <w:rFonts w:ascii="Arial" w:hAnsi="Arial" w:cs="Arial" w:eastAsiaTheme="minorEastAsia"/>
          <w:szCs w:val="21"/>
        </w:rPr>
        <w:t>参加稀土标委会工作会议情况</w:t>
      </w:r>
    </w:p>
    <w:p>
      <w:pPr>
        <w:adjustRightInd w:val="0"/>
        <w:snapToGrid w:val="0"/>
        <w:spacing w:line="360" w:lineRule="auto"/>
        <w:ind w:firstLine="420" w:firstLineChars="200"/>
        <w:rPr>
          <w:rFonts w:ascii="Arial" w:hAnsi="Arial" w:cs="Arial" w:eastAsiaTheme="minorEastAsia"/>
          <w:szCs w:val="21"/>
        </w:rPr>
      </w:pPr>
      <w:r>
        <w:rPr>
          <w:rFonts w:ascii="Arial" w:hAnsi="Arial" w:cs="Arial" w:eastAsiaTheme="minorEastAsia"/>
          <w:szCs w:val="21"/>
        </w:rPr>
        <w:t>4.</w:t>
      </w:r>
      <w:r>
        <w:rPr>
          <w:rFonts w:hint="eastAsia" w:ascii="Arial" w:hAnsi="Arial" w:cs="Arial" w:eastAsiaTheme="minorEastAsia"/>
          <w:szCs w:val="21"/>
          <w:lang w:val="en-US" w:eastAsia="zh-CN"/>
        </w:rPr>
        <w:t>4</w:t>
      </w:r>
      <w:r>
        <w:rPr>
          <w:rFonts w:ascii="Arial" w:hAnsi="Arial" w:cs="Arial" w:eastAsiaTheme="minorEastAsia"/>
          <w:szCs w:val="21"/>
        </w:rPr>
        <w:t>.1第一次标准工作会议（预审会）</w:t>
      </w:r>
    </w:p>
    <w:p>
      <w:pPr>
        <w:adjustRightInd w:val="0"/>
        <w:snapToGrid w:val="0"/>
        <w:spacing w:line="360" w:lineRule="auto"/>
        <w:ind w:firstLine="480" w:firstLineChars="200"/>
        <w:rPr>
          <w:rFonts w:ascii="Arial" w:hAnsi="Arial" w:cs="Arial" w:eastAsiaTheme="minorEastAsia"/>
          <w:szCs w:val="21"/>
        </w:rPr>
      </w:pPr>
      <w:r>
        <w:rPr>
          <w:rFonts w:hint="eastAsia" w:ascii="宋体" w:hAnsi="宋体" w:eastAsia="宋体" w:cs="宋体"/>
          <w:kern w:val="2"/>
          <w:sz w:val="24"/>
          <w:szCs w:val="24"/>
          <w:lang w:val="en-US" w:eastAsia="zh-CN" w:bidi="ar"/>
        </w:rPr>
        <w:t>2</w:t>
      </w:r>
      <w:r>
        <w:rPr>
          <w:rFonts w:hint="eastAsia" w:ascii="Arial" w:hAnsi="Arial" w:cs="Arial" w:eastAsiaTheme="minorEastAsia"/>
          <w:szCs w:val="21"/>
          <w:lang w:val="en-US" w:eastAsia="zh-CN"/>
        </w:rPr>
        <w:t>019年4月15日至17日，在浙江省嘉兴市</w:t>
      </w:r>
      <w:r>
        <w:rPr>
          <w:rFonts w:ascii="Arial" w:hAnsi="Arial" w:cs="Arial" w:eastAsiaTheme="minorEastAsia"/>
          <w:szCs w:val="21"/>
        </w:rPr>
        <w:t>召开《稀土金属及其氧化物中稀土杂质化学分析方法第</w:t>
      </w:r>
      <w:r>
        <w:rPr>
          <w:rFonts w:hint="eastAsia" w:ascii="Arial" w:hAnsi="Arial" w:cs="Arial" w:eastAsiaTheme="minorEastAsia"/>
          <w:szCs w:val="21"/>
          <w:lang w:eastAsia="zh-CN"/>
        </w:rPr>
        <w:t>一</w:t>
      </w:r>
      <w:r>
        <w:rPr>
          <w:rFonts w:ascii="Arial" w:hAnsi="Arial" w:cs="Arial" w:eastAsiaTheme="minorEastAsia"/>
          <w:szCs w:val="21"/>
        </w:rPr>
        <w:t>部分：</w:t>
      </w:r>
      <w:r>
        <w:rPr>
          <w:rFonts w:hint="eastAsia" w:ascii="Arial" w:hAnsi="Arial" w:cs="Arial" w:eastAsiaTheme="minorEastAsia"/>
          <w:szCs w:val="21"/>
          <w:lang w:val="en-US" w:eastAsia="zh-CN"/>
        </w:rPr>
        <w:t>镧中铈、镨、钕、钐、铕、钆、铽、镝、钬、铒、铥、镱、镥和钇量的测定</w:t>
      </w:r>
      <w:r>
        <w:rPr>
          <w:rFonts w:ascii="Arial" w:hAnsi="Arial" w:cs="Arial" w:eastAsiaTheme="minorEastAsia"/>
          <w:szCs w:val="21"/>
        </w:rPr>
        <w:t>》预审会，与会专家给予如下意见：</w:t>
      </w:r>
    </w:p>
    <w:p>
      <w:pPr>
        <w:adjustRightInd w:val="0"/>
        <w:snapToGrid w:val="0"/>
        <w:spacing w:line="360" w:lineRule="auto"/>
        <w:ind w:firstLine="420" w:firstLineChars="200"/>
        <w:rPr>
          <w:rFonts w:hint="eastAsia" w:ascii="Arial" w:hAnsi="Arial" w:cs="Arial" w:eastAsiaTheme="minorEastAsia"/>
          <w:szCs w:val="21"/>
        </w:rPr>
      </w:pPr>
      <w:r>
        <w:rPr>
          <w:rFonts w:ascii="Arial" w:hAnsi="Arial" w:cs="Arial" w:eastAsiaTheme="minorEastAsia"/>
          <w:szCs w:val="21"/>
        </w:rPr>
        <w:t>——</w:t>
      </w:r>
      <w:r>
        <w:rPr>
          <w:rFonts w:hint="eastAsia" w:ascii="Arial" w:hAnsi="Arial" w:cs="Arial" w:eastAsiaTheme="minorEastAsia"/>
          <w:szCs w:val="21"/>
          <w:lang w:val="en-US" w:eastAsia="zh-CN"/>
        </w:rPr>
        <w:t>建议在试验报告中补充方法1（电感耦合等离子光谱法）和方法2（电感耦合等离子质谱法）重叠部分的结果比对数据，以便有尽可能多的方法来证明分析方法的准确度。</w:t>
      </w:r>
      <w:r>
        <w:rPr>
          <w:rFonts w:hint="eastAsia" w:ascii="Arial" w:hAnsi="Arial" w:cs="Arial" w:eastAsiaTheme="minorEastAsia"/>
          <w:szCs w:val="21"/>
        </w:rPr>
        <w:t>采纳，已补充，见补充实验报告。</w:t>
      </w:r>
    </w:p>
    <w:p>
      <w:pPr>
        <w:adjustRightInd w:val="0"/>
        <w:snapToGrid w:val="0"/>
        <w:spacing w:line="360" w:lineRule="auto"/>
        <w:ind w:firstLine="420" w:firstLineChars="200"/>
        <w:rPr>
          <w:rFonts w:hint="eastAsia" w:ascii="Arial" w:hAnsi="Arial" w:cs="Arial" w:eastAsiaTheme="minorEastAsia"/>
          <w:szCs w:val="21"/>
          <w:lang w:val="en-US" w:eastAsia="zh-CN"/>
        </w:rPr>
      </w:pPr>
      <w:r>
        <w:rPr>
          <w:rFonts w:ascii="Arial" w:hAnsi="Arial" w:cs="Arial" w:eastAsiaTheme="minorEastAsia"/>
          <w:szCs w:val="21"/>
        </w:rPr>
        <w:t>——</w:t>
      </w:r>
      <w:r>
        <w:rPr>
          <w:rFonts w:hint="eastAsia" w:ascii="Arial" w:hAnsi="Arial" w:cs="Arial" w:eastAsiaTheme="minorEastAsia"/>
          <w:szCs w:val="21"/>
          <w:lang w:val="en-US" w:eastAsia="zh-CN"/>
        </w:rPr>
        <w:t>在方法1中增加一个测定下限点附近的统一样，进行精密度试验，使方法所定的测定下限有依据支撑。采纳，已补充，见补充实验报告。新增统一样比对结果良好。</w:t>
      </w:r>
    </w:p>
    <w:p>
      <w:pPr>
        <w:adjustRightInd w:val="0"/>
        <w:snapToGrid w:val="0"/>
        <w:spacing w:line="360" w:lineRule="auto"/>
        <w:ind w:firstLine="420" w:firstLineChars="200"/>
        <w:rPr>
          <w:rFonts w:hint="eastAsia" w:ascii="Arial" w:hAnsi="Arial" w:cs="Arial" w:eastAsiaTheme="minorEastAsia"/>
          <w:szCs w:val="21"/>
          <w:lang w:val="en-US" w:eastAsia="zh-CN"/>
        </w:rPr>
      </w:pPr>
      <w:r>
        <w:rPr>
          <w:rFonts w:ascii="Arial" w:hAnsi="Arial" w:cs="Arial" w:eastAsiaTheme="minorEastAsia"/>
          <w:szCs w:val="21"/>
        </w:rPr>
        <w:t>——</w:t>
      </w:r>
      <w:r>
        <w:rPr>
          <w:rFonts w:hint="eastAsia" w:ascii="Arial" w:hAnsi="Arial" w:cs="Arial" w:eastAsiaTheme="minorEastAsia"/>
          <w:szCs w:val="21"/>
          <w:lang w:val="en-US" w:eastAsia="zh-CN"/>
        </w:rPr>
        <w:t>方法1因测量范围宽，故建议采用分段式工作曲线来测定样品中的稀土杂质量，高段的基体浓度可适当降低。采纳，见方法送审稿。</w:t>
      </w:r>
    </w:p>
    <w:p>
      <w:pPr>
        <w:adjustRightInd w:val="0"/>
        <w:snapToGrid w:val="0"/>
        <w:spacing w:line="360" w:lineRule="auto"/>
        <w:ind w:firstLine="420" w:firstLineChars="200"/>
        <w:rPr>
          <w:rFonts w:hint="eastAsia" w:ascii="Arial" w:hAnsi="Arial" w:cs="Arial" w:eastAsiaTheme="minorEastAsia"/>
          <w:szCs w:val="21"/>
          <w:lang w:val="en-US" w:eastAsia="zh-CN"/>
        </w:rPr>
      </w:pPr>
      <w:r>
        <w:rPr>
          <w:rFonts w:ascii="Arial" w:hAnsi="Arial" w:cs="Arial" w:eastAsiaTheme="minorEastAsia"/>
          <w:szCs w:val="21"/>
        </w:rPr>
        <w:t>——</w:t>
      </w:r>
      <w:r>
        <w:rPr>
          <w:rFonts w:hint="eastAsia" w:ascii="Arial" w:hAnsi="Arial" w:cs="Arial" w:eastAsiaTheme="minorEastAsia"/>
          <w:szCs w:val="21"/>
          <w:lang w:val="en-US" w:eastAsia="zh-CN"/>
        </w:rPr>
        <w:t>正文文本中没有空白试验。需增加空白试验，及检测空白时所需的无基体标准系列。采纳，见方法送审稿。</w:t>
      </w:r>
    </w:p>
    <w:p>
      <w:pPr>
        <w:adjustRightInd w:val="0"/>
        <w:snapToGrid w:val="0"/>
        <w:spacing w:line="360" w:lineRule="auto"/>
        <w:ind w:firstLine="420" w:firstLineChars="200"/>
        <w:rPr>
          <w:rFonts w:ascii="Arial" w:hAnsi="Arial" w:cs="Arial" w:eastAsiaTheme="minorEastAsia"/>
          <w:szCs w:val="21"/>
        </w:rPr>
      </w:pPr>
      <w:r>
        <w:rPr>
          <w:rFonts w:ascii="Arial" w:hAnsi="Arial" w:cs="Arial" w:eastAsiaTheme="minorEastAsia"/>
          <w:szCs w:val="21"/>
        </w:rPr>
        <w:t>——</w:t>
      </w:r>
      <w:r>
        <w:rPr>
          <w:rFonts w:hint="eastAsia" w:ascii="Arial" w:hAnsi="Arial" w:cs="Arial" w:eastAsiaTheme="minorEastAsia"/>
          <w:szCs w:val="21"/>
          <w:lang w:val="en-US" w:eastAsia="zh-CN"/>
        </w:rPr>
        <w:t>在方法2试验报告中未对稀土杂质（质量分数在 &gt;0.0050%~0.010%）这类的分析试液制备有相关描述，需增加其内容。采纳，见试验报告。</w:t>
      </w:r>
    </w:p>
    <w:p>
      <w:pPr>
        <w:pStyle w:val="3"/>
        <w:numPr>
          <w:ilvl w:val="1"/>
          <w:numId w:val="0"/>
        </w:numPr>
        <w:spacing w:before="0" w:after="0"/>
        <w:ind w:leftChars="0"/>
        <w:rPr>
          <w:rFonts w:hint="default" w:ascii="Arial" w:hAnsi="Arial" w:cs="Arial" w:eastAsiaTheme="minorEastAsia"/>
          <w:szCs w:val="21"/>
          <w:lang w:val="en-US" w:eastAsia="zh-CN"/>
        </w:rPr>
      </w:pPr>
      <w:r>
        <w:rPr>
          <w:rFonts w:hint="eastAsia" w:asciiTheme="majorEastAsia" w:hAnsiTheme="majorEastAsia" w:eastAsiaTheme="majorEastAsia" w:cstheme="majorEastAsia"/>
          <w:sz w:val="21"/>
          <w:szCs w:val="21"/>
          <w:lang w:val="en-US" w:eastAsia="zh-CN"/>
        </w:rPr>
        <w:t>4.4.2</w:t>
      </w:r>
      <w:r>
        <w:rPr>
          <w:rFonts w:hint="eastAsia" w:asciiTheme="majorEastAsia" w:hAnsiTheme="majorEastAsia" w:eastAsiaTheme="majorEastAsia" w:cstheme="majorEastAsia"/>
          <w:sz w:val="21"/>
          <w:szCs w:val="21"/>
        </w:rPr>
        <w:t>第二次标准工作会议（审定会）</w:t>
      </w:r>
    </w:p>
    <w:p>
      <w:pPr>
        <w:adjustRightInd w:val="0"/>
        <w:snapToGrid w:val="0"/>
        <w:spacing w:line="360" w:lineRule="auto"/>
        <w:rPr>
          <w:rFonts w:ascii="Arial" w:hAnsi="Arial" w:cs="Arial" w:eastAsiaTheme="minorEastAsia"/>
          <w:szCs w:val="21"/>
        </w:rPr>
      </w:pPr>
      <w:r>
        <w:rPr>
          <w:rFonts w:ascii="Arial" w:hAnsi="Arial" w:cs="Arial" w:eastAsiaTheme="minorEastAsia"/>
          <w:szCs w:val="21"/>
        </w:rPr>
        <w:t>二、标准编制原则和主要内容</w:t>
      </w:r>
    </w:p>
    <w:p>
      <w:pPr>
        <w:adjustRightInd w:val="0"/>
        <w:snapToGrid w:val="0"/>
        <w:spacing w:line="360" w:lineRule="auto"/>
        <w:rPr>
          <w:rFonts w:ascii="Arial" w:hAnsi="Arial" w:cs="Arial" w:eastAsiaTheme="minorEastAsia"/>
          <w:szCs w:val="21"/>
        </w:rPr>
      </w:pPr>
      <w:r>
        <w:rPr>
          <w:rFonts w:ascii="Arial" w:hAnsi="Arial" w:cs="Arial" w:eastAsiaTheme="minorEastAsia"/>
          <w:szCs w:val="21"/>
        </w:rPr>
        <w:t>2.1 编制原则</w:t>
      </w:r>
    </w:p>
    <w:p>
      <w:pPr>
        <w:adjustRightInd w:val="0"/>
        <w:snapToGrid w:val="0"/>
        <w:spacing w:line="360" w:lineRule="auto"/>
        <w:ind w:firstLine="420" w:firstLineChars="200"/>
        <w:rPr>
          <w:rFonts w:ascii="Arial" w:hAnsi="Arial" w:cs="Arial" w:eastAsiaTheme="minorEastAsia"/>
          <w:szCs w:val="21"/>
        </w:rPr>
      </w:pPr>
      <w:r>
        <w:rPr>
          <w:rFonts w:ascii="Arial" w:hAnsi="Arial" w:cs="Arial" w:eastAsiaTheme="minorEastAsia"/>
          <w:szCs w:val="21"/>
        </w:rPr>
        <w:t>标准的格式严格按照GB/T 1.1-2009《标准化工作导则第1部分：标准的结构和编写》的规定进行。</w:t>
      </w:r>
    </w:p>
    <w:p>
      <w:pPr>
        <w:adjustRightInd w:val="0"/>
        <w:snapToGrid w:val="0"/>
        <w:spacing w:line="360" w:lineRule="auto"/>
        <w:ind w:firstLine="420" w:firstLineChars="200"/>
        <w:rPr>
          <w:rFonts w:ascii="Arial" w:hAnsi="Arial" w:cs="Arial" w:eastAsiaTheme="minorEastAsia"/>
          <w:szCs w:val="21"/>
        </w:rPr>
      </w:pPr>
      <w:r>
        <w:rPr>
          <w:rFonts w:ascii="Arial" w:hAnsi="Arial" w:cs="Arial" w:eastAsiaTheme="minorEastAsia"/>
          <w:szCs w:val="21"/>
        </w:rPr>
        <w:t>根据测定元素的不同，最终确定各元素测定方法的允许差。</w:t>
      </w:r>
    </w:p>
    <w:p>
      <w:pPr>
        <w:adjustRightInd w:val="0"/>
        <w:snapToGrid w:val="0"/>
        <w:spacing w:line="360" w:lineRule="auto"/>
        <w:ind w:firstLine="420" w:firstLineChars="200"/>
        <w:rPr>
          <w:rFonts w:ascii="Arial" w:hAnsi="Arial" w:cs="Arial" w:eastAsiaTheme="minorEastAsia"/>
          <w:szCs w:val="21"/>
        </w:rPr>
      </w:pPr>
      <w:r>
        <w:rPr>
          <w:rFonts w:ascii="Arial" w:hAnsi="Arial" w:cs="Arial" w:eastAsiaTheme="minorEastAsia"/>
          <w:szCs w:val="21"/>
        </w:rPr>
        <w:t>根据目前稀土金属及其氧化物的生产、应用和贸易要求确定分析方法及测定范围。</w:t>
      </w:r>
    </w:p>
    <w:p>
      <w:pPr>
        <w:adjustRightInd w:val="0"/>
        <w:snapToGrid w:val="0"/>
        <w:spacing w:line="360" w:lineRule="auto"/>
        <w:ind w:firstLine="420" w:firstLineChars="200"/>
        <w:rPr>
          <w:rFonts w:ascii="Arial" w:hAnsi="Arial" w:cs="Arial" w:eastAsiaTheme="minorEastAsia"/>
          <w:szCs w:val="21"/>
        </w:rPr>
      </w:pPr>
      <w:r>
        <w:rPr>
          <w:rFonts w:ascii="Arial" w:hAnsi="Arial" w:cs="Arial" w:eastAsiaTheme="minorEastAsia"/>
          <w:szCs w:val="21"/>
        </w:rPr>
        <w:t>本系列标准选择方法的原则主要考虑方法的适用性、准确性和一定的先进性。</w:t>
      </w:r>
    </w:p>
    <w:p>
      <w:pPr>
        <w:adjustRightInd w:val="0"/>
        <w:snapToGrid w:val="0"/>
        <w:spacing w:line="360" w:lineRule="auto"/>
        <w:rPr>
          <w:rFonts w:ascii="Arial" w:hAnsi="Arial" w:cs="Arial" w:eastAsiaTheme="minorEastAsia"/>
          <w:szCs w:val="21"/>
        </w:rPr>
      </w:pPr>
      <w:r>
        <w:rPr>
          <w:rFonts w:ascii="Arial" w:hAnsi="Arial" w:cs="Arial" w:eastAsiaTheme="minorEastAsia"/>
          <w:szCs w:val="21"/>
        </w:rPr>
        <w:t>2.2标准技术内容说明</w:t>
      </w:r>
    </w:p>
    <w:p>
      <w:pPr>
        <w:adjustRightInd w:val="0"/>
        <w:snapToGrid w:val="0"/>
        <w:spacing w:line="360" w:lineRule="auto"/>
        <w:rPr>
          <w:rFonts w:ascii="Arial" w:hAnsi="Arial" w:cs="Arial" w:eastAsiaTheme="minorEastAsia"/>
          <w:szCs w:val="21"/>
        </w:rPr>
      </w:pPr>
      <w:r>
        <w:rPr>
          <w:rFonts w:ascii="Arial" w:hAnsi="Arial" w:cs="Arial" w:eastAsiaTheme="minorEastAsia"/>
          <w:szCs w:val="21"/>
        </w:rPr>
        <w:t>2.2.1方法1：电感耦合等离子体发射光谱法</w:t>
      </w:r>
    </w:p>
    <w:p>
      <w:pPr>
        <w:adjustRightInd w:val="0"/>
        <w:snapToGrid w:val="0"/>
        <w:spacing w:line="360" w:lineRule="auto"/>
        <w:ind w:firstLine="420" w:firstLineChars="200"/>
        <w:rPr>
          <w:rFonts w:ascii="宋体" w:hAnsi="宋体" w:cs="宋体"/>
          <w:bCs/>
        </w:rPr>
      </w:pPr>
      <w:r>
        <w:rPr>
          <w:rFonts w:hint="eastAsia" w:ascii="宋体" w:hAnsi="宋体" w:cs="宋体"/>
          <w:bCs/>
        </w:rPr>
        <w:t>试样以盐酸溶解，在稀盐酸介质中，直接以氩等离子体光源激发，进行光谱测定，并用系数校正法校正被测稀土杂质元素间的光谱干扰，以基体匹配法校正基体对测定的影响。</w:t>
      </w:r>
    </w:p>
    <w:p>
      <w:pPr>
        <w:adjustRightInd w:val="0"/>
        <w:snapToGrid w:val="0"/>
        <w:spacing w:line="360" w:lineRule="auto"/>
        <w:ind w:firstLine="420" w:firstLineChars="200"/>
        <w:rPr>
          <w:rFonts w:ascii="Arial" w:hAnsi="Arial" w:cs="Arial" w:eastAsiaTheme="minorEastAsia"/>
          <w:szCs w:val="21"/>
        </w:rPr>
      </w:pPr>
      <w:r>
        <w:rPr>
          <w:rFonts w:ascii="Arial" w:hAnsi="Arial" w:cs="Arial" w:eastAsiaTheme="minorEastAsia"/>
          <w:szCs w:val="21"/>
        </w:rPr>
        <w:t>通过本次修订，扩展了方法1的测定范围，详情见下</w:t>
      </w:r>
      <w:r>
        <w:fldChar w:fldCharType="begin"/>
      </w:r>
      <w:r>
        <w:instrText xml:space="preserve">REF _Ref497251557 \h \* MERGEFORMAT </w:instrText>
      </w:r>
      <w:r>
        <w:fldChar w:fldCharType="separate"/>
      </w:r>
      <w:r>
        <w:rPr>
          <w:rFonts w:ascii="Arial" w:hAnsi="Arial" w:cs="Arial" w:eastAsiaTheme="minorEastAsia"/>
          <w:szCs w:val="21"/>
        </w:rPr>
        <w:t>表2</w:t>
      </w:r>
      <w:r>
        <w:rPr>
          <w:rFonts w:ascii="Arial" w:hAnsi="Arial" w:cs="Arial" w:eastAsiaTheme="minorEastAsia"/>
          <w:szCs w:val="21"/>
        </w:rPr>
        <w:fldChar w:fldCharType="end"/>
      </w:r>
      <w:r>
        <w:rPr>
          <w:rFonts w:ascii="Arial" w:hAnsi="Arial" w:cs="Arial" w:eastAsiaTheme="minorEastAsia"/>
          <w:szCs w:val="21"/>
        </w:rPr>
        <w:t>。将氧化铕，氧化钆，氧化</w:t>
      </w:r>
      <w:r>
        <w:rPr>
          <w:rFonts w:hint="eastAsia" w:ascii="Arial" w:hAnsi="Arial" w:cs="Arial" w:eastAsiaTheme="minorEastAsia"/>
          <w:szCs w:val="21"/>
        </w:rPr>
        <w:t>镝</w:t>
      </w:r>
      <w:r>
        <w:rPr>
          <w:rFonts w:ascii="Arial" w:hAnsi="Arial" w:cs="Arial" w:eastAsiaTheme="minorEastAsia"/>
          <w:szCs w:val="21"/>
        </w:rPr>
        <w:t>，氧化</w:t>
      </w:r>
      <w:r>
        <w:rPr>
          <w:rFonts w:hint="eastAsia" w:ascii="Arial" w:hAnsi="Arial" w:cs="Arial" w:eastAsiaTheme="minorEastAsia"/>
          <w:szCs w:val="21"/>
        </w:rPr>
        <w:t>钬</w:t>
      </w:r>
      <w:r>
        <w:rPr>
          <w:rFonts w:ascii="Arial" w:hAnsi="Arial" w:cs="Arial" w:eastAsiaTheme="minorEastAsia"/>
          <w:szCs w:val="21"/>
        </w:rPr>
        <w:t>，氧化</w:t>
      </w:r>
      <w:r>
        <w:rPr>
          <w:rFonts w:hint="eastAsia" w:ascii="Arial" w:hAnsi="Arial" w:cs="Arial" w:eastAsiaTheme="minorEastAsia"/>
          <w:szCs w:val="21"/>
        </w:rPr>
        <w:t>铒</w:t>
      </w:r>
      <w:r>
        <w:rPr>
          <w:rFonts w:ascii="Arial" w:hAnsi="Arial" w:cs="Arial" w:eastAsiaTheme="minorEastAsia"/>
          <w:szCs w:val="21"/>
        </w:rPr>
        <w:t>的下限调整为0.0003%，将氧化</w:t>
      </w:r>
      <w:r>
        <w:rPr>
          <w:rFonts w:hint="eastAsia" w:ascii="Arial" w:hAnsi="Arial" w:cs="Arial" w:eastAsiaTheme="minorEastAsia"/>
          <w:szCs w:val="21"/>
        </w:rPr>
        <w:t>铈</w:t>
      </w:r>
      <w:r>
        <w:rPr>
          <w:rFonts w:ascii="Arial" w:hAnsi="Arial" w:cs="Arial" w:eastAsiaTheme="minorEastAsia"/>
          <w:szCs w:val="21"/>
        </w:rPr>
        <w:t>，</w:t>
      </w:r>
      <w:r>
        <w:rPr>
          <w:rFonts w:hint="eastAsia" w:ascii="Arial" w:hAnsi="Arial" w:cs="Arial" w:eastAsiaTheme="minorEastAsia"/>
          <w:szCs w:val="21"/>
        </w:rPr>
        <w:t>氧化镨，氧化钕，氧化钐，氧化钇的</w:t>
      </w:r>
      <w:r>
        <w:rPr>
          <w:rFonts w:ascii="Arial" w:hAnsi="Arial" w:cs="Arial" w:eastAsiaTheme="minorEastAsia"/>
          <w:szCs w:val="21"/>
        </w:rPr>
        <w:t>上限调整为0.</w:t>
      </w:r>
      <w:r>
        <w:rPr>
          <w:rFonts w:hint="eastAsia" w:ascii="Arial" w:hAnsi="Arial" w:cs="Arial" w:eastAsiaTheme="minorEastAsia"/>
          <w:szCs w:val="21"/>
        </w:rPr>
        <w:t>2</w:t>
      </w:r>
      <w:r>
        <w:rPr>
          <w:rFonts w:ascii="Arial" w:hAnsi="Arial" w:cs="Arial" w:eastAsiaTheme="minorEastAsia"/>
          <w:szCs w:val="21"/>
        </w:rPr>
        <w:t>0%</w:t>
      </w:r>
      <w:r>
        <w:rPr>
          <w:rFonts w:hint="eastAsia" w:ascii="Arial" w:hAnsi="Arial" w:cs="Arial" w:eastAsiaTheme="minorEastAsia"/>
          <w:szCs w:val="21"/>
        </w:rPr>
        <w:t>，</w:t>
      </w:r>
      <w:r>
        <w:rPr>
          <w:rFonts w:ascii="Arial" w:hAnsi="Arial" w:cs="Arial" w:eastAsiaTheme="minorEastAsia"/>
          <w:szCs w:val="21"/>
        </w:rPr>
        <w:t>氧化</w:t>
      </w:r>
      <w:r>
        <w:rPr>
          <w:rFonts w:hint="eastAsia" w:ascii="Arial" w:hAnsi="Arial" w:cs="Arial" w:eastAsiaTheme="minorEastAsia"/>
          <w:szCs w:val="21"/>
        </w:rPr>
        <w:t>镝</w:t>
      </w:r>
      <w:r>
        <w:rPr>
          <w:rFonts w:ascii="Arial" w:hAnsi="Arial" w:cs="Arial" w:eastAsiaTheme="minorEastAsia"/>
          <w:szCs w:val="21"/>
        </w:rPr>
        <w:t>，</w:t>
      </w:r>
      <w:r>
        <w:rPr>
          <w:rFonts w:hint="eastAsia" w:ascii="Arial" w:hAnsi="Arial" w:cs="Arial" w:eastAsiaTheme="minorEastAsia"/>
          <w:szCs w:val="21"/>
        </w:rPr>
        <w:t>氧化钬，氧化铒，氧化铥，氧化镱，</w:t>
      </w:r>
      <w:r>
        <w:rPr>
          <w:rFonts w:ascii="Arial" w:hAnsi="Arial" w:cs="Arial" w:eastAsiaTheme="minorEastAsia"/>
          <w:szCs w:val="21"/>
        </w:rPr>
        <w:t>氧化镥的上限调整为0.</w:t>
      </w:r>
      <w:r>
        <w:rPr>
          <w:rFonts w:hint="eastAsia" w:ascii="Arial" w:hAnsi="Arial" w:cs="Arial" w:eastAsiaTheme="minorEastAsia"/>
          <w:szCs w:val="21"/>
        </w:rPr>
        <w:t>1</w:t>
      </w:r>
      <w:r>
        <w:rPr>
          <w:rFonts w:ascii="Arial" w:hAnsi="Arial" w:cs="Arial" w:eastAsiaTheme="minorEastAsia"/>
          <w:szCs w:val="21"/>
        </w:rPr>
        <w:t>0%。</w:t>
      </w:r>
    </w:p>
    <w:p>
      <w:pPr>
        <w:adjustRightInd w:val="0"/>
        <w:snapToGrid w:val="0"/>
        <w:spacing w:line="360" w:lineRule="auto"/>
        <w:jc w:val="center"/>
        <w:rPr>
          <w:rFonts w:ascii="Arial" w:hAnsi="Arial" w:cs="Arial" w:eastAsiaTheme="minorEastAsia"/>
          <w:szCs w:val="21"/>
        </w:rPr>
      </w:pPr>
      <w:bookmarkStart w:id="3" w:name="_Ref497251557"/>
      <w:r>
        <w:rPr>
          <w:rFonts w:ascii="Arial" w:hAnsi="Arial" w:cs="Arial" w:eastAsiaTheme="minorEastAsia"/>
          <w:szCs w:val="21"/>
        </w:rPr>
        <w:t>表</w:t>
      </w:r>
      <w:r>
        <w:rPr>
          <w:rFonts w:ascii="Arial" w:hAnsi="Arial" w:cs="Arial" w:eastAsiaTheme="minorEastAsia"/>
          <w:szCs w:val="21"/>
        </w:rPr>
        <w:fldChar w:fldCharType="begin"/>
      </w:r>
      <w:r>
        <w:rPr>
          <w:rFonts w:ascii="Arial" w:hAnsi="Arial" w:cs="Arial" w:eastAsiaTheme="minorEastAsia"/>
          <w:szCs w:val="21"/>
        </w:rPr>
        <w:instrText xml:space="preserve">SEQ 表 \* ARABIC</w:instrText>
      </w:r>
      <w:r>
        <w:rPr>
          <w:rFonts w:ascii="Arial" w:hAnsi="Arial" w:cs="Arial" w:eastAsiaTheme="minorEastAsia"/>
          <w:szCs w:val="21"/>
        </w:rPr>
        <w:fldChar w:fldCharType="separate"/>
      </w:r>
      <w:r>
        <w:rPr>
          <w:rFonts w:ascii="Arial" w:hAnsi="Arial" w:cs="Arial" w:eastAsiaTheme="minorEastAsia"/>
          <w:szCs w:val="21"/>
        </w:rPr>
        <w:t>2</w:t>
      </w:r>
      <w:r>
        <w:rPr>
          <w:rFonts w:ascii="Arial" w:hAnsi="Arial" w:cs="Arial" w:eastAsiaTheme="minorEastAsia"/>
          <w:szCs w:val="21"/>
        </w:rPr>
        <w:fldChar w:fldCharType="end"/>
      </w:r>
      <w:bookmarkEnd w:id="3"/>
    </w:p>
    <w:tbl>
      <w:tblPr>
        <w:tblStyle w:val="18"/>
        <w:tblW w:w="8552" w:type="dxa"/>
        <w:jc w:val="center"/>
        <w:tblInd w:w="-15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138"/>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138" w:type="dxa"/>
          </w:tcPr>
          <w:p>
            <w:pPr>
              <w:spacing w:line="300" w:lineRule="exact"/>
              <w:jc w:val="center"/>
              <w:rPr>
                <w:rFonts w:ascii="宋体" w:hAnsi="宋体"/>
                <w:sz w:val="18"/>
                <w:szCs w:val="18"/>
              </w:rPr>
            </w:pPr>
            <w:r>
              <w:rPr>
                <w:rFonts w:hint="eastAsia" w:ascii="宋体" w:hAnsi="宋体"/>
                <w:sz w:val="18"/>
                <w:szCs w:val="18"/>
              </w:rPr>
              <w:t>氧化物</w:t>
            </w:r>
          </w:p>
        </w:tc>
        <w:tc>
          <w:tcPr>
            <w:tcW w:w="2138" w:type="dxa"/>
          </w:tcPr>
          <w:p>
            <w:pPr>
              <w:spacing w:line="300" w:lineRule="exact"/>
              <w:jc w:val="center"/>
              <w:rPr>
                <w:rFonts w:ascii="宋体" w:hAnsi="宋体"/>
                <w:sz w:val="18"/>
                <w:szCs w:val="18"/>
              </w:rPr>
            </w:pPr>
            <w:r>
              <w:rPr>
                <w:rFonts w:hint="eastAsia" w:ascii="宋体" w:hAnsi="宋体"/>
                <w:sz w:val="18"/>
                <w:szCs w:val="18"/>
              </w:rPr>
              <w:t>质量分数/</w:t>
            </w:r>
            <w:r>
              <w:rPr>
                <w:rFonts w:ascii="宋体" w:hAnsi="宋体"/>
                <w:sz w:val="18"/>
                <w:szCs w:val="18"/>
              </w:rPr>
              <w:t xml:space="preserve"> %</w:t>
            </w:r>
          </w:p>
        </w:tc>
        <w:tc>
          <w:tcPr>
            <w:tcW w:w="2138" w:type="dxa"/>
          </w:tcPr>
          <w:p>
            <w:pPr>
              <w:spacing w:line="300" w:lineRule="exact"/>
              <w:jc w:val="center"/>
              <w:rPr>
                <w:rFonts w:ascii="宋体" w:hAnsi="宋体"/>
                <w:sz w:val="18"/>
                <w:szCs w:val="18"/>
              </w:rPr>
            </w:pPr>
            <w:r>
              <w:rPr>
                <w:rFonts w:hint="eastAsia" w:ascii="宋体" w:hAnsi="宋体"/>
                <w:sz w:val="18"/>
                <w:szCs w:val="18"/>
              </w:rPr>
              <w:t>氧化物</w:t>
            </w:r>
          </w:p>
        </w:tc>
        <w:tc>
          <w:tcPr>
            <w:tcW w:w="2138" w:type="dxa"/>
          </w:tcPr>
          <w:p>
            <w:pPr>
              <w:spacing w:line="300" w:lineRule="exact"/>
              <w:jc w:val="center"/>
              <w:rPr>
                <w:rFonts w:ascii="宋体" w:hAnsi="宋体"/>
                <w:sz w:val="18"/>
                <w:szCs w:val="18"/>
              </w:rPr>
            </w:pPr>
            <w:r>
              <w:rPr>
                <w:rFonts w:hint="eastAsia" w:ascii="宋体" w:hAnsi="宋体"/>
                <w:sz w:val="18"/>
                <w:szCs w:val="18"/>
              </w:rPr>
              <w:t>质量分数/</w:t>
            </w:r>
            <w:r>
              <w:rPr>
                <w:rFonts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4" w:hRule="atLeast"/>
          <w:jc w:val="center"/>
        </w:trPr>
        <w:tc>
          <w:tcPr>
            <w:tcW w:w="2138" w:type="dxa"/>
          </w:tcPr>
          <w:p>
            <w:pPr>
              <w:spacing w:line="300" w:lineRule="exact"/>
              <w:jc w:val="center"/>
              <w:rPr>
                <w:rFonts w:ascii="宋体" w:hAnsi="宋体"/>
                <w:sz w:val="18"/>
                <w:szCs w:val="18"/>
              </w:rPr>
            </w:pPr>
            <w:r>
              <w:rPr>
                <w:rFonts w:hint="eastAsia" w:ascii="宋体" w:hAnsi="宋体"/>
                <w:sz w:val="18"/>
                <w:szCs w:val="18"/>
              </w:rPr>
              <w:t>氧化铈</w:t>
            </w:r>
          </w:p>
          <w:p>
            <w:pPr>
              <w:spacing w:line="300" w:lineRule="exact"/>
              <w:jc w:val="center"/>
              <w:rPr>
                <w:rFonts w:ascii="宋体" w:hAnsi="宋体"/>
                <w:sz w:val="18"/>
                <w:szCs w:val="18"/>
              </w:rPr>
            </w:pPr>
            <w:r>
              <w:rPr>
                <w:rFonts w:hint="eastAsia" w:ascii="宋体" w:hAnsi="宋体"/>
                <w:sz w:val="18"/>
                <w:szCs w:val="18"/>
              </w:rPr>
              <w:t>氧化镨</w:t>
            </w:r>
          </w:p>
          <w:p>
            <w:pPr>
              <w:spacing w:line="300" w:lineRule="exact"/>
              <w:jc w:val="center"/>
              <w:rPr>
                <w:rFonts w:ascii="宋体" w:hAnsi="宋体"/>
                <w:sz w:val="18"/>
                <w:szCs w:val="18"/>
              </w:rPr>
            </w:pPr>
            <w:r>
              <w:rPr>
                <w:rFonts w:hint="eastAsia" w:ascii="宋体" w:hAnsi="宋体"/>
                <w:sz w:val="18"/>
                <w:szCs w:val="18"/>
              </w:rPr>
              <w:t>氧化钕</w:t>
            </w:r>
          </w:p>
          <w:p>
            <w:pPr>
              <w:spacing w:line="300" w:lineRule="exact"/>
              <w:jc w:val="center"/>
              <w:rPr>
                <w:rFonts w:ascii="宋体" w:hAnsi="宋体"/>
                <w:sz w:val="18"/>
                <w:szCs w:val="18"/>
              </w:rPr>
            </w:pPr>
            <w:r>
              <w:rPr>
                <w:rFonts w:hint="eastAsia" w:ascii="宋体" w:hAnsi="宋体"/>
                <w:sz w:val="18"/>
                <w:szCs w:val="18"/>
              </w:rPr>
              <w:t>氧化钐</w:t>
            </w:r>
          </w:p>
          <w:p>
            <w:pPr>
              <w:spacing w:line="300" w:lineRule="exact"/>
              <w:jc w:val="center"/>
              <w:rPr>
                <w:rFonts w:ascii="宋体" w:hAnsi="宋体"/>
                <w:sz w:val="18"/>
                <w:szCs w:val="18"/>
              </w:rPr>
            </w:pPr>
            <w:r>
              <w:rPr>
                <w:rFonts w:hint="eastAsia" w:ascii="宋体" w:hAnsi="宋体"/>
                <w:sz w:val="18"/>
                <w:szCs w:val="18"/>
              </w:rPr>
              <w:t>氧化铕</w:t>
            </w:r>
          </w:p>
          <w:p>
            <w:pPr>
              <w:spacing w:line="300" w:lineRule="exact"/>
              <w:jc w:val="center"/>
              <w:rPr>
                <w:rFonts w:ascii="宋体" w:hAnsi="宋体"/>
                <w:sz w:val="18"/>
                <w:szCs w:val="18"/>
              </w:rPr>
            </w:pPr>
            <w:r>
              <w:rPr>
                <w:rFonts w:hint="eastAsia" w:ascii="宋体" w:hAnsi="宋体"/>
                <w:sz w:val="18"/>
                <w:szCs w:val="18"/>
              </w:rPr>
              <w:t>氧化钆</w:t>
            </w:r>
          </w:p>
          <w:p>
            <w:pPr>
              <w:spacing w:line="300" w:lineRule="exact"/>
              <w:jc w:val="center"/>
              <w:rPr>
                <w:rFonts w:ascii="宋体" w:hAnsi="宋体"/>
                <w:szCs w:val="21"/>
              </w:rPr>
            </w:pPr>
            <w:r>
              <w:rPr>
                <w:rFonts w:hint="eastAsia" w:ascii="宋体" w:hAnsi="宋体"/>
                <w:sz w:val="18"/>
                <w:szCs w:val="18"/>
              </w:rPr>
              <w:t>氧化铽</w:t>
            </w:r>
          </w:p>
        </w:tc>
        <w:tc>
          <w:tcPr>
            <w:tcW w:w="2138" w:type="dxa"/>
          </w:tcPr>
          <w:p>
            <w:pPr>
              <w:spacing w:line="300" w:lineRule="exact"/>
              <w:jc w:val="center"/>
              <w:rPr>
                <w:szCs w:val="21"/>
              </w:rPr>
            </w:pPr>
            <w:r>
              <w:rPr>
                <w:szCs w:val="21"/>
              </w:rPr>
              <w:t>0.0005—0.20</w:t>
            </w:r>
          </w:p>
          <w:p>
            <w:pPr>
              <w:spacing w:line="300" w:lineRule="exact"/>
              <w:jc w:val="center"/>
              <w:rPr>
                <w:szCs w:val="21"/>
              </w:rPr>
            </w:pPr>
            <w:r>
              <w:rPr>
                <w:szCs w:val="21"/>
              </w:rPr>
              <w:t>0.0005—0.20</w:t>
            </w:r>
          </w:p>
          <w:p>
            <w:pPr>
              <w:spacing w:line="300" w:lineRule="exact"/>
              <w:jc w:val="center"/>
              <w:rPr>
                <w:szCs w:val="21"/>
              </w:rPr>
            </w:pPr>
            <w:r>
              <w:rPr>
                <w:szCs w:val="21"/>
              </w:rPr>
              <w:t>0.0005—0.20</w:t>
            </w:r>
          </w:p>
          <w:p>
            <w:pPr>
              <w:spacing w:line="300" w:lineRule="exact"/>
              <w:jc w:val="center"/>
              <w:rPr>
                <w:szCs w:val="21"/>
              </w:rPr>
            </w:pPr>
            <w:r>
              <w:rPr>
                <w:szCs w:val="21"/>
              </w:rPr>
              <w:t>0.0005—0.20</w:t>
            </w:r>
          </w:p>
          <w:p>
            <w:pPr>
              <w:spacing w:line="300" w:lineRule="exact"/>
              <w:jc w:val="center"/>
              <w:rPr>
                <w:szCs w:val="21"/>
              </w:rPr>
            </w:pPr>
            <w:r>
              <w:rPr>
                <w:szCs w:val="21"/>
              </w:rPr>
              <w:t>0.0003—0.10</w:t>
            </w:r>
          </w:p>
          <w:p>
            <w:pPr>
              <w:spacing w:line="300" w:lineRule="exact"/>
              <w:jc w:val="center"/>
              <w:rPr>
                <w:szCs w:val="21"/>
              </w:rPr>
            </w:pPr>
            <w:r>
              <w:rPr>
                <w:szCs w:val="21"/>
              </w:rPr>
              <w:t>0.0003—0.10</w:t>
            </w:r>
          </w:p>
          <w:p>
            <w:pPr>
              <w:spacing w:line="300" w:lineRule="exact"/>
              <w:jc w:val="center"/>
              <w:rPr>
                <w:rFonts w:ascii="宋体" w:hAnsi="宋体"/>
                <w:szCs w:val="21"/>
              </w:rPr>
            </w:pPr>
            <w:r>
              <w:rPr>
                <w:szCs w:val="21"/>
              </w:rPr>
              <w:t>0.0005—0.10</w:t>
            </w:r>
          </w:p>
        </w:tc>
        <w:tc>
          <w:tcPr>
            <w:tcW w:w="2138" w:type="dxa"/>
          </w:tcPr>
          <w:p>
            <w:pPr>
              <w:spacing w:line="300" w:lineRule="exact"/>
              <w:jc w:val="center"/>
              <w:rPr>
                <w:rFonts w:ascii="宋体" w:hAnsi="宋体"/>
                <w:sz w:val="18"/>
                <w:szCs w:val="18"/>
              </w:rPr>
            </w:pPr>
            <w:r>
              <w:rPr>
                <w:rFonts w:hint="eastAsia" w:ascii="宋体" w:hAnsi="宋体"/>
                <w:sz w:val="18"/>
                <w:szCs w:val="18"/>
              </w:rPr>
              <w:t>氧化镝</w:t>
            </w:r>
          </w:p>
          <w:p>
            <w:pPr>
              <w:spacing w:line="300" w:lineRule="exact"/>
              <w:jc w:val="center"/>
              <w:rPr>
                <w:rFonts w:ascii="宋体" w:hAnsi="宋体"/>
                <w:sz w:val="18"/>
                <w:szCs w:val="18"/>
              </w:rPr>
            </w:pPr>
            <w:r>
              <w:rPr>
                <w:rFonts w:hint="eastAsia" w:ascii="宋体" w:hAnsi="宋体"/>
                <w:sz w:val="18"/>
                <w:szCs w:val="18"/>
              </w:rPr>
              <w:t>氧化钬</w:t>
            </w:r>
          </w:p>
          <w:p>
            <w:pPr>
              <w:spacing w:line="300" w:lineRule="exact"/>
              <w:jc w:val="center"/>
              <w:rPr>
                <w:rFonts w:ascii="宋体" w:hAnsi="宋体"/>
                <w:sz w:val="18"/>
                <w:szCs w:val="18"/>
              </w:rPr>
            </w:pPr>
            <w:r>
              <w:rPr>
                <w:rFonts w:hint="eastAsia" w:ascii="宋体" w:hAnsi="宋体"/>
                <w:sz w:val="18"/>
                <w:szCs w:val="18"/>
              </w:rPr>
              <w:t>氧化铒</w:t>
            </w:r>
          </w:p>
          <w:p>
            <w:pPr>
              <w:spacing w:line="300" w:lineRule="exact"/>
              <w:jc w:val="center"/>
              <w:rPr>
                <w:rFonts w:ascii="宋体" w:hAnsi="宋体"/>
                <w:sz w:val="18"/>
                <w:szCs w:val="18"/>
              </w:rPr>
            </w:pPr>
            <w:r>
              <w:rPr>
                <w:rFonts w:hint="eastAsia" w:ascii="宋体" w:hAnsi="宋体"/>
                <w:sz w:val="18"/>
                <w:szCs w:val="18"/>
              </w:rPr>
              <w:t>氧化铥</w:t>
            </w:r>
          </w:p>
          <w:p>
            <w:pPr>
              <w:spacing w:line="300" w:lineRule="exact"/>
              <w:jc w:val="center"/>
              <w:rPr>
                <w:rFonts w:ascii="宋体" w:hAnsi="宋体"/>
                <w:sz w:val="18"/>
                <w:szCs w:val="18"/>
              </w:rPr>
            </w:pPr>
            <w:r>
              <w:rPr>
                <w:rFonts w:hint="eastAsia" w:ascii="宋体" w:hAnsi="宋体"/>
                <w:sz w:val="18"/>
                <w:szCs w:val="18"/>
              </w:rPr>
              <w:t>氧化镱</w:t>
            </w:r>
          </w:p>
          <w:p>
            <w:pPr>
              <w:spacing w:line="300" w:lineRule="exact"/>
              <w:jc w:val="center"/>
              <w:rPr>
                <w:rFonts w:ascii="宋体" w:hAnsi="宋体"/>
                <w:sz w:val="18"/>
                <w:szCs w:val="18"/>
              </w:rPr>
            </w:pPr>
            <w:r>
              <w:rPr>
                <w:rFonts w:hint="eastAsia" w:ascii="宋体" w:hAnsi="宋体"/>
                <w:sz w:val="18"/>
                <w:szCs w:val="18"/>
              </w:rPr>
              <w:t>氧化镥</w:t>
            </w:r>
          </w:p>
          <w:p>
            <w:pPr>
              <w:spacing w:line="300" w:lineRule="exact"/>
              <w:jc w:val="center"/>
              <w:rPr>
                <w:rFonts w:ascii="宋体" w:hAnsi="宋体"/>
                <w:szCs w:val="21"/>
              </w:rPr>
            </w:pPr>
            <w:r>
              <w:rPr>
                <w:rFonts w:hint="eastAsia" w:ascii="宋体" w:hAnsi="宋体"/>
                <w:sz w:val="18"/>
                <w:szCs w:val="18"/>
              </w:rPr>
              <w:t>氧化钇</w:t>
            </w:r>
          </w:p>
        </w:tc>
        <w:tc>
          <w:tcPr>
            <w:tcW w:w="2138" w:type="dxa"/>
          </w:tcPr>
          <w:p>
            <w:pPr>
              <w:spacing w:line="300" w:lineRule="exact"/>
              <w:jc w:val="center"/>
              <w:rPr>
                <w:szCs w:val="21"/>
              </w:rPr>
            </w:pPr>
            <w:r>
              <w:rPr>
                <w:szCs w:val="21"/>
              </w:rPr>
              <w:t>0.0003—0.10</w:t>
            </w:r>
          </w:p>
          <w:p>
            <w:pPr>
              <w:spacing w:line="300" w:lineRule="exact"/>
              <w:jc w:val="center"/>
              <w:rPr>
                <w:szCs w:val="21"/>
              </w:rPr>
            </w:pPr>
            <w:r>
              <w:rPr>
                <w:szCs w:val="21"/>
              </w:rPr>
              <w:t>0.0003—0.10</w:t>
            </w:r>
          </w:p>
          <w:p>
            <w:pPr>
              <w:spacing w:line="300" w:lineRule="exact"/>
              <w:jc w:val="center"/>
              <w:rPr>
                <w:szCs w:val="21"/>
              </w:rPr>
            </w:pPr>
            <w:r>
              <w:rPr>
                <w:szCs w:val="21"/>
              </w:rPr>
              <w:t>0.0003—0.10</w:t>
            </w:r>
          </w:p>
          <w:p>
            <w:pPr>
              <w:spacing w:line="300" w:lineRule="exact"/>
              <w:jc w:val="center"/>
              <w:rPr>
                <w:szCs w:val="21"/>
              </w:rPr>
            </w:pPr>
            <w:r>
              <w:rPr>
                <w:szCs w:val="21"/>
              </w:rPr>
              <w:t>0.0001—0.10</w:t>
            </w:r>
          </w:p>
          <w:p>
            <w:pPr>
              <w:spacing w:line="300" w:lineRule="exact"/>
              <w:jc w:val="center"/>
              <w:rPr>
                <w:szCs w:val="21"/>
              </w:rPr>
            </w:pPr>
            <w:r>
              <w:rPr>
                <w:szCs w:val="21"/>
              </w:rPr>
              <w:t>0.0001—0.10</w:t>
            </w:r>
          </w:p>
          <w:p>
            <w:pPr>
              <w:spacing w:line="300" w:lineRule="exact"/>
              <w:jc w:val="center"/>
              <w:rPr>
                <w:szCs w:val="21"/>
              </w:rPr>
            </w:pPr>
            <w:r>
              <w:rPr>
                <w:szCs w:val="21"/>
              </w:rPr>
              <w:t>0.0001—0.10</w:t>
            </w:r>
          </w:p>
          <w:p>
            <w:pPr>
              <w:spacing w:line="300" w:lineRule="exact"/>
              <w:jc w:val="center"/>
              <w:rPr>
                <w:rFonts w:ascii="宋体" w:hAnsi="宋体"/>
                <w:szCs w:val="21"/>
              </w:rPr>
            </w:pPr>
            <w:r>
              <w:rPr>
                <w:szCs w:val="21"/>
              </w:rPr>
              <w:t>0.0001—0.20</w:t>
            </w:r>
          </w:p>
        </w:tc>
      </w:tr>
    </w:tbl>
    <w:p>
      <w:pPr>
        <w:spacing w:line="360" w:lineRule="auto"/>
        <w:ind w:firstLine="420" w:firstLineChars="200"/>
        <w:rPr>
          <w:rFonts w:ascii="宋体" w:hAnsi="宋体" w:cs="宋体"/>
          <w:bCs/>
        </w:rPr>
      </w:pPr>
    </w:p>
    <w:p>
      <w:pPr>
        <w:adjustRightInd w:val="0"/>
        <w:snapToGrid w:val="0"/>
        <w:spacing w:line="360" w:lineRule="auto"/>
        <w:rPr>
          <w:rFonts w:ascii="Arial" w:hAnsi="Arial" w:cs="Arial" w:eastAsiaTheme="minorEastAsia"/>
          <w:szCs w:val="21"/>
        </w:rPr>
      </w:pPr>
      <w:r>
        <w:rPr>
          <w:rFonts w:hint="eastAsia" w:ascii="宋体" w:hAnsi="宋体" w:cs="宋体"/>
          <w:bCs/>
        </w:rPr>
        <w:t>2.2.2</w:t>
      </w:r>
      <w:r>
        <w:rPr>
          <w:rFonts w:ascii="Arial" w:hAnsi="Arial" w:cs="Arial" w:eastAsiaTheme="minorEastAsia"/>
          <w:szCs w:val="21"/>
        </w:rPr>
        <w:t>方法</w:t>
      </w:r>
      <w:r>
        <w:rPr>
          <w:rFonts w:hint="eastAsia" w:ascii="Arial" w:hAnsi="Arial" w:cs="Arial" w:eastAsiaTheme="minorEastAsia"/>
          <w:szCs w:val="21"/>
        </w:rPr>
        <w:t>2</w:t>
      </w:r>
      <w:r>
        <w:rPr>
          <w:rFonts w:ascii="Arial" w:hAnsi="Arial" w:cs="Arial" w:eastAsiaTheme="minorEastAsia"/>
          <w:szCs w:val="21"/>
        </w:rPr>
        <w:t>：电感耦合等离子体</w:t>
      </w:r>
      <w:r>
        <w:rPr>
          <w:rFonts w:hint="eastAsia" w:ascii="Arial" w:hAnsi="Arial" w:cs="Arial" w:eastAsiaTheme="minorEastAsia"/>
          <w:szCs w:val="21"/>
        </w:rPr>
        <w:t>质</w:t>
      </w:r>
      <w:r>
        <w:rPr>
          <w:rFonts w:ascii="Arial" w:hAnsi="Arial" w:cs="Arial" w:eastAsiaTheme="minorEastAsia"/>
          <w:szCs w:val="21"/>
        </w:rPr>
        <w:t>谱法</w:t>
      </w:r>
    </w:p>
    <w:p>
      <w:pPr>
        <w:spacing w:line="360" w:lineRule="auto"/>
        <w:ind w:firstLine="420"/>
      </w:pPr>
      <w:r>
        <w:rPr>
          <w:rFonts w:hint="eastAsia"/>
        </w:rPr>
        <w:t>试样以硝酸或盐酸溶解，在稀酸介质中，以氩等离子体为离子化源，直接</w:t>
      </w:r>
      <w:r>
        <w:rPr>
          <w:rFonts w:hint="eastAsia" w:ascii="宋体" w:hAnsi="宋体"/>
          <w:color w:val="000000"/>
        </w:rPr>
        <w:t>进行质谱测定。测定时</w:t>
      </w:r>
      <w:r>
        <w:rPr>
          <w:rFonts w:hint="eastAsia"/>
        </w:rPr>
        <w:t>以内标法进行校正。</w:t>
      </w:r>
    </w:p>
    <w:p>
      <w:pPr>
        <w:adjustRightInd w:val="0"/>
        <w:snapToGrid w:val="0"/>
        <w:spacing w:line="360" w:lineRule="auto"/>
        <w:ind w:firstLine="420" w:firstLineChars="200"/>
        <w:rPr>
          <w:rFonts w:ascii="Arial" w:hAnsi="Arial" w:cs="Arial" w:eastAsiaTheme="minorEastAsia"/>
          <w:szCs w:val="21"/>
        </w:rPr>
      </w:pPr>
      <w:r>
        <w:rPr>
          <w:rFonts w:ascii="Arial" w:hAnsi="Arial" w:cs="Arial" w:eastAsiaTheme="minorEastAsia"/>
          <w:szCs w:val="21"/>
        </w:rPr>
        <w:t>通过本次修订，扩展了方法</w:t>
      </w:r>
      <w:r>
        <w:rPr>
          <w:rFonts w:hint="eastAsia" w:ascii="Arial" w:hAnsi="Arial" w:cs="Arial" w:eastAsiaTheme="minorEastAsia"/>
          <w:szCs w:val="21"/>
        </w:rPr>
        <w:t>2</w:t>
      </w:r>
      <w:r>
        <w:rPr>
          <w:rFonts w:ascii="Arial" w:hAnsi="Arial" w:cs="Arial" w:eastAsiaTheme="minorEastAsia"/>
          <w:szCs w:val="21"/>
        </w:rPr>
        <w:t>的测定范围，详情见下</w:t>
      </w:r>
      <w:r>
        <w:fldChar w:fldCharType="begin"/>
      </w:r>
      <w:r>
        <w:instrText xml:space="preserve">REF _Ref497251557 \h \* MERGEFORMAT </w:instrText>
      </w:r>
      <w:r>
        <w:fldChar w:fldCharType="separate"/>
      </w:r>
      <w:r>
        <w:rPr>
          <w:rFonts w:ascii="Arial" w:hAnsi="Arial" w:cs="Arial" w:eastAsiaTheme="minorEastAsia"/>
          <w:szCs w:val="21"/>
        </w:rPr>
        <w:t>表</w:t>
      </w:r>
      <w:r>
        <w:rPr>
          <w:rFonts w:hint="eastAsia" w:ascii="Arial" w:hAnsi="Arial" w:cs="Arial" w:eastAsiaTheme="minorEastAsia"/>
          <w:szCs w:val="21"/>
        </w:rPr>
        <w:t>3</w:t>
      </w:r>
      <w:r>
        <w:rPr>
          <w:rFonts w:hint="eastAsia" w:ascii="Arial" w:hAnsi="Arial" w:cs="Arial" w:eastAsiaTheme="minorEastAsia"/>
          <w:szCs w:val="21"/>
        </w:rPr>
        <w:fldChar w:fldCharType="end"/>
      </w:r>
      <w:r>
        <w:rPr>
          <w:rFonts w:ascii="Arial" w:hAnsi="Arial" w:cs="Arial" w:eastAsiaTheme="minorEastAsia"/>
          <w:szCs w:val="21"/>
        </w:rPr>
        <w:t>。将氧化</w:t>
      </w:r>
      <w:r>
        <w:rPr>
          <w:rFonts w:hint="eastAsia" w:ascii="宋体" w:hAnsi="宋体"/>
          <w:szCs w:val="21"/>
        </w:rPr>
        <w:t>铈</w:t>
      </w:r>
      <w:r>
        <w:rPr>
          <w:rFonts w:ascii="Arial" w:hAnsi="Arial" w:cs="Arial" w:eastAsiaTheme="minorEastAsia"/>
          <w:szCs w:val="21"/>
        </w:rPr>
        <w:t>的下限调整为0.000</w:t>
      </w:r>
      <w:r>
        <w:rPr>
          <w:rFonts w:hint="eastAsia" w:ascii="Arial" w:hAnsi="Arial" w:cs="Arial" w:eastAsiaTheme="minorEastAsia"/>
          <w:szCs w:val="21"/>
        </w:rPr>
        <w:t>05</w:t>
      </w:r>
      <w:r>
        <w:rPr>
          <w:rFonts w:ascii="Arial" w:hAnsi="Arial" w:cs="Arial" w:eastAsiaTheme="minorEastAsia"/>
          <w:szCs w:val="21"/>
        </w:rPr>
        <w:t>%</w:t>
      </w:r>
      <w:r>
        <w:rPr>
          <w:rFonts w:hint="eastAsia" w:ascii="Arial" w:hAnsi="Arial" w:cs="Arial" w:eastAsiaTheme="minorEastAsia"/>
          <w:szCs w:val="21"/>
        </w:rPr>
        <w:t>，</w:t>
      </w:r>
      <w:r>
        <w:rPr>
          <w:rFonts w:ascii="Arial" w:hAnsi="Arial" w:cs="Arial" w:eastAsiaTheme="minorEastAsia"/>
          <w:szCs w:val="21"/>
        </w:rPr>
        <w:t>氧化</w:t>
      </w:r>
      <w:r>
        <w:rPr>
          <w:rFonts w:hint="eastAsia" w:ascii="Arial" w:hAnsi="Arial" w:cs="Arial" w:eastAsiaTheme="minorEastAsia"/>
          <w:szCs w:val="21"/>
        </w:rPr>
        <w:t>钐</w:t>
      </w:r>
      <w:r>
        <w:rPr>
          <w:rFonts w:ascii="Arial" w:hAnsi="Arial" w:cs="Arial" w:eastAsiaTheme="minorEastAsia"/>
          <w:szCs w:val="21"/>
        </w:rPr>
        <w:t>，氧化钆，</w:t>
      </w:r>
      <w:r>
        <w:rPr>
          <w:rFonts w:hint="eastAsia" w:ascii="Arial" w:hAnsi="Arial" w:cs="Arial" w:eastAsiaTheme="minorEastAsia"/>
          <w:szCs w:val="21"/>
        </w:rPr>
        <w:t>氧化铽</w:t>
      </w:r>
      <w:r>
        <w:rPr>
          <w:rFonts w:ascii="Arial" w:hAnsi="Arial" w:cs="Arial" w:eastAsiaTheme="minorEastAsia"/>
          <w:szCs w:val="21"/>
        </w:rPr>
        <w:t>，氧化</w:t>
      </w:r>
      <w:r>
        <w:rPr>
          <w:rFonts w:hint="eastAsia" w:ascii="Arial" w:hAnsi="Arial" w:cs="Arial" w:eastAsiaTheme="minorEastAsia"/>
          <w:szCs w:val="21"/>
        </w:rPr>
        <w:t>钇</w:t>
      </w:r>
      <w:r>
        <w:rPr>
          <w:rFonts w:ascii="Arial" w:hAnsi="Arial" w:cs="Arial" w:eastAsiaTheme="minorEastAsia"/>
          <w:szCs w:val="21"/>
        </w:rPr>
        <w:t>的下限调整为0.000</w:t>
      </w:r>
      <w:r>
        <w:rPr>
          <w:rFonts w:hint="eastAsia" w:ascii="Arial" w:hAnsi="Arial" w:cs="Arial" w:eastAsiaTheme="minorEastAsia"/>
          <w:szCs w:val="21"/>
        </w:rPr>
        <w:t>0</w:t>
      </w:r>
      <w:r>
        <w:rPr>
          <w:rFonts w:ascii="Arial" w:hAnsi="Arial" w:cs="Arial" w:eastAsiaTheme="minorEastAsia"/>
          <w:szCs w:val="21"/>
        </w:rPr>
        <w:t>3%，将氧化</w:t>
      </w:r>
      <w:r>
        <w:rPr>
          <w:rFonts w:hint="eastAsia" w:ascii="Arial" w:hAnsi="Arial" w:cs="Arial" w:eastAsiaTheme="minorEastAsia"/>
          <w:szCs w:val="21"/>
        </w:rPr>
        <w:t>铕</w:t>
      </w:r>
      <w:r>
        <w:rPr>
          <w:rFonts w:ascii="Arial" w:hAnsi="Arial" w:cs="Arial" w:eastAsiaTheme="minorEastAsia"/>
          <w:szCs w:val="21"/>
        </w:rPr>
        <w:t>，氧化</w:t>
      </w:r>
      <w:r>
        <w:rPr>
          <w:rFonts w:hint="eastAsia" w:ascii="Arial" w:hAnsi="Arial" w:cs="Arial" w:eastAsiaTheme="minorEastAsia"/>
          <w:szCs w:val="21"/>
        </w:rPr>
        <w:t>镝</w:t>
      </w:r>
      <w:r>
        <w:rPr>
          <w:rFonts w:ascii="Arial" w:hAnsi="Arial" w:cs="Arial" w:eastAsiaTheme="minorEastAsia"/>
          <w:szCs w:val="21"/>
        </w:rPr>
        <w:t>，氧化</w:t>
      </w:r>
      <w:r>
        <w:rPr>
          <w:rFonts w:hint="eastAsia" w:ascii="Arial" w:hAnsi="Arial" w:cs="Arial" w:eastAsiaTheme="minorEastAsia"/>
          <w:szCs w:val="21"/>
        </w:rPr>
        <w:t>铒</w:t>
      </w:r>
      <w:r>
        <w:rPr>
          <w:rFonts w:ascii="Arial" w:hAnsi="Arial" w:cs="Arial" w:eastAsiaTheme="minorEastAsia"/>
          <w:szCs w:val="21"/>
        </w:rPr>
        <w:t>，氧化</w:t>
      </w:r>
      <w:r>
        <w:rPr>
          <w:rFonts w:hint="eastAsia" w:ascii="Arial" w:hAnsi="Arial" w:cs="Arial" w:eastAsiaTheme="minorEastAsia"/>
          <w:szCs w:val="21"/>
        </w:rPr>
        <w:t>镱</w:t>
      </w:r>
      <w:r>
        <w:rPr>
          <w:rFonts w:ascii="Arial" w:hAnsi="Arial" w:cs="Arial" w:eastAsiaTheme="minorEastAsia"/>
          <w:szCs w:val="21"/>
        </w:rPr>
        <w:t>的下限调整为0.000</w:t>
      </w:r>
      <w:r>
        <w:rPr>
          <w:rFonts w:hint="eastAsia" w:ascii="Arial" w:hAnsi="Arial" w:cs="Arial" w:eastAsiaTheme="minorEastAsia"/>
          <w:szCs w:val="21"/>
        </w:rPr>
        <w:t>0</w:t>
      </w:r>
      <w:r>
        <w:rPr>
          <w:rFonts w:ascii="Arial" w:hAnsi="Arial" w:cs="Arial" w:eastAsiaTheme="minorEastAsia"/>
          <w:szCs w:val="21"/>
        </w:rPr>
        <w:t>2%</w:t>
      </w:r>
      <w:r>
        <w:rPr>
          <w:rFonts w:hint="eastAsia" w:ascii="Arial" w:hAnsi="Arial" w:cs="Arial" w:eastAsiaTheme="minorEastAsia"/>
          <w:szCs w:val="21"/>
        </w:rPr>
        <w:t>，</w:t>
      </w:r>
      <w:r>
        <w:rPr>
          <w:rFonts w:ascii="Arial" w:hAnsi="Arial" w:cs="Arial" w:eastAsiaTheme="minorEastAsia"/>
          <w:szCs w:val="21"/>
        </w:rPr>
        <w:t>将氧化</w:t>
      </w:r>
      <w:r>
        <w:rPr>
          <w:rFonts w:hint="eastAsia" w:ascii="Arial" w:hAnsi="Arial" w:cs="Arial" w:eastAsiaTheme="minorEastAsia"/>
          <w:szCs w:val="21"/>
        </w:rPr>
        <w:t>钬</w:t>
      </w:r>
      <w:r>
        <w:rPr>
          <w:rFonts w:ascii="Arial" w:hAnsi="Arial" w:cs="Arial" w:eastAsiaTheme="minorEastAsia"/>
          <w:szCs w:val="21"/>
        </w:rPr>
        <w:t>，</w:t>
      </w:r>
      <w:r>
        <w:rPr>
          <w:rFonts w:hint="eastAsia" w:ascii="Arial" w:hAnsi="Arial" w:cs="Arial" w:eastAsiaTheme="minorEastAsia"/>
          <w:szCs w:val="21"/>
        </w:rPr>
        <w:t>氧化铥，</w:t>
      </w:r>
      <w:r>
        <w:rPr>
          <w:rFonts w:ascii="Arial" w:hAnsi="Arial" w:cs="Arial" w:eastAsiaTheme="minorEastAsia"/>
          <w:szCs w:val="21"/>
        </w:rPr>
        <w:t>氧化</w:t>
      </w:r>
      <w:r>
        <w:rPr>
          <w:rFonts w:hint="eastAsia" w:ascii="Arial" w:hAnsi="Arial" w:cs="Arial" w:eastAsiaTheme="minorEastAsia"/>
          <w:szCs w:val="21"/>
        </w:rPr>
        <w:t>镥</w:t>
      </w:r>
      <w:r>
        <w:rPr>
          <w:rFonts w:ascii="Arial" w:hAnsi="Arial" w:cs="Arial" w:eastAsiaTheme="minorEastAsia"/>
          <w:szCs w:val="21"/>
        </w:rPr>
        <w:t>的下限调整为0.000</w:t>
      </w:r>
      <w:r>
        <w:rPr>
          <w:rFonts w:hint="eastAsia" w:ascii="Arial" w:hAnsi="Arial" w:cs="Arial" w:eastAsiaTheme="minorEastAsia"/>
          <w:szCs w:val="21"/>
        </w:rPr>
        <w:t>01</w:t>
      </w:r>
      <w:r>
        <w:rPr>
          <w:rFonts w:ascii="Arial" w:hAnsi="Arial" w:cs="Arial" w:eastAsiaTheme="minorEastAsia"/>
          <w:szCs w:val="21"/>
        </w:rPr>
        <w:t>%。</w:t>
      </w:r>
    </w:p>
    <w:p>
      <w:pPr>
        <w:adjustRightInd w:val="0"/>
        <w:snapToGrid w:val="0"/>
        <w:spacing w:line="360" w:lineRule="auto"/>
        <w:ind w:firstLine="4095" w:firstLineChars="1950"/>
        <w:rPr>
          <w:rFonts w:ascii="黑体" w:eastAsia="黑体"/>
        </w:rPr>
      </w:pPr>
      <w:r>
        <w:rPr>
          <w:rFonts w:hint="eastAsia" w:ascii="黑体" w:eastAsia="黑体"/>
        </w:rPr>
        <w:t>表3</w:t>
      </w:r>
    </w:p>
    <w:tbl>
      <w:tblPr>
        <w:tblStyle w:val="18"/>
        <w:tblW w:w="824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39"/>
        <w:gridCol w:w="2146"/>
        <w:gridCol w:w="1975"/>
        <w:gridCol w:w="19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139" w:type="dxa"/>
            <w:tcBorders>
              <w:bottom w:val="single" w:color="auto" w:sz="12" w:space="0"/>
            </w:tcBorders>
            <w:noWrap/>
          </w:tcPr>
          <w:p>
            <w:pPr>
              <w:pStyle w:val="29"/>
              <w:rPr>
                <w:rFonts w:ascii="宋体" w:hAnsi="宋体"/>
                <w:sz w:val="18"/>
                <w:szCs w:val="18"/>
              </w:rPr>
            </w:pPr>
            <w:r>
              <w:rPr>
                <w:rFonts w:hint="eastAsia" w:ascii="宋体" w:hAnsi="宋体"/>
                <w:sz w:val="18"/>
                <w:szCs w:val="18"/>
              </w:rPr>
              <w:t>氧化物</w:t>
            </w:r>
          </w:p>
        </w:tc>
        <w:tc>
          <w:tcPr>
            <w:tcW w:w="2146" w:type="dxa"/>
            <w:tcBorders>
              <w:bottom w:val="single" w:color="auto" w:sz="12" w:space="0"/>
              <w:right w:val="double" w:color="auto" w:sz="4" w:space="0"/>
            </w:tcBorders>
            <w:noWrap/>
          </w:tcPr>
          <w:p>
            <w:pPr>
              <w:jc w:val="center"/>
              <w:rPr>
                <w:rFonts w:ascii="宋体" w:hAnsi="宋体"/>
                <w:sz w:val="18"/>
                <w:szCs w:val="18"/>
              </w:rPr>
            </w:pPr>
            <w:r>
              <w:rPr>
                <w:rFonts w:hint="eastAsia" w:ascii="宋体" w:hAnsi="宋体"/>
                <w:sz w:val="18"/>
                <w:szCs w:val="18"/>
              </w:rPr>
              <w:t>质量分数 ∕</w:t>
            </w:r>
            <w:r>
              <w:rPr>
                <w:rFonts w:ascii="宋体" w:hAnsi="宋体"/>
                <w:sz w:val="18"/>
                <w:szCs w:val="18"/>
              </w:rPr>
              <w:t>%</w:t>
            </w:r>
          </w:p>
        </w:tc>
        <w:tc>
          <w:tcPr>
            <w:tcW w:w="1975" w:type="dxa"/>
            <w:tcBorders>
              <w:left w:val="double" w:color="auto" w:sz="4" w:space="0"/>
              <w:bottom w:val="single" w:color="auto" w:sz="12" w:space="0"/>
            </w:tcBorders>
            <w:noWrap/>
          </w:tcPr>
          <w:p>
            <w:pPr>
              <w:pStyle w:val="29"/>
              <w:rPr>
                <w:rFonts w:ascii="宋体" w:hAnsi="宋体"/>
                <w:sz w:val="18"/>
                <w:szCs w:val="18"/>
              </w:rPr>
            </w:pPr>
            <w:r>
              <w:rPr>
                <w:rFonts w:hint="eastAsia" w:ascii="宋体" w:hAnsi="宋体"/>
                <w:sz w:val="18"/>
                <w:szCs w:val="18"/>
              </w:rPr>
              <w:t>氧化物</w:t>
            </w:r>
          </w:p>
        </w:tc>
        <w:tc>
          <w:tcPr>
            <w:tcW w:w="1981" w:type="dxa"/>
            <w:tcBorders>
              <w:bottom w:val="single" w:color="auto" w:sz="12" w:space="0"/>
            </w:tcBorders>
            <w:noWrap/>
          </w:tcPr>
          <w:p>
            <w:pPr>
              <w:jc w:val="center"/>
              <w:rPr>
                <w:rFonts w:ascii="宋体" w:hAnsi="宋体"/>
                <w:sz w:val="18"/>
                <w:szCs w:val="18"/>
              </w:rPr>
            </w:pPr>
            <w:r>
              <w:rPr>
                <w:rFonts w:hint="eastAsia" w:ascii="宋体" w:hAnsi="宋体"/>
                <w:sz w:val="18"/>
                <w:szCs w:val="18"/>
              </w:rPr>
              <w:t>质量分数 ∕</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139" w:type="dxa"/>
            <w:tcBorders>
              <w:top w:val="single" w:color="auto" w:sz="12" w:space="0"/>
            </w:tcBorders>
            <w:noWrap/>
          </w:tcPr>
          <w:p>
            <w:pPr>
              <w:spacing w:line="300" w:lineRule="exact"/>
              <w:jc w:val="center"/>
              <w:rPr>
                <w:rFonts w:ascii="宋体" w:hAnsi="宋体"/>
                <w:sz w:val="18"/>
                <w:szCs w:val="18"/>
              </w:rPr>
            </w:pPr>
            <w:r>
              <w:rPr>
                <w:rFonts w:hint="eastAsia" w:ascii="宋体" w:hAnsi="宋体"/>
                <w:sz w:val="18"/>
                <w:szCs w:val="18"/>
              </w:rPr>
              <w:t>氧化铈</w:t>
            </w:r>
          </w:p>
          <w:p>
            <w:pPr>
              <w:spacing w:line="300" w:lineRule="exact"/>
              <w:jc w:val="center"/>
              <w:rPr>
                <w:rFonts w:ascii="宋体" w:hAnsi="宋体"/>
                <w:sz w:val="18"/>
                <w:szCs w:val="18"/>
              </w:rPr>
            </w:pPr>
            <w:r>
              <w:rPr>
                <w:rFonts w:hint="eastAsia" w:ascii="宋体" w:hAnsi="宋体"/>
                <w:sz w:val="18"/>
                <w:szCs w:val="18"/>
              </w:rPr>
              <w:t>氧化镨</w:t>
            </w:r>
          </w:p>
          <w:p>
            <w:pPr>
              <w:spacing w:line="300" w:lineRule="exact"/>
              <w:jc w:val="center"/>
              <w:rPr>
                <w:rFonts w:ascii="宋体" w:hAnsi="宋体"/>
                <w:sz w:val="18"/>
                <w:szCs w:val="18"/>
              </w:rPr>
            </w:pPr>
            <w:r>
              <w:rPr>
                <w:rFonts w:hint="eastAsia" w:ascii="宋体" w:hAnsi="宋体"/>
                <w:sz w:val="18"/>
                <w:szCs w:val="18"/>
              </w:rPr>
              <w:t>氧化钕</w:t>
            </w:r>
          </w:p>
          <w:p>
            <w:pPr>
              <w:spacing w:line="300" w:lineRule="exact"/>
              <w:jc w:val="center"/>
              <w:rPr>
                <w:rFonts w:ascii="宋体" w:hAnsi="宋体"/>
                <w:sz w:val="18"/>
                <w:szCs w:val="18"/>
              </w:rPr>
            </w:pPr>
            <w:r>
              <w:rPr>
                <w:rFonts w:hint="eastAsia" w:ascii="宋体" w:hAnsi="宋体"/>
                <w:sz w:val="18"/>
                <w:szCs w:val="18"/>
              </w:rPr>
              <w:t>氧化钐</w:t>
            </w:r>
          </w:p>
          <w:p>
            <w:pPr>
              <w:spacing w:line="300" w:lineRule="exact"/>
              <w:jc w:val="center"/>
              <w:rPr>
                <w:rFonts w:ascii="宋体" w:hAnsi="宋体"/>
                <w:sz w:val="18"/>
                <w:szCs w:val="18"/>
              </w:rPr>
            </w:pPr>
            <w:r>
              <w:rPr>
                <w:rFonts w:hint="eastAsia" w:ascii="宋体" w:hAnsi="宋体"/>
                <w:sz w:val="18"/>
                <w:szCs w:val="18"/>
              </w:rPr>
              <w:t>氧化铕</w:t>
            </w:r>
          </w:p>
          <w:p>
            <w:pPr>
              <w:spacing w:line="300" w:lineRule="exact"/>
              <w:jc w:val="center"/>
              <w:rPr>
                <w:rFonts w:ascii="宋体" w:hAnsi="宋体"/>
                <w:sz w:val="18"/>
                <w:szCs w:val="18"/>
              </w:rPr>
            </w:pPr>
            <w:r>
              <w:rPr>
                <w:rFonts w:hint="eastAsia" w:ascii="宋体" w:hAnsi="宋体"/>
                <w:sz w:val="18"/>
                <w:szCs w:val="18"/>
              </w:rPr>
              <w:t>氧化钆</w:t>
            </w:r>
          </w:p>
          <w:p>
            <w:pPr>
              <w:spacing w:line="300" w:lineRule="exact"/>
              <w:jc w:val="center"/>
              <w:rPr>
                <w:rFonts w:ascii="宋体" w:hAnsi="宋体"/>
                <w:sz w:val="18"/>
                <w:szCs w:val="18"/>
              </w:rPr>
            </w:pPr>
            <w:r>
              <w:rPr>
                <w:rFonts w:hint="eastAsia" w:ascii="宋体" w:hAnsi="宋体"/>
                <w:sz w:val="18"/>
                <w:szCs w:val="18"/>
              </w:rPr>
              <w:t>氧化铽</w:t>
            </w:r>
          </w:p>
        </w:tc>
        <w:tc>
          <w:tcPr>
            <w:tcW w:w="2146" w:type="dxa"/>
            <w:tcBorders>
              <w:top w:val="single" w:color="auto" w:sz="12" w:space="0"/>
              <w:right w:val="double" w:color="auto" w:sz="4" w:space="0"/>
            </w:tcBorders>
            <w:noWrap/>
          </w:tcPr>
          <w:p>
            <w:pPr>
              <w:spacing w:line="300" w:lineRule="exact"/>
              <w:jc w:val="center"/>
              <w:rPr>
                <w:rFonts w:ascii="宋体" w:hAnsi="宋体"/>
                <w:sz w:val="18"/>
                <w:szCs w:val="18"/>
              </w:rPr>
            </w:pPr>
            <w:r>
              <w:rPr>
                <w:rFonts w:ascii="宋体" w:hAnsi="宋体"/>
                <w:sz w:val="18"/>
                <w:szCs w:val="18"/>
              </w:rPr>
              <w:t>0.000 05—0.01</w:t>
            </w:r>
          </w:p>
          <w:p>
            <w:pPr>
              <w:spacing w:line="300" w:lineRule="exact"/>
              <w:jc w:val="center"/>
              <w:rPr>
                <w:rFonts w:ascii="宋体" w:hAnsi="宋体"/>
                <w:sz w:val="18"/>
                <w:szCs w:val="18"/>
              </w:rPr>
            </w:pPr>
            <w:r>
              <w:rPr>
                <w:rFonts w:ascii="宋体" w:hAnsi="宋体"/>
                <w:sz w:val="18"/>
                <w:szCs w:val="18"/>
              </w:rPr>
              <w:t>0.000 0</w:t>
            </w:r>
            <w:r>
              <w:rPr>
                <w:rFonts w:hint="eastAsia" w:ascii="宋体" w:hAnsi="宋体"/>
                <w:sz w:val="18"/>
                <w:szCs w:val="18"/>
              </w:rPr>
              <w:t>5</w:t>
            </w:r>
            <w:r>
              <w:rPr>
                <w:rFonts w:ascii="宋体" w:hAnsi="宋体"/>
                <w:sz w:val="18"/>
                <w:szCs w:val="18"/>
              </w:rPr>
              <w:t>—0.01</w:t>
            </w:r>
          </w:p>
          <w:p>
            <w:pPr>
              <w:spacing w:line="300" w:lineRule="exact"/>
              <w:jc w:val="center"/>
              <w:rPr>
                <w:rFonts w:ascii="宋体" w:hAnsi="宋体"/>
                <w:sz w:val="18"/>
                <w:szCs w:val="18"/>
              </w:rPr>
            </w:pPr>
            <w:r>
              <w:rPr>
                <w:rFonts w:ascii="宋体" w:hAnsi="宋体"/>
                <w:sz w:val="18"/>
                <w:szCs w:val="18"/>
              </w:rPr>
              <w:t>0.000 0</w:t>
            </w:r>
            <w:r>
              <w:rPr>
                <w:rFonts w:hint="eastAsia" w:ascii="宋体" w:hAnsi="宋体"/>
                <w:sz w:val="18"/>
                <w:szCs w:val="18"/>
              </w:rPr>
              <w:t>5</w:t>
            </w:r>
            <w:r>
              <w:rPr>
                <w:rFonts w:ascii="宋体" w:hAnsi="宋体"/>
                <w:sz w:val="18"/>
                <w:szCs w:val="18"/>
              </w:rPr>
              <w:t>—0.01</w:t>
            </w:r>
          </w:p>
          <w:p>
            <w:pPr>
              <w:spacing w:line="300" w:lineRule="exact"/>
              <w:jc w:val="center"/>
              <w:rPr>
                <w:rFonts w:ascii="宋体" w:hAnsi="宋体"/>
                <w:sz w:val="18"/>
                <w:szCs w:val="18"/>
              </w:rPr>
            </w:pPr>
            <w:r>
              <w:rPr>
                <w:rFonts w:ascii="宋体" w:hAnsi="宋体"/>
                <w:sz w:val="18"/>
                <w:szCs w:val="18"/>
              </w:rPr>
              <w:t>0.000 03—0.01</w:t>
            </w:r>
          </w:p>
          <w:p>
            <w:pPr>
              <w:spacing w:line="300" w:lineRule="exact"/>
              <w:jc w:val="center"/>
              <w:rPr>
                <w:rFonts w:ascii="宋体" w:hAnsi="宋体"/>
                <w:sz w:val="18"/>
                <w:szCs w:val="18"/>
              </w:rPr>
            </w:pPr>
            <w:r>
              <w:rPr>
                <w:rFonts w:ascii="宋体" w:hAnsi="宋体"/>
                <w:sz w:val="18"/>
                <w:szCs w:val="18"/>
              </w:rPr>
              <w:t>0.000 0</w:t>
            </w:r>
            <w:r>
              <w:rPr>
                <w:rFonts w:hint="eastAsia" w:ascii="宋体" w:hAnsi="宋体"/>
                <w:sz w:val="18"/>
                <w:szCs w:val="18"/>
              </w:rPr>
              <w:t>2</w:t>
            </w:r>
            <w:r>
              <w:rPr>
                <w:rFonts w:ascii="宋体" w:hAnsi="宋体"/>
                <w:sz w:val="18"/>
                <w:szCs w:val="18"/>
              </w:rPr>
              <w:t>—0.01</w:t>
            </w:r>
          </w:p>
          <w:p>
            <w:pPr>
              <w:spacing w:line="300" w:lineRule="exact"/>
              <w:jc w:val="center"/>
              <w:rPr>
                <w:rFonts w:ascii="宋体" w:hAnsi="宋体"/>
                <w:sz w:val="18"/>
                <w:szCs w:val="18"/>
              </w:rPr>
            </w:pPr>
            <w:r>
              <w:rPr>
                <w:rFonts w:ascii="宋体" w:hAnsi="宋体"/>
                <w:sz w:val="18"/>
                <w:szCs w:val="18"/>
              </w:rPr>
              <w:t>0.000</w:t>
            </w:r>
            <w:r>
              <w:rPr>
                <w:rFonts w:hint="eastAsia" w:ascii="宋体" w:hAnsi="宋体"/>
                <w:sz w:val="18"/>
                <w:szCs w:val="18"/>
              </w:rPr>
              <w:t xml:space="preserve"> </w:t>
            </w:r>
            <w:r>
              <w:rPr>
                <w:rFonts w:ascii="宋体" w:hAnsi="宋体"/>
                <w:sz w:val="18"/>
                <w:szCs w:val="18"/>
              </w:rPr>
              <w:t>03—0.01</w:t>
            </w:r>
          </w:p>
          <w:p>
            <w:pPr>
              <w:spacing w:line="300" w:lineRule="exact"/>
              <w:jc w:val="center"/>
              <w:rPr>
                <w:rFonts w:ascii="宋体" w:hAnsi="宋体"/>
                <w:sz w:val="18"/>
                <w:szCs w:val="18"/>
              </w:rPr>
            </w:pPr>
            <w:r>
              <w:rPr>
                <w:rFonts w:ascii="宋体" w:hAnsi="宋体"/>
                <w:sz w:val="18"/>
                <w:szCs w:val="18"/>
              </w:rPr>
              <w:t>0.000</w:t>
            </w:r>
            <w:r>
              <w:rPr>
                <w:rFonts w:hint="eastAsia" w:ascii="宋体" w:hAnsi="宋体"/>
                <w:sz w:val="18"/>
                <w:szCs w:val="18"/>
              </w:rPr>
              <w:t xml:space="preserve"> </w:t>
            </w:r>
            <w:r>
              <w:rPr>
                <w:rFonts w:ascii="宋体" w:hAnsi="宋体"/>
                <w:sz w:val="18"/>
                <w:szCs w:val="18"/>
              </w:rPr>
              <w:t>0</w:t>
            </w:r>
            <w:r>
              <w:rPr>
                <w:rFonts w:hint="eastAsia" w:ascii="宋体" w:hAnsi="宋体"/>
                <w:sz w:val="18"/>
                <w:szCs w:val="18"/>
              </w:rPr>
              <w:t>3</w:t>
            </w:r>
            <w:r>
              <w:rPr>
                <w:rFonts w:ascii="宋体" w:hAnsi="宋体"/>
                <w:sz w:val="18"/>
                <w:szCs w:val="18"/>
              </w:rPr>
              <w:t>—0.01</w:t>
            </w:r>
          </w:p>
        </w:tc>
        <w:tc>
          <w:tcPr>
            <w:tcW w:w="1975" w:type="dxa"/>
            <w:tcBorders>
              <w:top w:val="single" w:color="auto" w:sz="12" w:space="0"/>
              <w:left w:val="double" w:color="auto" w:sz="4" w:space="0"/>
            </w:tcBorders>
            <w:noWrap/>
          </w:tcPr>
          <w:p>
            <w:pPr>
              <w:spacing w:line="300" w:lineRule="exact"/>
              <w:jc w:val="center"/>
              <w:rPr>
                <w:rFonts w:ascii="宋体" w:hAnsi="宋体"/>
                <w:sz w:val="18"/>
                <w:szCs w:val="18"/>
              </w:rPr>
            </w:pPr>
            <w:r>
              <w:rPr>
                <w:rFonts w:hint="eastAsia" w:ascii="宋体" w:hAnsi="宋体"/>
                <w:sz w:val="18"/>
                <w:szCs w:val="18"/>
              </w:rPr>
              <w:t>氧化镝</w:t>
            </w:r>
          </w:p>
          <w:p>
            <w:pPr>
              <w:spacing w:line="300" w:lineRule="exact"/>
              <w:jc w:val="center"/>
              <w:rPr>
                <w:rFonts w:ascii="宋体" w:hAnsi="宋体"/>
                <w:sz w:val="18"/>
                <w:szCs w:val="18"/>
              </w:rPr>
            </w:pPr>
            <w:r>
              <w:rPr>
                <w:rFonts w:hint="eastAsia" w:ascii="宋体" w:hAnsi="宋体"/>
                <w:sz w:val="18"/>
                <w:szCs w:val="18"/>
              </w:rPr>
              <w:t>氧化钬</w:t>
            </w:r>
          </w:p>
          <w:p>
            <w:pPr>
              <w:spacing w:line="300" w:lineRule="exact"/>
              <w:jc w:val="center"/>
              <w:rPr>
                <w:rFonts w:ascii="宋体" w:hAnsi="宋体"/>
                <w:sz w:val="18"/>
                <w:szCs w:val="18"/>
              </w:rPr>
            </w:pPr>
            <w:r>
              <w:rPr>
                <w:rFonts w:hint="eastAsia" w:ascii="宋体" w:hAnsi="宋体"/>
                <w:sz w:val="18"/>
                <w:szCs w:val="18"/>
              </w:rPr>
              <w:t>氧化铒</w:t>
            </w:r>
          </w:p>
          <w:p>
            <w:pPr>
              <w:spacing w:line="300" w:lineRule="exact"/>
              <w:jc w:val="center"/>
              <w:rPr>
                <w:rFonts w:ascii="宋体" w:hAnsi="宋体"/>
                <w:sz w:val="18"/>
                <w:szCs w:val="18"/>
              </w:rPr>
            </w:pPr>
            <w:r>
              <w:rPr>
                <w:rFonts w:hint="eastAsia" w:ascii="宋体" w:hAnsi="宋体"/>
                <w:sz w:val="18"/>
                <w:szCs w:val="18"/>
              </w:rPr>
              <w:t>氧化铥</w:t>
            </w:r>
          </w:p>
          <w:p>
            <w:pPr>
              <w:spacing w:line="300" w:lineRule="exact"/>
              <w:jc w:val="center"/>
              <w:rPr>
                <w:rFonts w:ascii="宋体" w:hAnsi="宋体"/>
                <w:sz w:val="18"/>
                <w:szCs w:val="18"/>
              </w:rPr>
            </w:pPr>
            <w:r>
              <w:rPr>
                <w:rFonts w:hint="eastAsia" w:ascii="宋体" w:hAnsi="宋体"/>
                <w:sz w:val="18"/>
                <w:szCs w:val="18"/>
              </w:rPr>
              <w:t>氧化镱</w:t>
            </w:r>
          </w:p>
          <w:p>
            <w:pPr>
              <w:spacing w:line="300" w:lineRule="exact"/>
              <w:jc w:val="center"/>
              <w:rPr>
                <w:rFonts w:ascii="宋体" w:hAnsi="宋体"/>
                <w:sz w:val="18"/>
                <w:szCs w:val="18"/>
              </w:rPr>
            </w:pPr>
            <w:r>
              <w:rPr>
                <w:rFonts w:hint="eastAsia" w:ascii="宋体" w:hAnsi="宋体"/>
                <w:sz w:val="18"/>
                <w:szCs w:val="18"/>
              </w:rPr>
              <w:t>氧化镥</w:t>
            </w:r>
          </w:p>
          <w:p>
            <w:pPr>
              <w:spacing w:line="300" w:lineRule="exact"/>
              <w:jc w:val="center"/>
              <w:rPr>
                <w:rFonts w:ascii="宋体" w:hAnsi="宋体"/>
                <w:sz w:val="18"/>
                <w:szCs w:val="18"/>
              </w:rPr>
            </w:pPr>
            <w:r>
              <w:rPr>
                <w:rFonts w:hint="eastAsia" w:ascii="宋体" w:hAnsi="宋体"/>
                <w:sz w:val="18"/>
                <w:szCs w:val="18"/>
              </w:rPr>
              <w:t>氧化钇</w:t>
            </w:r>
          </w:p>
        </w:tc>
        <w:tc>
          <w:tcPr>
            <w:tcW w:w="1981" w:type="dxa"/>
            <w:tcBorders>
              <w:top w:val="single" w:color="auto" w:sz="12" w:space="0"/>
            </w:tcBorders>
            <w:noWrap/>
          </w:tcPr>
          <w:p>
            <w:pPr>
              <w:spacing w:line="300" w:lineRule="exact"/>
              <w:jc w:val="center"/>
              <w:rPr>
                <w:rFonts w:ascii="宋体" w:hAnsi="宋体"/>
                <w:sz w:val="18"/>
                <w:szCs w:val="18"/>
              </w:rPr>
            </w:pPr>
            <w:r>
              <w:rPr>
                <w:rFonts w:ascii="宋体" w:hAnsi="宋体"/>
                <w:sz w:val="18"/>
                <w:szCs w:val="18"/>
              </w:rPr>
              <w:t>0.000</w:t>
            </w:r>
            <w:r>
              <w:rPr>
                <w:rFonts w:hint="eastAsia" w:ascii="宋体" w:hAnsi="宋体"/>
                <w:sz w:val="18"/>
                <w:szCs w:val="18"/>
              </w:rPr>
              <w:t xml:space="preserve"> </w:t>
            </w:r>
            <w:r>
              <w:rPr>
                <w:rFonts w:ascii="宋体" w:hAnsi="宋体"/>
                <w:sz w:val="18"/>
                <w:szCs w:val="18"/>
              </w:rPr>
              <w:t>0</w:t>
            </w:r>
            <w:r>
              <w:rPr>
                <w:rFonts w:hint="eastAsia" w:ascii="宋体" w:hAnsi="宋体"/>
                <w:sz w:val="18"/>
                <w:szCs w:val="18"/>
              </w:rPr>
              <w:t>2</w:t>
            </w:r>
            <w:r>
              <w:rPr>
                <w:rFonts w:ascii="宋体" w:hAnsi="宋体"/>
                <w:sz w:val="18"/>
                <w:szCs w:val="18"/>
              </w:rPr>
              <w:t>—0.01</w:t>
            </w:r>
          </w:p>
          <w:p>
            <w:pPr>
              <w:spacing w:line="300" w:lineRule="exact"/>
              <w:jc w:val="center"/>
              <w:rPr>
                <w:rFonts w:ascii="宋体" w:hAnsi="宋体"/>
                <w:sz w:val="18"/>
                <w:szCs w:val="18"/>
              </w:rPr>
            </w:pPr>
            <w:r>
              <w:rPr>
                <w:rFonts w:ascii="宋体" w:hAnsi="宋体"/>
                <w:sz w:val="18"/>
                <w:szCs w:val="18"/>
              </w:rPr>
              <w:t>0.000</w:t>
            </w:r>
            <w:r>
              <w:rPr>
                <w:rFonts w:hint="eastAsia" w:ascii="宋体" w:hAnsi="宋体"/>
                <w:sz w:val="18"/>
                <w:szCs w:val="18"/>
              </w:rPr>
              <w:t xml:space="preserve"> </w:t>
            </w:r>
            <w:r>
              <w:rPr>
                <w:rFonts w:ascii="宋体" w:hAnsi="宋体"/>
                <w:sz w:val="18"/>
                <w:szCs w:val="18"/>
              </w:rPr>
              <w:t>0</w:t>
            </w:r>
            <w:r>
              <w:rPr>
                <w:rFonts w:hint="eastAsia" w:ascii="宋体" w:hAnsi="宋体"/>
                <w:sz w:val="18"/>
                <w:szCs w:val="18"/>
              </w:rPr>
              <w:t>1</w:t>
            </w:r>
            <w:r>
              <w:rPr>
                <w:rFonts w:ascii="宋体" w:hAnsi="宋体"/>
                <w:sz w:val="18"/>
                <w:szCs w:val="18"/>
              </w:rPr>
              <w:t>—0.01</w:t>
            </w:r>
          </w:p>
          <w:p>
            <w:pPr>
              <w:spacing w:line="300" w:lineRule="exact"/>
              <w:jc w:val="center"/>
              <w:rPr>
                <w:rFonts w:ascii="宋体" w:hAnsi="宋体"/>
                <w:sz w:val="18"/>
                <w:szCs w:val="18"/>
              </w:rPr>
            </w:pPr>
            <w:r>
              <w:rPr>
                <w:rFonts w:ascii="宋体" w:hAnsi="宋体"/>
                <w:sz w:val="18"/>
                <w:szCs w:val="18"/>
              </w:rPr>
              <w:t>0.000</w:t>
            </w:r>
            <w:r>
              <w:rPr>
                <w:rFonts w:hint="eastAsia" w:ascii="宋体" w:hAnsi="宋体"/>
                <w:sz w:val="18"/>
                <w:szCs w:val="18"/>
              </w:rPr>
              <w:t xml:space="preserve"> </w:t>
            </w:r>
            <w:r>
              <w:rPr>
                <w:rFonts w:ascii="宋体" w:hAnsi="宋体"/>
                <w:sz w:val="18"/>
                <w:szCs w:val="18"/>
              </w:rPr>
              <w:t>0</w:t>
            </w:r>
            <w:r>
              <w:rPr>
                <w:rFonts w:hint="eastAsia" w:ascii="宋体" w:hAnsi="宋体"/>
                <w:sz w:val="18"/>
                <w:szCs w:val="18"/>
              </w:rPr>
              <w:t>2</w:t>
            </w:r>
            <w:r>
              <w:rPr>
                <w:rFonts w:ascii="宋体" w:hAnsi="宋体"/>
                <w:sz w:val="18"/>
                <w:szCs w:val="18"/>
              </w:rPr>
              <w:t>—0.01</w:t>
            </w:r>
          </w:p>
          <w:p>
            <w:pPr>
              <w:spacing w:line="300" w:lineRule="exact"/>
              <w:jc w:val="center"/>
              <w:rPr>
                <w:rFonts w:ascii="宋体" w:hAnsi="宋体"/>
                <w:sz w:val="18"/>
                <w:szCs w:val="18"/>
              </w:rPr>
            </w:pPr>
            <w:r>
              <w:rPr>
                <w:rFonts w:ascii="宋体" w:hAnsi="宋体"/>
                <w:sz w:val="18"/>
                <w:szCs w:val="18"/>
              </w:rPr>
              <w:t>0.000</w:t>
            </w:r>
            <w:r>
              <w:rPr>
                <w:rFonts w:hint="eastAsia" w:ascii="宋体" w:hAnsi="宋体"/>
                <w:sz w:val="18"/>
                <w:szCs w:val="18"/>
              </w:rPr>
              <w:t xml:space="preserve"> </w:t>
            </w:r>
            <w:r>
              <w:rPr>
                <w:rFonts w:ascii="宋体" w:hAnsi="宋体"/>
                <w:sz w:val="18"/>
                <w:szCs w:val="18"/>
              </w:rPr>
              <w:t>0</w:t>
            </w:r>
            <w:r>
              <w:rPr>
                <w:rFonts w:hint="eastAsia" w:ascii="宋体" w:hAnsi="宋体"/>
                <w:sz w:val="18"/>
                <w:szCs w:val="18"/>
              </w:rPr>
              <w:t>1</w:t>
            </w:r>
            <w:r>
              <w:rPr>
                <w:rFonts w:ascii="宋体" w:hAnsi="宋体"/>
                <w:sz w:val="18"/>
                <w:szCs w:val="18"/>
              </w:rPr>
              <w:t>—0.01</w:t>
            </w:r>
          </w:p>
          <w:p>
            <w:pPr>
              <w:spacing w:line="300" w:lineRule="exact"/>
              <w:jc w:val="center"/>
              <w:rPr>
                <w:rFonts w:ascii="宋体" w:hAnsi="宋体"/>
                <w:sz w:val="18"/>
                <w:szCs w:val="18"/>
              </w:rPr>
            </w:pPr>
            <w:r>
              <w:rPr>
                <w:rFonts w:ascii="宋体" w:hAnsi="宋体"/>
                <w:sz w:val="18"/>
                <w:szCs w:val="18"/>
              </w:rPr>
              <w:t>0.000</w:t>
            </w:r>
            <w:r>
              <w:rPr>
                <w:rFonts w:hint="eastAsia" w:ascii="宋体" w:hAnsi="宋体"/>
                <w:sz w:val="18"/>
                <w:szCs w:val="18"/>
              </w:rPr>
              <w:t xml:space="preserve"> </w:t>
            </w:r>
            <w:r>
              <w:rPr>
                <w:rFonts w:ascii="宋体" w:hAnsi="宋体"/>
                <w:sz w:val="18"/>
                <w:szCs w:val="18"/>
              </w:rPr>
              <w:t>0</w:t>
            </w:r>
            <w:r>
              <w:rPr>
                <w:rFonts w:hint="eastAsia" w:ascii="宋体" w:hAnsi="宋体"/>
                <w:sz w:val="18"/>
                <w:szCs w:val="18"/>
              </w:rPr>
              <w:t>2</w:t>
            </w:r>
            <w:r>
              <w:rPr>
                <w:rFonts w:ascii="宋体" w:hAnsi="宋体"/>
                <w:sz w:val="18"/>
                <w:szCs w:val="18"/>
              </w:rPr>
              <w:t>—0.01</w:t>
            </w:r>
          </w:p>
          <w:p>
            <w:pPr>
              <w:spacing w:line="300" w:lineRule="exact"/>
              <w:jc w:val="center"/>
              <w:rPr>
                <w:rFonts w:ascii="宋体" w:hAnsi="宋体"/>
                <w:sz w:val="18"/>
                <w:szCs w:val="18"/>
              </w:rPr>
            </w:pPr>
            <w:r>
              <w:rPr>
                <w:rFonts w:ascii="宋体" w:hAnsi="宋体"/>
                <w:sz w:val="18"/>
                <w:szCs w:val="18"/>
              </w:rPr>
              <w:t>0.000</w:t>
            </w:r>
            <w:r>
              <w:rPr>
                <w:rFonts w:hint="eastAsia" w:ascii="宋体" w:hAnsi="宋体"/>
                <w:sz w:val="18"/>
                <w:szCs w:val="18"/>
              </w:rPr>
              <w:t xml:space="preserve"> </w:t>
            </w:r>
            <w:r>
              <w:rPr>
                <w:rFonts w:ascii="宋体" w:hAnsi="宋体"/>
                <w:sz w:val="18"/>
                <w:szCs w:val="18"/>
              </w:rPr>
              <w:t>0</w:t>
            </w:r>
            <w:r>
              <w:rPr>
                <w:rFonts w:hint="eastAsia" w:ascii="宋体" w:hAnsi="宋体"/>
                <w:sz w:val="18"/>
                <w:szCs w:val="18"/>
              </w:rPr>
              <w:t>1</w:t>
            </w:r>
            <w:r>
              <w:rPr>
                <w:rFonts w:ascii="宋体" w:hAnsi="宋体"/>
                <w:sz w:val="18"/>
                <w:szCs w:val="18"/>
              </w:rPr>
              <w:t>—0.01</w:t>
            </w:r>
          </w:p>
          <w:p>
            <w:pPr>
              <w:spacing w:line="300" w:lineRule="exact"/>
              <w:jc w:val="center"/>
              <w:rPr>
                <w:rFonts w:ascii="宋体" w:hAnsi="宋体"/>
                <w:sz w:val="18"/>
                <w:szCs w:val="18"/>
              </w:rPr>
            </w:pPr>
            <w:r>
              <w:rPr>
                <w:rFonts w:ascii="宋体" w:hAnsi="宋体"/>
                <w:sz w:val="18"/>
                <w:szCs w:val="18"/>
              </w:rPr>
              <w:t>0.000</w:t>
            </w:r>
            <w:r>
              <w:rPr>
                <w:rFonts w:hint="eastAsia" w:ascii="宋体" w:hAnsi="宋体"/>
                <w:sz w:val="18"/>
                <w:szCs w:val="18"/>
              </w:rPr>
              <w:t xml:space="preserve"> </w:t>
            </w:r>
            <w:r>
              <w:rPr>
                <w:rFonts w:ascii="宋体" w:hAnsi="宋体"/>
                <w:sz w:val="18"/>
                <w:szCs w:val="18"/>
              </w:rPr>
              <w:t>0</w:t>
            </w:r>
            <w:r>
              <w:rPr>
                <w:rFonts w:hint="eastAsia" w:ascii="宋体" w:hAnsi="宋体"/>
                <w:sz w:val="18"/>
                <w:szCs w:val="18"/>
              </w:rPr>
              <w:t>3</w:t>
            </w:r>
            <w:r>
              <w:rPr>
                <w:rFonts w:ascii="宋体" w:hAnsi="宋体"/>
                <w:sz w:val="18"/>
                <w:szCs w:val="18"/>
              </w:rPr>
              <w:t>—0.01</w:t>
            </w:r>
          </w:p>
        </w:tc>
      </w:tr>
    </w:tbl>
    <w:p>
      <w:pPr>
        <w:adjustRightInd w:val="0"/>
        <w:snapToGrid w:val="0"/>
        <w:spacing w:line="360" w:lineRule="auto"/>
        <w:rPr>
          <w:rFonts w:ascii="Arial" w:hAnsi="Arial" w:cs="Arial" w:eastAsiaTheme="minorEastAsia"/>
          <w:szCs w:val="21"/>
        </w:rPr>
      </w:pPr>
    </w:p>
    <w:p>
      <w:pPr>
        <w:adjustRightInd w:val="0"/>
        <w:snapToGrid w:val="0"/>
        <w:spacing w:line="360" w:lineRule="auto"/>
        <w:rPr>
          <w:rFonts w:ascii="Arial" w:hAnsi="Arial" w:cs="Arial" w:eastAsiaTheme="minorEastAsia"/>
          <w:szCs w:val="21"/>
        </w:rPr>
      </w:pPr>
      <w:r>
        <w:rPr>
          <w:rFonts w:ascii="Arial" w:hAnsi="Arial" w:cs="Arial" w:eastAsiaTheme="minorEastAsia"/>
          <w:szCs w:val="21"/>
        </w:rPr>
        <w:t>三、主要试验的分析、综述报告</w:t>
      </w:r>
    </w:p>
    <w:p>
      <w:pPr>
        <w:adjustRightInd w:val="0"/>
        <w:snapToGrid w:val="0"/>
        <w:spacing w:line="360" w:lineRule="auto"/>
        <w:rPr>
          <w:rFonts w:ascii="Arial" w:hAnsi="Arial" w:cs="Arial" w:eastAsiaTheme="minorEastAsia"/>
          <w:szCs w:val="21"/>
        </w:rPr>
      </w:pPr>
      <w:r>
        <w:rPr>
          <w:rFonts w:ascii="Arial" w:hAnsi="Arial" w:cs="Arial" w:eastAsiaTheme="minorEastAsia"/>
          <w:szCs w:val="21"/>
        </w:rPr>
        <w:t>3.1方法1：电感耦合等离子体原子发射光谱法</w:t>
      </w:r>
    </w:p>
    <w:p>
      <w:pPr>
        <w:adjustRightInd w:val="0"/>
        <w:snapToGrid w:val="0"/>
        <w:spacing w:line="360" w:lineRule="auto"/>
        <w:rPr>
          <w:rFonts w:ascii="Arial" w:hAnsi="Arial" w:cs="Arial" w:eastAsiaTheme="minorEastAsia"/>
          <w:szCs w:val="21"/>
        </w:rPr>
      </w:pPr>
      <w:r>
        <w:rPr>
          <w:rFonts w:hint="eastAsia" w:ascii="Arial" w:hAnsi="Arial" w:cs="Arial" w:eastAsiaTheme="minorEastAsia"/>
          <w:szCs w:val="21"/>
          <w:lang w:val="en-US" w:eastAsia="zh-CN"/>
        </w:rPr>
        <w:t>3.1.1</w:t>
      </w:r>
      <w:r>
        <w:rPr>
          <w:rFonts w:ascii="Arial" w:hAnsi="Arial" w:cs="Arial" w:eastAsiaTheme="minorEastAsia"/>
          <w:szCs w:val="21"/>
        </w:rPr>
        <w:t>条件实验部分</w:t>
      </w:r>
    </w:p>
    <w:p>
      <w:pPr>
        <w:adjustRightInd w:val="0"/>
        <w:snapToGrid w:val="0"/>
        <w:spacing w:line="360" w:lineRule="auto"/>
        <w:rPr>
          <w:rFonts w:ascii="Arial" w:hAnsi="Arial" w:cs="Arial" w:eastAsiaTheme="minorEastAsia"/>
          <w:szCs w:val="21"/>
        </w:rPr>
      </w:pPr>
      <w:r>
        <w:rPr>
          <w:rFonts w:hint="eastAsia" w:ascii="Arial" w:hAnsi="Arial" w:cs="Arial" w:eastAsiaTheme="minorEastAsia"/>
          <w:szCs w:val="21"/>
          <w:lang w:val="en-US" w:eastAsia="zh-CN"/>
        </w:rPr>
        <w:t xml:space="preserve">3.1.1.1 </w:t>
      </w:r>
      <w:r>
        <w:rPr>
          <w:rFonts w:hint="eastAsia" w:ascii="Arial" w:hAnsi="Arial" w:cs="Arial" w:eastAsiaTheme="minorEastAsia"/>
          <w:szCs w:val="21"/>
        </w:rPr>
        <w:t>共存元素的干扰试验</w:t>
      </w:r>
    </w:p>
    <w:p>
      <w:pPr>
        <w:adjustRightInd w:val="0"/>
        <w:snapToGrid w:val="0"/>
        <w:spacing w:line="360" w:lineRule="auto"/>
        <w:ind w:firstLine="420" w:firstLineChars="200"/>
        <w:rPr>
          <w:rFonts w:ascii="Arial" w:hAnsi="Arial" w:cs="Arial" w:eastAsiaTheme="minorEastAsia"/>
          <w:szCs w:val="21"/>
        </w:rPr>
      </w:pPr>
      <w:r>
        <w:rPr>
          <w:rFonts w:ascii="Arial" w:hAnsi="Arial" w:cs="Arial" w:eastAsiaTheme="minorEastAsia"/>
          <w:szCs w:val="21"/>
        </w:rPr>
        <w:t>本部分实验</w:t>
      </w:r>
      <w:r>
        <w:rPr>
          <w:rFonts w:hint="eastAsia" w:ascii="Arial" w:hAnsi="Arial" w:cs="Arial" w:eastAsiaTheme="minorEastAsia"/>
          <w:szCs w:val="21"/>
        </w:rPr>
        <w:t>采用基体匹配法来校正基体干扰，而被测元素的干扰试验，在14个同一样品La</w:t>
      </w:r>
      <w:r>
        <w:rPr>
          <w:rFonts w:hint="eastAsia" w:ascii="Arial" w:hAnsi="Arial" w:cs="Arial" w:eastAsiaTheme="minorEastAsia"/>
          <w:szCs w:val="21"/>
          <w:vertAlign w:val="subscript"/>
        </w:rPr>
        <w:t>2</w:t>
      </w:r>
      <w:r>
        <w:rPr>
          <w:rFonts w:hint="eastAsia" w:ascii="Arial" w:hAnsi="Arial" w:cs="Arial" w:eastAsiaTheme="minorEastAsia"/>
          <w:szCs w:val="21"/>
        </w:rPr>
        <w:t>O</w:t>
      </w:r>
      <w:r>
        <w:rPr>
          <w:rFonts w:hint="eastAsia" w:ascii="Arial" w:hAnsi="Arial" w:cs="Arial" w:eastAsiaTheme="minorEastAsia"/>
          <w:szCs w:val="21"/>
          <w:vertAlign w:val="subscript"/>
        </w:rPr>
        <w:t>3</w:t>
      </w:r>
      <w:r>
        <w:rPr>
          <w:rFonts w:hint="eastAsia" w:ascii="Arial" w:hAnsi="Arial" w:cs="Arial" w:eastAsiaTheme="minorEastAsia"/>
          <w:szCs w:val="21"/>
        </w:rPr>
        <w:t>10mg/mL中分别加入2000µg/g的单一被测元素进行测定，其中Pr(422.533nm)Tb(350.917nm)分别受Sm</w:t>
      </w:r>
      <w:r>
        <w:rPr>
          <w:rFonts w:hint="eastAsia" w:ascii="Arial" w:hAnsi="Arial" w:cs="Arial" w:eastAsiaTheme="minorEastAsia"/>
          <w:szCs w:val="21"/>
          <w:vertAlign w:val="subscript"/>
        </w:rPr>
        <w:t>2</w:t>
      </w:r>
      <w:r>
        <w:rPr>
          <w:rFonts w:hint="eastAsia" w:ascii="Arial" w:hAnsi="Arial" w:cs="Arial" w:eastAsiaTheme="minorEastAsia"/>
          <w:szCs w:val="21"/>
        </w:rPr>
        <w:t>O</w:t>
      </w:r>
      <w:r>
        <w:rPr>
          <w:rFonts w:hint="eastAsia" w:ascii="Arial" w:hAnsi="Arial" w:cs="Arial" w:eastAsiaTheme="minorEastAsia"/>
          <w:szCs w:val="21"/>
          <w:vertAlign w:val="subscript"/>
        </w:rPr>
        <w:t>3</w:t>
      </w:r>
      <w:r>
        <w:rPr>
          <w:rFonts w:hint="eastAsia" w:ascii="Arial" w:hAnsi="Arial" w:cs="Arial" w:eastAsiaTheme="minorEastAsia"/>
          <w:szCs w:val="21"/>
        </w:rPr>
        <w:t>的干扰，Nd(430.357nm)受Pr</w:t>
      </w:r>
      <w:r>
        <w:rPr>
          <w:rFonts w:hint="eastAsia" w:ascii="Arial" w:hAnsi="Arial" w:cs="Arial" w:eastAsiaTheme="minorEastAsia"/>
          <w:szCs w:val="21"/>
          <w:vertAlign w:val="subscript"/>
        </w:rPr>
        <w:t>6</w:t>
      </w:r>
      <w:r>
        <w:rPr>
          <w:rFonts w:hint="eastAsia" w:ascii="Arial" w:hAnsi="Arial" w:cs="Arial" w:eastAsiaTheme="minorEastAsia"/>
          <w:szCs w:val="21"/>
        </w:rPr>
        <w:t>O</w:t>
      </w:r>
      <w:r>
        <w:rPr>
          <w:rFonts w:hint="eastAsia" w:ascii="Arial" w:hAnsi="Arial" w:cs="Arial" w:eastAsiaTheme="minorEastAsia"/>
          <w:szCs w:val="21"/>
          <w:vertAlign w:val="subscript"/>
        </w:rPr>
        <w:t>11</w:t>
      </w:r>
      <w:r>
        <w:rPr>
          <w:rFonts w:hint="eastAsia" w:ascii="Arial" w:hAnsi="Arial" w:cs="Arial" w:eastAsiaTheme="minorEastAsia"/>
          <w:szCs w:val="21"/>
        </w:rPr>
        <w:t>干扰，其他谱线在此浓度下，相互之间没有干扰。</w:t>
      </w:r>
    </w:p>
    <w:p>
      <w:pPr>
        <w:adjustRightInd w:val="0"/>
        <w:snapToGrid w:val="0"/>
        <w:spacing w:line="360" w:lineRule="auto"/>
        <w:ind w:firstLine="420" w:firstLineChars="200"/>
        <w:rPr>
          <w:rFonts w:ascii="Arial" w:hAnsi="Arial" w:cs="Arial" w:eastAsiaTheme="minorEastAsia"/>
          <w:szCs w:val="21"/>
        </w:rPr>
      </w:pPr>
      <w:r>
        <w:rPr>
          <w:rFonts w:hint="eastAsia" w:ascii="Arial" w:hAnsi="Arial" w:cs="Arial" w:eastAsiaTheme="minorEastAsia"/>
          <w:szCs w:val="21"/>
        </w:rPr>
        <w:t>对有干扰的元素分别做了干扰系数，Sm</w:t>
      </w:r>
      <w:r>
        <w:rPr>
          <w:rFonts w:hint="eastAsia" w:ascii="Arial" w:hAnsi="Arial" w:cs="Arial" w:eastAsiaTheme="minorEastAsia"/>
          <w:szCs w:val="21"/>
          <w:vertAlign w:val="subscript"/>
        </w:rPr>
        <w:t>2</w:t>
      </w:r>
      <w:r>
        <w:rPr>
          <w:rFonts w:hint="eastAsia" w:ascii="Arial" w:hAnsi="Arial" w:cs="Arial" w:eastAsiaTheme="minorEastAsia"/>
          <w:szCs w:val="21"/>
        </w:rPr>
        <w:t>O</w:t>
      </w:r>
      <w:r>
        <w:rPr>
          <w:rFonts w:hint="eastAsia" w:ascii="Arial" w:hAnsi="Arial" w:cs="Arial" w:eastAsiaTheme="minorEastAsia"/>
          <w:szCs w:val="21"/>
          <w:vertAlign w:val="subscript"/>
        </w:rPr>
        <w:t>3</w:t>
      </w:r>
      <w:r>
        <w:rPr>
          <w:rFonts w:hint="eastAsia" w:ascii="Arial" w:hAnsi="Arial" w:cs="Arial" w:eastAsiaTheme="minorEastAsia"/>
          <w:szCs w:val="21"/>
        </w:rPr>
        <w:t>对Pr(422.533nm) Tb(350.917nm)的干扰系数分别为0.65和0.01，Pr</w:t>
      </w:r>
      <w:r>
        <w:rPr>
          <w:rFonts w:hint="eastAsia" w:ascii="Arial" w:hAnsi="Arial" w:cs="Arial" w:eastAsiaTheme="minorEastAsia"/>
          <w:szCs w:val="21"/>
          <w:vertAlign w:val="subscript"/>
        </w:rPr>
        <w:t>6</w:t>
      </w:r>
      <w:r>
        <w:rPr>
          <w:rFonts w:hint="eastAsia" w:ascii="Arial" w:hAnsi="Arial" w:cs="Arial" w:eastAsiaTheme="minorEastAsia"/>
          <w:szCs w:val="21"/>
        </w:rPr>
        <w:t>O</w:t>
      </w:r>
      <w:r>
        <w:rPr>
          <w:rFonts w:hint="eastAsia" w:ascii="Arial" w:hAnsi="Arial" w:cs="Arial" w:eastAsiaTheme="minorEastAsia"/>
          <w:szCs w:val="21"/>
          <w:vertAlign w:val="subscript"/>
        </w:rPr>
        <w:t>11</w:t>
      </w:r>
      <w:r>
        <w:rPr>
          <w:rFonts w:hint="eastAsia" w:ascii="Arial" w:hAnsi="Arial" w:cs="Arial" w:eastAsiaTheme="minorEastAsia"/>
          <w:szCs w:val="21"/>
        </w:rPr>
        <w:t>对Nd(430.357nm)的干扰系数为0.01。根据轮廓图和干扰试验，由于Sm</w:t>
      </w:r>
      <w:r>
        <w:rPr>
          <w:rFonts w:hint="eastAsia" w:ascii="Arial" w:hAnsi="Arial" w:cs="Arial" w:eastAsiaTheme="minorEastAsia"/>
          <w:szCs w:val="21"/>
          <w:vertAlign w:val="subscript"/>
        </w:rPr>
        <w:t>2</w:t>
      </w:r>
      <w:r>
        <w:rPr>
          <w:rFonts w:hint="eastAsia" w:ascii="Arial" w:hAnsi="Arial" w:cs="Arial" w:eastAsiaTheme="minorEastAsia"/>
          <w:szCs w:val="21"/>
        </w:rPr>
        <w:t>O</w:t>
      </w:r>
      <w:r>
        <w:rPr>
          <w:rFonts w:hint="eastAsia" w:ascii="Arial" w:hAnsi="Arial" w:cs="Arial" w:eastAsiaTheme="minorEastAsia"/>
          <w:szCs w:val="21"/>
          <w:vertAlign w:val="subscript"/>
        </w:rPr>
        <w:t>3</w:t>
      </w:r>
      <w:r>
        <w:rPr>
          <w:rFonts w:hint="eastAsia" w:ascii="Arial" w:hAnsi="Arial" w:cs="Arial" w:eastAsiaTheme="minorEastAsia"/>
          <w:szCs w:val="21"/>
        </w:rPr>
        <w:t>对Pr(422.533nm)的 干扰影响较大，本法删除了Pr(422.533nm)这条分析线。</w:t>
      </w:r>
    </w:p>
    <w:p>
      <w:pPr>
        <w:adjustRightInd w:val="0"/>
        <w:snapToGrid w:val="0"/>
        <w:spacing w:line="360" w:lineRule="auto"/>
        <w:rPr>
          <w:rFonts w:ascii="Arial" w:hAnsi="Arial" w:cs="Arial" w:eastAsiaTheme="minorEastAsia"/>
          <w:szCs w:val="21"/>
        </w:rPr>
      </w:pPr>
      <w:r>
        <w:rPr>
          <w:rFonts w:hint="eastAsia" w:ascii="Arial" w:hAnsi="Arial" w:cs="Arial" w:eastAsiaTheme="minorEastAsia"/>
          <w:szCs w:val="21"/>
        </w:rPr>
        <w:t xml:space="preserve"> </w:t>
      </w:r>
      <w:r>
        <w:rPr>
          <w:rFonts w:hint="eastAsia" w:ascii="Arial" w:hAnsi="Arial" w:cs="Arial" w:eastAsiaTheme="minorEastAsia"/>
          <w:szCs w:val="21"/>
          <w:lang w:val="en-US" w:eastAsia="zh-CN"/>
        </w:rPr>
        <w:t xml:space="preserve">3.1.1.2 </w:t>
      </w:r>
      <w:r>
        <w:rPr>
          <w:rFonts w:hint="eastAsia" w:ascii="Arial" w:hAnsi="Arial" w:cs="Arial" w:eastAsiaTheme="minorEastAsia"/>
          <w:szCs w:val="21"/>
        </w:rPr>
        <w:t>酸度对测定的影响</w:t>
      </w:r>
    </w:p>
    <w:p>
      <w:pPr>
        <w:adjustRightInd w:val="0"/>
        <w:snapToGrid w:val="0"/>
        <w:spacing w:line="360" w:lineRule="auto"/>
        <w:ind w:firstLine="420" w:firstLineChars="200"/>
        <w:rPr>
          <w:rFonts w:ascii="Arial" w:hAnsi="Arial" w:cs="Arial" w:eastAsiaTheme="minorEastAsia"/>
          <w:szCs w:val="21"/>
        </w:rPr>
      </w:pPr>
      <w:r>
        <w:rPr>
          <w:rFonts w:hint="eastAsia" w:ascii="Arial" w:hAnsi="Arial" w:cs="Arial" w:eastAsiaTheme="minorEastAsia"/>
          <w:szCs w:val="21"/>
        </w:rPr>
        <w:t>制备酸度分别为1+99、1+49、1+19、2+23、1+9的试验用溶液，它们均含有La</w:t>
      </w:r>
      <w:r>
        <w:rPr>
          <w:rFonts w:hint="eastAsia" w:ascii="Arial" w:hAnsi="Arial" w:cs="Arial" w:eastAsiaTheme="minorEastAsia"/>
          <w:szCs w:val="21"/>
          <w:vertAlign w:val="subscript"/>
        </w:rPr>
        <w:t>2</w:t>
      </w:r>
      <w:r>
        <w:rPr>
          <w:rFonts w:hint="eastAsia" w:ascii="Arial" w:hAnsi="Arial" w:cs="Arial" w:eastAsiaTheme="minorEastAsia"/>
          <w:szCs w:val="21"/>
        </w:rPr>
        <w:t>O</w:t>
      </w:r>
      <w:r>
        <w:rPr>
          <w:rFonts w:hint="eastAsia" w:ascii="Arial" w:hAnsi="Arial" w:cs="Arial" w:eastAsiaTheme="minorEastAsia"/>
          <w:szCs w:val="21"/>
          <w:vertAlign w:val="subscript"/>
        </w:rPr>
        <w:t>3</w:t>
      </w:r>
      <w:r>
        <w:rPr>
          <w:rFonts w:hint="eastAsia" w:ascii="Arial" w:hAnsi="Arial" w:cs="Arial" w:eastAsiaTheme="minorEastAsia"/>
          <w:szCs w:val="21"/>
        </w:rPr>
        <w:t>10mg/mL、其他14个稀土杂质含量均为0.5µg/mL。在同一仪器试验条件下检测出各元素的信号强度，参照方法GB/T18115.1-2006(方法1)给出的酸度，本次试验以1+19酸度下的信号值为基准信号值，求得各酸度间的信号强度比值，经观察得知：随着酸度的增大，各元素的信号值略有下降。酸度太高信号值要减小，但是若采用低酸度，则容易引出沉淀的析出而堵塞管路，因此本法依旧选用1+19的酸度。</w:t>
      </w:r>
    </w:p>
    <w:p>
      <w:pPr>
        <w:adjustRightInd w:val="0"/>
        <w:snapToGrid w:val="0"/>
        <w:spacing w:line="360" w:lineRule="auto"/>
        <w:rPr>
          <w:rFonts w:ascii="Arial" w:hAnsi="Arial" w:cs="Arial" w:eastAsiaTheme="minorEastAsia"/>
          <w:szCs w:val="21"/>
        </w:rPr>
      </w:pPr>
      <w:r>
        <w:rPr>
          <w:rFonts w:hint="eastAsia" w:ascii="Arial" w:hAnsi="Arial" w:cs="Arial" w:eastAsiaTheme="minorEastAsia"/>
          <w:szCs w:val="21"/>
          <w:lang w:val="en-US" w:eastAsia="zh-CN"/>
        </w:rPr>
        <w:t xml:space="preserve">3.1.1.3 </w:t>
      </w:r>
      <w:r>
        <w:rPr>
          <w:rFonts w:hint="eastAsia" w:ascii="Arial" w:hAnsi="Arial" w:cs="Arial" w:eastAsiaTheme="minorEastAsia"/>
          <w:szCs w:val="21"/>
        </w:rPr>
        <w:t>功率对测定条件的影响</w:t>
      </w:r>
    </w:p>
    <w:p>
      <w:pPr>
        <w:adjustRightInd w:val="0"/>
        <w:snapToGrid w:val="0"/>
        <w:spacing w:line="360" w:lineRule="auto"/>
        <w:ind w:firstLine="420" w:firstLineChars="200"/>
        <w:rPr>
          <w:rFonts w:ascii="Arial" w:hAnsi="Arial" w:cs="Arial" w:eastAsiaTheme="minorEastAsia"/>
          <w:szCs w:val="21"/>
        </w:rPr>
      </w:pPr>
      <w:r>
        <w:rPr>
          <w:rFonts w:hint="eastAsia" w:ascii="Arial" w:hAnsi="Arial" w:cs="Arial" w:eastAsiaTheme="minorEastAsia"/>
          <w:szCs w:val="21"/>
        </w:rPr>
        <w:t>制备一份试验用溶液，酸度为1+19盐酸，含有La</w:t>
      </w:r>
      <w:r>
        <w:rPr>
          <w:rFonts w:hint="eastAsia" w:ascii="Arial" w:hAnsi="Arial" w:cs="Arial" w:eastAsiaTheme="minorEastAsia"/>
          <w:szCs w:val="21"/>
          <w:vertAlign w:val="subscript"/>
        </w:rPr>
        <w:t>2</w:t>
      </w:r>
      <w:r>
        <w:rPr>
          <w:rFonts w:hint="eastAsia" w:ascii="Arial" w:hAnsi="Arial" w:cs="Arial" w:eastAsiaTheme="minorEastAsia"/>
          <w:szCs w:val="21"/>
        </w:rPr>
        <w:t>O</w:t>
      </w:r>
      <w:r>
        <w:rPr>
          <w:rFonts w:hint="eastAsia" w:ascii="Arial" w:hAnsi="Arial" w:cs="Arial" w:eastAsiaTheme="minorEastAsia"/>
          <w:szCs w:val="21"/>
          <w:vertAlign w:val="subscript"/>
        </w:rPr>
        <w:t>3</w:t>
      </w:r>
      <w:r>
        <w:rPr>
          <w:rFonts w:hint="eastAsia" w:ascii="Arial" w:hAnsi="Arial" w:cs="Arial" w:eastAsiaTheme="minorEastAsia"/>
          <w:szCs w:val="21"/>
        </w:rPr>
        <w:t>10mg/mL、其他14个稀土杂质含量均为1µg/mL。在同一仪器，不同功率的试验条件下检测出各元素的信号强度及其背景强度，求得各被测元素的信背比。通过观察比较，发现提高功率可以增加信号值，背景值也增加，并且信背比随着功率的增加而降低。因此要作综合考虑。本文依旧采用方法GB/T18115.1-2006（方法1）使用的1000W为本方法的工作功率。</w:t>
      </w:r>
    </w:p>
    <w:p>
      <w:pPr>
        <w:adjustRightInd w:val="0"/>
        <w:snapToGrid w:val="0"/>
        <w:spacing w:line="360" w:lineRule="auto"/>
        <w:rPr>
          <w:rFonts w:ascii="Arial" w:hAnsi="Arial" w:cs="Arial" w:eastAsiaTheme="minorEastAsia"/>
          <w:szCs w:val="21"/>
        </w:rPr>
      </w:pPr>
      <w:r>
        <w:rPr>
          <w:rFonts w:hint="eastAsia" w:ascii="Arial" w:hAnsi="Arial" w:cs="Arial" w:eastAsiaTheme="minorEastAsia"/>
          <w:szCs w:val="21"/>
          <w:lang w:val="en-US" w:eastAsia="zh-CN"/>
        </w:rPr>
        <w:t xml:space="preserve">3.1.1.4 </w:t>
      </w:r>
      <w:r>
        <w:rPr>
          <w:rFonts w:hint="eastAsia" w:ascii="Arial" w:hAnsi="Arial" w:cs="Arial" w:eastAsiaTheme="minorEastAsia"/>
          <w:szCs w:val="21"/>
        </w:rPr>
        <w:t>基体浓度对测定的影响</w:t>
      </w:r>
    </w:p>
    <w:p>
      <w:pPr>
        <w:adjustRightInd w:val="0"/>
        <w:snapToGrid w:val="0"/>
        <w:spacing w:line="360" w:lineRule="auto"/>
        <w:ind w:firstLine="420" w:firstLineChars="200"/>
        <w:rPr>
          <w:rFonts w:ascii="Arial" w:hAnsi="Arial" w:cs="Arial" w:eastAsiaTheme="minorEastAsia"/>
          <w:szCs w:val="21"/>
        </w:rPr>
      </w:pPr>
      <w:r>
        <w:rPr>
          <w:rFonts w:hint="eastAsia" w:ascii="Arial" w:hAnsi="Arial" w:cs="Arial" w:eastAsiaTheme="minorEastAsia"/>
          <w:szCs w:val="21"/>
        </w:rPr>
        <w:t>制备基体浓度分别为0g/L、2g/L、4g/L、8g/L、10g/L、12g/L、14g/L、16g/L的试验用溶液，其他14个稀土杂质含量均为１µg/mL,在同一仪器相同试验条件下检测出各元素的信号值。以0g/L样品溶液测得的信号值为基准信号值，求得各基体浓度之间的信号强度比值。结果表明，基体浓度对测定的影响较大，随着基体浓度增大,信背比下降,考虑到测定下限的问题, 要作综合考虑。因此采用基体匹配法校正基体对测定的影响。本文采用基体浓度10mg/mL。</w:t>
      </w:r>
    </w:p>
    <w:p>
      <w:pPr>
        <w:adjustRightInd w:val="0"/>
        <w:snapToGrid w:val="0"/>
        <w:spacing w:line="360" w:lineRule="auto"/>
        <w:rPr>
          <w:rFonts w:ascii="Arial" w:hAnsi="Arial" w:cs="Arial" w:eastAsiaTheme="minorEastAsia"/>
          <w:szCs w:val="21"/>
        </w:rPr>
      </w:pPr>
      <w:r>
        <w:rPr>
          <w:rFonts w:hint="eastAsia" w:ascii="Arial" w:hAnsi="Arial" w:cs="Arial" w:eastAsiaTheme="minorEastAsia"/>
          <w:szCs w:val="21"/>
          <w:lang w:val="en-US" w:eastAsia="zh-CN"/>
        </w:rPr>
        <w:t xml:space="preserve">3.1.1.5 </w:t>
      </w:r>
      <w:r>
        <w:rPr>
          <w:rFonts w:hint="eastAsia" w:ascii="Arial" w:hAnsi="Arial" w:cs="Arial" w:eastAsiaTheme="minorEastAsia"/>
          <w:szCs w:val="21"/>
        </w:rPr>
        <w:t>方法的定量测定下限</w:t>
      </w:r>
    </w:p>
    <w:p>
      <w:pPr>
        <w:pStyle w:val="12"/>
        <w:spacing w:line="360" w:lineRule="auto"/>
        <w:ind w:firstLine="315" w:firstLineChars="150"/>
        <w:rPr>
          <w:rFonts w:ascii="宋体" w:hAnsi="宋体"/>
        </w:rPr>
      </w:pPr>
      <w:r>
        <w:rPr>
          <w:rFonts w:hint="eastAsia" w:ascii="宋体" w:hAnsi="宋体"/>
        </w:rPr>
        <w:t xml:space="preserve">  在选定的测定条件下，用基体空白溶液对被测元素测定11次，以空白值的3</w:t>
      </w:r>
      <w:r>
        <w:rPr>
          <w:rFonts w:hint="eastAsia" w:ascii="宋体" w:hAnsi="宋体"/>
          <w:color w:val="000000"/>
        </w:rPr>
        <w:t>倍标准偏差相应的浓度值作为比较仪器性能的检出限，</w:t>
      </w:r>
      <w:r>
        <w:rPr>
          <w:rFonts w:hint="eastAsia" w:ascii="宋体" w:hAnsi="宋体"/>
        </w:rPr>
        <w:t>10</w:t>
      </w:r>
      <w:r>
        <w:rPr>
          <w:rFonts w:hint="eastAsia" w:ascii="宋体" w:hAnsi="宋体"/>
          <w:color w:val="000000"/>
        </w:rPr>
        <w:t>倍标准偏差相应的浓度值作为</w:t>
      </w:r>
      <w:r>
        <w:rPr>
          <w:rFonts w:hint="eastAsia" w:ascii="宋体" w:hAnsi="宋体"/>
        </w:rPr>
        <w:t>本方法的测定下限，测定下限为0.0001%～0.0005%。</w:t>
      </w:r>
    </w:p>
    <w:p>
      <w:pPr>
        <w:adjustRightInd w:val="0"/>
        <w:snapToGrid w:val="0"/>
        <w:spacing w:line="360" w:lineRule="auto"/>
        <w:rPr>
          <w:rFonts w:ascii="Arial" w:hAnsi="Arial" w:cs="Arial" w:eastAsiaTheme="minorEastAsia"/>
          <w:szCs w:val="21"/>
        </w:rPr>
      </w:pPr>
      <w:r>
        <w:rPr>
          <w:rFonts w:hint="eastAsia" w:ascii="Arial" w:hAnsi="Arial" w:cs="Arial" w:eastAsiaTheme="minorEastAsia"/>
          <w:szCs w:val="21"/>
          <w:lang w:val="en-US" w:eastAsia="zh-CN"/>
        </w:rPr>
        <w:t xml:space="preserve">3.1.1.6 </w:t>
      </w:r>
      <w:r>
        <w:rPr>
          <w:rFonts w:hint="eastAsia" w:ascii="Arial" w:hAnsi="Arial" w:cs="Arial" w:eastAsiaTheme="minorEastAsia"/>
          <w:szCs w:val="21"/>
        </w:rPr>
        <w:t>方法回收率</w:t>
      </w:r>
    </w:p>
    <w:p>
      <w:pPr>
        <w:adjustRightInd w:val="0"/>
        <w:snapToGrid w:val="0"/>
        <w:spacing w:line="360" w:lineRule="auto"/>
        <w:ind w:firstLine="210" w:firstLineChars="100"/>
        <w:rPr>
          <w:rFonts w:ascii="Arial" w:hAnsi="Arial" w:cs="Arial" w:eastAsiaTheme="minorEastAsia"/>
          <w:szCs w:val="21"/>
        </w:rPr>
      </w:pPr>
      <w:r>
        <w:rPr>
          <w:rFonts w:hint="eastAsia" w:ascii="宋体" w:hAnsi="宋体"/>
          <w:szCs w:val="21"/>
        </w:rPr>
        <w:t>称取基体氧化镧样品三份，基体浓度为10mg/mL，分别加入稀土杂质的量为20µg/g，100µg/g，1000µg/g</w:t>
      </w:r>
      <w:r>
        <w:rPr>
          <w:rFonts w:hint="eastAsia" w:ascii="Arial" w:hAnsi="Arial" w:cs="Arial" w:eastAsiaTheme="minorEastAsia"/>
          <w:szCs w:val="21"/>
        </w:rPr>
        <w:t>，测定其回收率，方法回收率在92%~110%之间，方法准确可靠。</w:t>
      </w:r>
    </w:p>
    <w:p>
      <w:pPr>
        <w:adjustRightInd w:val="0"/>
        <w:snapToGrid w:val="0"/>
        <w:spacing w:line="360" w:lineRule="auto"/>
        <w:rPr>
          <w:rFonts w:ascii="Arial" w:hAnsi="Arial" w:cs="Arial" w:eastAsiaTheme="minorEastAsia"/>
          <w:szCs w:val="21"/>
        </w:rPr>
      </w:pPr>
      <w:r>
        <w:rPr>
          <w:rFonts w:hint="eastAsia" w:ascii="Arial" w:hAnsi="Arial" w:cs="Arial" w:eastAsiaTheme="minorEastAsia"/>
          <w:szCs w:val="21"/>
          <w:lang w:val="en-US" w:eastAsia="zh-CN"/>
        </w:rPr>
        <w:t xml:space="preserve">3.1.1.7 </w:t>
      </w:r>
      <w:r>
        <w:rPr>
          <w:rFonts w:hint="eastAsia" w:ascii="Arial" w:hAnsi="Arial" w:cs="Arial" w:eastAsiaTheme="minorEastAsia"/>
          <w:szCs w:val="21"/>
        </w:rPr>
        <w:t>方法精密度</w:t>
      </w:r>
    </w:p>
    <w:p>
      <w:pPr>
        <w:adjustRightInd w:val="0"/>
        <w:snapToGrid w:val="0"/>
        <w:spacing w:line="360" w:lineRule="auto"/>
        <w:ind w:firstLine="210" w:firstLineChars="100"/>
        <w:rPr>
          <w:rFonts w:hint="eastAsia"/>
        </w:rPr>
      </w:pPr>
      <w:r>
        <w:rPr>
          <w:rFonts w:hint="eastAsia" w:ascii="Arial" w:hAnsi="Arial" w:cs="Arial" w:eastAsiaTheme="minorEastAsia"/>
          <w:szCs w:val="21"/>
        </w:rPr>
        <w:t>按试验方法步骤对统一样进行独立11次测定，考察本方法的精密度</w:t>
      </w:r>
      <w:r>
        <w:rPr>
          <w:rFonts w:hint="eastAsia" w:ascii="宋体"/>
        </w:rPr>
        <w:t>，</w:t>
      </w:r>
      <w:r>
        <w:rPr>
          <w:rFonts w:hint="eastAsia"/>
        </w:rPr>
        <w:t>相对标准偏差在0.55%~</w:t>
      </w:r>
      <w:r>
        <w:rPr>
          <w:rFonts w:hint="eastAsia"/>
          <w:lang w:val="en-US" w:eastAsia="zh-CN"/>
        </w:rPr>
        <w:t>7.9</w:t>
      </w:r>
      <w:r>
        <w:rPr>
          <w:rFonts w:hint="eastAsia"/>
        </w:rPr>
        <w:t>%之间，方法准确可靠。</w:t>
      </w:r>
    </w:p>
    <w:p>
      <w:pPr>
        <w:pStyle w:val="5"/>
        <w:numPr>
          <w:ilvl w:val="3"/>
          <w:numId w:val="0"/>
        </w:numPr>
        <w:spacing w:before="0" w:after="0" w:line="360" w:lineRule="auto"/>
        <w:ind w:leftChars="0"/>
        <w:rPr>
          <w:rFonts w:hint="eastAsia" w:ascii="Arial" w:hAnsi="Arial" w:cs="Arial" w:eastAsiaTheme="minorEastAsia"/>
          <w:bCs w:val="0"/>
          <w:kern w:val="2"/>
          <w:sz w:val="21"/>
          <w:szCs w:val="21"/>
          <w:lang w:val="en-US" w:eastAsia="zh-CN" w:bidi="ar-SA"/>
        </w:rPr>
      </w:pPr>
      <w:r>
        <w:rPr>
          <w:rFonts w:hint="eastAsia" w:ascii="Times New Roman" w:hAnsi="Times New Roman" w:cs="Times New Roman"/>
          <w:lang w:val="en-US" w:eastAsia="zh-CN"/>
        </w:rPr>
        <w:t>3</w:t>
      </w:r>
      <w:r>
        <w:rPr>
          <w:rFonts w:hint="eastAsia" w:ascii="Arial" w:hAnsi="Arial" w:cs="Arial" w:eastAsiaTheme="minorEastAsia"/>
          <w:bCs w:val="0"/>
          <w:kern w:val="2"/>
          <w:sz w:val="21"/>
          <w:szCs w:val="21"/>
          <w:lang w:val="en-US" w:eastAsia="zh-CN" w:bidi="ar-SA"/>
        </w:rPr>
        <w:t>.1.1.8 不同方法比对</w:t>
      </w:r>
    </w:p>
    <w:p>
      <w:pPr>
        <w:spacing w:line="360" w:lineRule="auto"/>
        <w:ind w:firstLine="420" w:firstLineChars="200"/>
        <w:rPr>
          <w:rFonts w:hint="eastAsia" w:ascii="Arial" w:hAnsi="Arial" w:cs="Arial" w:eastAsiaTheme="minorEastAsia"/>
          <w:bCs w:val="0"/>
          <w:kern w:val="2"/>
          <w:sz w:val="21"/>
          <w:szCs w:val="21"/>
          <w:lang w:val="en-US" w:eastAsia="zh-CN" w:bidi="ar-SA"/>
        </w:rPr>
      </w:pPr>
      <w:r>
        <w:rPr>
          <w:rFonts w:hint="eastAsia" w:ascii="Arial" w:hAnsi="Arial" w:cs="Arial" w:eastAsiaTheme="minorEastAsia"/>
          <w:bCs w:val="0"/>
          <w:kern w:val="2"/>
          <w:sz w:val="21"/>
          <w:szCs w:val="21"/>
          <w:lang w:val="en-US" w:eastAsia="zh-CN" w:bidi="ar-SA"/>
        </w:rPr>
        <w:t>采取ICP-AES和ICP-MS两种不同方法对方法重叠部分的5个统一样品，进行结果比对。比对结果良好。数据略。</w:t>
      </w:r>
    </w:p>
    <w:p>
      <w:pPr>
        <w:adjustRightInd w:val="0"/>
        <w:snapToGrid w:val="0"/>
        <w:spacing w:line="360" w:lineRule="auto"/>
        <w:rPr>
          <w:rFonts w:hint="eastAsia"/>
          <w:lang w:val="en-US" w:eastAsia="zh-CN"/>
        </w:rPr>
      </w:pPr>
      <w:r>
        <w:rPr>
          <w:rFonts w:hint="eastAsia"/>
          <w:lang w:val="en-US" w:eastAsia="zh-CN"/>
        </w:rPr>
        <w:t>3.1.1.9 与氧化镧标准样品的结果比对</w:t>
      </w:r>
    </w:p>
    <w:p>
      <w:pPr>
        <w:adjustRightInd w:val="0"/>
        <w:snapToGrid w:val="0"/>
        <w:spacing w:line="360" w:lineRule="auto"/>
        <w:ind w:firstLine="420" w:firstLineChars="200"/>
        <w:rPr>
          <w:rFonts w:hint="eastAsia" w:eastAsia="宋体"/>
          <w:lang w:val="en-US" w:eastAsia="zh-CN"/>
        </w:rPr>
      </w:pPr>
      <w:r>
        <w:rPr>
          <w:rFonts w:hint="eastAsia" w:ascii="Arial" w:hAnsi="Arial" w:cs="Arial" w:eastAsiaTheme="minorEastAsia"/>
          <w:szCs w:val="21"/>
        </w:rPr>
        <w:t>按试验方法步骤</w:t>
      </w:r>
      <w:r>
        <w:rPr>
          <w:rFonts w:hint="eastAsia" w:ascii="宋体" w:hAnsi="宋体"/>
        </w:rPr>
        <w:t>分别对两个标样GSB04-2603-2010, GSB04-2604-2010进行了平行样测试，基体浓度为10g/L,</w:t>
      </w:r>
      <w:r>
        <w:rPr>
          <w:rFonts w:hint="eastAsia"/>
        </w:rPr>
        <w:t>测定值在扩展不确定度范围内，本方法数据准确可靠。</w:t>
      </w:r>
    </w:p>
    <w:p>
      <w:pPr>
        <w:adjustRightInd w:val="0"/>
        <w:snapToGrid w:val="0"/>
        <w:spacing w:line="360" w:lineRule="auto"/>
        <w:rPr>
          <w:rFonts w:ascii="Arial" w:hAnsi="Arial" w:cs="Arial" w:eastAsiaTheme="minorEastAsia"/>
          <w:szCs w:val="21"/>
        </w:rPr>
      </w:pPr>
      <w:r>
        <w:rPr>
          <w:rFonts w:ascii="Arial" w:hAnsi="Arial" w:cs="Arial" w:eastAsiaTheme="minorEastAsia"/>
          <w:szCs w:val="21"/>
        </w:rPr>
        <w:t>3.2</w:t>
      </w:r>
      <w:r>
        <w:rPr>
          <w:rFonts w:hint="eastAsia" w:ascii="Arial" w:hAnsi="Arial" w:cs="Arial" w:eastAsiaTheme="minorEastAsia"/>
          <w:szCs w:val="21"/>
        </w:rPr>
        <w:t xml:space="preserve"> </w:t>
      </w:r>
      <w:r>
        <w:rPr>
          <w:rFonts w:ascii="Arial" w:hAnsi="Arial" w:cs="Arial" w:eastAsiaTheme="minorEastAsia"/>
          <w:szCs w:val="21"/>
        </w:rPr>
        <w:t>方法</w:t>
      </w:r>
      <w:r>
        <w:rPr>
          <w:rFonts w:hint="eastAsia" w:ascii="Arial" w:hAnsi="Arial" w:cs="Arial" w:eastAsiaTheme="minorEastAsia"/>
          <w:szCs w:val="21"/>
        </w:rPr>
        <w:t>2</w:t>
      </w:r>
      <w:r>
        <w:rPr>
          <w:rFonts w:ascii="Arial" w:hAnsi="Arial" w:cs="Arial" w:eastAsiaTheme="minorEastAsia"/>
          <w:szCs w:val="21"/>
        </w:rPr>
        <w:t>：电感耦合等离子体质谱法</w:t>
      </w:r>
    </w:p>
    <w:p>
      <w:pPr>
        <w:adjustRightInd w:val="0"/>
        <w:snapToGrid w:val="0"/>
        <w:spacing w:line="360" w:lineRule="auto"/>
        <w:ind w:firstLine="420" w:firstLineChars="200"/>
        <w:rPr>
          <w:rFonts w:ascii="Arial" w:hAnsi="Arial" w:cs="Arial" w:eastAsiaTheme="minorEastAsia"/>
          <w:szCs w:val="21"/>
        </w:rPr>
      </w:pPr>
      <w:r>
        <w:rPr>
          <w:rFonts w:hint="eastAsia" w:ascii="Arial" w:hAnsi="Arial" w:cs="Arial" w:eastAsiaTheme="minorEastAsia"/>
          <w:szCs w:val="21"/>
          <w:lang w:val="en-US" w:eastAsia="zh-CN"/>
        </w:rPr>
        <w:t>3.2.1</w:t>
      </w:r>
      <w:r>
        <w:rPr>
          <w:rFonts w:ascii="Arial" w:hAnsi="Arial" w:cs="Arial" w:eastAsiaTheme="minorEastAsia"/>
          <w:szCs w:val="21"/>
        </w:rPr>
        <w:t>条件实验</w:t>
      </w:r>
    </w:p>
    <w:p>
      <w:pPr>
        <w:adjustRightInd w:val="0"/>
        <w:snapToGrid w:val="0"/>
        <w:spacing w:line="360" w:lineRule="auto"/>
        <w:rPr>
          <w:rFonts w:ascii="宋体" w:hAnsi="宋体"/>
        </w:rPr>
      </w:pPr>
      <w:r>
        <w:rPr>
          <w:rFonts w:hint="eastAsia" w:ascii="宋体" w:hAnsi="宋体"/>
          <w:lang w:val="en-US" w:eastAsia="zh-CN"/>
        </w:rPr>
        <w:t xml:space="preserve">3.2.1.1 </w:t>
      </w:r>
      <w:r>
        <w:rPr>
          <w:rFonts w:hint="eastAsia" w:ascii="宋体" w:hAnsi="宋体"/>
        </w:rPr>
        <w:t>测量同位素峰的选择</w:t>
      </w:r>
    </w:p>
    <w:p>
      <w:pPr>
        <w:adjustRightInd w:val="0"/>
        <w:snapToGrid w:val="0"/>
        <w:spacing w:line="360" w:lineRule="auto"/>
        <w:ind w:firstLine="420" w:firstLineChars="200"/>
        <w:rPr>
          <w:rFonts w:ascii="Arial" w:hAnsi="Arial" w:cs="Arial" w:eastAsiaTheme="minorEastAsia"/>
          <w:szCs w:val="21"/>
        </w:rPr>
      </w:pPr>
      <w:r>
        <w:rPr>
          <w:rFonts w:hint="eastAsia" w:ascii="宋体" w:hAnsi="宋体"/>
        </w:rPr>
        <w:t>一般选择丰度大且无同量异位素干扰的同位素为测量峰。</w:t>
      </w:r>
    </w:p>
    <w:p>
      <w:pPr>
        <w:spacing w:line="480" w:lineRule="auto"/>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w:t>
      </w:r>
      <w:r>
        <w:rPr>
          <w:rFonts w:hint="eastAsia" w:asciiTheme="minorEastAsia" w:hAnsiTheme="minorEastAsia" w:eastAsiaTheme="minorEastAsia" w:cstheme="minorEastAsia"/>
          <w:color w:val="000000"/>
          <w:lang w:val="en-US" w:eastAsia="zh-CN"/>
        </w:rPr>
        <w:t xml:space="preserve">3.2.2.2 </w:t>
      </w:r>
      <w:r>
        <w:rPr>
          <w:rFonts w:hint="eastAsia" w:asciiTheme="minorEastAsia" w:hAnsiTheme="minorEastAsia" w:eastAsiaTheme="minorEastAsia" w:cstheme="minorEastAsia"/>
          <w:color w:val="000000"/>
        </w:rPr>
        <w:t>基体效应试验</w:t>
      </w:r>
    </w:p>
    <w:p>
      <w:pPr>
        <w:spacing w:line="360" w:lineRule="auto"/>
      </w:pPr>
      <w:r>
        <w:rPr>
          <w:rFonts w:hint="eastAsia" w:ascii="宋体" w:hAnsi="宋体"/>
        </w:rPr>
        <w:t xml:space="preserve">    以&gt;99.9995%氧化</w:t>
      </w:r>
      <w:r>
        <w:rPr>
          <w:rFonts w:hint="eastAsia" w:ascii="宋体"/>
        </w:rPr>
        <w:t>镧</w:t>
      </w:r>
      <w:r>
        <w:rPr>
          <w:rFonts w:hint="eastAsia" w:ascii="宋体" w:hAnsi="宋体"/>
        </w:rPr>
        <w:t>配制成含10 ng/mL稀土杂质而基体浓度不同的溶液,测定其信号值。以无基体时所测信号值为1.00，其它浓度的样品所测信号值</w:t>
      </w:r>
      <w:r>
        <w:rPr>
          <w:rFonts w:hint="eastAsia" w:ascii="宋体" w:hAnsi="宋体"/>
          <w:color w:val="000000"/>
        </w:rPr>
        <w:t>与其之比。结果表明，</w:t>
      </w:r>
      <w:r>
        <w:rPr>
          <w:rFonts w:hint="eastAsia" w:ascii="宋体" w:hAnsi="宋体"/>
        </w:rPr>
        <w:t>基体抑制效应明显，</w:t>
      </w:r>
      <w:r>
        <w:rPr>
          <w:rFonts w:hint="eastAsia"/>
        </w:rPr>
        <w:t>且随基体浓度的升高，抑制加强，作为内标元素的Ga、Rh、In、Cs、Re也相应变化，因此均能不同程度地补偿基体抑制作用。进样浓度低，易沾污，且称样误差加大；进样浓度高则易堵塞雾化器喷嘴和锥体或加大记忆效应，</w:t>
      </w:r>
      <w:r>
        <w:rPr>
          <w:rFonts w:hint="eastAsia" w:ascii="宋体" w:hAnsi="宋体"/>
        </w:rPr>
        <w:t>基体浓度从0.1 mg/mL～1.0 mg/mL逐渐升高时，基体抑制明显加强，本法选择进样浓度为0.3 mg/mL。</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3.2.2.3 </w:t>
      </w:r>
      <w:r>
        <w:rPr>
          <w:rFonts w:hint="eastAsia" w:asciiTheme="minorEastAsia" w:hAnsiTheme="minorEastAsia" w:eastAsiaTheme="minorEastAsia" w:cstheme="minorEastAsia"/>
        </w:rPr>
        <w:t>加料回收试验及内标元素的选择</w:t>
      </w:r>
    </w:p>
    <w:p>
      <w:pPr>
        <w:spacing w:line="360" w:lineRule="auto"/>
        <w:ind w:firstLine="420" w:firstLineChars="200"/>
      </w:pPr>
      <w:r>
        <w:rPr>
          <w:rFonts w:hint="eastAsia"/>
        </w:rPr>
        <w:t>考察了以Ga、Rh、In、Cs、Re五种元素作为内标的校正效果，不同内标的回收率在91％～123％之间，通过In内标校正，回收率达92％～116％，Cs内标校正，回收率达99％～113％，本方法采用Cs内标。</w: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lang w:val="en-US" w:eastAsia="zh-CN"/>
        </w:rPr>
        <w:t xml:space="preserve">3.2.2.4 </w:t>
      </w:r>
      <w:r>
        <w:rPr>
          <w:rFonts w:hint="eastAsia" w:asciiTheme="minorEastAsia" w:hAnsiTheme="minorEastAsia" w:eastAsiaTheme="minorEastAsia" w:cstheme="minorEastAsia"/>
        </w:rPr>
        <w:t>样品酸度的选择</w:t>
      </w:r>
    </w:p>
    <w:p>
      <w:pPr>
        <w:spacing w:line="360" w:lineRule="auto"/>
        <w:ind w:firstLine="420" w:firstLineChars="200"/>
        <w:rPr>
          <w:rFonts w:asciiTheme="minorEastAsia" w:hAnsiTheme="minorEastAsia" w:eastAsiaTheme="minorEastAsia" w:cstheme="minorEastAsia"/>
        </w:rPr>
      </w:pPr>
      <w:r>
        <w:rPr>
          <w:rFonts w:hint="eastAsia" w:ascii="宋体" w:hAnsi="宋体"/>
        </w:rPr>
        <w:t>为了确定实际样品分析中所用硝酸酸度，配制均含10 ng/mL稀土杂质的不同酸度的</w:t>
      </w:r>
      <w:r>
        <w:rPr>
          <w:rFonts w:hint="eastAsia"/>
        </w:rPr>
        <w:t>0.3 g/L</w:t>
      </w:r>
      <w:r>
        <w:rPr>
          <w:rFonts w:hint="eastAsia" w:ascii="宋体" w:hAnsi="宋体"/>
        </w:rPr>
        <w:t>氧化</w:t>
      </w:r>
      <w:r>
        <w:rPr>
          <w:rFonts w:hint="eastAsia" w:ascii="宋体"/>
        </w:rPr>
        <w:t>镧</w:t>
      </w:r>
      <w:r>
        <w:rPr>
          <w:rFonts w:hint="eastAsia" w:ascii="宋体" w:hAnsi="宋体"/>
        </w:rPr>
        <w:t>溶液，测定其信号值，以（1+49）酸度的样品溶液所测信号值为1.00，其它酸度的样品所测信号值与其之比，随酸度的升高，被测元素信号相对值略有降低，作为内标元素的Ga、Rh、In、Cs、Re也相应变化，基本能补偿酸度的作用，本工作选择硝酸酸度为（1+49）</w:t>
      </w:r>
      <w:r>
        <w:rPr>
          <w:rFonts w:hint="eastAsia"/>
        </w:rPr>
        <w:t>。</w:t>
      </w:r>
    </w:p>
    <w:p>
      <w:pPr>
        <w:spacing w:line="360" w:lineRule="auto"/>
        <w:rPr>
          <w:rFonts w:ascii="黑体" w:eastAsia="黑体"/>
        </w:rPr>
      </w:pPr>
      <w:r>
        <w:rPr>
          <w:rFonts w:hint="eastAsia" w:asciiTheme="minorEastAsia" w:hAnsiTheme="minorEastAsia" w:eastAsiaTheme="minorEastAsia" w:cstheme="minorEastAsia"/>
          <w:lang w:val="en-US" w:eastAsia="zh-CN"/>
        </w:rPr>
        <w:t xml:space="preserve">3.2.2.5 </w:t>
      </w:r>
      <w:r>
        <w:rPr>
          <w:rFonts w:hint="eastAsia" w:asciiTheme="minorEastAsia" w:hAnsiTheme="minorEastAsia" w:eastAsiaTheme="minorEastAsia" w:cstheme="minorEastAsia"/>
        </w:rPr>
        <w:t>检出限和测定下限</w:t>
      </w:r>
    </w:p>
    <w:p>
      <w:pPr>
        <w:spacing w:line="360" w:lineRule="auto"/>
        <w:ind w:firstLine="420" w:firstLineChars="200"/>
        <w:rPr>
          <w:rFonts w:ascii="宋体" w:hAnsi="宋体"/>
          <w:szCs w:val="21"/>
        </w:rPr>
      </w:pPr>
      <w:r>
        <w:rPr>
          <w:rFonts w:hint="eastAsia" w:ascii="宋体" w:hAnsi="宋体"/>
          <w:szCs w:val="21"/>
        </w:rPr>
        <w:t>对空白值进行独立11次测定，以3</w:t>
      </w:r>
      <w:r>
        <w:rPr>
          <w:rFonts w:hint="eastAsia" w:ascii="宋体" w:hAnsi="宋体"/>
          <w:color w:val="000000"/>
          <w:szCs w:val="21"/>
        </w:rPr>
        <w:t>倍标准偏差相应的浓度值作为比较仪器性能的检出限，由10倍标准偏差并综合进样浓度和精密度实验估算出本方法的测定下限为</w:t>
      </w:r>
      <w:r>
        <w:rPr>
          <w:rFonts w:hint="eastAsia" w:ascii="宋体" w:hAnsi="宋体"/>
          <w:szCs w:val="21"/>
        </w:rPr>
        <w:t>0.1 µg/g～0.5 µg/g</w:t>
      </w:r>
    </w:p>
    <w:p>
      <w:pP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 xml:space="preserve">3.2.2.6 </w:t>
      </w:r>
      <w:r>
        <w:rPr>
          <w:rFonts w:hint="eastAsia" w:asciiTheme="minorEastAsia" w:hAnsiTheme="minorEastAsia" w:eastAsiaTheme="minorEastAsia" w:cstheme="minorEastAsia"/>
          <w:color w:val="000000"/>
        </w:rPr>
        <w:t>功率、雾化气流量对离子信号的影响</w:t>
      </w:r>
    </w:p>
    <w:p>
      <w:pPr>
        <w:spacing w:line="360" w:lineRule="auto"/>
        <w:ind w:firstLine="420" w:firstLineChars="200"/>
      </w:pPr>
      <w:r>
        <w:rPr>
          <w:rFonts w:hint="eastAsia"/>
          <w:color w:val="000000"/>
        </w:rPr>
        <w:t>为考察仪器工作条件对测定的影响，本文试验了功率、</w:t>
      </w:r>
      <w:r>
        <w:rPr>
          <w:rFonts w:hint="eastAsia" w:ascii="黑体" w:eastAsia="黑体"/>
          <w:color w:val="000000"/>
        </w:rPr>
        <w:t>雾化气</w:t>
      </w:r>
      <w:r>
        <w:rPr>
          <w:rFonts w:hint="eastAsia"/>
        </w:rPr>
        <w:t>流量对离子信号的影响。0.3 g/L</w:t>
      </w:r>
      <w:r>
        <w:rPr>
          <w:rFonts w:hint="eastAsia" w:ascii="宋体" w:hAnsi="宋体"/>
        </w:rPr>
        <w:t>氧化</w:t>
      </w:r>
      <w:r>
        <w:rPr>
          <w:rFonts w:hint="eastAsia" w:ascii="宋体"/>
        </w:rPr>
        <w:t>镧</w:t>
      </w:r>
      <w:r>
        <w:rPr>
          <w:rFonts w:hint="eastAsia" w:ascii="宋体" w:hAnsi="宋体"/>
        </w:rPr>
        <w:t>基体中含10ng/mL稀土杂质溶液所测得的信号值与1000W、0</w:t>
      </w:r>
      <w:r>
        <w:rPr>
          <w:rFonts w:hint="eastAsia"/>
          <w:color w:val="000000"/>
        </w:rPr>
        <w:t>.</w:t>
      </w:r>
      <w:r>
        <w:rPr>
          <w:rFonts w:hint="eastAsia" w:ascii="宋体" w:hAnsi="宋体"/>
        </w:rPr>
        <w:t>90L/min时无基体的相应杂质所测信号值之比。结果表明，</w:t>
      </w:r>
      <w:r>
        <w:rPr>
          <w:rFonts w:hint="eastAsia"/>
        </w:rPr>
        <w:t>功率、</w:t>
      </w:r>
      <w:r>
        <w:rPr>
          <w:rFonts w:hint="eastAsia" w:ascii="宋体"/>
          <w:color w:val="000000"/>
        </w:rPr>
        <w:t>雾化气</w:t>
      </w:r>
      <w:r>
        <w:rPr>
          <w:rFonts w:hint="eastAsia"/>
        </w:rPr>
        <w:t>流量的变化对被测元素离子信号相对值有明显的影响，同时内标元素也发生相应变化，基本上均可得到有效补偿，考虑到RF发生器的大功率管使用寿命、灵敏度及锥体上记忆的影响，本工作选择功率为1000 W，</w:t>
      </w:r>
      <w:r>
        <w:rPr>
          <w:rFonts w:hint="eastAsia" w:ascii="宋体"/>
          <w:color w:val="000000"/>
        </w:rPr>
        <w:t>雾化气</w:t>
      </w:r>
      <w:r>
        <w:rPr>
          <w:rFonts w:hint="eastAsia"/>
        </w:rPr>
        <w:t>流量为0.90 L/min。</w:t>
      </w:r>
    </w:p>
    <w:p>
      <w:pPr>
        <w:spacing w:line="48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xml:space="preserve">3.2.2.7 </w:t>
      </w:r>
      <w:r>
        <w:rPr>
          <w:rFonts w:hint="eastAsia" w:asciiTheme="minorEastAsia" w:hAnsiTheme="minorEastAsia" w:eastAsiaTheme="minorEastAsia" w:cstheme="minorEastAsia"/>
        </w:rPr>
        <w:t>标准加入法、外标法、基体匹配法结果比</w:t>
      </w:r>
      <w:r>
        <w:rPr>
          <w:rFonts w:hint="eastAsia" w:asciiTheme="minorEastAsia" w:hAnsiTheme="minorEastAsia" w:eastAsiaTheme="minorEastAsia" w:cstheme="minorEastAsia"/>
          <w:lang w:eastAsia="zh-CN"/>
        </w:rPr>
        <w:t>对</w:t>
      </w:r>
    </w:p>
    <w:p>
      <w:pPr>
        <w:spacing w:line="360" w:lineRule="auto"/>
        <w:ind w:firstLine="435"/>
        <w:rPr>
          <w:color w:val="000000"/>
        </w:rPr>
      </w:pPr>
      <w:r>
        <w:rPr>
          <w:rFonts w:hint="eastAsia"/>
        </w:rPr>
        <w:t xml:space="preserve"> 对同一样品测定，采用标准加入法、基体匹配法、外标法分别进行了计算，</w:t>
      </w:r>
      <w:r>
        <w:rPr>
          <w:rFonts w:hint="eastAsia"/>
          <w:color w:val="000000"/>
        </w:rPr>
        <w:t>三种方法数据大多比较接近，外标法最为方便，一般情况下可满足分析要求，本工作选择外标法。</w:t>
      </w:r>
    </w:p>
    <w:p>
      <w:pPr>
        <w:rPr>
          <w:rFonts w:hint="eastAsia" w:asciiTheme="minorEastAsia" w:hAnsiTheme="minorEastAsia" w:eastAsiaTheme="minorEastAsia" w:cstheme="minorEastAsia"/>
          <w:lang w:val="en-US" w:eastAsia="zh-CN"/>
        </w:rPr>
      </w:pPr>
    </w:p>
    <w:p>
      <w:pPr>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3.2.2.8 </w:t>
      </w:r>
      <w:r>
        <w:rPr>
          <w:rFonts w:hint="eastAsia" w:asciiTheme="minorEastAsia" w:hAnsiTheme="minorEastAsia" w:eastAsiaTheme="minorEastAsia" w:cstheme="minorEastAsia"/>
        </w:rPr>
        <w:t>精密度试验</w:t>
      </w:r>
    </w:p>
    <w:p>
      <w:pPr>
        <w:spacing w:line="360" w:lineRule="auto"/>
        <w:ind w:firstLine="435"/>
      </w:pPr>
      <w:r>
        <w:rPr>
          <w:rFonts w:hint="eastAsia" w:asciiTheme="minorEastAsia" w:hAnsiTheme="minorEastAsia" w:eastAsiaTheme="minorEastAsia" w:cstheme="minorEastAsia"/>
        </w:rPr>
        <w:t>对五个</w:t>
      </w:r>
      <w:r>
        <w:rPr>
          <w:rFonts w:hint="eastAsia" w:asciiTheme="minorEastAsia" w:hAnsiTheme="minorEastAsia" w:eastAsiaTheme="minorEastAsia" w:cstheme="minorEastAsia"/>
          <w:color w:val="000000"/>
        </w:rPr>
        <w:t>La</w:t>
      </w:r>
      <w:r>
        <w:rPr>
          <w:rFonts w:hint="eastAsia" w:asciiTheme="minorEastAsia" w:hAnsiTheme="minorEastAsia" w:eastAsiaTheme="minorEastAsia" w:cstheme="minorEastAsia"/>
          <w:color w:val="000000"/>
          <w:vertAlign w:val="subscript"/>
        </w:rPr>
        <w:t>2</w:t>
      </w:r>
      <w:r>
        <w:rPr>
          <w:rFonts w:hint="eastAsia" w:asciiTheme="minorEastAsia" w:hAnsiTheme="minorEastAsia" w:eastAsiaTheme="minorEastAsia" w:cstheme="minorEastAsia"/>
          <w:color w:val="000000"/>
        </w:rPr>
        <w:t>O</w:t>
      </w:r>
      <w:r>
        <w:rPr>
          <w:rFonts w:hint="eastAsia" w:asciiTheme="minorEastAsia" w:hAnsiTheme="minorEastAsia" w:eastAsiaTheme="minorEastAsia" w:cstheme="minorEastAsia"/>
          <w:color w:val="000000"/>
          <w:vertAlign w:val="subscript"/>
        </w:rPr>
        <w:t>3</w:t>
      </w:r>
      <w:r>
        <w:rPr>
          <w:rFonts w:hint="eastAsia" w:asciiTheme="minorEastAsia" w:hAnsiTheme="minorEastAsia" w:eastAsiaTheme="minorEastAsia" w:cstheme="minorEastAsia"/>
        </w:rPr>
        <w:t>统一样品（La–1#、La–2#、La–3#、La–4#、 La–5#）进行测定，进样浓度为0.3mg/mL，以Cs为内标，按外标法计算，五个样品首选峰测量值相对标准偏差为0.98%～7.95％。</w:t>
      </w:r>
    </w:p>
    <w:p>
      <w:pPr>
        <w:adjustRightInd w:val="0"/>
        <w:snapToGrid w:val="0"/>
        <w:spacing w:line="360" w:lineRule="auto"/>
        <w:rPr>
          <w:rFonts w:ascii="Arial" w:hAnsi="Arial" w:cs="Arial" w:eastAsiaTheme="minorEastAsia"/>
          <w:szCs w:val="21"/>
        </w:rPr>
      </w:pPr>
      <w:r>
        <w:rPr>
          <w:rFonts w:ascii="Arial" w:hAnsi="Arial" w:cs="Arial" w:eastAsiaTheme="minorEastAsia"/>
          <w:szCs w:val="21"/>
        </w:rPr>
        <w:t>四、标准水平分析</w:t>
      </w:r>
    </w:p>
    <w:p>
      <w:pPr>
        <w:adjustRightInd w:val="0"/>
        <w:snapToGrid w:val="0"/>
        <w:spacing w:line="360" w:lineRule="auto"/>
        <w:ind w:firstLine="420" w:firstLineChars="200"/>
        <w:rPr>
          <w:rFonts w:ascii="Arial" w:hAnsi="Arial" w:cs="Arial" w:eastAsiaTheme="minorEastAsia"/>
          <w:szCs w:val="21"/>
        </w:rPr>
      </w:pPr>
      <w:r>
        <w:rPr>
          <w:rFonts w:ascii="Arial" w:hAnsi="Arial" w:cs="Arial" w:eastAsiaTheme="minorEastAsia"/>
          <w:szCs w:val="21"/>
        </w:rPr>
        <w:t>本标准修订过程中，由起草单位对国际、国内标准进行了查阅和调研，修订后的方法更能紧密联系实际，充分考虑了检测仪器设备的性能更新</w:t>
      </w:r>
      <w:r>
        <w:rPr>
          <w:rFonts w:hint="eastAsia" w:ascii="Arial" w:hAnsi="Arial" w:cs="Arial" w:eastAsiaTheme="minorEastAsia"/>
          <w:szCs w:val="21"/>
        </w:rPr>
        <w:t>和产品标准要求的提升</w:t>
      </w:r>
      <w:r>
        <w:rPr>
          <w:rFonts w:ascii="Arial" w:hAnsi="Arial" w:cs="Arial" w:eastAsiaTheme="minorEastAsia"/>
          <w:szCs w:val="21"/>
        </w:rPr>
        <w:t>，进一步扩展了方法的检测范围，更深一步的研究了基体干扰，提升了检测结果的可靠性。故本标准达到国内领先，国际先进水平。</w:t>
      </w:r>
    </w:p>
    <w:p>
      <w:pPr>
        <w:adjustRightInd w:val="0"/>
        <w:snapToGrid w:val="0"/>
        <w:spacing w:line="360" w:lineRule="auto"/>
        <w:rPr>
          <w:rFonts w:ascii="Arial" w:hAnsi="Arial" w:cs="Arial" w:eastAsiaTheme="minorEastAsia"/>
          <w:szCs w:val="21"/>
        </w:rPr>
      </w:pPr>
      <w:r>
        <w:rPr>
          <w:rFonts w:ascii="Arial" w:hAnsi="Arial" w:cs="Arial" w:eastAsiaTheme="minorEastAsia"/>
          <w:szCs w:val="21"/>
        </w:rPr>
        <w:t>五、与现行相关法律、法规、规章及相关标准，特别是强制性标准的协调性</w:t>
      </w:r>
    </w:p>
    <w:p>
      <w:pPr>
        <w:adjustRightInd w:val="0"/>
        <w:snapToGrid w:val="0"/>
        <w:spacing w:line="360" w:lineRule="auto"/>
        <w:ind w:firstLine="420" w:firstLineChars="200"/>
        <w:rPr>
          <w:rFonts w:ascii="Arial" w:hAnsi="Arial" w:cs="Arial" w:eastAsiaTheme="minorEastAsia"/>
          <w:szCs w:val="21"/>
        </w:rPr>
      </w:pPr>
      <w:r>
        <w:rPr>
          <w:rFonts w:ascii="Arial" w:hAnsi="Arial" w:cs="Arial" w:eastAsiaTheme="minorEastAsia"/>
          <w:szCs w:val="21"/>
        </w:rPr>
        <w:t>本部分标准完全满足现行国家法规的要求，</w:t>
      </w:r>
      <w:r>
        <w:rPr>
          <w:rFonts w:hint="eastAsia" w:ascii="Arial" w:hAnsi="Arial" w:cs="Arial" w:eastAsiaTheme="minorEastAsia"/>
          <w:szCs w:val="21"/>
        </w:rPr>
        <w:t>可</w:t>
      </w:r>
      <w:r>
        <w:rPr>
          <w:rFonts w:ascii="Arial" w:hAnsi="Arial" w:cs="Arial" w:eastAsiaTheme="minorEastAsia"/>
          <w:szCs w:val="21"/>
        </w:rPr>
        <w:t>适用于单一稀土金属及氧化物产品中稀土杂质元素的测定；测定范围合理，准确度和精密度完全满足</w:t>
      </w:r>
      <w:r>
        <w:rPr>
          <w:rFonts w:hint="eastAsia" w:ascii="Arial" w:hAnsi="Arial" w:cs="Arial" w:eastAsiaTheme="minorEastAsia"/>
          <w:szCs w:val="21"/>
        </w:rPr>
        <w:t>镧</w:t>
      </w:r>
      <w:r>
        <w:rPr>
          <w:rFonts w:ascii="Arial" w:hAnsi="Arial" w:cs="Arial" w:eastAsiaTheme="minorEastAsia"/>
          <w:szCs w:val="21"/>
        </w:rPr>
        <w:t>产品标准技术要求，具有快速、准确的特点。标准文本内容表述合理，格式规范。</w:t>
      </w:r>
      <w:bookmarkStart w:id="4" w:name="_GoBack"/>
      <w:bookmarkEnd w:id="4"/>
    </w:p>
    <w:p>
      <w:pPr>
        <w:adjustRightInd w:val="0"/>
        <w:snapToGrid w:val="0"/>
        <w:spacing w:line="360" w:lineRule="auto"/>
        <w:rPr>
          <w:rFonts w:ascii="Arial" w:hAnsi="Arial" w:cs="Arial" w:eastAsiaTheme="minorEastAsia"/>
          <w:szCs w:val="21"/>
        </w:rPr>
      </w:pPr>
      <w:r>
        <w:rPr>
          <w:rFonts w:ascii="Arial" w:hAnsi="Arial" w:cs="Arial" w:eastAsiaTheme="minorEastAsia"/>
          <w:szCs w:val="21"/>
        </w:rPr>
        <w:t>六、标准中如涉及专利，应有明确的知识产权说明</w:t>
      </w:r>
    </w:p>
    <w:p>
      <w:pPr>
        <w:adjustRightInd w:val="0"/>
        <w:snapToGrid w:val="0"/>
        <w:spacing w:line="360" w:lineRule="auto"/>
        <w:ind w:firstLine="420" w:firstLineChars="200"/>
        <w:rPr>
          <w:rFonts w:ascii="Arial" w:hAnsi="Arial" w:cs="Arial" w:eastAsiaTheme="minorEastAsia"/>
          <w:szCs w:val="21"/>
        </w:rPr>
      </w:pPr>
      <w:r>
        <w:rPr>
          <w:rFonts w:hint="eastAsia" w:ascii="Arial" w:hAnsi="Arial" w:cs="Arial" w:eastAsiaTheme="minorEastAsia"/>
          <w:szCs w:val="21"/>
        </w:rPr>
        <w:t>本标准不涉及专利。</w:t>
      </w:r>
    </w:p>
    <w:p>
      <w:pPr>
        <w:adjustRightInd w:val="0"/>
        <w:snapToGrid w:val="0"/>
        <w:spacing w:line="360" w:lineRule="auto"/>
        <w:rPr>
          <w:rFonts w:ascii="Arial" w:hAnsi="Arial" w:cs="Arial" w:eastAsiaTheme="minorEastAsia"/>
          <w:szCs w:val="21"/>
        </w:rPr>
      </w:pPr>
      <w:r>
        <w:rPr>
          <w:rFonts w:ascii="Arial" w:hAnsi="Arial" w:cs="Arial" w:eastAsiaTheme="minorEastAsia"/>
          <w:szCs w:val="21"/>
        </w:rPr>
        <w:t>七、重大分歧意见的处理经过和依据</w:t>
      </w:r>
    </w:p>
    <w:p>
      <w:pPr>
        <w:adjustRightInd w:val="0"/>
        <w:snapToGrid w:val="0"/>
        <w:spacing w:line="360" w:lineRule="auto"/>
        <w:ind w:firstLine="420" w:firstLineChars="200"/>
        <w:rPr>
          <w:rFonts w:ascii="Arial" w:hAnsi="Arial" w:cs="Arial" w:eastAsiaTheme="minorEastAsia"/>
          <w:szCs w:val="21"/>
        </w:rPr>
      </w:pPr>
      <w:r>
        <w:rPr>
          <w:rFonts w:hint="eastAsia" w:ascii="Arial" w:hAnsi="Arial" w:cs="Arial" w:eastAsiaTheme="minorEastAsia"/>
          <w:szCs w:val="21"/>
        </w:rPr>
        <w:t>无。</w:t>
      </w:r>
    </w:p>
    <w:p>
      <w:pPr>
        <w:adjustRightInd w:val="0"/>
        <w:snapToGrid w:val="0"/>
        <w:spacing w:line="360" w:lineRule="auto"/>
        <w:rPr>
          <w:rFonts w:ascii="Arial" w:hAnsi="Arial" w:cs="Arial" w:eastAsiaTheme="minorEastAsia"/>
          <w:szCs w:val="21"/>
        </w:rPr>
      </w:pPr>
      <w:r>
        <w:rPr>
          <w:rFonts w:ascii="Arial" w:hAnsi="Arial" w:cs="Arial" w:eastAsiaTheme="minorEastAsia"/>
          <w:szCs w:val="21"/>
        </w:rPr>
        <w:t>八、标准作为强制性或推荐性国家（或行业）标准的建议</w:t>
      </w:r>
    </w:p>
    <w:p>
      <w:pPr>
        <w:adjustRightInd w:val="0"/>
        <w:snapToGrid w:val="0"/>
        <w:spacing w:line="360" w:lineRule="auto"/>
        <w:ind w:firstLine="420" w:firstLineChars="200"/>
        <w:rPr>
          <w:rFonts w:ascii="Arial" w:hAnsi="Arial" w:cs="Arial" w:eastAsiaTheme="minorEastAsia"/>
          <w:szCs w:val="21"/>
        </w:rPr>
      </w:pPr>
      <w:r>
        <w:rPr>
          <w:rFonts w:ascii="Arial" w:hAnsi="Arial" w:cs="Arial" w:eastAsiaTheme="minorEastAsia"/>
          <w:szCs w:val="21"/>
        </w:rPr>
        <w:t>本标准建议作为推荐性国家标准来制定。</w:t>
      </w:r>
    </w:p>
    <w:p>
      <w:pPr>
        <w:adjustRightInd w:val="0"/>
        <w:snapToGrid w:val="0"/>
        <w:spacing w:line="360" w:lineRule="auto"/>
        <w:rPr>
          <w:rFonts w:ascii="Arial" w:hAnsi="Arial" w:cs="Arial" w:eastAsiaTheme="minorEastAsia"/>
          <w:szCs w:val="21"/>
        </w:rPr>
      </w:pPr>
      <w:r>
        <w:rPr>
          <w:rFonts w:ascii="Arial" w:hAnsi="Arial" w:cs="Arial" w:eastAsiaTheme="minorEastAsia"/>
          <w:szCs w:val="21"/>
        </w:rPr>
        <w:t>九、贯彻标准的要求和措施建议，包括：</w:t>
      </w:r>
    </w:p>
    <w:p>
      <w:pPr>
        <w:adjustRightInd w:val="0"/>
        <w:snapToGrid w:val="0"/>
        <w:spacing w:line="360" w:lineRule="auto"/>
        <w:ind w:firstLine="420" w:firstLineChars="200"/>
        <w:rPr>
          <w:rFonts w:ascii="Arial" w:hAnsi="Arial" w:cs="Arial" w:eastAsiaTheme="minorEastAsia"/>
          <w:szCs w:val="21"/>
        </w:rPr>
      </w:pPr>
      <w:r>
        <w:rPr>
          <w:rFonts w:ascii="Arial" w:hAnsi="Arial" w:cs="Arial" w:eastAsiaTheme="minorEastAsia"/>
          <w:szCs w:val="21"/>
        </w:rPr>
        <w:t>——组织措施</w:t>
      </w:r>
    </w:p>
    <w:p>
      <w:pPr>
        <w:adjustRightInd w:val="0"/>
        <w:snapToGrid w:val="0"/>
        <w:spacing w:line="360" w:lineRule="auto"/>
        <w:ind w:firstLine="420" w:firstLineChars="200"/>
        <w:rPr>
          <w:rFonts w:ascii="Times New Roman" w:hAnsi="Times New Roman" w:cs="Times New Roman" w:eastAsiaTheme="minorEastAsia"/>
          <w:szCs w:val="21"/>
        </w:rPr>
      </w:pPr>
      <w:r>
        <w:rPr>
          <w:rFonts w:ascii="Arial" w:hAnsi="Arial" w:cs="Arial" w:eastAsiaTheme="minorEastAsia"/>
          <w:szCs w:val="21"/>
        </w:rPr>
        <w:t>标准颁布实施后，需要国家有关部门组织大力宣传和贯彻，主办各种形式的培训班，使相关企业及相关贸易单位能够积极主动地解读标准内容，充分认识和理解制订的标准条款，进而</w:t>
      </w:r>
      <w:r>
        <w:rPr>
          <w:rFonts w:ascii="Times New Roman" w:hAnsi="Times New Roman" w:cs="Times New Roman" w:eastAsiaTheme="minorEastAsia"/>
          <w:szCs w:val="21"/>
        </w:rPr>
        <w:t>加以应用。</w:t>
      </w:r>
    </w:p>
    <w:p>
      <w:pPr>
        <w:adjustRightInd w:val="0"/>
        <w:snapToGrid w:val="0"/>
        <w:spacing w:line="360" w:lineRule="auto"/>
        <w:ind w:firstLine="420" w:firstLineChars="200"/>
        <w:rPr>
          <w:rFonts w:ascii="Arial" w:hAnsi="Arial" w:cs="Arial" w:eastAsiaTheme="minorEastAsia"/>
          <w:szCs w:val="21"/>
        </w:rPr>
      </w:pPr>
      <w:r>
        <w:rPr>
          <w:rFonts w:ascii="Arial" w:hAnsi="Arial" w:cs="Arial" w:eastAsiaTheme="minorEastAsia"/>
          <w:szCs w:val="21"/>
        </w:rPr>
        <w:t>——技术措施</w:t>
      </w:r>
    </w:p>
    <w:p>
      <w:pPr>
        <w:adjustRightInd w:val="0"/>
        <w:snapToGrid w:val="0"/>
        <w:spacing w:line="360" w:lineRule="auto"/>
        <w:ind w:firstLine="420" w:firstLineChars="200"/>
        <w:rPr>
          <w:rFonts w:ascii="Arial" w:hAnsi="Arial" w:cs="Arial" w:eastAsiaTheme="minorEastAsia"/>
          <w:szCs w:val="21"/>
        </w:rPr>
      </w:pPr>
      <w:r>
        <w:rPr>
          <w:rFonts w:ascii="Arial" w:hAnsi="Arial" w:cs="Arial" w:eastAsiaTheme="minorEastAsia"/>
          <w:szCs w:val="21"/>
        </w:rPr>
        <w:t>标准颁布实施后</w:t>
      </w:r>
      <w:r>
        <w:rPr>
          <w:rFonts w:hint="eastAsia" w:ascii="Arial" w:hAnsi="Arial" w:cs="Arial" w:eastAsiaTheme="minorEastAsia"/>
          <w:szCs w:val="21"/>
        </w:rPr>
        <w:t>，首先保证电感耦合等离子体光谱仪和质谱仪等相关设备的各项参数能保证检测要求，加强操作人员对仪器使用及维护保养的培训，学习掌握样品前处理技术，加强对仪器设备的使用管理，定期对仪器进行维护保养并记录。</w:t>
      </w:r>
    </w:p>
    <w:p>
      <w:pPr>
        <w:adjustRightInd w:val="0"/>
        <w:snapToGrid w:val="0"/>
        <w:spacing w:line="360" w:lineRule="auto"/>
        <w:ind w:firstLine="420" w:firstLineChars="200"/>
        <w:rPr>
          <w:rFonts w:ascii="Arial" w:hAnsi="Arial" w:cs="Arial" w:eastAsiaTheme="minorEastAsia"/>
          <w:szCs w:val="21"/>
        </w:rPr>
      </w:pPr>
      <w:r>
        <w:rPr>
          <w:rFonts w:ascii="Arial" w:hAnsi="Arial" w:cs="Arial" w:eastAsiaTheme="minorEastAsia"/>
          <w:szCs w:val="21"/>
        </w:rPr>
        <w:t xml:space="preserve">   </w:t>
      </w:r>
    </w:p>
    <w:p>
      <w:pPr>
        <w:adjustRightInd w:val="0"/>
        <w:snapToGrid w:val="0"/>
        <w:spacing w:line="360" w:lineRule="auto"/>
        <w:jc w:val="center"/>
        <w:rPr>
          <w:rFonts w:ascii="Arial" w:hAnsi="Arial" w:cs="Arial" w:eastAsiaTheme="minorEastAsia"/>
          <w:szCs w:val="21"/>
        </w:rPr>
      </w:pPr>
      <w:r>
        <w:rPr>
          <w:rFonts w:hint="eastAsia" w:ascii="Arial" w:hAnsi="Arial" w:cs="Arial" w:eastAsiaTheme="minorEastAsia"/>
          <w:szCs w:val="21"/>
        </w:rPr>
        <w:t xml:space="preserve">                     </w:t>
      </w:r>
      <w:r>
        <w:rPr>
          <w:rFonts w:ascii="Arial" w:hAnsi="Arial" w:cs="Arial" w:eastAsiaTheme="minorEastAsia"/>
          <w:szCs w:val="21"/>
        </w:rPr>
        <w:t>江阴加华新材料资源有限公司</w:t>
      </w:r>
    </w:p>
    <w:p>
      <w:pPr>
        <w:adjustRightInd w:val="0"/>
        <w:snapToGrid w:val="0"/>
        <w:spacing w:line="360" w:lineRule="auto"/>
        <w:ind w:left="2310" w:leftChars="1100"/>
        <w:jc w:val="center"/>
        <w:rPr>
          <w:rFonts w:hint="eastAsia" w:ascii="Arial" w:hAnsi="Arial" w:cs="Arial" w:eastAsiaTheme="minorEastAsia"/>
          <w:szCs w:val="21"/>
          <w:lang w:eastAsia="zh-CN"/>
        </w:rPr>
      </w:pPr>
      <w:r>
        <w:rPr>
          <w:rFonts w:hint="eastAsia" w:ascii="Arial" w:hAnsi="Arial" w:cs="Arial" w:eastAsiaTheme="minorEastAsia"/>
          <w:szCs w:val="21"/>
          <w:lang w:val="en-US" w:eastAsia="zh-CN"/>
        </w:rPr>
        <w:t xml:space="preserve">  </w:t>
      </w:r>
      <w:r>
        <w:rPr>
          <w:rFonts w:ascii="Arial" w:hAnsi="Arial" w:cs="Arial" w:eastAsiaTheme="minorEastAsia"/>
          <w:szCs w:val="21"/>
        </w:rPr>
        <w:t>二〇一</w:t>
      </w:r>
      <w:r>
        <w:rPr>
          <w:rFonts w:hint="eastAsia" w:ascii="Arial" w:hAnsi="Arial" w:cs="Arial" w:eastAsiaTheme="minorEastAsia"/>
          <w:szCs w:val="21"/>
        </w:rPr>
        <w:t>九</w:t>
      </w:r>
      <w:r>
        <w:rPr>
          <w:rFonts w:ascii="Arial" w:hAnsi="Arial" w:cs="Arial" w:eastAsiaTheme="minorEastAsia"/>
          <w:szCs w:val="21"/>
        </w:rPr>
        <w:t>年</w:t>
      </w:r>
      <w:r>
        <w:rPr>
          <w:rFonts w:hint="eastAsia" w:ascii="Arial" w:hAnsi="Arial" w:cs="Arial" w:eastAsiaTheme="minorEastAsia"/>
          <w:szCs w:val="21"/>
          <w:lang w:eastAsia="zh-CN"/>
        </w:rPr>
        <w:t>七</w:t>
      </w:r>
      <w:r>
        <w:rPr>
          <w:rFonts w:ascii="Arial" w:hAnsi="Arial" w:cs="Arial" w:eastAsiaTheme="minorEastAsia"/>
          <w:szCs w:val="21"/>
        </w:rPr>
        <w:t>月</w:t>
      </w:r>
      <w:r>
        <w:rPr>
          <w:rFonts w:hint="eastAsia" w:ascii="Arial" w:hAnsi="Arial" w:cs="Arial" w:eastAsiaTheme="minorEastAsia"/>
          <w:szCs w:val="21"/>
          <w:lang w:eastAsia="zh-CN"/>
        </w:rPr>
        <w:t>三十一日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QCkp3sAQAAswMAAA4AAABkcnMvZTJvRG9jLnhtbK1Ty47TMBTdI/EP&#10;lvc0bXkNUdPRMKMipIFBGvgAx3ESi9jXunablA+AP5gVG/Z8V79jrp2mDLBDbKwb+/r4nHNPVueD&#10;6dhOoddgC76YzTlTVkKlbVPwTx83T84480HYSnRgVcH3yvPz9eNHq97lagktdJVCRiDW570reBuC&#10;y7PMy1YZ4WfglKXDGtCIQJ/YZBWKntBNly3n8xdZD1g5BKm8p92r8ZCvE35dKxlu6tqrwLqCE7eQ&#10;VkxrGddsvRJ5g8K1Wh5piH9gYYS29OgJ6koEwbao/4IyWiJ4qMNMgsmgrrVUSQOpWcz/UHPbCqeS&#10;FjLHu5NN/v/Byve7D8h0RbPjzApDIzrcfTt8/3n48ZUtoj298zl13TrqC8NrGGJrlOrdNcjPnlm4&#10;bIVt1AUi9K0SFdFLN7MHV0ccH0HK/h1U9I7YBkhAQ40mApIbjNBpTPvTaNQQmKTN52fPlnQg6WTx&#10;9NXLeZpcJvLprkMf3igwLBYFRxp8wha7ax9IBbVOLfEpCxvddWn4nf1tgxrjTuIe6Y7Ew1AORy9K&#10;qPakAmHMEmWfihbwC2c95ajgloLOWffWkg8xclOBU1FOhbCSLhY8cDaWl2GM5tahblrCnZy+IK82&#10;OgmJpo4cjiwpGUnfMcUxeg+/U9evf219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tbuXfQAAAA&#10;AgEAAA8AAAAAAAAAAQAgAAAAIgAAAGRycy9kb3ducmV2LnhtbFBLAQIUABQAAAAIAIdO4kCkApKd&#10;7AEAALMDAAAOAAAAAAAAAAEAIAAAAB8BAABkcnMvZTJvRG9jLnhtbFBLBQYAAAAABgAGAFkBAAB9&#10;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宋体" w:hAnsi="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5A51"/>
    <w:multiLevelType w:val="multilevel"/>
    <w:tmpl w:val="13EF5A51"/>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b w:val="0"/>
        <w:bCs w:val="0"/>
        <w:i w:val="0"/>
        <w:iCs w:val="0"/>
        <w:caps w:val="0"/>
        <w:smallCaps w:val="0"/>
        <w:strike w:val="0"/>
        <w:dstrike w:val="0"/>
        <w:vanish w:val="0"/>
        <w:color w:val="000000"/>
        <w:spacing w:val="0"/>
        <w:position w:val="0"/>
        <w:u w:val="none"/>
        <w:vertAlign w:val="baseline"/>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1">
    <w:nsid w:val="3F834055"/>
    <w:multiLevelType w:val="multilevel"/>
    <w:tmpl w:val="3F834055"/>
    <w:lvl w:ilvl="0" w:tentative="0">
      <w:start w:val="1"/>
      <w:numFmt w:val="decimal"/>
      <w:pStyle w:val="1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E70"/>
    <w:rsid w:val="000151FB"/>
    <w:rsid w:val="00031540"/>
    <w:rsid w:val="000335CA"/>
    <w:rsid w:val="0003620D"/>
    <w:rsid w:val="0003752B"/>
    <w:rsid w:val="0004485A"/>
    <w:rsid w:val="00055E11"/>
    <w:rsid w:val="00084F6C"/>
    <w:rsid w:val="00090371"/>
    <w:rsid w:val="00093B2B"/>
    <w:rsid w:val="000C5D93"/>
    <w:rsid w:val="000D34C6"/>
    <w:rsid w:val="000E3E67"/>
    <w:rsid w:val="000E652D"/>
    <w:rsid w:val="000E7A5C"/>
    <w:rsid w:val="00105A46"/>
    <w:rsid w:val="001126DC"/>
    <w:rsid w:val="00115644"/>
    <w:rsid w:val="00123CC8"/>
    <w:rsid w:val="0014145D"/>
    <w:rsid w:val="0014333F"/>
    <w:rsid w:val="001613DF"/>
    <w:rsid w:val="00172A27"/>
    <w:rsid w:val="001840AE"/>
    <w:rsid w:val="00187251"/>
    <w:rsid w:val="00194092"/>
    <w:rsid w:val="00194C0B"/>
    <w:rsid w:val="001B34A2"/>
    <w:rsid w:val="001B5403"/>
    <w:rsid w:val="001C139A"/>
    <w:rsid w:val="001D3658"/>
    <w:rsid w:val="001D7B82"/>
    <w:rsid w:val="001F0052"/>
    <w:rsid w:val="001F140E"/>
    <w:rsid w:val="001F4B87"/>
    <w:rsid w:val="002363FB"/>
    <w:rsid w:val="0024004C"/>
    <w:rsid w:val="00241605"/>
    <w:rsid w:val="00241E97"/>
    <w:rsid w:val="00246000"/>
    <w:rsid w:val="002475F3"/>
    <w:rsid w:val="002567BF"/>
    <w:rsid w:val="00257C88"/>
    <w:rsid w:val="002653F7"/>
    <w:rsid w:val="00270CA7"/>
    <w:rsid w:val="002719A3"/>
    <w:rsid w:val="002750FE"/>
    <w:rsid w:val="00294C5A"/>
    <w:rsid w:val="002A076D"/>
    <w:rsid w:val="002A658F"/>
    <w:rsid w:val="002A7676"/>
    <w:rsid w:val="002B219D"/>
    <w:rsid w:val="002E33CC"/>
    <w:rsid w:val="00307343"/>
    <w:rsid w:val="0031156B"/>
    <w:rsid w:val="00313DC5"/>
    <w:rsid w:val="00316940"/>
    <w:rsid w:val="00321135"/>
    <w:rsid w:val="00330265"/>
    <w:rsid w:val="003327CC"/>
    <w:rsid w:val="00333239"/>
    <w:rsid w:val="00337709"/>
    <w:rsid w:val="003440F6"/>
    <w:rsid w:val="003564C5"/>
    <w:rsid w:val="00365717"/>
    <w:rsid w:val="00366D8B"/>
    <w:rsid w:val="00380586"/>
    <w:rsid w:val="0038102B"/>
    <w:rsid w:val="003B7591"/>
    <w:rsid w:val="003C39AD"/>
    <w:rsid w:val="003D276D"/>
    <w:rsid w:val="003E5FFA"/>
    <w:rsid w:val="003E777C"/>
    <w:rsid w:val="003F3093"/>
    <w:rsid w:val="003F7982"/>
    <w:rsid w:val="00406CCD"/>
    <w:rsid w:val="00407F2C"/>
    <w:rsid w:val="00423F52"/>
    <w:rsid w:val="00426158"/>
    <w:rsid w:val="00431C8B"/>
    <w:rsid w:val="00431F35"/>
    <w:rsid w:val="004441B4"/>
    <w:rsid w:val="004447AC"/>
    <w:rsid w:val="00452C30"/>
    <w:rsid w:val="004847AA"/>
    <w:rsid w:val="0049266B"/>
    <w:rsid w:val="004B4E8F"/>
    <w:rsid w:val="004B6BF3"/>
    <w:rsid w:val="004C108A"/>
    <w:rsid w:val="004C2BDF"/>
    <w:rsid w:val="004D6F24"/>
    <w:rsid w:val="004E2845"/>
    <w:rsid w:val="004E4B84"/>
    <w:rsid w:val="004E665F"/>
    <w:rsid w:val="004F3A42"/>
    <w:rsid w:val="004F6DE0"/>
    <w:rsid w:val="004F78CF"/>
    <w:rsid w:val="004F7F2A"/>
    <w:rsid w:val="00504940"/>
    <w:rsid w:val="00511B47"/>
    <w:rsid w:val="00513FEA"/>
    <w:rsid w:val="00515C52"/>
    <w:rsid w:val="00523422"/>
    <w:rsid w:val="005262A2"/>
    <w:rsid w:val="00535035"/>
    <w:rsid w:val="005373FC"/>
    <w:rsid w:val="005424C8"/>
    <w:rsid w:val="005452F1"/>
    <w:rsid w:val="00545B49"/>
    <w:rsid w:val="00545D27"/>
    <w:rsid w:val="00553B5F"/>
    <w:rsid w:val="00557E92"/>
    <w:rsid w:val="00560356"/>
    <w:rsid w:val="00577FE0"/>
    <w:rsid w:val="00581286"/>
    <w:rsid w:val="00584DFB"/>
    <w:rsid w:val="005953A8"/>
    <w:rsid w:val="005D3950"/>
    <w:rsid w:val="005D43BB"/>
    <w:rsid w:val="005E0567"/>
    <w:rsid w:val="005E27CA"/>
    <w:rsid w:val="005F565A"/>
    <w:rsid w:val="006045D2"/>
    <w:rsid w:val="00620304"/>
    <w:rsid w:val="00632275"/>
    <w:rsid w:val="00651F00"/>
    <w:rsid w:val="006574B4"/>
    <w:rsid w:val="00663834"/>
    <w:rsid w:val="00665B8E"/>
    <w:rsid w:val="006722B1"/>
    <w:rsid w:val="00684F16"/>
    <w:rsid w:val="00686528"/>
    <w:rsid w:val="006929FE"/>
    <w:rsid w:val="00696347"/>
    <w:rsid w:val="00696F82"/>
    <w:rsid w:val="006A0152"/>
    <w:rsid w:val="006A1BF5"/>
    <w:rsid w:val="006B230B"/>
    <w:rsid w:val="006B2D6C"/>
    <w:rsid w:val="006B50B0"/>
    <w:rsid w:val="006B6843"/>
    <w:rsid w:val="006D075D"/>
    <w:rsid w:val="006D12C8"/>
    <w:rsid w:val="006E00E9"/>
    <w:rsid w:val="006E620B"/>
    <w:rsid w:val="006F1240"/>
    <w:rsid w:val="006F27E1"/>
    <w:rsid w:val="006F77AC"/>
    <w:rsid w:val="00713C7D"/>
    <w:rsid w:val="00725379"/>
    <w:rsid w:val="00730B5F"/>
    <w:rsid w:val="00732F2F"/>
    <w:rsid w:val="00734853"/>
    <w:rsid w:val="00742BF6"/>
    <w:rsid w:val="00752D3F"/>
    <w:rsid w:val="007730CB"/>
    <w:rsid w:val="007803ED"/>
    <w:rsid w:val="00780A76"/>
    <w:rsid w:val="00780E6B"/>
    <w:rsid w:val="00782AE5"/>
    <w:rsid w:val="00785884"/>
    <w:rsid w:val="00786ED1"/>
    <w:rsid w:val="00794176"/>
    <w:rsid w:val="00794342"/>
    <w:rsid w:val="007975D9"/>
    <w:rsid w:val="007A3483"/>
    <w:rsid w:val="007B65CD"/>
    <w:rsid w:val="007C0F87"/>
    <w:rsid w:val="007C768E"/>
    <w:rsid w:val="007D14BE"/>
    <w:rsid w:val="007D4FF1"/>
    <w:rsid w:val="007E2B27"/>
    <w:rsid w:val="007E5907"/>
    <w:rsid w:val="007F1BBC"/>
    <w:rsid w:val="00801CB0"/>
    <w:rsid w:val="008027E6"/>
    <w:rsid w:val="008339BC"/>
    <w:rsid w:val="00834746"/>
    <w:rsid w:val="0084092D"/>
    <w:rsid w:val="00840995"/>
    <w:rsid w:val="00880C56"/>
    <w:rsid w:val="00886F84"/>
    <w:rsid w:val="00894C5A"/>
    <w:rsid w:val="008A089D"/>
    <w:rsid w:val="008B0905"/>
    <w:rsid w:val="008B193B"/>
    <w:rsid w:val="008B4E8D"/>
    <w:rsid w:val="008C2D86"/>
    <w:rsid w:val="00902B5E"/>
    <w:rsid w:val="0091382C"/>
    <w:rsid w:val="00913845"/>
    <w:rsid w:val="00913ACD"/>
    <w:rsid w:val="0091492A"/>
    <w:rsid w:val="00916360"/>
    <w:rsid w:val="0092417E"/>
    <w:rsid w:val="00937FFE"/>
    <w:rsid w:val="009460E5"/>
    <w:rsid w:val="009557C0"/>
    <w:rsid w:val="00967AEA"/>
    <w:rsid w:val="0099649E"/>
    <w:rsid w:val="009A6391"/>
    <w:rsid w:val="009C2CA1"/>
    <w:rsid w:val="009D0198"/>
    <w:rsid w:val="009E159E"/>
    <w:rsid w:val="009E348B"/>
    <w:rsid w:val="009E6132"/>
    <w:rsid w:val="009F5E0E"/>
    <w:rsid w:val="009F6C5D"/>
    <w:rsid w:val="00A06995"/>
    <w:rsid w:val="00A0703E"/>
    <w:rsid w:val="00A32562"/>
    <w:rsid w:val="00A9151E"/>
    <w:rsid w:val="00A97CF7"/>
    <w:rsid w:val="00AB58C3"/>
    <w:rsid w:val="00AB5F2F"/>
    <w:rsid w:val="00AC2A44"/>
    <w:rsid w:val="00AD636E"/>
    <w:rsid w:val="00AE4AF9"/>
    <w:rsid w:val="00AF6071"/>
    <w:rsid w:val="00B02B3A"/>
    <w:rsid w:val="00B05BF4"/>
    <w:rsid w:val="00B07BB1"/>
    <w:rsid w:val="00B158FF"/>
    <w:rsid w:val="00B17F9F"/>
    <w:rsid w:val="00B21A9C"/>
    <w:rsid w:val="00B21AB0"/>
    <w:rsid w:val="00B26F3B"/>
    <w:rsid w:val="00B30A9C"/>
    <w:rsid w:val="00B317E3"/>
    <w:rsid w:val="00B35ACF"/>
    <w:rsid w:val="00B47471"/>
    <w:rsid w:val="00B575D6"/>
    <w:rsid w:val="00B62372"/>
    <w:rsid w:val="00B63AFF"/>
    <w:rsid w:val="00B66D45"/>
    <w:rsid w:val="00B74A46"/>
    <w:rsid w:val="00B76180"/>
    <w:rsid w:val="00B83585"/>
    <w:rsid w:val="00B872C3"/>
    <w:rsid w:val="00BB16AD"/>
    <w:rsid w:val="00BB6D5A"/>
    <w:rsid w:val="00BB71D8"/>
    <w:rsid w:val="00BD52B2"/>
    <w:rsid w:val="00BD5A15"/>
    <w:rsid w:val="00BF2862"/>
    <w:rsid w:val="00BF687D"/>
    <w:rsid w:val="00C03180"/>
    <w:rsid w:val="00C2356B"/>
    <w:rsid w:val="00C2469F"/>
    <w:rsid w:val="00C50DC8"/>
    <w:rsid w:val="00C5557B"/>
    <w:rsid w:val="00C62B4A"/>
    <w:rsid w:val="00C67C5A"/>
    <w:rsid w:val="00C7291D"/>
    <w:rsid w:val="00C72CCA"/>
    <w:rsid w:val="00C770A5"/>
    <w:rsid w:val="00C80E76"/>
    <w:rsid w:val="00C87D9D"/>
    <w:rsid w:val="00CA2AB8"/>
    <w:rsid w:val="00CB6C93"/>
    <w:rsid w:val="00CB7519"/>
    <w:rsid w:val="00CC0BDD"/>
    <w:rsid w:val="00CF7316"/>
    <w:rsid w:val="00D04AA9"/>
    <w:rsid w:val="00D24E83"/>
    <w:rsid w:val="00D3145E"/>
    <w:rsid w:val="00D35793"/>
    <w:rsid w:val="00D574A7"/>
    <w:rsid w:val="00D70D72"/>
    <w:rsid w:val="00D92927"/>
    <w:rsid w:val="00D955C2"/>
    <w:rsid w:val="00DA1FEA"/>
    <w:rsid w:val="00DA451D"/>
    <w:rsid w:val="00DA63CF"/>
    <w:rsid w:val="00DB2885"/>
    <w:rsid w:val="00DB7C13"/>
    <w:rsid w:val="00DC112D"/>
    <w:rsid w:val="00DF0E0D"/>
    <w:rsid w:val="00DF5878"/>
    <w:rsid w:val="00DF74D3"/>
    <w:rsid w:val="00DF7D99"/>
    <w:rsid w:val="00E225D5"/>
    <w:rsid w:val="00E315CB"/>
    <w:rsid w:val="00E41F9B"/>
    <w:rsid w:val="00E449AE"/>
    <w:rsid w:val="00E56EF9"/>
    <w:rsid w:val="00E70191"/>
    <w:rsid w:val="00E74D19"/>
    <w:rsid w:val="00E81238"/>
    <w:rsid w:val="00E90480"/>
    <w:rsid w:val="00EB3281"/>
    <w:rsid w:val="00ED1E6D"/>
    <w:rsid w:val="00ED504F"/>
    <w:rsid w:val="00EE3006"/>
    <w:rsid w:val="00EE7204"/>
    <w:rsid w:val="00EF32C0"/>
    <w:rsid w:val="00F035D7"/>
    <w:rsid w:val="00F12DF2"/>
    <w:rsid w:val="00F15B3E"/>
    <w:rsid w:val="00F212D7"/>
    <w:rsid w:val="00F22989"/>
    <w:rsid w:val="00F248C2"/>
    <w:rsid w:val="00F33D3C"/>
    <w:rsid w:val="00F37C4E"/>
    <w:rsid w:val="00F40E11"/>
    <w:rsid w:val="00F41098"/>
    <w:rsid w:val="00F43409"/>
    <w:rsid w:val="00F464AA"/>
    <w:rsid w:val="00F519CA"/>
    <w:rsid w:val="00F52343"/>
    <w:rsid w:val="00F533E2"/>
    <w:rsid w:val="00F7117D"/>
    <w:rsid w:val="00F773A4"/>
    <w:rsid w:val="00F85194"/>
    <w:rsid w:val="00FA2CC6"/>
    <w:rsid w:val="00FB19F7"/>
    <w:rsid w:val="00FB46FE"/>
    <w:rsid w:val="00FC53F8"/>
    <w:rsid w:val="00FC5F78"/>
    <w:rsid w:val="00FC6F28"/>
    <w:rsid w:val="00FE6662"/>
    <w:rsid w:val="02510513"/>
    <w:rsid w:val="0F504095"/>
    <w:rsid w:val="10C443E9"/>
    <w:rsid w:val="11F77C06"/>
    <w:rsid w:val="19E80169"/>
    <w:rsid w:val="1EA41992"/>
    <w:rsid w:val="20DD17FC"/>
    <w:rsid w:val="21711C1B"/>
    <w:rsid w:val="22C719ED"/>
    <w:rsid w:val="23BB4F5B"/>
    <w:rsid w:val="29FD79D6"/>
    <w:rsid w:val="2C961958"/>
    <w:rsid w:val="2DE52949"/>
    <w:rsid w:val="2F4B6883"/>
    <w:rsid w:val="3329562B"/>
    <w:rsid w:val="390E5F29"/>
    <w:rsid w:val="394E07F0"/>
    <w:rsid w:val="3B6607CA"/>
    <w:rsid w:val="3D126760"/>
    <w:rsid w:val="419C74B1"/>
    <w:rsid w:val="44CC63EF"/>
    <w:rsid w:val="45116DF1"/>
    <w:rsid w:val="4A43121C"/>
    <w:rsid w:val="4D4437BF"/>
    <w:rsid w:val="4E8D0FEE"/>
    <w:rsid w:val="4F7651DB"/>
    <w:rsid w:val="60361D6C"/>
    <w:rsid w:val="62845CF0"/>
    <w:rsid w:val="66804FCE"/>
    <w:rsid w:val="6F1F72A8"/>
    <w:rsid w:val="71117E99"/>
    <w:rsid w:val="71D23E31"/>
    <w:rsid w:val="76C3566B"/>
    <w:rsid w:val="76F77DB4"/>
    <w:rsid w:val="776158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7"/>
    <w:qFormat/>
    <w:uiPriority w:val="9"/>
    <w:pPr>
      <w:keepNext/>
      <w:keepLines/>
      <w:numPr>
        <w:ilvl w:val="0"/>
        <w:numId w:val="1"/>
      </w:numPr>
      <w:spacing w:before="340" w:after="330" w:line="578" w:lineRule="auto"/>
      <w:outlineLvl w:val="0"/>
    </w:pPr>
    <w:rPr>
      <w:rFonts w:eastAsia="黑体"/>
      <w:bCs/>
      <w:kern w:val="44"/>
      <w:sz w:val="24"/>
      <w:szCs w:val="44"/>
    </w:rPr>
  </w:style>
  <w:style w:type="paragraph" w:styleId="3">
    <w:name w:val="heading 2"/>
    <w:basedOn w:val="1"/>
    <w:next w:val="1"/>
    <w:link w:val="38"/>
    <w:unhideWhenUsed/>
    <w:qFormat/>
    <w:uiPriority w:val="9"/>
    <w:pPr>
      <w:keepNext/>
      <w:keepLines/>
      <w:numPr>
        <w:ilvl w:val="1"/>
        <w:numId w:val="1"/>
      </w:numPr>
      <w:spacing w:before="260" w:after="260" w:line="416" w:lineRule="auto"/>
      <w:outlineLvl w:val="1"/>
    </w:pPr>
    <w:rPr>
      <w:rFonts w:eastAsia="黑体" w:asciiTheme="majorHAnsi" w:hAnsiTheme="majorHAnsi" w:cstheme="majorBidi"/>
      <w:bCs/>
      <w:sz w:val="24"/>
      <w:szCs w:val="32"/>
    </w:rPr>
  </w:style>
  <w:style w:type="paragraph" w:styleId="4">
    <w:name w:val="heading 3"/>
    <w:basedOn w:val="1"/>
    <w:next w:val="1"/>
    <w:link w:val="39"/>
    <w:unhideWhenUsed/>
    <w:qFormat/>
    <w:uiPriority w:val="9"/>
    <w:pPr>
      <w:keepNext/>
      <w:keepLines/>
      <w:numPr>
        <w:ilvl w:val="2"/>
        <w:numId w:val="1"/>
      </w:numPr>
      <w:spacing w:before="260" w:after="260" w:line="416" w:lineRule="auto"/>
      <w:outlineLvl w:val="2"/>
    </w:pPr>
    <w:rPr>
      <w:rFonts w:eastAsia="黑体"/>
      <w:bCs/>
      <w:sz w:val="24"/>
      <w:szCs w:val="32"/>
    </w:rPr>
  </w:style>
  <w:style w:type="paragraph" w:styleId="5">
    <w:name w:val="heading 4"/>
    <w:basedOn w:val="1"/>
    <w:next w:val="1"/>
    <w:link w:val="40"/>
    <w:unhideWhenUsed/>
    <w:qFormat/>
    <w:uiPriority w:val="9"/>
    <w:pPr>
      <w:keepNext/>
      <w:keepLines/>
      <w:numPr>
        <w:ilvl w:val="3"/>
        <w:numId w:val="1"/>
      </w:numPr>
      <w:spacing w:before="280" w:after="290" w:line="376" w:lineRule="auto"/>
      <w:outlineLvl w:val="3"/>
    </w:pPr>
    <w:rPr>
      <w:rFonts w:eastAsia="黑体" w:asciiTheme="majorHAnsi" w:hAnsiTheme="majorHAnsi" w:cstheme="majorBidi"/>
      <w:bCs/>
      <w:szCs w:val="28"/>
    </w:rPr>
  </w:style>
  <w:style w:type="paragraph" w:styleId="6">
    <w:name w:val="heading 5"/>
    <w:basedOn w:val="1"/>
    <w:next w:val="1"/>
    <w:link w:val="41"/>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42"/>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43"/>
    <w:semiHidden/>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44"/>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45"/>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11">
    <w:name w:val="caption"/>
    <w:basedOn w:val="1"/>
    <w:next w:val="1"/>
    <w:unhideWhenUsed/>
    <w:qFormat/>
    <w:uiPriority w:val="35"/>
    <w:rPr>
      <w:rFonts w:eastAsia="黑体" w:asciiTheme="majorHAnsi" w:hAnsiTheme="majorHAnsi" w:cstheme="majorBidi"/>
      <w:sz w:val="20"/>
      <w:szCs w:val="20"/>
    </w:rPr>
  </w:style>
  <w:style w:type="paragraph" w:styleId="12">
    <w:name w:val="Body Text Indent"/>
    <w:basedOn w:val="1"/>
    <w:link w:val="46"/>
    <w:unhideWhenUsed/>
    <w:qFormat/>
    <w:uiPriority w:val="99"/>
    <w:pPr>
      <w:ind w:firstLine="420"/>
    </w:pPr>
    <w:rPr>
      <w:rFonts w:ascii="Times New Roman" w:hAnsi="Times New Roman" w:cs="Times New Roman"/>
      <w:szCs w:val="21"/>
    </w:rPr>
  </w:style>
  <w:style w:type="paragraph" w:styleId="13">
    <w:name w:val="Plain Text"/>
    <w:basedOn w:val="1"/>
    <w:unhideWhenUsed/>
    <w:qFormat/>
    <w:uiPriority w:val="0"/>
    <w:rPr>
      <w:rFonts w:ascii="宋体" w:hAnsi="Courier New"/>
      <w:szCs w:val="20"/>
    </w:rPr>
  </w:style>
  <w:style w:type="paragraph" w:styleId="14">
    <w:name w:val="Balloon Text"/>
    <w:basedOn w:val="1"/>
    <w:link w:val="36"/>
    <w:unhideWhenUsed/>
    <w:qFormat/>
    <w:uiPriority w:val="0"/>
    <w:rPr>
      <w:sz w:val="18"/>
      <w:szCs w:val="18"/>
    </w:rPr>
  </w:style>
  <w:style w:type="paragraph" w:styleId="15">
    <w:name w:val="footer"/>
    <w:basedOn w:val="1"/>
    <w:link w:val="33"/>
    <w:qFormat/>
    <w:uiPriority w:val="0"/>
    <w:pPr>
      <w:tabs>
        <w:tab w:val="center" w:pos="4153"/>
        <w:tab w:val="right" w:pos="8306"/>
      </w:tabs>
      <w:snapToGrid w:val="0"/>
      <w:jc w:val="left"/>
    </w:pPr>
    <w:rPr>
      <w:sz w:val="18"/>
      <w:szCs w:val="18"/>
    </w:rPr>
  </w:style>
  <w:style w:type="paragraph" w:styleId="16">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7">
    <w:name w:val="Title"/>
    <w:basedOn w:val="1"/>
    <w:next w:val="1"/>
    <w:qFormat/>
    <w:uiPriority w:val="10"/>
    <w:pPr>
      <w:numPr>
        <w:ilvl w:val="0"/>
        <w:numId w:val="2"/>
      </w:numPr>
      <w:spacing w:before="240" w:after="60" w:line="360" w:lineRule="auto"/>
      <w:jc w:val="left"/>
      <w:outlineLvl w:val="0"/>
    </w:pPr>
    <w:rPr>
      <w:rFonts w:ascii="Cambria" w:hAnsi="Cambria"/>
      <w:b/>
      <w:bCs/>
      <w:sz w:val="24"/>
      <w:szCs w:val="32"/>
    </w:rPr>
  </w:style>
  <w:style w:type="character" w:styleId="20">
    <w:name w:val="page number"/>
    <w:basedOn w:val="19"/>
    <w:unhideWhenUsed/>
    <w:qFormat/>
    <w:uiPriority w:val="0"/>
  </w:style>
  <w:style w:type="paragraph" w:customStyle="1" w:styleId="21">
    <w:name w:val="日期1"/>
    <w:basedOn w:val="1"/>
    <w:next w:val="1"/>
    <w:link w:val="32"/>
    <w:qFormat/>
    <w:uiPriority w:val="0"/>
    <w:pPr>
      <w:ind w:left="100" w:leftChars="2500"/>
    </w:pPr>
  </w:style>
  <w:style w:type="paragraph" w:customStyle="1" w:styleId="22">
    <w:name w:val="p0"/>
    <w:basedOn w:val="1"/>
    <w:qFormat/>
    <w:uiPriority w:val="0"/>
    <w:pPr>
      <w:widowControl/>
    </w:pPr>
    <w:rPr>
      <w:rFonts w:cs="宋体"/>
      <w:kern w:val="0"/>
      <w:szCs w:val="21"/>
    </w:rPr>
  </w:style>
  <w:style w:type="paragraph" w:customStyle="1" w:styleId="23">
    <w:name w:val="p15"/>
    <w:basedOn w:val="1"/>
    <w:qFormat/>
    <w:uiPriority w:val="0"/>
    <w:pPr>
      <w:widowControl/>
      <w:ind w:firstLine="420"/>
    </w:pPr>
    <w:rPr>
      <w:rFonts w:cs="宋体"/>
      <w:kern w:val="0"/>
      <w:szCs w:val="21"/>
    </w:rPr>
  </w:style>
  <w:style w:type="paragraph" w:customStyle="1" w:styleId="24">
    <w:name w:val="p16"/>
    <w:basedOn w:val="1"/>
    <w:qFormat/>
    <w:uiPriority w:val="0"/>
    <w:pPr>
      <w:widowControl/>
    </w:pPr>
    <w:rPr>
      <w:rFonts w:cs="宋体"/>
      <w:kern w:val="0"/>
      <w:szCs w:val="21"/>
    </w:rPr>
  </w:style>
  <w:style w:type="paragraph" w:customStyle="1" w:styleId="25">
    <w:name w:val="p17"/>
    <w:basedOn w:val="1"/>
    <w:qFormat/>
    <w:uiPriority w:val="0"/>
    <w:pPr>
      <w:widowControl/>
      <w:ind w:firstLine="420"/>
    </w:pPr>
    <w:rPr>
      <w:rFonts w:cs="宋体"/>
      <w:kern w:val="0"/>
      <w:szCs w:val="21"/>
    </w:rPr>
  </w:style>
  <w:style w:type="paragraph" w:customStyle="1" w:styleId="26">
    <w:name w:val="列出段落1"/>
    <w:basedOn w:val="1"/>
    <w:qFormat/>
    <w:uiPriority w:val="0"/>
    <w:pPr>
      <w:ind w:firstLine="420" w:firstLineChars="200"/>
    </w:pPr>
  </w:style>
  <w:style w:type="paragraph" w:customStyle="1" w:styleId="27">
    <w:name w:val="列出段落2"/>
    <w:basedOn w:val="1"/>
    <w:qFormat/>
    <w:uiPriority w:val="0"/>
    <w:pPr>
      <w:ind w:firstLine="420" w:firstLineChars="200"/>
    </w:pPr>
    <w:rPr>
      <w:rFonts w:cs="Times New Roman"/>
    </w:rPr>
  </w:style>
  <w:style w:type="paragraph" w:customStyle="1" w:styleId="28">
    <w:name w:val="段"/>
    <w:link w:val="3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9">
    <w:name w:val="标准"/>
    <w:basedOn w:val="1"/>
    <w:qFormat/>
    <w:uiPriority w:val="0"/>
    <w:pPr>
      <w:adjustRightInd w:val="0"/>
      <w:spacing w:line="312" w:lineRule="atLeast"/>
      <w:jc w:val="center"/>
      <w:textAlignment w:val="baseline"/>
    </w:pPr>
    <w:rPr>
      <w:kern w:val="0"/>
      <w:szCs w:val="20"/>
    </w:rPr>
  </w:style>
  <w:style w:type="paragraph" w:customStyle="1" w:styleId="3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1">
    <w:name w:val="Default"/>
    <w:unhideWhenUsed/>
    <w:qFormat/>
    <w:uiPriority w:val="99"/>
    <w:pPr>
      <w:widowControl w:val="0"/>
      <w:autoSpaceDE w:val="0"/>
      <w:autoSpaceDN w:val="0"/>
    </w:pPr>
    <w:rPr>
      <w:rFonts w:hint="eastAsia" w:ascii="仿宋_GB2312" w:hAnsi="仿宋_GB2312" w:eastAsia="仿宋_GB2312" w:cs="Times New Roman"/>
      <w:color w:val="000000"/>
      <w:sz w:val="24"/>
      <w:lang w:val="en-US" w:eastAsia="zh-CN" w:bidi="ar-SA"/>
    </w:rPr>
  </w:style>
  <w:style w:type="character" w:customStyle="1" w:styleId="32">
    <w:name w:val="日期 Char"/>
    <w:basedOn w:val="19"/>
    <w:link w:val="21"/>
    <w:semiHidden/>
    <w:qFormat/>
    <w:uiPriority w:val="0"/>
  </w:style>
  <w:style w:type="character" w:customStyle="1" w:styleId="33">
    <w:name w:val="页脚 Char"/>
    <w:basedOn w:val="19"/>
    <w:link w:val="15"/>
    <w:semiHidden/>
    <w:qFormat/>
    <w:uiPriority w:val="0"/>
    <w:rPr>
      <w:rFonts w:ascii="Calibri" w:hAnsi="Calibri" w:cs="黑体"/>
      <w:kern w:val="2"/>
      <w:sz w:val="18"/>
      <w:szCs w:val="18"/>
    </w:rPr>
  </w:style>
  <w:style w:type="character" w:customStyle="1" w:styleId="34">
    <w:name w:val="页眉 Char"/>
    <w:basedOn w:val="19"/>
    <w:link w:val="16"/>
    <w:semiHidden/>
    <w:qFormat/>
    <w:uiPriority w:val="0"/>
    <w:rPr>
      <w:rFonts w:ascii="Calibri" w:hAnsi="Calibri" w:cs="黑体"/>
      <w:kern w:val="2"/>
      <w:sz w:val="18"/>
      <w:szCs w:val="18"/>
    </w:rPr>
  </w:style>
  <w:style w:type="character" w:customStyle="1" w:styleId="35">
    <w:name w:val="段 Char"/>
    <w:basedOn w:val="19"/>
    <w:link w:val="28"/>
    <w:qFormat/>
    <w:uiPriority w:val="0"/>
    <w:rPr>
      <w:rFonts w:ascii="宋体"/>
      <w:sz w:val="21"/>
      <w:lang w:val="en-US" w:eastAsia="zh-CN" w:bidi="ar-SA"/>
    </w:rPr>
  </w:style>
  <w:style w:type="character" w:customStyle="1" w:styleId="36">
    <w:name w:val="批注框文本 Char"/>
    <w:basedOn w:val="19"/>
    <w:link w:val="14"/>
    <w:semiHidden/>
    <w:qFormat/>
    <w:uiPriority w:val="0"/>
    <w:rPr>
      <w:rFonts w:ascii="Calibri" w:hAnsi="Calibri" w:cs="黑体"/>
      <w:kern w:val="2"/>
      <w:sz w:val="18"/>
      <w:szCs w:val="18"/>
    </w:rPr>
  </w:style>
  <w:style w:type="character" w:customStyle="1" w:styleId="37">
    <w:name w:val="标题 1 Char"/>
    <w:basedOn w:val="19"/>
    <w:link w:val="2"/>
    <w:qFormat/>
    <w:uiPriority w:val="9"/>
    <w:rPr>
      <w:rFonts w:ascii="Calibri" w:hAnsi="Calibri" w:eastAsia="黑体" w:cs="黑体"/>
      <w:bCs/>
      <w:kern w:val="44"/>
      <w:sz w:val="24"/>
      <w:szCs w:val="44"/>
    </w:rPr>
  </w:style>
  <w:style w:type="character" w:customStyle="1" w:styleId="38">
    <w:name w:val="标题 2 Char"/>
    <w:basedOn w:val="19"/>
    <w:link w:val="3"/>
    <w:qFormat/>
    <w:uiPriority w:val="9"/>
    <w:rPr>
      <w:rFonts w:eastAsia="黑体" w:asciiTheme="majorHAnsi" w:hAnsiTheme="majorHAnsi" w:cstheme="majorBidi"/>
      <w:bCs/>
      <w:kern w:val="2"/>
      <w:sz w:val="24"/>
      <w:szCs w:val="32"/>
    </w:rPr>
  </w:style>
  <w:style w:type="character" w:customStyle="1" w:styleId="39">
    <w:name w:val="标题 3 Char"/>
    <w:basedOn w:val="19"/>
    <w:link w:val="4"/>
    <w:qFormat/>
    <w:uiPriority w:val="9"/>
    <w:rPr>
      <w:rFonts w:ascii="Calibri" w:hAnsi="Calibri" w:eastAsia="黑体" w:cs="黑体"/>
      <w:bCs/>
      <w:kern w:val="2"/>
      <w:sz w:val="24"/>
      <w:szCs w:val="32"/>
    </w:rPr>
  </w:style>
  <w:style w:type="character" w:customStyle="1" w:styleId="40">
    <w:name w:val="标题 4 Char"/>
    <w:basedOn w:val="19"/>
    <w:link w:val="5"/>
    <w:qFormat/>
    <w:uiPriority w:val="9"/>
    <w:rPr>
      <w:rFonts w:eastAsia="黑体" w:asciiTheme="majorHAnsi" w:hAnsiTheme="majorHAnsi" w:cstheme="majorBidi"/>
      <w:bCs/>
      <w:kern w:val="2"/>
      <w:sz w:val="21"/>
      <w:szCs w:val="28"/>
    </w:rPr>
  </w:style>
  <w:style w:type="character" w:customStyle="1" w:styleId="41">
    <w:name w:val="标题 5 Char"/>
    <w:basedOn w:val="19"/>
    <w:link w:val="6"/>
    <w:qFormat/>
    <w:uiPriority w:val="9"/>
    <w:rPr>
      <w:rFonts w:ascii="Calibri" w:hAnsi="Calibri" w:cs="黑体"/>
      <w:b/>
      <w:bCs/>
      <w:kern w:val="2"/>
      <w:sz w:val="28"/>
      <w:szCs w:val="28"/>
    </w:rPr>
  </w:style>
  <w:style w:type="character" w:customStyle="1" w:styleId="42">
    <w:name w:val="标题 6 Char"/>
    <w:basedOn w:val="19"/>
    <w:link w:val="7"/>
    <w:semiHidden/>
    <w:qFormat/>
    <w:uiPriority w:val="9"/>
    <w:rPr>
      <w:rFonts w:asciiTheme="majorHAnsi" w:hAnsiTheme="majorHAnsi" w:eastAsiaTheme="majorEastAsia" w:cstheme="majorBidi"/>
      <w:b/>
      <w:bCs/>
      <w:kern w:val="2"/>
      <w:sz w:val="24"/>
      <w:szCs w:val="24"/>
    </w:rPr>
  </w:style>
  <w:style w:type="character" w:customStyle="1" w:styleId="43">
    <w:name w:val="标题 7 Char"/>
    <w:basedOn w:val="19"/>
    <w:link w:val="8"/>
    <w:semiHidden/>
    <w:qFormat/>
    <w:uiPriority w:val="9"/>
    <w:rPr>
      <w:rFonts w:ascii="Calibri" w:hAnsi="Calibri" w:cs="黑体"/>
      <w:b/>
      <w:bCs/>
      <w:kern w:val="2"/>
      <w:sz w:val="24"/>
      <w:szCs w:val="24"/>
    </w:rPr>
  </w:style>
  <w:style w:type="character" w:customStyle="1" w:styleId="44">
    <w:name w:val="标题 8 Char"/>
    <w:basedOn w:val="19"/>
    <w:link w:val="9"/>
    <w:semiHidden/>
    <w:qFormat/>
    <w:uiPriority w:val="9"/>
    <w:rPr>
      <w:rFonts w:asciiTheme="majorHAnsi" w:hAnsiTheme="majorHAnsi" w:eastAsiaTheme="majorEastAsia" w:cstheme="majorBidi"/>
      <w:kern w:val="2"/>
      <w:sz w:val="24"/>
      <w:szCs w:val="24"/>
    </w:rPr>
  </w:style>
  <w:style w:type="character" w:customStyle="1" w:styleId="45">
    <w:name w:val="标题 9 Char"/>
    <w:basedOn w:val="19"/>
    <w:link w:val="10"/>
    <w:semiHidden/>
    <w:qFormat/>
    <w:uiPriority w:val="9"/>
    <w:rPr>
      <w:rFonts w:asciiTheme="majorHAnsi" w:hAnsiTheme="majorHAnsi" w:eastAsiaTheme="majorEastAsia" w:cstheme="majorBidi"/>
      <w:kern w:val="2"/>
      <w:sz w:val="21"/>
      <w:szCs w:val="21"/>
    </w:rPr>
  </w:style>
  <w:style w:type="character" w:customStyle="1" w:styleId="46">
    <w:name w:val="正文文本缩进 Char"/>
    <w:basedOn w:val="19"/>
    <w:link w:val="12"/>
    <w:qFormat/>
    <w:uiPriority w:val="99"/>
    <w:rPr>
      <w:kern w:val="2"/>
      <w:sz w:val="21"/>
      <w:szCs w:val="21"/>
    </w:rPr>
  </w:style>
  <w:style w:type="paragraph" w:customStyle="1" w:styleId="47">
    <w:name w:val="章标题"/>
    <w:next w:val="1"/>
    <w:qFormat/>
    <w:uiPriority w:val="0"/>
    <w:pPr>
      <w:spacing w:beforeLines="50" w:afterLines="50"/>
      <w:jc w:val="both"/>
      <w:outlineLvl w:val="1"/>
    </w:pPr>
    <w:rPr>
      <w:rFonts w:ascii="黑体" w:eastAsia="黑体" w:hAnsiTheme="minorHAnsi" w:cstheme="minorBidi"/>
      <w:sz w:val="21"/>
      <w:szCs w:val="22"/>
      <w:lang w:val="en-US" w:eastAsia="zh-CN" w:bidi="ar-SA"/>
    </w:rPr>
  </w:style>
  <w:style w:type="paragraph" w:styleId="4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1087</Words>
  <Characters>6200</Characters>
  <Lines>51</Lines>
  <Paragraphs>14</Paragraphs>
  <TotalTime>4</TotalTime>
  <ScaleCrop>false</ScaleCrop>
  <LinksUpToDate>false</LinksUpToDate>
  <CharactersWithSpaces>7273</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2017-12-21T09:10:00Z</dcterms:created>
  <dc:creator>微软用户</dc:creator>
  <cp:lastModifiedBy>yaojb</cp:lastModifiedBy>
  <cp:lastPrinted>2017-11-14T06:30:00Z</cp:lastPrinted>
  <dcterms:modified xsi:type="dcterms:W3CDTF">2019-08-07T07:17:45Z</dcterms:modified>
  <dc:title>稀土国家标准《稀土金属及其氧化物中非稀土杂质化学分析方法  第五部分》（预审稿）编制说明</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