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40" w:lineRule="exact"/>
        <w:rPr>
          <w:rFonts w:ascii="Times New Roman" w:hAnsi="Times New Roman" w:eastAsia="宋体" w:cs="Times New Roman"/>
          <w:sz w:val="36"/>
          <w:szCs w:val="36"/>
        </w:rPr>
      </w:pPr>
    </w:p>
    <w:p>
      <w:pPr>
        <w:spacing w:after="0" w:line="440" w:lineRule="exact"/>
        <w:rPr>
          <w:rFonts w:ascii="Times New Roman" w:hAnsi="Times New Roman" w:eastAsia="宋体" w:cs="Times New Roman"/>
          <w:sz w:val="36"/>
          <w:szCs w:val="36"/>
        </w:rPr>
      </w:pPr>
    </w:p>
    <w:p>
      <w:pPr>
        <w:spacing w:after="0" w:line="440" w:lineRule="exact"/>
        <w:jc w:val="center"/>
        <w:rPr>
          <w:rFonts w:ascii="Times New Roman" w:hAnsi="Times New Roman" w:eastAsia="宋体" w:cs="Times New Roman"/>
          <w:sz w:val="36"/>
          <w:szCs w:val="36"/>
        </w:rPr>
      </w:pPr>
    </w:p>
    <w:p>
      <w:pPr>
        <w:spacing w:after="0" w:line="440" w:lineRule="exact"/>
        <w:jc w:val="center"/>
        <w:rPr>
          <w:rFonts w:ascii="Times New Roman" w:hAnsi="Times New Roman" w:eastAsia="宋体" w:cs="Times New Roman"/>
          <w:sz w:val="36"/>
          <w:szCs w:val="36"/>
        </w:rPr>
      </w:pPr>
    </w:p>
    <w:p>
      <w:pPr>
        <w:spacing w:after="0" w:line="440" w:lineRule="exact"/>
        <w:jc w:val="center"/>
        <w:rPr>
          <w:rFonts w:ascii="Times New Roman" w:hAnsi="Times New Roman" w:eastAsia="宋体" w:cs="Times New Roman"/>
          <w:sz w:val="36"/>
          <w:szCs w:val="36"/>
        </w:rPr>
      </w:pPr>
    </w:p>
    <w:p>
      <w:pPr>
        <w:spacing w:after="0" w:line="440" w:lineRule="exact"/>
        <w:jc w:val="center"/>
        <w:rPr>
          <w:rFonts w:ascii="Times New Roman" w:hAnsi="Times New Roman" w:eastAsia="宋体" w:cs="Times New Roman"/>
          <w:sz w:val="36"/>
          <w:szCs w:val="36"/>
        </w:rPr>
      </w:pPr>
    </w:p>
    <w:p>
      <w:pPr>
        <w:spacing w:after="0" w:line="360" w:lineRule="auto"/>
        <w:jc w:val="center"/>
        <w:rPr>
          <w:rFonts w:ascii="Times New Roman" w:hAnsi="Times New Roman" w:eastAsia="宋体" w:cs="Times New Roman"/>
          <w:b/>
          <w:sz w:val="48"/>
          <w:szCs w:val="48"/>
        </w:rPr>
      </w:pPr>
      <w:r>
        <w:rPr>
          <w:rFonts w:hint="eastAsia" w:ascii="Times New Roman" w:hAnsi="Times New Roman" w:eastAsia="宋体" w:cs="Times New Roman"/>
          <w:b/>
          <w:sz w:val="48"/>
          <w:szCs w:val="48"/>
        </w:rPr>
        <w:t>稀土金属及其氧化物化学分析</w:t>
      </w:r>
      <w:r>
        <w:rPr>
          <w:rFonts w:ascii="Times New Roman" w:hAnsi="Times New Roman" w:eastAsia="宋体" w:cs="Times New Roman"/>
          <w:b/>
          <w:sz w:val="48"/>
          <w:szCs w:val="48"/>
        </w:rPr>
        <w:t>方法</w:t>
      </w:r>
    </w:p>
    <w:p>
      <w:pPr>
        <w:spacing w:after="0" w:line="360" w:lineRule="auto"/>
        <w:jc w:val="center"/>
        <w:rPr>
          <w:rFonts w:ascii="Times New Roman" w:hAnsi="Times New Roman" w:eastAsia="宋体" w:cs="Times New Roman"/>
          <w:b/>
          <w:sz w:val="48"/>
          <w:szCs w:val="48"/>
        </w:rPr>
      </w:pPr>
      <w:r>
        <w:rPr>
          <w:rFonts w:hint="eastAsia" w:ascii="Times New Roman" w:hAnsi="Times New Roman" w:eastAsia="宋体" w:cs="Times New Roman"/>
          <w:b/>
          <w:sz w:val="48"/>
          <w:szCs w:val="48"/>
        </w:rPr>
        <w:t>第3部分：铈中稀土杂质含量的测定</w:t>
      </w:r>
    </w:p>
    <w:p>
      <w:pPr>
        <w:spacing w:after="0" w:line="360" w:lineRule="auto"/>
        <w:jc w:val="center"/>
        <w:rPr>
          <w:rFonts w:ascii="Times New Roman" w:hAnsi="Times New Roman" w:eastAsia="宋体" w:cs="Times New Roman"/>
          <w:b/>
          <w:sz w:val="48"/>
          <w:szCs w:val="48"/>
        </w:rPr>
      </w:pPr>
      <w:r>
        <w:rPr>
          <w:rFonts w:hint="eastAsia" w:ascii="Times New Roman" w:hAnsi="Times New Roman" w:eastAsia="宋体" w:cs="Times New Roman"/>
          <w:b/>
          <w:sz w:val="48"/>
          <w:szCs w:val="48"/>
        </w:rPr>
        <w:t>编制说明</w:t>
      </w:r>
    </w:p>
    <w:p>
      <w:pPr>
        <w:adjustRightInd/>
        <w:snapToGrid/>
        <w:spacing w:after="0" w:line="360" w:lineRule="auto"/>
        <w:jc w:val="center"/>
        <w:rPr>
          <w:rFonts w:ascii="Times New Roman" w:hAnsi="Times New Roman" w:eastAsia="宋体" w:cs="Times New Roman"/>
          <w:sz w:val="30"/>
          <w:szCs w:val="30"/>
        </w:rPr>
      </w:pPr>
      <w:r>
        <w:rPr>
          <w:rFonts w:hint="eastAsia" w:ascii="Times New Roman" w:hAnsi="Times New Roman" w:eastAsia="宋体" w:cs="Times New Roman"/>
          <w:sz w:val="30"/>
          <w:szCs w:val="30"/>
        </w:rPr>
        <w:t>（方法3  电感耦合等离子串联体质谱法</w:t>
      </w:r>
      <w:r>
        <w:rPr>
          <w:rFonts w:ascii="Times New Roman" w:hAnsi="Times New Roman" w:eastAsia="宋体" w:cs="Times New Roman"/>
          <w:sz w:val="30"/>
          <w:szCs w:val="30"/>
        </w:rPr>
        <w:t>—</w:t>
      </w:r>
      <w:r>
        <w:rPr>
          <w:rFonts w:hint="eastAsia" w:ascii="Times New Roman" w:hAnsi="Times New Roman" w:eastAsia="宋体" w:cs="Times New Roman"/>
          <w:sz w:val="30"/>
          <w:szCs w:val="30"/>
        </w:rPr>
        <w:t>ICP-MS-MS）</w:t>
      </w: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r>
        <w:rPr>
          <w:rFonts w:hint="eastAsia" w:ascii="Times New Roman" w:hAnsi="Times New Roman" w:eastAsia="宋体" w:cs="Times New Roman"/>
          <w:b/>
          <w:sz w:val="48"/>
          <w:szCs w:val="48"/>
          <w:lang w:eastAsia="zh-CN"/>
        </w:rPr>
        <w:t>送</w:t>
      </w:r>
      <w:bookmarkStart w:id="9" w:name="_GoBack"/>
      <w:bookmarkEnd w:id="9"/>
      <w:r>
        <w:rPr>
          <w:rFonts w:hint="eastAsia" w:ascii="Times New Roman" w:hAnsi="Times New Roman" w:eastAsia="宋体" w:cs="Times New Roman"/>
          <w:b/>
          <w:sz w:val="48"/>
          <w:szCs w:val="48"/>
        </w:rPr>
        <w:t>审稿</w:t>
      </w: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48"/>
          <w:szCs w:val="48"/>
        </w:rPr>
      </w:pPr>
    </w:p>
    <w:p>
      <w:pPr>
        <w:spacing w:after="0" w:line="44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2019年8月5日</w:t>
      </w:r>
    </w:p>
    <w:p>
      <w:pPr>
        <w:spacing w:after="0" w:line="44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江西理工大学</w:t>
      </w:r>
    </w:p>
    <w:p>
      <w:pPr>
        <w:adjustRightInd/>
        <w:snapToGrid/>
        <w:spacing w:after="0" w:line="440" w:lineRule="exact"/>
        <w:jc w:val="center"/>
        <w:rPr>
          <w:rFonts w:ascii="Times New Roman" w:hAnsi="Times New Roman" w:eastAsia="宋体" w:cs="Times New Roman"/>
          <w:sz w:val="36"/>
          <w:szCs w:val="36"/>
        </w:rPr>
      </w:pPr>
      <w:r>
        <w:rPr>
          <w:rFonts w:ascii="Times New Roman" w:hAnsi="Times New Roman" w:eastAsia="宋体" w:cs="Times New Roman"/>
          <w:sz w:val="36"/>
          <w:szCs w:val="36"/>
        </w:rPr>
        <w:br w:type="page"/>
      </w:r>
    </w:p>
    <w:p>
      <w:pPr>
        <w:adjustRightInd/>
        <w:snapToGrid/>
        <w:spacing w:after="0" w:line="440" w:lineRule="exact"/>
        <w:rPr>
          <w:rFonts w:ascii="Times New Roman" w:hAnsi="Times New Roman" w:eastAsia="宋体" w:cs="Times New Roman"/>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pgNumType w:start="1"/>
          <w:cols w:space="708" w:num="1"/>
          <w:titlePg/>
          <w:docGrid w:linePitch="360" w:charSpace="0"/>
        </w:sectPr>
      </w:pPr>
    </w:p>
    <w:p>
      <w:pPr>
        <w:adjustRightInd/>
        <w:snapToGrid/>
        <w:spacing w:after="0" w:line="440" w:lineRule="exact"/>
        <w:jc w:val="center"/>
        <w:rPr>
          <w:rFonts w:ascii="Times New Roman" w:hAnsi="Times New Roman" w:eastAsia="宋体" w:cs="Times New Roman"/>
          <w:sz w:val="36"/>
          <w:szCs w:val="36"/>
        </w:rPr>
      </w:pPr>
    </w:p>
    <w:p>
      <w:pPr>
        <w:spacing w:after="0" w:line="276"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稀土金属及其氧化物化学分析</w:t>
      </w:r>
      <w:r>
        <w:rPr>
          <w:rFonts w:ascii="Times New Roman" w:hAnsi="Times New Roman" w:eastAsia="宋体" w:cs="Times New Roman"/>
          <w:b/>
          <w:sz w:val="32"/>
          <w:szCs w:val="32"/>
        </w:rPr>
        <w:t>方法</w:t>
      </w:r>
    </w:p>
    <w:p>
      <w:pPr>
        <w:adjustRightInd/>
        <w:snapToGrid/>
        <w:spacing w:after="0" w:line="276"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第2部分：铈中稀土杂质含量的测定</w:t>
      </w:r>
    </w:p>
    <w:p>
      <w:pPr>
        <w:adjustRightInd/>
        <w:snapToGrid/>
        <w:spacing w:after="0" w:line="276"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方法3  电感耦合等离子体质谱法</w:t>
      </w:r>
      <w:r>
        <w:rPr>
          <w:rFonts w:ascii="Times New Roman" w:hAnsi="Times New Roman" w:eastAsia="宋体" w:cs="Times New Roman"/>
          <w:b/>
          <w:sz w:val="32"/>
          <w:szCs w:val="32"/>
        </w:rPr>
        <w:t>—</w:t>
      </w:r>
      <w:r>
        <w:rPr>
          <w:rFonts w:hint="eastAsia" w:ascii="Times New Roman" w:hAnsi="Times New Roman" w:eastAsia="宋体" w:cs="Times New Roman"/>
          <w:b/>
          <w:sz w:val="32"/>
          <w:szCs w:val="32"/>
        </w:rPr>
        <w:t>ICP-MS-MS</w:t>
      </w:r>
    </w:p>
    <w:p>
      <w:pPr>
        <w:spacing w:after="0" w:line="276"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编制说明</w:t>
      </w:r>
    </w:p>
    <w:p>
      <w:pPr>
        <w:spacing w:after="0" w:line="440" w:lineRule="exact"/>
        <w:jc w:val="center"/>
        <w:rPr>
          <w:rFonts w:ascii="Times New Roman" w:hAnsi="Times New Roman" w:eastAsia="宋体" w:cs="Times New Roman"/>
          <w:b/>
          <w:sz w:val="30"/>
          <w:szCs w:val="30"/>
        </w:rPr>
      </w:pPr>
    </w:p>
    <w:p>
      <w:pPr>
        <w:pStyle w:val="2"/>
        <w:spacing w:before="0" w:after="0" w:line="276" w:lineRule="auto"/>
        <w:rPr>
          <w:sz w:val="30"/>
          <w:szCs w:val="30"/>
        </w:rPr>
      </w:pPr>
      <w:r>
        <w:rPr>
          <w:rFonts w:hint="eastAsia"/>
          <w:sz w:val="30"/>
          <w:szCs w:val="30"/>
        </w:rPr>
        <w:t>1工作简介</w:t>
      </w:r>
    </w:p>
    <w:p>
      <w:pPr>
        <w:adjustRightInd/>
        <w:snapToGrid/>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1.1</w:t>
      </w:r>
      <w:r>
        <w:rPr>
          <w:rFonts w:hint="eastAsia" w:ascii="Times New Roman" w:hAnsi="宋体" w:eastAsia="宋体" w:cs="Times New Roman"/>
          <w:sz w:val="24"/>
          <w:szCs w:val="24"/>
        </w:rPr>
        <w:t>任务来源</w:t>
      </w:r>
    </w:p>
    <w:p>
      <w:pPr>
        <w:spacing w:after="0"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2018</w:t>
      </w:r>
      <w:r>
        <w:rPr>
          <w:rFonts w:hint="eastAsia" w:ascii="Times New Roman" w:hAnsi="宋体" w:eastAsia="宋体" w:cs="Times New Roman"/>
          <w:sz w:val="24"/>
          <w:szCs w:val="24"/>
        </w:rPr>
        <w:t>年</w:t>
      </w:r>
      <w:r>
        <w:rPr>
          <w:rFonts w:hint="eastAsia" w:ascii="Times New Roman" w:hAnsi="Times New Roman" w:eastAsia="宋体" w:cs="Times New Roman"/>
          <w:sz w:val="24"/>
          <w:szCs w:val="24"/>
        </w:rPr>
        <w:t>1</w:t>
      </w:r>
      <w:r>
        <w:rPr>
          <w:rFonts w:hint="eastAsia" w:ascii="Times New Roman" w:hAnsi="宋体" w:eastAsia="宋体" w:cs="Times New Roman"/>
          <w:sz w:val="24"/>
          <w:szCs w:val="24"/>
        </w:rPr>
        <w:t>月</w:t>
      </w:r>
      <w:r>
        <w:rPr>
          <w:rFonts w:hint="eastAsia" w:ascii="Times New Roman" w:hAnsi="Times New Roman" w:eastAsia="宋体" w:cs="Times New Roman"/>
          <w:sz w:val="24"/>
          <w:szCs w:val="24"/>
        </w:rPr>
        <w:t>14</w:t>
      </w:r>
      <w:r>
        <w:rPr>
          <w:rFonts w:hint="eastAsia" w:ascii="Times New Roman" w:hAnsi="宋体" w:eastAsia="宋体" w:cs="Times New Roman"/>
          <w:sz w:val="24"/>
          <w:szCs w:val="24"/>
        </w:rPr>
        <w:t>日至</w:t>
      </w:r>
      <w:r>
        <w:rPr>
          <w:rFonts w:hint="eastAsia" w:ascii="Times New Roman" w:hAnsi="Times New Roman" w:eastAsia="宋体" w:cs="Times New Roman"/>
          <w:sz w:val="24"/>
          <w:szCs w:val="24"/>
        </w:rPr>
        <w:t>15</w:t>
      </w:r>
      <w:r>
        <w:rPr>
          <w:rFonts w:hint="eastAsia" w:ascii="Times New Roman" w:hAnsi="宋体" w:eastAsia="宋体" w:cs="Times New Roman"/>
          <w:sz w:val="24"/>
          <w:szCs w:val="24"/>
        </w:rPr>
        <w:t>日在浙江省桐乡市召开了</w:t>
      </w:r>
      <w:r>
        <w:rPr>
          <w:rFonts w:hint="eastAsia" w:ascii="Times New Roman" w:hAnsi="Times New Roman" w:eastAsia="宋体" w:cs="Times New Roman"/>
          <w:sz w:val="24"/>
          <w:szCs w:val="24"/>
        </w:rPr>
        <w:t>“2018</w:t>
      </w:r>
      <w:r>
        <w:rPr>
          <w:rFonts w:hint="eastAsia" w:ascii="Times New Roman" w:hAnsi="宋体" w:eastAsia="宋体" w:cs="Times New Roman"/>
          <w:sz w:val="24"/>
          <w:szCs w:val="24"/>
        </w:rPr>
        <w:t>年第一次全国稀土标准工作会议</w:t>
      </w:r>
      <w:r>
        <w:rPr>
          <w:rFonts w:hint="eastAsia" w:ascii="Times New Roman" w:hAnsi="Times New Roman" w:eastAsia="宋体" w:cs="Times New Roman"/>
          <w:sz w:val="24"/>
          <w:szCs w:val="24"/>
        </w:rPr>
        <w:t>”</w:t>
      </w:r>
      <w:r>
        <w:rPr>
          <w:rFonts w:hint="eastAsia" w:ascii="Times New Roman" w:hAnsi="宋体" w:eastAsia="宋体" w:cs="Times New Roman"/>
          <w:sz w:val="24"/>
          <w:szCs w:val="24"/>
        </w:rPr>
        <w:t>。会议落实了</w:t>
      </w:r>
      <w:r>
        <w:rPr>
          <w:rFonts w:hint="eastAsia" w:ascii="Times New Roman" w:hAnsi="Times New Roman" w:eastAsia="宋体" w:cs="Times New Roman"/>
          <w:sz w:val="24"/>
          <w:szCs w:val="24"/>
        </w:rPr>
        <w:t>2017</w:t>
      </w:r>
      <w:r>
        <w:rPr>
          <w:rFonts w:hint="eastAsia" w:ascii="Times New Roman" w:hAnsi="宋体" w:eastAsia="宋体" w:cs="Times New Roman"/>
          <w:sz w:val="24"/>
          <w:szCs w:val="24"/>
        </w:rPr>
        <w:t>年下达的《稀土金属及其氧化物化学分析</w:t>
      </w:r>
      <w:r>
        <w:rPr>
          <w:rFonts w:ascii="Times New Roman" w:hAnsi="宋体" w:eastAsia="宋体" w:cs="Times New Roman"/>
          <w:sz w:val="24"/>
          <w:szCs w:val="24"/>
        </w:rPr>
        <w:t>方法</w:t>
      </w:r>
      <w:r>
        <w:rPr>
          <w:rFonts w:hint="eastAsia" w:ascii="Times New Roman" w:hAnsi="Times New Roman" w:eastAsia="宋体" w:cs="Times New Roman"/>
          <w:sz w:val="24"/>
          <w:szCs w:val="24"/>
        </w:rPr>
        <w:t xml:space="preserve">  </w:t>
      </w:r>
      <w:r>
        <w:rPr>
          <w:rFonts w:hint="eastAsia" w:ascii="Times New Roman" w:hAnsi="宋体" w:eastAsia="宋体" w:cs="Times New Roman"/>
          <w:sz w:val="24"/>
          <w:szCs w:val="24"/>
        </w:rPr>
        <w:t>第</w:t>
      </w:r>
      <w:r>
        <w:rPr>
          <w:rFonts w:hint="eastAsia" w:ascii="Times New Roman" w:hAnsi="Times New Roman" w:eastAsia="宋体" w:cs="Times New Roman"/>
          <w:sz w:val="24"/>
          <w:szCs w:val="24"/>
        </w:rPr>
        <w:t>2</w:t>
      </w:r>
      <w:r>
        <w:rPr>
          <w:rFonts w:hint="eastAsia" w:ascii="Times New Roman" w:hAnsi="宋体" w:eastAsia="宋体" w:cs="Times New Roman"/>
          <w:sz w:val="24"/>
          <w:szCs w:val="24"/>
        </w:rPr>
        <w:t>部分：铈中稀土杂质含量的测定》（</w:t>
      </w:r>
      <w:r>
        <w:rPr>
          <w:rFonts w:hint="eastAsia" w:ascii="Times New Roman" w:hAnsi="Times New Roman" w:eastAsia="宋体" w:cs="Times New Roman"/>
          <w:sz w:val="24"/>
          <w:szCs w:val="24"/>
        </w:rPr>
        <w:t>GB/T 18115.2</w:t>
      </w:r>
      <w:r>
        <w:rPr>
          <w:rFonts w:hint="eastAsia" w:ascii="Times New Roman" w:hAnsi="宋体" w:eastAsia="宋体" w:cs="Times New Roman"/>
          <w:sz w:val="24"/>
          <w:szCs w:val="24"/>
        </w:rPr>
        <w:t>）稀土国家标准修订计划的任务，由淄博加华新材料资源有限公司和中国北方稀土（集团）高科技股份有限公司分别负责牵头起草方法</w:t>
      </w:r>
      <w:r>
        <w:rPr>
          <w:rFonts w:hint="eastAsia" w:ascii="Times New Roman" w:hAnsi="Times New Roman" w:eastAsia="宋体" w:cs="Times New Roman"/>
          <w:sz w:val="24"/>
          <w:szCs w:val="24"/>
        </w:rPr>
        <w:t>1</w:t>
      </w:r>
      <w:r>
        <w:rPr>
          <w:rFonts w:hint="eastAsia" w:ascii="Times New Roman" w:hAnsi="宋体" w:eastAsia="宋体" w:cs="Times New Roman"/>
          <w:sz w:val="24"/>
          <w:szCs w:val="24"/>
        </w:rPr>
        <w:t>电感耦合等离子体原子发射光谱法和方3电感耦合等离子体串联质谱法（ICP-MS-MS），由江西理工大学负责研究起草方法</w:t>
      </w:r>
      <w:r>
        <w:rPr>
          <w:rFonts w:hint="eastAsia" w:ascii="Times New Roman" w:hAnsi="Times New Roman" w:eastAsia="宋体" w:cs="Times New Roman"/>
          <w:sz w:val="24"/>
          <w:szCs w:val="24"/>
        </w:rPr>
        <w:t>3</w:t>
      </w:r>
      <w:r>
        <w:rPr>
          <w:rFonts w:hint="eastAsia" w:ascii="Times New Roman" w:hAnsi="宋体" w:eastAsia="宋体" w:cs="Times New Roman"/>
          <w:sz w:val="24"/>
          <w:szCs w:val="24"/>
        </w:rPr>
        <w:t>，国家钨与稀土产品质量监督检验中心、厦门稀土材料研究所、中国工程物理研究院化工材料研究所和江西省分析测试中心为本部分的验证单位。任务计划号为</w:t>
      </w:r>
      <w:r>
        <w:rPr>
          <w:rFonts w:hint="eastAsia" w:ascii="Times New Roman" w:hAnsi="Times New Roman" w:eastAsia="宋体" w:cs="Times New Roman"/>
          <w:sz w:val="24"/>
          <w:szCs w:val="24"/>
        </w:rPr>
        <w:t>20173580-T-469</w:t>
      </w:r>
      <w:r>
        <w:rPr>
          <w:rFonts w:hint="eastAsia" w:ascii="Times New Roman" w:hAnsi="宋体" w:eastAsia="宋体" w:cs="Times New Roman"/>
          <w:sz w:val="24"/>
          <w:szCs w:val="24"/>
        </w:rPr>
        <w:t>，完成年限为</w:t>
      </w:r>
      <w:r>
        <w:rPr>
          <w:rFonts w:hint="eastAsia" w:ascii="Times New Roman" w:hAnsi="Times New Roman" w:eastAsia="宋体" w:cs="Times New Roman"/>
          <w:sz w:val="24"/>
          <w:szCs w:val="24"/>
        </w:rPr>
        <w:t>2019</w:t>
      </w:r>
      <w:r>
        <w:rPr>
          <w:rFonts w:hint="eastAsia" w:ascii="Times New Roman" w:hAnsi="宋体" w:eastAsia="宋体" w:cs="Times New Roman"/>
          <w:sz w:val="24"/>
          <w:szCs w:val="24"/>
        </w:rPr>
        <w:t>年。</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1.2</w:t>
      </w:r>
      <w:r>
        <w:rPr>
          <w:rFonts w:hint="eastAsia" w:ascii="Times New Roman" w:hAnsi="宋体" w:eastAsia="宋体" w:cs="Times New Roman"/>
          <w:sz w:val="24"/>
          <w:szCs w:val="24"/>
        </w:rPr>
        <w:t>编制单位简介</w:t>
      </w:r>
    </w:p>
    <w:p>
      <w:pPr>
        <w:pStyle w:val="10"/>
        <w:spacing w:line="360" w:lineRule="auto"/>
        <w:ind w:firstLine="470" w:firstLineChars="196"/>
        <w:rPr>
          <w:rFonts w:ascii="Times New Roman" w:hAnsi="宋体" w:eastAsia="宋体" w:cs="Times New Roman"/>
          <w:sz w:val="24"/>
          <w:szCs w:val="24"/>
        </w:rPr>
      </w:pPr>
      <w:r>
        <w:rPr>
          <w:rFonts w:hint="eastAsia" w:ascii="Times New Roman" w:hAnsi="宋体" w:eastAsia="宋体" w:cs="Times New Roman"/>
          <w:sz w:val="24"/>
          <w:szCs w:val="24"/>
        </w:rPr>
        <w:t>江西理工大学分析测试中心是具有独立开展检测业务活动的分析测试机构，自</w:t>
      </w:r>
      <w:r>
        <w:rPr>
          <w:rFonts w:ascii="Times New Roman" w:hAnsi="宋体" w:eastAsia="宋体" w:cs="Times New Roman"/>
          <w:sz w:val="24"/>
          <w:szCs w:val="24"/>
        </w:rPr>
        <w:t>2003</w:t>
      </w:r>
      <w:r>
        <w:rPr>
          <w:rFonts w:hint="eastAsia" w:ascii="Times New Roman" w:hAnsi="宋体" w:eastAsia="宋体" w:cs="Times New Roman"/>
          <w:sz w:val="24"/>
          <w:szCs w:val="24"/>
        </w:rPr>
        <w:t>年成立以来，</w:t>
      </w:r>
      <w:r>
        <w:rPr>
          <w:rFonts w:ascii="Times New Roman" w:hAnsi="宋体" w:eastAsia="宋体" w:cs="Times New Roman"/>
          <w:sz w:val="24"/>
          <w:szCs w:val="24"/>
        </w:rPr>
        <w:t xml:space="preserve"> </w:t>
      </w:r>
      <w:r>
        <w:rPr>
          <w:rFonts w:hint="eastAsia" w:ascii="Times New Roman" w:hAnsi="宋体" w:eastAsia="宋体" w:cs="Times New Roman"/>
          <w:sz w:val="24"/>
          <w:szCs w:val="24"/>
        </w:rPr>
        <w:t>已拥有总价值约</w:t>
      </w:r>
      <w:r>
        <w:rPr>
          <w:rFonts w:ascii="Times New Roman" w:hAnsi="宋体" w:eastAsia="宋体" w:cs="Times New Roman"/>
          <w:sz w:val="24"/>
          <w:szCs w:val="24"/>
        </w:rPr>
        <w:t>6,000</w:t>
      </w:r>
      <w:r>
        <w:rPr>
          <w:rFonts w:hint="eastAsia" w:ascii="Times New Roman" w:hAnsi="宋体" w:eastAsia="宋体" w:cs="Times New Roman"/>
          <w:sz w:val="24"/>
          <w:szCs w:val="24"/>
        </w:rPr>
        <w:t>万元的先进大中型分析测试仪器，总面积约</w:t>
      </w:r>
      <w:r>
        <w:rPr>
          <w:rFonts w:ascii="Times New Roman" w:hAnsi="宋体" w:eastAsia="宋体" w:cs="Times New Roman"/>
          <w:sz w:val="24"/>
          <w:szCs w:val="24"/>
        </w:rPr>
        <w:t>2000</w:t>
      </w:r>
      <w:r>
        <w:rPr>
          <w:rFonts w:hint="eastAsia" w:ascii="Times New Roman" w:hAnsi="宋体" w:eastAsia="宋体" w:cs="Times New Roman"/>
          <w:sz w:val="24"/>
          <w:szCs w:val="24"/>
        </w:rPr>
        <w:t>平方米，在成分与结构分析方面的仪器设备已基本配套，</w:t>
      </w:r>
      <w:r>
        <w:rPr>
          <w:rFonts w:ascii="Times New Roman" w:hAnsi="宋体" w:eastAsia="宋体" w:cs="Times New Roman"/>
          <w:sz w:val="24"/>
          <w:szCs w:val="24"/>
        </w:rPr>
        <w:t xml:space="preserve"> </w:t>
      </w:r>
      <w:r>
        <w:rPr>
          <w:rFonts w:hint="eastAsia" w:ascii="Times New Roman" w:hAnsi="宋体" w:eastAsia="宋体" w:cs="Times New Roman"/>
          <w:sz w:val="24"/>
          <w:szCs w:val="24"/>
        </w:rPr>
        <w:t>并于</w:t>
      </w:r>
      <w:r>
        <w:rPr>
          <w:rFonts w:ascii="Times New Roman" w:hAnsi="宋体" w:eastAsia="宋体" w:cs="Times New Roman"/>
          <w:sz w:val="24"/>
          <w:szCs w:val="24"/>
        </w:rPr>
        <w:t>2006</w:t>
      </w:r>
      <w:r>
        <w:rPr>
          <w:rFonts w:hint="eastAsia" w:ascii="Times New Roman" w:hAnsi="宋体" w:eastAsia="宋体" w:cs="Times New Roman"/>
          <w:sz w:val="24"/>
          <w:szCs w:val="24"/>
        </w:rPr>
        <w:t>年通过资质认定</w:t>
      </w:r>
      <w:r>
        <w:rPr>
          <w:rFonts w:ascii="Times New Roman" w:hAnsi="宋体" w:eastAsia="宋体" w:cs="Times New Roman"/>
          <w:sz w:val="24"/>
          <w:szCs w:val="24"/>
        </w:rPr>
        <w:t>(</w:t>
      </w:r>
      <w:r>
        <w:rPr>
          <w:rFonts w:hint="eastAsia" w:ascii="Times New Roman" w:hAnsi="宋体" w:eastAsia="宋体" w:cs="Times New Roman"/>
          <w:sz w:val="24"/>
          <w:szCs w:val="24"/>
        </w:rPr>
        <w:t>计量认定</w:t>
      </w:r>
      <w:r>
        <w:rPr>
          <w:rFonts w:ascii="Times New Roman" w:hAnsi="宋体" w:eastAsia="宋体" w:cs="Times New Roman"/>
          <w:sz w:val="24"/>
          <w:szCs w:val="24"/>
        </w:rPr>
        <w:t>)</w:t>
      </w:r>
      <w:r>
        <w:rPr>
          <w:rFonts w:hint="eastAsia" w:ascii="Times New Roman" w:hAnsi="宋体" w:eastAsia="宋体" w:cs="Times New Roman"/>
          <w:sz w:val="24"/>
          <w:szCs w:val="24"/>
        </w:rPr>
        <w:t>，中心具有雄厚的师资力量与技术力量，是为学校教学、科研提供分析测试服务的公共大平台，也是分析测试技术、方法的研发中心和培养高层次人才的重要实验基地。同时它面向社会开放，积极为地方的科研、经济建设服务。</w:t>
      </w:r>
    </w:p>
    <w:p>
      <w:pPr>
        <w:spacing w:before="100" w:beforeAutospacing="1" w:after="300" w:line="360" w:lineRule="auto"/>
        <w:ind w:firstLine="480" w:firstLineChars="200"/>
        <w:rPr>
          <w:rFonts w:ascii="Times New Roman" w:hAnsi="宋体" w:eastAsia="宋体" w:cs="Times New Roman"/>
          <w:sz w:val="24"/>
          <w:szCs w:val="24"/>
        </w:rPr>
      </w:pPr>
      <w:r>
        <w:rPr>
          <w:rFonts w:hint="eastAsia" w:ascii="Times New Roman" w:hAnsi="宋体" w:eastAsia="宋体" w:cs="Times New Roman"/>
          <w:sz w:val="24"/>
          <w:szCs w:val="24"/>
        </w:rPr>
        <w:t>目前，中心拥有等离子体发射光谱仪、等离子体质谱仪、</w:t>
      </w:r>
      <w:r>
        <w:rPr>
          <w:rFonts w:ascii="Times New Roman" w:hAnsi="宋体" w:eastAsia="宋体" w:cs="Times New Roman"/>
          <w:sz w:val="24"/>
          <w:szCs w:val="24"/>
        </w:rPr>
        <w:t>X</w:t>
      </w:r>
      <w:r>
        <w:rPr>
          <w:rFonts w:hint="eastAsia" w:ascii="Times New Roman" w:hAnsi="宋体" w:eastAsia="宋体" w:cs="Times New Roman"/>
          <w:sz w:val="24"/>
          <w:szCs w:val="24"/>
        </w:rPr>
        <w:t>荧光光谱仪、场发射扫描电子显微镜、高分辨透射电子显微镜、多晶</w:t>
      </w:r>
      <w:r>
        <w:rPr>
          <w:rFonts w:ascii="Times New Roman" w:hAnsi="宋体" w:eastAsia="宋体" w:cs="Times New Roman"/>
          <w:sz w:val="24"/>
          <w:szCs w:val="24"/>
        </w:rPr>
        <w:t>X</w:t>
      </w:r>
      <w:r>
        <w:rPr>
          <w:rFonts w:hint="eastAsia" w:ascii="Times New Roman" w:hAnsi="宋体" w:eastAsia="宋体" w:cs="Times New Roman"/>
          <w:sz w:val="24"/>
          <w:szCs w:val="24"/>
        </w:rPr>
        <w:t>射线衍射仪、单晶衍射仪、热分析系统、激光共焦拉曼光谱、多功能材料物理特性测量系统等</w:t>
      </w:r>
      <w:r>
        <w:rPr>
          <w:rFonts w:ascii="Times New Roman" w:hAnsi="宋体" w:eastAsia="宋体" w:cs="Times New Roman"/>
          <w:sz w:val="24"/>
          <w:szCs w:val="24"/>
        </w:rPr>
        <w:t>40</w:t>
      </w:r>
      <w:r>
        <w:rPr>
          <w:rFonts w:hint="eastAsia" w:ascii="Times New Roman" w:hAnsi="宋体" w:eastAsia="宋体" w:cs="Times New Roman"/>
          <w:sz w:val="24"/>
          <w:szCs w:val="24"/>
        </w:rPr>
        <w:t>余台的各类大型分析仪器和试验装置。主要分析测试业务范围包括：无机物和有机物成份与结构分析、表面分析、微区形貌及成份分析、热分析和物性测定分析以及未知物质和复杂体系的分离、鉴定等分析测试服务。</w:t>
      </w:r>
      <w:r>
        <w:rPr>
          <w:rFonts w:ascii="Times New Roman" w:hAnsi="宋体" w:eastAsia="宋体" w:cs="Times New Roman"/>
          <w:sz w:val="24"/>
          <w:szCs w:val="24"/>
        </w:rPr>
        <w:t xml:space="preserve"> </w:t>
      </w:r>
    </w:p>
    <w:p>
      <w:pPr>
        <w:spacing w:after="0"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测试中心特别在稀土元素的检测方面，做了大量的工作。能够从开采、提取生产到冶炼，以及后面的稀土新材料，提供全面的检测服务。可以测定微量到超高纯</w:t>
      </w:r>
      <w:r>
        <w:rPr>
          <w:rFonts w:ascii="Times New Roman" w:hAnsi="宋体" w:eastAsia="宋体" w:cs="Times New Roman"/>
          <w:sz w:val="24"/>
          <w:szCs w:val="24"/>
        </w:rPr>
        <w:t>6N</w:t>
      </w:r>
      <w:r>
        <w:rPr>
          <w:rFonts w:hint="eastAsia" w:ascii="Times New Roman" w:hAnsi="宋体" w:eastAsia="宋体" w:cs="Times New Roman"/>
          <w:sz w:val="24"/>
          <w:szCs w:val="24"/>
        </w:rPr>
        <w:t>的稀土元素产品的成分检测和稀土新材料的表面结构、微区分析和磁性能等的检测。特别是超高纯稀土元素的检测，是中心在稀土检测领域首次完成不需分离，直接测定。为稀土光学玻璃、荧光粉等新材料的开发研究，提供了支持</w:t>
      </w:r>
      <w:r>
        <w:rPr>
          <w:rFonts w:hint="eastAsia"/>
          <w:sz w:val="24"/>
          <w:szCs w:val="24"/>
        </w:rPr>
        <w:t>。</w:t>
      </w:r>
      <w:r>
        <w:rPr>
          <w:rFonts w:hint="eastAsia" w:ascii="Times New Roman" w:hAnsi="Times New Roman" w:eastAsia="宋体" w:cs="Times New Roman"/>
          <w:sz w:val="24"/>
          <w:szCs w:val="24"/>
        </w:rPr>
        <w:t xml:space="preserve"> </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1.3.1  </w:t>
      </w:r>
      <w:r>
        <w:rPr>
          <w:rFonts w:hint="eastAsia" w:ascii="Times New Roman" w:hAnsi="宋体" w:eastAsia="宋体" w:cs="Times New Roman"/>
          <w:sz w:val="24"/>
          <w:szCs w:val="24"/>
        </w:rPr>
        <w:t>任务落实会</w:t>
      </w:r>
    </w:p>
    <w:p>
      <w:pPr>
        <w:spacing w:after="0"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2018</w:t>
      </w:r>
      <w:r>
        <w:rPr>
          <w:rFonts w:hint="eastAsia" w:ascii="Times New Roman" w:hAnsi="宋体" w:eastAsia="宋体" w:cs="Times New Roman"/>
          <w:sz w:val="24"/>
          <w:szCs w:val="24"/>
        </w:rPr>
        <w:t>年</w:t>
      </w:r>
      <w:r>
        <w:rPr>
          <w:rFonts w:hint="eastAsia" w:ascii="Times New Roman" w:hAnsi="Times New Roman" w:eastAsia="宋体" w:cs="Times New Roman"/>
          <w:sz w:val="24"/>
          <w:szCs w:val="24"/>
        </w:rPr>
        <w:t>1</w:t>
      </w:r>
      <w:r>
        <w:rPr>
          <w:rFonts w:hint="eastAsia" w:ascii="Times New Roman" w:hAnsi="宋体" w:eastAsia="宋体" w:cs="Times New Roman"/>
          <w:sz w:val="24"/>
          <w:szCs w:val="24"/>
        </w:rPr>
        <w:t>月</w:t>
      </w:r>
      <w:r>
        <w:rPr>
          <w:rFonts w:hint="eastAsia" w:ascii="Times New Roman" w:hAnsi="Times New Roman" w:eastAsia="宋体" w:cs="Times New Roman"/>
          <w:sz w:val="24"/>
          <w:szCs w:val="24"/>
        </w:rPr>
        <w:t>14</w:t>
      </w:r>
      <w:r>
        <w:rPr>
          <w:rFonts w:hint="eastAsia" w:ascii="Times New Roman" w:hAnsi="宋体" w:eastAsia="宋体" w:cs="Times New Roman"/>
          <w:sz w:val="24"/>
          <w:szCs w:val="24"/>
        </w:rPr>
        <w:t>日至</w:t>
      </w:r>
      <w:r>
        <w:rPr>
          <w:rFonts w:hint="eastAsia" w:ascii="Times New Roman" w:hAnsi="Times New Roman" w:eastAsia="宋体" w:cs="Times New Roman"/>
          <w:sz w:val="24"/>
          <w:szCs w:val="24"/>
        </w:rPr>
        <w:t>15</w:t>
      </w:r>
      <w:r>
        <w:rPr>
          <w:rFonts w:hint="eastAsia" w:ascii="Times New Roman" w:hAnsi="宋体" w:eastAsia="宋体" w:cs="Times New Roman"/>
          <w:sz w:val="24"/>
          <w:szCs w:val="24"/>
        </w:rPr>
        <w:t>日在浙江省桐乡市召开了</w:t>
      </w:r>
      <w:r>
        <w:rPr>
          <w:rFonts w:hint="eastAsia" w:ascii="Times New Roman" w:hAnsi="Times New Roman" w:eastAsia="宋体" w:cs="Times New Roman"/>
          <w:sz w:val="24"/>
          <w:szCs w:val="24"/>
        </w:rPr>
        <w:t>“2018</w:t>
      </w:r>
      <w:r>
        <w:rPr>
          <w:rFonts w:hint="eastAsia" w:ascii="Times New Roman" w:hAnsi="宋体" w:eastAsia="宋体" w:cs="Times New Roman"/>
          <w:sz w:val="24"/>
          <w:szCs w:val="24"/>
        </w:rPr>
        <w:t>年第一次全国稀土标准工作会议</w:t>
      </w:r>
      <w:r>
        <w:rPr>
          <w:rFonts w:hint="eastAsia" w:ascii="Times New Roman" w:hAnsi="Times New Roman" w:eastAsia="宋体" w:cs="Times New Roman"/>
          <w:sz w:val="24"/>
          <w:szCs w:val="24"/>
        </w:rPr>
        <w:t>”</w:t>
      </w:r>
      <w:r>
        <w:rPr>
          <w:rFonts w:hint="eastAsia" w:ascii="Times New Roman" w:hAnsi="宋体" w:eastAsia="宋体" w:cs="Times New Roman"/>
          <w:sz w:val="24"/>
          <w:szCs w:val="24"/>
        </w:rPr>
        <w:t>。会议落实了</w:t>
      </w:r>
      <w:r>
        <w:rPr>
          <w:rFonts w:hint="eastAsia" w:ascii="Times New Roman" w:hAnsi="Times New Roman" w:eastAsia="宋体" w:cs="Times New Roman"/>
          <w:sz w:val="24"/>
          <w:szCs w:val="24"/>
        </w:rPr>
        <w:t>2017</w:t>
      </w:r>
      <w:r>
        <w:rPr>
          <w:rFonts w:hint="eastAsia" w:ascii="Times New Roman" w:hAnsi="宋体" w:eastAsia="宋体" w:cs="Times New Roman"/>
          <w:sz w:val="24"/>
          <w:szCs w:val="24"/>
        </w:rPr>
        <w:t>年下达的《稀土金属及其氧化物化学分析</w:t>
      </w:r>
      <w:r>
        <w:rPr>
          <w:rFonts w:ascii="Times New Roman" w:hAnsi="宋体" w:eastAsia="宋体" w:cs="Times New Roman"/>
          <w:sz w:val="24"/>
          <w:szCs w:val="24"/>
        </w:rPr>
        <w:t>方法</w:t>
      </w:r>
      <w:r>
        <w:rPr>
          <w:rFonts w:hint="eastAsia" w:ascii="Times New Roman" w:hAnsi="Times New Roman" w:eastAsia="宋体" w:cs="Times New Roman"/>
          <w:sz w:val="24"/>
          <w:szCs w:val="24"/>
        </w:rPr>
        <w:t xml:space="preserve">  </w:t>
      </w:r>
      <w:r>
        <w:rPr>
          <w:rFonts w:hint="eastAsia" w:ascii="Times New Roman" w:hAnsi="宋体" w:eastAsia="宋体" w:cs="Times New Roman"/>
          <w:sz w:val="24"/>
          <w:szCs w:val="24"/>
        </w:rPr>
        <w:t>第</w:t>
      </w:r>
      <w:r>
        <w:rPr>
          <w:rFonts w:hint="eastAsia" w:ascii="Times New Roman" w:hAnsi="Times New Roman" w:eastAsia="宋体" w:cs="Times New Roman"/>
          <w:sz w:val="24"/>
          <w:szCs w:val="24"/>
        </w:rPr>
        <w:t>2</w:t>
      </w:r>
      <w:r>
        <w:rPr>
          <w:rFonts w:hint="eastAsia" w:ascii="Times New Roman" w:hAnsi="宋体" w:eastAsia="宋体" w:cs="Times New Roman"/>
          <w:sz w:val="24"/>
          <w:szCs w:val="24"/>
        </w:rPr>
        <w:t>部分：铈中稀土杂质含量的测定》（</w:t>
      </w:r>
      <w:r>
        <w:rPr>
          <w:rFonts w:hint="eastAsia" w:ascii="Times New Roman" w:hAnsi="Times New Roman" w:eastAsia="宋体" w:cs="Times New Roman"/>
          <w:sz w:val="24"/>
          <w:szCs w:val="24"/>
        </w:rPr>
        <w:t>GB/T 18115.2</w:t>
      </w:r>
      <w:r>
        <w:rPr>
          <w:rFonts w:hint="eastAsia" w:ascii="Times New Roman" w:hAnsi="宋体" w:eastAsia="宋体" w:cs="Times New Roman"/>
          <w:sz w:val="24"/>
          <w:szCs w:val="24"/>
        </w:rPr>
        <w:t>）稀土国家标准修订计划的任务，由淄博加华新材料资源有限公司和中国北方稀土（集团）高科技股份有限公司分别负责牵头起草方法1电感耦合等离子体原子发射光谱法和方2电感耦合等离子体质谱法。鉴于ICP-MS的新发展，以及新的检测仪器电感耦合等离子串联体质谱法</w:t>
      </w:r>
      <w:r>
        <w:rPr>
          <w:rFonts w:ascii="Times New Roman" w:hAnsi="宋体" w:eastAsia="宋体" w:cs="Times New Roman"/>
          <w:sz w:val="24"/>
          <w:szCs w:val="24"/>
        </w:rPr>
        <w:t>—</w:t>
      </w:r>
      <w:r>
        <w:rPr>
          <w:rFonts w:hint="eastAsia" w:ascii="Times New Roman" w:hAnsi="宋体" w:eastAsia="宋体" w:cs="Times New Roman"/>
          <w:sz w:val="24"/>
          <w:szCs w:val="24"/>
        </w:rPr>
        <w:t>ICP-MS-MS的强大分析功能，为了丰富标准内容，为标准使用者提供更多的选择，任务落实会上决定由江西理工大学负责研究起草方法3，电感耦合等离子串联体质谱法直接检测铈中稀土杂质含量。</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1.3.2  </w:t>
      </w:r>
      <w:r>
        <w:rPr>
          <w:rFonts w:hint="eastAsia" w:ascii="Times New Roman" w:hAnsi="宋体" w:eastAsia="宋体" w:cs="Times New Roman"/>
          <w:sz w:val="24"/>
          <w:szCs w:val="24"/>
        </w:rPr>
        <w:t>前期调研工作</w:t>
      </w:r>
    </w:p>
    <w:p>
      <w:pPr>
        <w:pStyle w:val="10"/>
        <w:spacing w:after="0" w:line="44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接到任务后，江西理工大学分析测试中心召开专场会议，布置项目的相关工作。决定由吴伟明老师负责该项工作，刘和连和黄智敏老师为课题组主要成员，其他老师密切配合，大家积极认真完成该项任务。</w:t>
      </w:r>
    </w:p>
    <w:p>
      <w:pPr>
        <w:pStyle w:val="10"/>
        <w:spacing w:after="0" w:line="440" w:lineRule="exact"/>
        <w:ind w:firstLine="480"/>
        <w:rPr>
          <w:rFonts w:ascii="Times New Roman" w:hAnsi="Times New Roman" w:eastAsia="宋体" w:cs="Times New Roman"/>
          <w:sz w:val="24"/>
          <w:szCs w:val="24"/>
        </w:rPr>
      </w:pPr>
      <w:r>
        <w:rPr>
          <w:rFonts w:hint="eastAsia" w:ascii="Times New Roman" w:hAnsi="宋体" w:eastAsia="宋体" w:cs="Times New Roman"/>
          <w:sz w:val="24"/>
          <w:szCs w:val="24"/>
        </w:rPr>
        <w:t>课题组仔细全面的检索查阅了最近的国内外相关高纯稀土检测文献，认真总结了前期做高纯稀土检测的工作经验，特别是做过的高纯钕分析检测的经验，查阅了大量的文献，并积极联系、采购实验材料，为该方法的编制做了必要的准备工作。</w:t>
      </w:r>
      <w:r>
        <w:rPr>
          <w:rFonts w:hint="eastAsia" w:ascii="Times New Roman" w:hAnsi="Times New Roman" w:eastAsia="宋体" w:cs="Times New Roman"/>
          <w:sz w:val="24"/>
          <w:szCs w:val="24"/>
        </w:rPr>
        <w:t xml:space="preserve"> </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1.3.3  </w:t>
      </w:r>
      <w:r>
        <w:rPr>
          <w:rFonts w:hint="eastAsia" w:ascii="Times New Roman" w:hAnsi="宋体" w:eastAsia="宋体" w:cs="Times New Roman"/>
          <w:sz w:val="24"/>
          <w:szCs w:val="24"/>
        </w:rPr>
        <w:t>标准工作安排</w:t>
      </w:r>
    </w:p>
    <w:p>
      <w:pPr>
        <w:pStyle w:val="11"/>
        <w:spacing w:line="440" w:lineRule="exact"/>
        <w:ind w:firstLine="480" w:firstLineChars="200"/>
        <w:rPr>
          <w:rFonts w:ascii="Times New Roman" w:cs="Times New Roman"/>
          <w:color w:val="auto"/>
          <w:kern w:val="2"/>
        </w:rPr>
      </w:pPr>
      <w:r>
        <w:rPr>
          <w:rFonts w:hint="eastAsia" w:ascii="Times New Roman" w:cs="Times New Roman"/>
          <w:color w:val="auto"/>
          <w:kern w:val="2"/>
        </w:rPr>
        <w:t>2018年4月20日前，完成计划任务书递交。</w:t>
      </w:r>
    </w:p>
    <w:p>
      <w:pPr>
        <w:spacing w:after="0" w:line="440" w:lineRule="exact"/>
        <w:rPr>
          <w:rFonts w:ascii="Times New Roman" w:hAnsi="宋体" w:eastAsia="宋体" w:cs="Times New Roman"/>
          <w:sz w:val="24"/>
          <w:szCs w:val="24"/>
        </w:rPr>
      </w:pPr>
      <w:r>
        <w:rPr>
          <w:rFonts w:ascii="Times New Roman" w:hAnsi="宋体" w:eastAsia="宋体" w:cs="Times New Roman"/>
          <w:sz w:val="24"/>
          <w:szCs w:val="24"/>
        </w:rPr>
        <w:t>2018</w:t>
      </w:r>
      <w:r>
        <w:rPr>
          <w:rFonts w:hint="eastAsia" w:ascii="Times New Roman" w:hAnsi="宋体" w:eastAsia="宋体" w:cs="Times New Roman"/>
          <w:sz w:val="24"/>
          <w:szCs w:val="24"/>
        </w:rPr>
        <w:t>年5月－</w:t>
      </w:r>
      <w:r>
        <w:rPr>
          <w:rFonts w:ascii="Times New Roman" w:hAnsi="宋体" w:eastAsia="宋体" w:cs="Times New Roman"/>
          <w:sz w:val="24"/>
          <w:szCs w:val="24"/>
        </w:rPr>
        <w:t>2018</w:t>
      </w:r>
      <w:r>
        <w:rPr>
          <w:rFonts w:hint="eastAsia" w:ascii="Times New Roman" w:hAnsi="宋体" w:eastAsia="宋体" w:cs="Times New Roman"/>
          <w:sz w:val="24"/>
          <w:szCs w:val="24"/>
        </w:rPr>
        <w:t>年1</w:t>
      </w:r>
      <w:r>
        <w:rPr>
          <w:rFonts w:ascii="Times New Roman" w:hAnsi="宋体" w:eastAsia="宋体" w:cs="Times New Roman"/>
          <w:sz w:val="24"/>
          <w:szCs w:val="24"/>
        </w:rPr>
        <w:t>2</w:t>
      </w:r>
      <w:r>
        <w:rPr>
          <w:rFonts w:hint="eastAsia" w:ascii="Times New Roman" w:hAnsi="宋体" w:eastAsia="宋体" w:cs="Times New Roman"/>
          <w:sz w:val="24"/>
          <w:szCs w:val="24"/>
        </w:rPr>
        <w:t>月</w:t>
      </w:r>
    </w:p>
    <w:p>
      <w:pPr>
        <w:spacing w:after="0" w:line="440" w:lineRule="exact"/>
        <w:ind w:firstLine="480" w:firstLineChars="200"/>
        <w:rPr>
          <w:rFonts w:ascii="Times New Roman" w:hAnsi="宋体" w:eastAsia="宋体" w:cs="Times New Roman"/>
          <w:sz w:val="24"/>
          <w:szCs w:val="24"/>
        </w:rPr>
      </w:pPr>
      <w:r>
        <w:rPr>
          <w:rFonts w:hint="eastAsia" w:ascii="Times New Roman" w:hAnsi="宋体" w:eastAsia="宋体" w:cs="Times New Roman"/>
          <w:sz w:val="24"/>
          <w:szCs w:val="24"/>
        </w:rPr>
        <w:t>对本研究进行调研，开展本研究准备工作，购买高纯稀土原材料（需要考察各个厂家产品质量）及化学试剂，进行必要的实验辅助设备的改造。在原有的基础上开展进一步的实验研究工作</w:t>
      </w:r>
    </w:p>
    <w:p>
      <w:pPr>
        <w:spacing w:after="0" w:line="440" w:lineRule="exact"/>
        <w:rPr>
          <w:rFonts w:ascii="Times New Roman" w:hAnsi="宋体" w:eastAsia="宋体" w:cs="Times New Roman"/>
          <w:sz w:val="24"/>
          <w:szCs w:val="24"/>
        </w:rPr>
      </w:pPr>
      <w:r>
        <w:rPr>
          <w:rFonts w:ascii="Times New Roman" w:hAnsi="宋体" w:eastAsia="宋体" w:cs="Times New Roman"/>
          <w:sz w:val="24"/>
          <w:szCs w:val="24"/>
        </w:rPr>
        <w:t>201</w:t>
      </w:r>
      <w:r>
        <w:rPr>
          <w:rFonts w:hint="eastAsia" w:ascii="Times New Roman" w:hAnsi="宋体" w:eastAsia="宋体" w:cs="Times New Roman"/>
          <w:sz w:val="24"/>
          <w:szCs w:val="24"/>
        </w:rPr>
        <w:t>9年1月－</w:t>
      </w:r>
      <w:r>
        <w:rPr>
          <w:rFonts w:ascii="Times New Roman" w:hAnsi="宋体" w:eastAsia="宋体" w:cs="Times New Roman"/>
          <w:sz w:val="24"/>
          <w:szCs w:val="24"/>
        </w:rPr>
        <w:t>20</w:t>
      </w:r>
      <w:r>
        <w:rPr>
          <w:rFonts w:hint="eastAsia" w:ascii="Times New Roman" w:hAnsi="宋体" w:eastAsia="宋体" w:cs="Times New Roman"/>
          <w:sz w:val="24"/>
          <w:szCs w:val="24"/>
        </w:rPr>
        <w:t>19年3月</w:t>
      </w:r>
    </w:p>
    <w:p>
      <w:pPr>
        <w:spacing w:after="0" w:line="440" w:lineRule="exact"/>
        <w:ind w:firstLine="240" w:firstLineChars="100"/>
        <w:rPr>
          <w:rFonts w:ascii="Times New Roman" w:hAnsi="宋体" w:eastAsia="宋体" w:cs="Times New Roman"/>
          <w:sz w:val="24"/>
          <w:szCs w:val="24"/>
        </w:rPr>
      </w:pPr>
      <w:r>
        <w:rPr>
          <w:rFonts w:hint="eastAsia" w:ascii="Times New Roman" w:hAnsi="宋体" w:eastAsia="宋体" w:cs="Times New Roman"/>
          <w:sz w:val="24"/>
          <w:szCs w:val="24"/>
        </w:rPr>
        <w:t xml:space="preserve">  开展更深入的实验研究工作，进行系统研究总结</w:t>
      </w:r>
      <w:r>
        <w:rPr>
          <w:rFonts w:ascii="Times New Roman" w:hAnsi="宋体" w:eastAsia="宋体" w:cs="Times New Roman"/>
          <w:sz w:val="24"/>
          <w:szCs w:val="24"/>
        </w:rPr>
        <w:t xml:space="preserve">, </w:t>
      </w:r>
      <w:r>
        <w:rPr>
          <w:rFonts w:hint="eastAsia" w:ascii="Times New Roman" w:hAnsi="宋体" w:eastAsia="宋体" w:cs="Times New Roman"/>
          <w:sz w:val="24"/>
          <w:szCs w:val="24"/>
        </w:rPr>
        <w:t>综合分析已有数据</w:t>
      </w:r>
      <w:r>
        <w:rPr>
          <w:rFonts w:ascii="Times New Roman" w:hAnsi="宋体" w:eastAsia="宋体" w:cs="Times New Roman"/>
          <w:sz w:val="24"/>
          <w:szCs w:val="24"/>
        </w:rPr>
        <w:t>,</w:t>
      </w:r>
      <w:r>
        <w:rPr>
          <w:rFonts w:hint="eastAsia" w:ascii="Times New Roman" w:hAnsi="宋体" w:eastAsia="宋体" w:cs="Times New Roman"/>
          <w:sz w:val="24"/>
          <w:szCs w:val="24"/>
        </w:rPr>
        <w:t>建立铈中镧、镨、钕、钐、铕、钆、铽、镝、钬、铒、铥、镱、镥和钇的测定的新标准方法。</w:t>
      </w:r>
    </w:p>
    <w:p>
      <w:pPr>
        <w:spacing w:after="0" w:line="440" w:lineRule="exact"/>
        <w:rPr>
          <w:rFonts w:ascii="Times New Roman" w:hAnsi="宋体" w:eastAsia="宋体" w:cs="Times New Roman"/>
          <w:sz w:val="24"/>
          <w:szCs w:val="24"/>
        </w:rPr>
      </w:pPr>
      <w:r>
        <w:rPr>
          <w:rFonts w:ascii="Times New Roman" w:hAnsi="宋体" w:eastAsia="宋体" w:cs="Times New Roman"/>
          <w:sz w:val="24"/>
          <w:szCs w:val="24"/>
        </w:rPr>
        <w:t>201</w:t>
      </w:r>
      <w:r>
        <w:rPr>
          <w:rFonts w:hint="eastAsia" w:ascii="Times New Roman" w:hAnsi="宋体" w:eastAsia="宋体" w:cs="Times New Roman"/>
          <w:sz w:val="24"/>
          <w:szCs w:val="24"/>
        </w:rPr>
        <w:t>9年4月－</w:t>
      </w:r>
      <w:r>
        <w:rPr>
          <w:rFonts w:ascii="Times New Roman" w:hAnsi="宋体" w:eastAsia="宋体" w:cs="Times New Roman"/>
          <w:sz w:val="24"/>
          <w:szCs w:val="24"/>
        </w:rPr>
        <w:t>201</w:t>
      </w:r>
      <w:r>
        <w:rPr>
          <w:rFonts w:hint="eastAsia" w:ascii="Times New Roman" w:hAnsi="宋体" w:eastAsia="宋体" w:cs="Times New Roman"/>
          <w:sz w:val="24"/>
          <w:szCs w:val="24"/>
        </w:rPr>
        <w:t>9年5月</w:t>
      </w:r>
    </w:p>
    <w:p>
      <w:pPr>
        <w:spacing w:after="0" w:line="440" w:lineRule="exact"/>
        <w:rPr>
          <w:rFonts w:ascii="Times New Roman" w:hAnsi="宋体" w:eastAsia="宋体" w:cs="Times New Roman"/>
          <w:sz w:val="24"/>
          <w:szCs w:val="24"/>
        </w:rPr>
      </w:pPr>
      <w:r>
        <w:rPr>
          <w:rFonts w:hint="eastAsia" w:ascii="Times New Roman" w:hAnsi="宋体" w:eastAsia="宋体" w:cs="Times New Roman"/>
          <w:sz w:val="24"/>
          <w:szCs w:val="24"/>
        </w:rPr>
        <w:t xml:space="preserve">     将新的分析方法和样品发相关单位试用和验证和交流完善。</w:t>
      </w:r>
    </w:p>
    <w:p>
      <w:pPr>
        <w:spacing w:after="0" w:line="440" w:lineRule="exact"/>
        <w:rPr>
          <w:rFonts w:ascii="Times New Roman" w:hAnsi="宋体" w:eastAsia="宋体" w:cs="Times New Roman"/>
          <w:sz w:val="24"/>
          <w:szCs w:val="24"/>
        </w:rPr>
      </w:pPr>
      <w:r>
        <w:rPr>
          <w:rFonts w:ascii="Times New Roman" w:hAnsi="宋体" w:eastAsia="宋体" w:cs="Times New Roman"/>
          <w:sz w:val="24"/>
          <w:szCs w:val="24"/>
        </w:rPr>
        <w:t>201</w:t>
      </w:r>
      <w:r>
        <w:rPr>
          <w:rFonts w:hint="eastAsia" w:ascii="Times New Roman" w:hAnsi="宋体" w:eastAsia="宋体" w:cs="Times New Roman"/>
          <w:sz w:val="24"/>
          <w:szCs w:val="24"/>
        </w:rPr>
        <w:t>9年6月</w:t>
      </w:r>
    </w:p>
    <w:p>
      <w:pPr>
        <w:spacing w:after="0" w:line="440" w:lineRule="exact"/>
        <w:ind w:firstLine="480" w:firstLineChars="200"/>
        <w:rPr>
          <w:rFonts w:ascii="Times New Roman" w:cs="Times New Roman"/>
          <w:kern w:val="2"/>
        </w:rPr>
      </w:pPr>
      <w:r>
        <w:rPr>
          <w:rFonts w:hint="eastAsia" w:ascii="Times New Roman" w:hAnsi="宋体" w:eastAsia="宋体" w:cs="Times New Roman"/>
          <w:sz w:val="24"/>
          <w:szCs w:val="24"/>
        </w:rPr>
        <w:t>分析总结数据结果，对尚未完成和完善的工作进行补充研究</w:t>
      </w:r>
      <w:r>
        <w:rPr>
          <w:rFonts w:ascii="Times New Roman" w:hAnsi="宋体" w:eastAsia="宋体" w:cs="Times New Roman"/>
          <w:sz w:val="24"/>
          <w:szCs w:val="24"/>
        </w:rPr>
        <w:t>,提交送审稿。</w:t>
      </w:r>
      <w:r>
        <w:rPr>
          <w:rFonts w:hint="eastAsia" w:ascii="Times New Roman" w:hAnsi="宋体" w:eastAsia="宋体" w:cs="Times New Roman"/>
          <w:sz w:val="24"/>
          <w:szCs w:val="24"/>
        </w:rPr>
        <w:t xml:space="preserve"> </w:t>
      </w:r>
      <w:r>
        <w:rPr>
          <w:rFonts w:hint="eastAsia" w:ascii="Times New Roman" w:cs="Times New Roman"/>
          <w:kern w:val="2"/>
        </w:rPr>
        <w:t xml:space="preserve">2019年6月30日前，在预审会的基础上，对预审稿、编制说明、意见汇总处理表进行修改、调整，标准编制小组达成一致意见后形成送审稿并将相关资料（电子版）发送至稀土标委会秘书处。 </w:t>
      </w:r>
    </w:p>
    <w:p>
      <w:pPr>
        <w:pStyle w:val="11"/>
        <w:spacing w:after="240" w:line="440" w:lineRule="exact"/>
        <w:ind w:firstLine="480" w:firstLineChars="200"/>
        <w:rPr>
          <w:rFonts w:ascii="Times New Roman" w:cs="Times New Roman"/>
          <w:color w:val="auto"/>
          <w:kern w:val="2"/>
        </w:rPr>
      </w:pPr>
      <w:r>
        <w:rPr>
          <w:rFonts w:hint="eastAsia" w:ascii="Times New Roman" w:cs="Times New Roman"/>
          <w:color w:val="auto"/>
          <w:kern w:val="2"/>
        </w:rPr>
        <w:t>2019年7月31日前，稀土标委会负责将送审稿及编制说明挂网征求更广泛的意见，</w:t>
      </w:r>
      <w:r>
        <w:rPr>
          <w:rFonts w:hint="eastAsia" w:ascii="Times New Roman" w:hAnsi="宋体" w:cs="Times New Roman"/>
        </w:rPr>
        <w:t>完成计划的目标任务。</w:t>
      </w:r>
      <w:r>
        <w:rPr>
          <w:rFonts w:ascii="Times New Roman" w:hAnsi="宋体" w:cs="Times New Roman"/>
        </w:rPr>
        <w:t xml:space="preserve"> </w:t>
      </w:r>
      <w:r>
        <w:rPr>
          <w:rFonts w:hint="eastAsia" w:ascii="Times New Roman" w:hAnsi="宋体" w:cs="Times New Roman"/>
        </w:rPr>
        <w:t>系统编写研究总结报告，提交正式研究报告，</w:t>
      </w:r>
      <w:r>
        <w:rPr>
          <w:rFonts w:hint="eastAsia" w:ascii="Times New Roman" w:cs="Times New Roman"/>
          <w:color w:val="auto"/>
          <w:kern w:val="2"/>
        </w:rPr>
        <w:t>召开标准审定会，</w:t>
      </w:r>
      <w:r>
        <w:rPr>
          <w:rFonts w:hint="eastAsia" w:ascii="Times New Roman" w:hAnsi="宋体" w:cs="Times New Roman"/>
        </w:rPr>
        <w:t>进行专家评估验收。</w:t>
      </w:r>
    </w:p>
    <w:p>
      <w:pPr>
        <w:pStyle w:val="11"/>
        <w:spacing w:after="240" w:line="440" w:lineRule="exact"/>
        <w:ind w:firstLine="480" w:firstLineChars="200"/>
        <w:rPr>
          <w:rFonts w:ascii="Times New Roman" w:cs="Times New Roman"/>
          <w:color w:val="auto"/>
          <w:kern w:val="2"/>
        </w:rPr>
      </w:pPr>
      <w:r>
        <w:rPr>
          <w:rFonts w:hint="eastAsia" w:ascii="Times New Roman" w:cs="Times New Roman"/>
          <w:color w:val="auto"/>
          <w:kern w:val="2"/>
        </w:rPr>
        <w:t>4月15-17日在嘉兴召开了2019年项目论证暨第二次标准修订工作会，我们把项目的方案和报告做了汇报。前期，经过大量试验，我们发现，稀土的检测元素太多（14个共存元素），只用一个内标，难以解决高纯稀土的大量基体影响。如果同时采用基体匹配和内标校正，将大大提高其准确度。我们找到了中科院长春应用化学所段太成老师，提取了高纯的氧化铈，做了大量的条件试验，建立了准确的分析检测方法。</w:t>
      </w:r>
    </w:p>
    <w:p>
      <w:pPr>
        <w:pStyle w:val="11"/>
        <w:spacing w:after="240" w:line="440" w:lineRule="exact"/>
        <w:ind w:firstLine="480" w:firstLineChars="200"/>
        <w:rPr>
          <w:rFonts w:ascii="Times New Roman" w:cs="Times New Roman"/>
          <w:color w:val="auto"/>
          <w:kern w:val="2"/>
        </w:rPr>
      </w:pPr>
      <w:r>
        <w:rPr>
          <w:rFonts w:hint="eastAsia" w:ascii="Times New Roman" w:cs="Times New Roman"/>
          <w:color w:val="auto"/>
          <w:kern w:val="2"/>
        </w:rPr>
        <w:t>对当时建立的方法，讨论会上专家提出几个难于避免的问题，1.匹配的高纯稀土标准物质2.检测样品的含量太低。</w:t>
      </w:r>
    </w:p>
    <w:p>
      <w:pPr>
        <w:pStyle w:val="11"/>
        <w:spacing w:after="240" w:line="440" w:lineRule="exact"/>
        <w:ind w:firstLine="480" w:firstLineChars="200"/>
        <w:rPr>
          <w:rFonts w:ascii="Times New Roman" w:cs="Times New Roman"/>
          <w:color w:val="auto"/>
          <w:kern w:val="2"/>
        </w:rPr>
      </w:pPr>
      <w:r>
        <w:rPr>
          <w:rFonts w:hint="eastAsia" w:ascii="Times New Roman" w:cs="Times New Roman"/>
          <w:color w:val="auto"/>
          <w:kern w:val="2"/>
        </w:rPr>
        <w:t>我们当时已经做了基体匹配和无基体匹配的两种方法，只是看到，无基体匹配的方法准确的和精密度比不上基体匹配法。我们认真听取了专家们的意见，回去建立新的检测方案。</w:t>
      </w:r>
    </w:p>
    <w:p>
      <w:pPr>
        <w:pStyle w:val="11"/>
        <w:spacing w:after="240" w:line="440" w:lineRule="exact"/>
        <w:ind w:firstLine="480" w:firstLineChars="200"/>
        <w:rPr>
          <w:rFonts w:ascii="Times New Roman" w:cs="Times New Roman"/>
          <w:color w:val="auto"/>
          <w:kern w:val="2"/>
        </w:rPr>
      </w:pPr>
      <w:r>
        <w:rPr>
          <w:rFonts w:ascii="Times New Roman" w:cs="Times New Roman"/>
          <w:color w:val="auto"/>
          <w:kern w:val="2"/>
        </w:rPr>
        <w:fldChar w:fldCharType="begin"/>
      </w:r>
      <w:r>
        <w:rPr>
          <w:rFonts w:ascii="Times New Roman" w:cs="Times New Roman"/>
          <w:color w:val="auto"/>
          <w:kern w:val="2"/>
        </w:rPr>
        <w:instrText xml:space="preserve"> </w:instrText>
      </w:r>
      <w:r>
        <w:rPr>
          <w:rFonts w:hint="eastAsia" w:ascii="Times New Roman" w:cs="Times New Roman"/>
          <w:color w:val="auto"/>
          <w:kern w:val="2"/>
        </w:rPr>
        <w:instrText xml:space="preserve">= 1 \* GB3</w:instrText>
      </w:r>
      <w:r>
        <w:rPr>
          <w:rFonts w:ascii="Times New Roman" w:cs="Times New Roman"/>
          <w:color w:val="auto"/>
          <w:kern w:val="2"/>
        </w:rPr>
        <w:instrText xml:space="preserve"> </w:instrText>
      </w:r>
      <w:r>
        <w:rPr>
          <w:rFonts w:ascii="Times New Roman" w:cs="Times New Roman"/>
          <w:color w:val="auto"/>
          <w:kern w:val="2"/>
        </w:rPr>
        <w:fldChar w:fldCharType="separate"/>
      </w:r>
      <w:r>
        <w:rPr>
          <w:rFonts w:hint="eastAsia" w:ascii="Times New Roman" w:cs="Times New Roman"/>
          <w:color w:val="auto"/>
          <w:kern w:val="2"/>
        </w:rPr>
        <w:t>①</w:t>
      </w:r>
      <w:r>
        <w:rPr>
          <w:rFonts w:ascii="Times New Roman" w:cs="Times New Roman"/>
          <w:color w:val="auto"/>
          <w:kern w:val="2"/>
        </w:rPr>
        <w:fldChar w:fldCharType="end"/>
      </w:r>
      <w:r>
        <w:rPr>
          <w:rFonts w:ascii="Times New Roman" w:cs="Times New Roman"/>
          <w:color w:val="auto"/>
          <w:kern w:val="2"/>
        </w:rPr>
        <w:t>基体匹配问题</w:t>
      </w:r>
    </w:p>
    <w:p>
      <w:pPr>
        <w:pStyle w:val="11"/>
        <w:spacing w:after="240" w:line="440" w:lineRule="exact"/>
        <w:ind w:firstLine="480" w:firstLineChars="200"/>
        <w:rPr>
          <w:rFonts w:ascii="Times New Roman" w:cs="Times New Roman"/>
          <w:color w:val="auto"/>
          <w:kern w:val="2"/>
        </w:rPr>
      </w:pPr>
      <w:r>
        <w:rPr>
          <w:rFonts w:ascii="Times New Roman" w:cs="Times New Roman"/>
          <w:color w:val="auto"/>
          <w:kern w:val="2"/>
        </w:rPr>
        <w:t>讨论原来无基体匹配的方案，大家认真总结获得的数据，当时抛弃该方案，并不是该方案不行，而是该方案的数据不如基体匹配法，而放弃的。其准确度还是在</w:t>
      </w:r>
      <w:r>
        <w:rPr>
          <w:rFonts w:hint="eastAsia" w:ascii="Times New Roman" w:cs="Times New Roman"/>
          <w:color w:val="auto"/>
          <w:kern w:val="2"/>
        </w:rPr>
        <w:t>80-120之间。符合分析检测方法要求。我们再补充试验，完善方法。</w:t>
      </w:r>
    </w:p>
    <w:p>
      <w:pPr>
        <w:pStyle w:val="11"/>
        <w:spacing w:after="240" w:line="440" w:lineRule="exact"/>
        <w:ind w:firstLine="480" w:firstLineChars="200"/>
        <w:rPr>
          <w:rFonts w:ascii="Times New Roman" w:cs="Times New Roman"/>
          <w:color w:val="auto"/>
          <w:kern w:val="2"/>
        </w:rPr>
      </w:pPr>
      <w:r>
        <w:rPr>
          <w:rFonts w:ascii="Times New Roman" w:cs="Times New Roman"/>
          <w:color w:val="auto"/>
          <w:kern w:val="2"/>
        </w:rPr>
        <w:fldChar w:fldCharType="begin"/>
      </w:r>
      <w:r>
        <w:rPr>
          <w:rFonts w:ascii="Times New Roman" w:cs="Times New Roman"/>
          <w:color w:val="auto"/>
          <w:kern w:val="2"/>
        </w:rPr>
        <w:instrText xml:space="preserve"> </w:instrText>
      </w:r>
      <w:r>
        <w:rPr>
          <w:rFonts w:hint="eastAsia" w:ascii="Times New Roman" w:cs="Times New Roman"/>
          <w:color w:val="auto"/>
          <w:kern w:val="2"/>
        </w:rPr>
        <w:instrText xml:space="preserve">= 2 \* GB3</w:instrText>
      </w:r>
      <w:r>
        <w:rPr>
          <w:rFonts w:ascii="Times New Roman" w:cs="Times New Roman"/>
          <w:color w:val="auto"/>
          <w:kern w:val="2"/>
        </w:rPr>
        <w:instrText xml:space="preserve"> </w:instrText>
      </w:r>
      <w:r>
        <w:rPr>
          <w:rFonts w:ascii="Times New Roman" w:cs="Times New Roman"/>
          <w:color w:val="auto"/>
          <w:kern w:val="2"/>
        </w:rPr>
        <w:fldChar w:fldCharType="separate"/>
      </w:r>
      <w:r>
        <w:rPr>
          <w:rFonts w:hint="eastAsia" w:ascii="Times New Roman" w:cs="Times New Roman"/>
          <w:color w:val="auto"/>
          <w:kern w:val="2"/>
        </w:rPr>
        <w:t>②</w:t>
      </w:r>
      <w:r>
        <w:rPr>
          <w:rFonts w:ascii="Times New Roman" w:cs="Times New Roman"/>
          <w:color w:val="auto"/>
          <w:kern w:val="2"/>
        </w:rPr>
        <w:fldChar w:fldCharType="end"/>
      </w:r>
      <w:r>
        <w:rPr>
          <w:rFonts w:ascii="Times New Roman" w:cs="Times New Roman"/>
          <w:color w:val="auto"/>
          <w:kern w:val="2"/>
        </w:rPr>
        <w:t>样品问题</w:t>
      </w:r>
    </w:p>
    <w:p>
      <w:pPr>
        <w:pStyle w:val="11"/>
        <w:spacing w:after="240" w:line="440" w:lineRule="exact"/>
        <w:ind w:firstLine="720" w:firstLineChars="300"/>
        <w:rPr>
          <w:rFonts w:ascii="Times New Roman" w:cs="Times New Roman"/>
          <w:color w:val="auto"/>
          <w:kern w:val="2"/>
        </w:rPr>
      </w:pPr>
      <w:r>
        <w:rPr>
          <w:rFonts w:hint="eastAsia" w:ascii="Times New Roman" w:cs="Times New Roman"/>
          <w:color w:val="auto"/>
          <w:kern w:val="2"/>
        </w:rPr>
        <w:t>我们采用的是实际生产样品（赣州湛海工贸有限公司生产），具有现实意义。但需要扩展含量范围，我们考虑到，如果添加标准物质在实际样品中，就可以获得，理想的模拟实际样品。</w:t>
      </w:r>
    </w:p>
    <w:p>
      <w:pPr>
        <w:pStyle w:val="11"/>
        <w:spacing w:after="240" w:line="440" w:lineRule="exact"/>
        <w:ind w:firstLine="480" w:firstLineChars="200"/>
        <w:rPr>
          <w:rFonts w:ascii="Times New Roman" w:cs="Times New Roman"/>
          <w:color w:val="auto"/>
          <w:kern w:val="2"/>
        </w:rPr>
      </w:pPr>
      <w:r>
        <w:rPr>
          <w:rFonts w:ascii="Times New Roman" w:cs="Times New Roman"/>
          <w:color w:val="auto"/>
          <w:kern w:val="2"/>
        </w:rPr>
        <w:t>由此，我们总结已有的实验数据和经验，重新试验，建立了现在的分析检测方法。结果准确令人满意的。并得到了相关单位的验证。</w:t>
      </w:r>
    </w:p>
    <w:p>
      <w:pPr>
        <w:pStyle w:val="11"/>
        <w:spacing w:after="240" w:line="440" w:lineRule="exact"/>
        <w:ind w:firstLine="480" w:firstLineChars="200"/>
        <w:rPr>
          <w:rFonts w:ascii="Times New Roman" w:cs="Times New Roman"/>
          <w:color w:val="auto"/>
          <w:kern w:val="2"/>
        </w:rPr>
      </w:pPr>
      <w:r>
        <w:rPr>
          <w:rFonts w:hint="eastAsia" w:ascii="Times New Roman" w:cs="Times New Roman"/>
          <w:color w:val="auto"/>
          <w:kern w:val="2"/>
        </w:rPr>
        <w:t>具体工作，见研究报告。</w:t>
      </w:r>
    </w:p>
    <w:p>
      <w:pPr>
        <w:pStyle w:val="11"/>
        <w:spacing w:after="240" w:line="440" w:lineRule="exact"/>
        <w:ind w:firstLine="480" w:firstLineChars="200"/>
        <w:rPr>
          <w:rFonts w:ascii="Times New Roman" w:hAnsi="宋体" w:cs="Times New Roman"/>
        </w:rPr>
      </w:pPr>
      <w:r>
        <w:rPr>
          <w:rFonts w:hint="eastAsia" w:ascii="Times New Roman" w:hAnsi="宋体" w:cs="Times New Roman"/>
        </w:rPr>
        <w:t>注：</w:t>
      </w:r>
      <w:r>
        <w:rPr>
          <w:rFonts w:hint="eastAsia" w:ascii="Times New Roman" w:cs="Times New Roman"/>
          <w:color w:val="auto"/>
          <w:kern w:val="2"/>
        </w:rPr>
        <w:t>在做基体匹配方法时，发现随着仪器的进步和计算机的充分应用，只要有比检测物更高一些的基准物，可以用标准加入法制作标准曲线，利用仪器的数据处理工具，可以准确的检测样品。目前的标准条例不允许，但相关的检测人员可以去研究试验，实际应用效果真的非常好。我认为也许将来会用上的，现在的标准物质太少太难了。正如现在的计量认证，没有现行可用标准方法，可以提交实验室建立的检测方法备案、使用。</w:t>
      </w:r>
    </w:p>
    <w:p>
      <w:pPr>
        <w:pStyle w:val="11"/>
        <w:spacing w:after="240" w:line="440" w:lineRule="exact"/>
        <w:ind w:firstLine="480" w:firstLineChars="200"/>
        <w:rPr>
          <w:rFonts w:ascii="Times New Roman" w:cs="Times New Roman"/>
          <w:color w:val="auto"/>
          <w:kern w:val="2"/>
        </w:rPr>
      </w:pPr>
    </w:p>
    <w:p>
      <w:pPr>
        <w:pStyle w:val="2"/>
        <w:spacing w:before="0" w:after="0" w:line="276" w:lineRule="auto"/>
        <w:rPr>
          <w:sz w:val="32"/>
          <w:szCs w:val="32"/>
        </w:rPr>
      </w:pPr>
      <w:r>
        <w:rPr>
          <w:rFonts w:hint="eastAsia"/>
          <w:sz w:val="32"/>
          <w:szCs w:val="32"/>
        </w:rPr>
        <w:t>2编制原则与主要内容</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2.1  </w:t>
      </w:r>
      <w:r>
        <w:rPr>
          <w:rFonts w:hint="eastAsia" w:ascii="Times New Roman" w:hAnsi="宋体" w:eastAsia="宋体" w:cs="Times New Roman"/>
          <w:sz w:val="24"/>
          <w:szCs w:val="24"/>
        </w:rPr>
        <w:t>根据目前金属铈及其化合物的生产、应用、贸易要求和方法特点确定测定范围。</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2.2  </w:t>
      </w:r>
      <w:r>
        <w:rPr>
          <w:rFonts w:hint="eastAsia" w:ascii="Times New Roman" w:hAnsi="宋体" w:eastAsia="宋体" w:cs="Times New Roman"/>
          <w:sz w:val="24"/>
          <w:szCs w:val="24"/>
        </w:rPr>
        <w:t>根据任务落实会议纪要，确定方法检测的各要素。</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2.3  </w:t>
      </w:r>
      <w:r>
        <w:rPr>
          <w:rFonts w:hint="eastAsia" w:ascii="Times New Roman" w:hAnsi="宋体" w:eastAsia="宋体" w:cs="Times New Roman"/>
          <w:sz w:val="24"/>
          <w:szCs w:val="24"/>
        </w:rPr>
        <w:t>根据方法对不同稀土元素测定的灵敏度、信号稳定性素和各单位对统一样品的测得测得结果及反馈意见，最终确定方法的允许差。</w:t>
      </w:r>
    </w:p>
    <w:p>
      <w:pPr>
        <w:pStyle w:val="2"/>
        <w:spacing w:before="0" w:after="0" w:line="276" w:lineRule="auto"/>
        <w:rPr>
          <w:sz w:val="32"/>
          <w:szCs w:val="32"/>
        </w:rPr>
      </w:pPr>
      <w:r>
        <w:rPr>
          <w:rFonts w:hint="eastAsia"/>
          <w:sz w:val="32"/>
          <w:szCs w:val="32"/>
        </w:rPr>
        <w:t>3  标准主要技术内容</w:t>
      </w:r>
    </w:p>
    <w:p>
      <w:pPr>
        <w:adjustRightInd/>
        <w:snapToGrid/>
        <w:spacing w:after="0" w:line="440" w:lineRule="exact"/>
        <w:ind w:firstLine="480" w:firstLineChars="200"/>
        <w:rPr>
          <w:rFonts w:ascii="Times New Roman" w:hAnsi="宋体" w:eastAsia="宋体" w:cs="Times New Roman"/>
          <w:sz w:val="24"/>
          <w:szCs w:val="24"/>
        </w:rPr>
      </w:pPr>
      <w:r>
        <w:rPr>
          <w:rFonts w:hint="eastAsia" w:ascii="Times New Roman" w:hAnsi="宋体" w:eastAsia="宋体" w:cs="Times New Roman"/>
          <w:sz w:val="24"/>
          <w:szCs w:val="24"/>
        </w:rPr>
        <w:t>由于本项目为《稀土金属及其氧化物化学分析</w:t>
      </w:r>
      <w:r>
        <w:rPr>
          <w:rFonts w:ascii="Times New Roman" w:hAnsi="宋体" w:eastAsia="宋体" w:cs="Times New Roman"/>
          <w:sz w:val="24"/>
          <w:szCs w:val="24"/>
        </w:rPr>
        <w:t>方法</w:t>
      </w:r>
      <w:r>
        <w:rPr>
          <w:rFonts w:hint="eastAsia" w:ascii="Times New Roman" w:hAnsi="宋体" w:eastAsia="宋体" w:cs="Times New Roman"/>
          <w:sz w:val="24"/>
          <w:szCs w:val="24"/>
        </w:rPr>
        <w:t xml:space="preserve"> 第2部分 铈中稀土杂质含量的测定》 的修订任务。稀土元素之间的光谱和质谱干扰严重，现有分析方法只能通过专用色谱柱分离，艰难的完成检测，目前没有能够无需分离直接准确的检测高纯稀土铈金属及其氧化物中稀土杂质的分析方法。本标准的修改，就是保留和改进原来的技术，并将</w:t>
      </w:r>
      <w:r>
        <w:rPr>
          <w:rFonts w:ascii="Times New Roman" w:hAnsi="宋体" w:eastAsia="宋体" w:cs="Times New Roman"/>
          <w:sz w:val="24"/>
          <w:szCs w:val="24"/>
        </w:rPr>
        <w:t>ICP-MS-MS</w:t>
      </w:r>
      <w:r>
        <w:rPr>
          <w:rFonts w:hint="eastAsia" w:ascii="Times New Roman" w:hAnsi="宋体" w:eastAsia="宋体" w:cs="Times New Roman"/>
          <w:sz w:val="24"/>
          <w:szCs w:val="24"/>
        </w:rPr>
        <w:t>这项新技术应用于稀土分析检测，建立方法3,并总结十来年该标准使用的经验，改进分析技术，完善并建立新的标准检测方法,解决高纯铈稀土中痕量稀土杂质元素的分析这个难题。</w:t>
      </w:r>
    </w:p>
    <w:p>
      <w:pPr>
        <w:spacing w:before="120" w:line="360" w:lineRule="auto"/>
        <w:ind w:firstLine="570"/>
        <w:rPr>
          <w:rFonts w:ascii="Times New Roman" w:hAnsi="宋体" w:eastAsia="宋体" w:cs="Times New Roman"/>
          <w:sz w:val="24"/>
          <w:szCs w:val="24"/>
        </w:rPr>
      </w:pPr>
      <w:r>
        <w:rPr>
          <w:rFonts w:hint="eastAsia" w:ascii="Times New Roman" w:hAnsi="宋体" w:eastAsia="宋体" w:cs="Times New Roman"/>
          <w:sz w:val="24"/>
          <w:szCs w:val="24"/>
        </w:rPr>
        <w:t>方法</w:t>
      </w:r>
      <w:r>
        <w:rPr>
          <w:rFonts w:ascii="Times New Roman" w:hAnsi="宋体" w:eastAsia="宋体" w:cs="Times New Roman"/>
          <w:sz w:val="24"/>
          <w:szCs w:val="24"/>
        </w:rPr>
        <w:t>3</w:t>
      </w:r>
      <w:r>
        <w:rPr>
          <w:rFonts w:hint="eastAsia" w:ascii="Times New Roman" w:hAnsi="宋体" w:eastAsia="宋体" w:cs="Times New Roman"/>
          <w:sz w:val="24"/>
          <w:szCs w:val="24"/>
        </w:rPr>
        <w:t>通过实验条件考察高纯单一稀土元素对待测元素的影响，选择好仪器的双级</w:t>
      </w:r>
      <w:r>
        <w:rPr>
          <w:rFonts w:ascii="Times New Roman" w:hAnsi="宋体" w:eastAsia="宋体" w:cs="Times New Roman"/>
          <w:sz w:val="24"/>
          <w:szCs w:val="24"/>
        </w:rPr>
        <w:t>Q1</w:t>
      </w:r>
      <w:r>
        <w:rPr>
          <w:rFonts w:hint="eastAsia" w:ascii="Times New Roman" w:hAnsi="宋体" w:eastAsia="宋体" w:cs="Times New Roman"/>
          <w:sz w:val="24"/>
          <w:szCs w:val="24"/>
        </w:rPr>
        <w:t>、</w:t>
      </w:r>
      <w:r>
        <w:rPr>
          <w:rFonts w:ascii="Times New Roman" w:hAnsi="宋体" w:eastAsia="宋体" w:cs="Times New Roman"/>
          <w:sz w:val="24"/>
          <w:szCs w:val="24"/>
        </w:rPr>
        <w:t>Q2</w:t>
      </w:r>
      <w:r>
        <w:rPr>
          <w:rFonts w:hint="eastAsia" w:ascii="Times New Roman" w:hAnsi="宋体" w:eastAsia="宋体" w:cs="Times New Roman"/>
          <w:sz w:val="24"/>
          <w:szCs w:val="24"/>
        </w:rPr>
        <w:t>的质量数，碰撞反应室气体，得出测定的优化参数，建立无需分离直接测定的方法。建立了单一高纯稀土中其它稀土元素不需分离直接测定的方法。</w:t>
      </w:r>
    </w:p>
    <w:p>
      <w:pPr>
        <w:adjustRightInd/>
        <w:snapToGrid/>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3.1  </w:t>
      </w:r>
      <w:r>
        <w:rPr>
          <w:rFonts w:hint="eastAsia" w:ascii="Times New Roman" w:hAnsi="宋体" w:eastAsia="宋体" w:cs="Times New Roman"/>
          <w:sz w:val="24"/>
          <w:szCs w:val="24"/>
        </w:rPr>
        <w:t>实验部分</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3.1.1  </w:t>
      </w:r>
      <w:r>
        <w:rPr>
          <w:rFonts w:hint="eastAsia" w:ascii="Times New Roman" w:hAnsi="宋体" w:eastAsia="宋体" w:cs="Times New Roman"/>
          <w:sz w:val="24"/>
          <w:szCs w:val="24"/>
        </w:rPr>
        <w:t>测定范围</w:t>
      </w:r>
    </w:p>
    <w:p>
      <w:pPr>
        <w:spacing w:after="0"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稀土元素测定范围为</w:t>
      </w:r>
      <w:r>
        <w:rPr>
          <w:rFonts w:hint="eastAsia" w:ascii="Times New Roman" w:hAnsi="Times New Roman" w:eastAsia="宋体" w:cs="Times New Roman"/>
          <w:sz w:val="24"/>
          <w:szCs w:val="24"/>
        </w:rPr>
        <w:t>0.00002%-0.020%</w:t>
      </w:r>
      <w:r>
        <w:rPr>
          <w:rFonts w:hint="eastAsia" w:ascii="Times New Roman" w:hAnsi="宋体" w:eastAsia="宋体" w:cs="Times New Roman"/>
          <w:sz w:val="24"/>
          <w:szCs w:val="24"/>
        </w:rPr>
        <w:t>。</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3.1.2  </w:t>
      </w:r>
      <w:r>
        <w:rPr>
          <w:rFonts w:hint="eastAsia" w:ascii="Times New Roman" w:hAnsi="宋体" w:eastAsia="宋体" w:cs="Times New Roman"/>
          <w:sz w:val="24"/>
          <w:szCs w:val="24"/>
        </w:rPr>
        <w:t>方法原理</w:t>
      </w:r>
    </w:p>
    <w:p>
      <w:pPr>
        <w:spacing w:after="0" w:line="440" w:lineRule="exact"/>
        <w:ind w:firstLine="465"/>
        <w:rPr>
          <w:rFonts w:ascii="Times New Roman" w:hAnsi="Times New Roman" w:eastAsia="宋体" w:cs="Times New Roman"/>
          <w:sz w:val="24"/>
          <w:szCs w:val="24"/>
        </w:rPr>
      </w:pPr>
      <w:r>
        <w:rPr>
          <w:rFonts w:hint="eastAsia" w:ascii="Times New Roman" w:hAnsi="宋体" w:eastAsia="宋体" w:cs="Times New Roman"/>
          <w:sz w:val="24"/>
          <w:szCs w:val="24"/>
        </w:rPr>
        <w:t>由于该方法中铈基体对镨、钆和铽的测定存在质谱干扰，难以消除。应用串联质谱</w:t>
      </w:r>
      <w:r>
        <w:rPr>
          <w:rFonts w:ascii="Times New Roman" w:hAnsi="宋体" w:eastAsia="宋体" w:cs="Times New Roman"/>
          <w:sz w:val="24"/>
          <w:szCs w:val="24"/>
        </w:rPr>
        <w:t>ICP-MS-MS的高选择性和分辨率，</w:t>
      </w:r>
      <w:r>
        <w:rPr>
          <w:rFonts w:hint="eastAsia" w:ascii="Times New Roman" w:hAnsi="宋体" w:eastAsia="宋体" w:cs="Times New Roman"/>
          <w:sz w:val="24"/>
          <w:szCs w:val="24"/>
        </w:rPr>
        <w:t>选择好仪器的双级</w:t>
      </w:r>
      <w:r>
        <w:rPr>
          <w:rFonts w:ascii="Times New Roman" w:hAnsi="宋体" w:eastAsia="宋体" w:cs="Times New Roman"/>
          <w:sz w:val="24"/>
          <w:szCs w:val="24"/>
        </w:rPr>
        <w:t>Q1</w:t>
      </w:r>
      <w:r>
        <w:rPr>
          <w:rFonts w:hint="eastAsia" w:ascii="Times New Roman" w:hAnsi="宋体" w:eastAsia="宋体" w:cs="Times New Roman"/>
          <w:sz w:val="24"/>
          <w:szCs w:val="24"/>
        </w:rPr>
        <w:t>、</w:t>
      </w:r>
      <w:r>
        <w:rPr>
          <w:rFonts w:ascii="Times New Roman" w:hAnsi="宋体" w:eastAsia="宋体" w:cs="Times New Roman"/>
          <w:sz w:val="24"/>
          <w:szCs w:val="24"/>
        </w:rPr>
        <w:t>Q2</w:t>
      </w:r>
      <w:r>
        <w:rPr>
          <w:rFonts w:hint="eastAsia" w:ascii="Times New Roman" w:hAnsi="宋体" w:eastAsia="宋体" w:cs="Times New Roman"/>
          <w:sz w:val="24"/>
          <w:szCs w:val="24"/>
        </w:rPr>
        <w:t xml:space="preserve">的质量数和碰撞反应室气体，得出测定的优化参数，消除基体铈对稀土元素的测定影响，建立无需分离直接准确测定的方法。 </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3.1.3</w:t>
      </w:r>
      <w:r>
        <w:rPr>
          <w:rFonts w:hint="eastAsia" w:ascii="Times New Roman" w:hAnsi="宋体" w:eastAsia="宋体" w:cs="Times New Roman"/>
          <w:sz w:val="24"/>
          <w:szCs w:val="24"/>
        </w:rPr>
        <w:t>试剂和材料</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3.1.4</w:t>
      </w:r>
      <w:r>
        <w:rPr>
          <w:rFonts w:hint="eastAsia" w:ascii="Times New Roman" w:hAnsi="宋体" w:eastAsia="宋体" w:cs="Times New Roman"/>
          <w:sz w:val="24"/>
          <w:szCs w:val="24"/>
        </w:rPr>
        <w:t>仪器</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3.1.5</w:t>
      </w:r>
      <w:r>
        <w:rPr>
          <w:rFonts w:hint="eastAsia" w:ascii="Times New Roman" w:hAnsi="宋体" w:eastAsia="宋体" w:cs="Times New Roman"/>
          <w:sz w:val="24"/>
          <w:szCs w:val="24"/>
        </w:rPr>
        <w:t>试样</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3.1.6</w:t>
      </w:r>
      <w:r>
        <w:rPr>
          <w:rFonts w:hint="eastAsia" w:ascii="Times New Roman" w:hAnsi="宋体" w:eastAsia="宋体" w:cs="Times New Roman"/>
          <w:sz w:val="24"/>
          <w:szCs w:val="24"/>
        </w:rPr>
        <w:t>分析步骤</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3.1.7</w:t>
      </w:r>
      <w:r>
        <w:rPr>
          <w:rFonts w:hint="eastAsia" w:ascii="Times New Roman" w:hAnsi="宋体" w:eastAsia="宋体" w:cs="Times New Roman"/>
          <w:sz w:val="24"/>
          <w:szCs w:val="24"/>
        </w:rPr>
        <w:t>分析结果的计算与表述</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3.2</w:t>
      </w:r>
      <w:r>
        <w:rPr>
          <w:rFonts w:hint="eastAsia" w:ascii="Times New Roman" w:hAnsi="宋体" w:eastAsia="宋体" w:cs="Times New Roman"/>
          <w:sz w:val="24"/>
          <w:szCs w:val="24"/>
        </w:rPr>
        <w:t>条件实验的选择</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3.2.1</w:t>
      </w:r>
      <w:r>
        <w:rPr>
          <w:rFonts w:hint="eastAsia" w:ascii="Times New Roman" w:hAnsi="宋体" w:eastAsia="宋体" w:cs="Times New Roman"/>
          <w:sz w:val="24"/>
          <w:szCs w:val="24"/>
        </w:rPr>
        <w:t>测定酸度条件实验</w:t>
      </w:r>
      <w:r>
        <w:rPr>
          <w:rFonts w:hint="eastAsia" w:ascii="Times New Roman" w:hAnsi="Times New Roman" w:eastAsia="宋体" w:cs="Times New Roman"/>
          <w:sz w:val="24"/>
          <w:szCs w:val="24"/>
        </w:rPr>
        <w:t xml:space="preserve"> </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3.2.2 </w:t>
      </w:r>
      <w:r>
        <w:rPr>
          <w:rFonts w:hint="eastAsia" w:ascii="Times New Roman" w:hAnsi="宋体" w:eastAsia="宋体" w:cs="Times New Roman"/>
          <w:sz w:val="24"/>
          <w:szCs w:val="24"/>
        </w:rPr>
        <w:t>加标回收率</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3.2.3</w:t>
      </w:r>
      <w:r>
        <w:rPr>
          <w:rFonts w:hint="eastAsia" w:ascii="Times New Roman" w:hAnsi="宋体" w:eastAsia="宋体" w:cs="Times New Roman"/>
          <w:sz w:val="24"/>
          <w:szCs w:val="24"/>
        </w:rPr>
        <w:t>检出限及方法测定下限</w:t>
      </w:r>
    </w:p>
    <w:p>
      <w:pPr>
        <w:spacing w:after="0"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3.2.4</w:t>
      </w:r>
      <w:r>
        <w:rPr>
          <w:rFonts w:hint="eastAsia" w:ascii="Times New Roman" w:hAnsi="宋体" w:eastAsia="宋体" w:cs="Times New Roman"/>
          <w:sz w:val="24"/>
          <w:szCs w:val="24"/>
        </w:rPr>
        <w:t>方法精密度</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3.3</w:t>
      </w:r>
      <w:r>
        <w:rPr>
          <w:rFonts w:hint="eastAsia" w:ascii="Times New Roman" w:hAnsi="宋体" w:eastAsia="宋体" w:cs="Times New Roman"/>
          <w:sz w:val="24"/>
          <w:szCs w:val="24"/>
        </w:rPr>
        <w:t>结论</w:t>
      </w:r>
    </w:p>
    <w:p>
      <w:pPr>
        <w:pStyle w:val="2"/>
        <w:spacing w:before="0" w:after="0" w:line="276" w:lineRule="auto"/>
        <w:rPr>
          <w:sz w:val="32"/>
          <w:szCs w:val="32"/>
        </w:rPr>
      </w:pPr>
      <w:r>
        <w:rPr>
          <w:rFonts w:hint="eastAsia"/>
          <w:sz w:val="32"/>
          <w:szCs w:val="32"/>
        </w:rPr>
        <w:t>4 意见汇总</w:t>
      </w:r>
    </w:p>
    <w:p>
      <w:pPr>
        <w:spacing w:after="0" w:line="440" w:lineRule="exact"/>
        <w:ind w:firstLine="480" w:firstLineChars="200"/>
        <w:rPr>
          <w:rFonts w:ascii="Times New Roman" w:hAnsi="Times New Roman" w:eastAsia="宋体" w:cs="Times New Roman"/>
          <w:sz w:val="24"/>
          <w:szCs w:val="24"/>
        </w:rPr>
      </w:pPr>
      <w:r>
        <w:rPr>
          <w:rFonts w:ascii="Times New Roman" w:hAnsi="宋体" w:eastAsia="宋体" w:cs="Times New Roman"/>
          <w:sz w:val="24"/>
          <w:szCs w:val="24"/>
        </w:rPr>
        <w:t>验证结果表明，</w:t>
      </w:r>
      <w:r>
        <w:rPr>
          <w:rFonts w:hint="eastAsia" w:ascii="Times New Roman" w:hAnsi="宋体" w:eastAsia="宋体" w:cs="Times New Roman"/>
          <w:sz w:val="24"/>
          <w:szCs w:val="24"/>
        </w:rPr>
        <w:t>各验证单位结论</w:t>
      </w:r>
      <w:r>
        <w:rPr>
          <w:rFonts w:ascii="Times New Roman" w:hAnsi="宋体" w:eastAsia="宋体" w:cs="Times New Roman"/>
          <w:sz w:val="24"/>
          <w:szCs w:val="24"/>
        </w:rPr>
        <w:t>与</w:t>
      </w:r>
      <w:r>
        <w:rPr>
          <w:rFonts w:hint="eastAsia" w:ascii="Times New Roman" w:hAnsi="宋体" w:eastAsia="宋体" w:cs="Times New Roman"/>
          <w:sz w:val="24"/>
          <w:szCs w:val="24"/>
        </w:rPr>
        <w:t>研究</w:t>
      </w:r>
      <w:r>
        <w:rPr>
          <w:rFonts w:ascii="Times New Roman" w:hAnsi="宋体" w:eastAsia="宋体" w:cs="Times New Roman"/>
          <w:sz w:val="24"/>
          <w:szCs w:val="24"/>
        </w:rPr>
        <w:t>报告</w:t>
      </w:r>
      <w:r>
        <w:rPr>
          <w:rFonts w:hint="eastAsia" w:ascii="Times New Roman" w:hAnsi="宋体" w:eastAsia="宋体" w:cs="Times New Roman"/>
          <w:sz w:val="24"/>
          <w:szCs w:val="24"/>
        </w:rPr>
        <w:t>基本</w:t>
      </w:r>
      <w:r>
        <w:rPr>
          <w:rFonts w:ascii="Times New Roman" w:hAnsi="宋体" w:eastAsia="宋体" w:cs="Times New Roman"/>
          <w:sz w:val="24"/>
          <w:szCs w:val="24"/>
        </w:rPr>
        <w:t>一致，</w:t>
      </w:r>
      <w:r>
        <w:rPr>
          <w:rFonts w:hint="eastAsia" w:ascii="Times New Roman" w:hAnsi="宋体" w:eastAsia="宋体" w:cs="Times New Roman"/>
          <w:sz w:val="24"/>
          <w:szCs w:val="24"/>
        </w:rPr>
        <w:t>修改意见及</w:t>
      </w:r>
      <w:r>
        <w:rPr>
          <w:rFonts w:ascii="Times New Roman" w:hAnsi="宋体" w:eastAsia="宋体" w:cs="Times New Roman"/>
          <w:sz w:val="24"/>
          <w:szCs w:val="24"/>
        </w:rPr>
        <w:t>采纳情况</w:t>
      </w:r>
      <w:r>
        <w:rPr>
          <w:rFonts w:hint="eastAsia" w:ascii="Times New Roman" w:hAnsi="宋体" w:eastAsia="宋体" w:cs="Times New Roman"/>
          <w:sz w:val="24"/>
          <w:szCs w:val="24"/>
        </w:rPr>
        <w:t>见下</w:t>
      </w:r>
      <w:r>
        <w:rPr>
          <w:rFonts w:ascii="Times New Roman" w:hAnsi="宋体" w:eastAsia="宋体" w:cs="Times New Roman"/>
          <w:sz w:val="24"/>
          <w:szCs w:val="24"/>
        </w:rPr>
        <w:t>表。</w:t>
      </w:r>
    </w:p>
    <w:tbl>
      <w:tblPr>
        <w:tblStyle w:val="5"/>
        <w:tblW w:w="861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275"/>
        <w:gridCol w:w="3116"/>
        <w:gridCol w:w="1418"/>
        <w:gridCol w:w="1133"/>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531" w:type="dxa"/>
            <w:tcBorders>
              <w:top w:val="single" w:color="auto" w:sz="12" w:space="0"/>
              <w:bottom w:val="single" w:color="auto" w:sz="12" w:space="0"/>
            </w:tcBorders>
            <w:vAlign w:val="center"/>
          </w:tcPr>
          <w:p>
            <w:pPr>
              <w:spacing w:after="0" w:line="276" w:lineRule="auto"/>
              <w:jc w:val="center"/>
              <w:rPr>
                <w:rFonts w:ascii="Times New Roman" w:hAnsi="Times New Roman" w:eastAsia="宋体"/>
                <w:sz w:val="21"/>
                <w:szCs w:val="24"/>
              </w:rPr>
            </w:pPr>
            <w:r>
              <w:rPr>
                <w:rFonts w:hint="eastAsia" w:ascii="Times New Roman" w:hAnsi="Times New Roman" w:eastAsia="宋体"/>
                <w:sz w:val="21"/>
                <w:szCs w:val="24"/>
              </w:rPr>
              <w:t>序号</w:t>
            </w:r>
          </w:p>
        </w:tc>
        <w:tc>
          <w:tcPr>
            <w:tcW w:w="1275" w:type="dxa"/>
            <w:tcBorders>
              <w:top w:val="single" w:color="auto" w:sz="12" w:space="0"/>
              <w:bottom w:val="single" w:color="auto" w:sz="12" w:space="0"/>
            </w:tcBorders>
            <w:vAlign w:val="center"/>
          </w:tcPr>
          <w:p>
            <w:pPr>
              <w:spacing w:after="0" w:line="276" w:lineRule="auto"/>
              <w:jc w:val="center"/>
              <w:rPr>
                <w:rFonts w:ascii="Times New Roman" w:hAnsi="Times New Roman" w:eastAsia="宋体"/>
                <w:sz w:val="21"/>
                <w:szCs w:val="24"/>
              </w:rPr>
            </w:pPr>
            <w:r>
              <w:rPr>
                <w:rFonts w:hint="eastAsia" w:ascii="Times New Roman" w:hAnsi="Times New Roman" w:eastAsia="宋体"/>
                <w:sz w:val="21"/>
                <w:szCs w:val="24"/>
              </w:rPr>
              <w:t>标准章条编号</w:t>
            </w:r>
          </w:p>
        </w:tc>
        <w:tc>
          <w:tcPr>
            <w:tcW w:w="3116" w:type="dxa"/>
            <w:tcBorders>
              <w:top w:val="single" w:color="auto" w:sz="12" w:space="0"/>
              <w:bottom w:val="single" w:color="auto" w:sz="12" w:space="0"/>
            </w:tcBorders>
            <w:vAlign w:val="center"/>
          </w:tcPr>
          <w:p>
            <w:pPr>
              <w:spacing w:after="0" w:line="276" w:lineRule="auto"/>
              <w:jc w:val="center"/>
              <w:rPr>
                <w:rFonts w:ascii="Times New Roman" w:hAnsi="Times New Roman" w:eastAsia="宋体"/>
                <w:sz w:val="21"/>
                <w:szCs w:val="24"/>
              </w:rPr>
            </w:pPr>
            <w:r>
              <w:rPr>
                <w:rFonts w:hint="eastAsia" w:ascii="Times New Roman" w:hAnsi="Times New Roman" w:eastAsia="宋体"/>
                <w:sz w:val="21"/>
                <w:szCs w:val="24"/>
              </w:rPr>
              <w:t>意见内容</w:t>
            </w:r>
          </w:p>
        </w:tc>
        <w:tc>
          <w:tcPr>
            <w:tcW w:w="1418" w:type="dxa"/>
            <w:tcBorders>
              <w:top w:val="single" w:color="auto" w:sz="12" w:space="0"/>
              <w:bottom w:val="single" w:color="auto" w:sz="12" w:space="0"/>
            </w:tcBorders>
            <w:vAlign w:val="center"/>
          </w:tcPr>
          <w:p>
            <w:pPr>
              <w:spacing w:after="0" w:line="276" w:lineRule="auto"/>
              <w:jc w:val="center"/>
              <w:rPr>
                <w:rFonts w:ascii="Times New Roman" w:hAnsi="Times New Roman" w:eastAsia="宋体"/>
                <w:sz w:val="21"/>
                <w:szCs w:val="24"/>
              </w:rPr>
            </w:pPr>
            <w:r>
              <w:rPr>
                <w:rFonts w:hint="eastAsia" w:ascii="Times New Roman" w:hAnsi="Times New Roman" w:eastAsia="宋体"/>
                <w:sz w:val="21"/>
                <w:szCs w:val="24"/>
              </w:rPr>
              <w:t>提出单位</w:t>
            </w:r>
          </w:p>
        </w:tc>
        <w:tc>
          <w:tcPr>
            <w:tcW w:w="1133" w:type="dxa"/>
            <w:tcBorders>
              <w:top w:val="single" w:color="auto" w:sz="12" w:space="0"/>
              <w:bottom w:val="single" w:color="auto" w:sz="12" w:space="0"/>
            </w:tcBorders>
            <w:vAlign w:val="center"/>
          </w:tcPr>
          <w:p>
            <w:pPr>
              <w:spacing w:after="0" w:line="276" w:lineRule="auto"/>
              <w:jc w:val="center"/>
              <w:rPr>
                <w:rFonts w:ascii="Times New Roman" w:hAnsi="Times New Roman" w:eastAsia="宋体"/>
                <w:sz w:val="21"/>
                <w:szCs w:val="24"/>
              </w:rPr>
            </w:pPr>
            <w:r>
              <w:rPr>
                <w:rFonts w:hint="eastAsia" w:ascii="Times New Roman" w:hAnsi="Times New Roman" w:eastAsia="宋体"/>
                <w:sz w:val="21"/>
                <w:szCs w:val="24"/>
              </w:rPr>
              <w:t>处理</w:t>
            </w:r>
          </w:p>
          <w:p>
            <w:pPr>
              <w:spacing w:after="0" w:line="276" w:lineRule="auto"/>
              <w:jc w:val="center"/>
              <w:rPr>
                <w:rFonts w:ascii="Times New Roman" w:hAnsi="Times New Roman" w:eastAsia="宋体"/>
                <w:sz w:val="21"/>
                <w:szCs w:val="24"/>
              </w:rPr>
            </w:pPr>
            <w:r>
              <w:rPr>
                <w:rFonts w:hint="eastAsia" w:ascii="Times New Roman" w:hAnsi="Times New Roman" w:eastAsia="宋体"/>
                <w:sz w:val="21"/>
                <w:szCs w:val="24"/>
              </w:rPr>
              <w:t>意见</w:t>
            </w:r>
          </w:p>
        </w:tc>
        <w:tc>
          <w:tcPr>
            <w:tcW w:w="1139" w:type="dxa"/>
            <w:tcBorders>
              <w:top w:val="single" w:color="auto" w:sz="12" w:space="0"/>
              <w:bottom w:val="single" w:color="auto" w:sz="12" w:space="0"/>
            </w:tcBorders>
            <w:vAlign w:val="center"/>
          </w:tcPr>
          <w:p>
            <w:pPr>
              <w:spacing w:after="0" w:line="276" w:lineRule="auto"/>
              <w:jc w:val="center"/>
              <w:rPr>
                <w:rFonts w:ascii="Times New Roman" w:hAnsi="Times New Roman" w:eastAsia="宋体"/>
                <w:sz w:val="21"/>
                <w:szCs w:val="24"/>
              </w:rPr>
            </w:pPr>
            <w:r>
              <w:rPr>
                <w:rFonts w:hint="eastAsia" w:ascii="Times New Roman" w:hAnsi="Times New Roman" w:eastAsia="宋体"/>
                <w:sz w:val="21"/>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1</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全文</w:t>
            </w:r>
          </w:p>
        </w:tc>
        <w:tc>
          <w:tcPr>
            <w:tcW w:w="3116" w:type="dxa"/>
            <w:vAlign w:val="center"/>
          </w:tcPr>
          <w:p>
            <w:pPr>
              <w:adjustRightInd/>
              <w:snapToGrid/>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对全文格式按要求统一整理</w:t>
            </w:r>
          </w:p>
        </w:tc>
        <w:tc>
          <w:tcPr>
            <w:tcW w:w="1418" w:type="dxa"/>
            <w:vMerge w:val="restart"/>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国家钨与稀土质检中心</w:t>
            </w:r>
          </w:p>
        </w:tc>
        <w:tc>
          <w:tcPr>
            <w:tcW w:w="1133" w:type="dxa"/>
            <w:vAlign w:val="center"/>
          </w:tcPr>
          <w:p>
            <w:pPr>
              <w:spacing w:after="0" w:line="276" w:lineRule="auto"/>
              <w:ind w:firstLine="210" w:firstLineChars="100"/>
              <w:rPr>
                <w:rFonts w:hint="eastAsia" w:ascii="Times New Roman" w:hAnsi="Times New Roman" w:eastAsia="宋体"/>
                <w:sz w:val="21"/>
                <w:szCs w:val="24"/>
              </w:rPr>
            </w:pPr>
            <w:r>
              <w:rPr>
                <w:rFonts w:hint="eastAsia" w:ascii="Times New Roman" w:hAnsi="Times New Roman" w:eastAsia="宋体"/>
                <w:sz w:val="21"/>
                <w:szCs w:val="24"/>
              </w:rPr>
              <w:t>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2</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 xml:space="preserve">2 </w:t>
            </w:r>
          </w:p>
        </w:tc>
        <w:tc>
          <w:tcPr>
            <w:tcW w:w="3116" w:type="dxa"/>
            <w:vAlign w:val="center"/>
          </w:tcPr>
          <w:p>
            <w:pPr>
              <w:adjustRightInd/>
              <w:snapToGrid/>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建议简单明了</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不采纳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3</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5.1</w:t>
            </w:r>
          </w:p>
        </w:tc>
        <w:tc>
          <w:tcPr>
            <w:tcW w:w="3116" w:type="dxa"/>
            <w:vAlign w:val="center"/>
          </w:tcPr>
          <w:p>
            <w:pPr>
              <w:adjustRightInd/>
              <w:snapToGrid/>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氧化物的前处理方式为烘干</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不采纳</w:t>
            </w:r>
          </w:p>
        </w:tc>
        <w:tc>
          <w:tcPr>
            <w:tcW w:w="1139" w:type="dxa"/>
            <w:vAlign w:val="center"/>
          </w:tcPr>
          <w:p>
            <w:pPr>
              <w:spacing w:after="0" w:line="276" w:lineRule="auto"/>
              <w:rPr>
                <w:rFonts w:ascii="Times New Roman" w:hAnsi="Times New Roman" w:eastAsia="宋体"/>
                <w:sz w:val="21"/>
                <w:szCs w:val="24"/>
              </w:rPr>
            </w:pPr>
            <w:r>
              <w:rPr>
                <w:rFonts w:ascii="Times New Roman" w:hAnsi="Times New Roman" w:eastAsia="宋体"/>
                <w:sz w:val="21"/>
                <w:szCs w:val="24"/>
              </w:rPr>
              <w:t>与其他测定方法一致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4</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6.6.1</w:t>
            </w:r>
          </w:p>
        </w:tc>
        <w:tc>
          <w:tcPr>
            <w:tcW w:w="3116" w:type="dxa"/>
            <w:vAlign w:val="center"/>
          </w:tcPr>
          <w:p>
            <w:pPr>
              <w:adjustRightInd/>
              <w:snapToGrid/>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建议6.6.1和6.6.2合并描述</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5</w:t>
            </w:r>
          </w:p>
        </w:tc>
        <w:tc>
          <w:tcPr>
            <w:tcW w:w="1275" w:type="dxa"/>
            <w:vAlign w:val="center"/>
          </w:tcPr>
          <w:p>
            <w:pPr>
              <w:spacing w:after="0" w:line="276" w:lineRule="auto"/>
              <w:jc w:val="center"/>
              <w:rPr>
                <w:rFonts w:hint="eastAsia" w:ascii="黑体" w:hAnsi="黑体" w:eastAsia="黑体"/>
                <w:szCs w:val="21"/>
              </w:rPr>
            </w:pPr>
            <w:r>
              <w:rPr>
                <w:rFonts w:hint="eastAsia" w:ascii="Times New Roman" w:hAnsi="Times New Roman" w:eastAsia="宋体"/>
                <w:sz w:val="21"/>
                <w:szCs w:val="24"/>
              </w:rPr>
              <w:t>3</w:t>
            </w:r>
            <w:r>
              <w:rPr>
                <w:rFonts w:ascii="Times New Roman" w:hAnsi="Times New Roman" w:eastAsia="宋体"/>
                <w:sz w:val="21"/>
                <w:szCs w:val="24"/>
              </w:rPr>
              <w:t>.1</w:t>
            </w:r>
            <w:r>
              <w:rPr>
                <w:rFonts w:hint="eastAsia" w:ascii="Times New Roman" w:hAnsi="Times New Roman" w:eastAsia="宋体"/>
                <w:sz w:val="21"/>
                <w:szCs w:val="24"/>
              </w:rPr>
              <w:t xml:space="preserve">  </w:t>
            </w:r>
          </w:p>
        </w:tc>
        <w:tc>
          <w:tcPr>
            <w:tcW w:w="3116" w:type="dxa"/>
            <w:vAlign w:val="center"/>
          </w:tcPr>
          <w:p>
            <w:pPr>
              <w:adjustRightInd/>
              <w:snapToGrid/>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标准</w:t>
            </w:r>
            <w:r>
              <w:rPr>
                <w:rFonts w:ascii="Times New Roman" w:hAnsi="Times New Roman" w:eastAsia="宋体"/>
                <w:sz w:val="21"/>
                <w:szCs w:val="24"/>
              </w:rPr>
              <w:t>溶液浓度设置较多，最低浓度低于</w:t>
            </w:r>
            <w:r>
              <w:rPr>
                <w:rFonts w:hint="eastAsia" w:ascii="Times New Roman" w:hAnsi="Times New Roman" w:eastAsia="宋体"/>
                <w:sz w:val="21"/>
                <w:szCs w:val="24"/>
              </w:rPr>
              <w:t>测量下限</w:t>
            </w:r>
            <w:r>
              <w:rPr>
                <w:rFonts w:ascii="Times New Roman" w:hAnsi="Times New Roman" w:eastAsia="宋体"/>
                <w:sz w:val="21"/>
                <w:szCs w:val="24"/>
              </w:rPr>
              <w:t>，建议</w:t>
            </w:r>
            <w:r>
              <w:rPr>
                <w:rFonts w:hint="eastAsia" w:ascii="Times New Roman" w:hAnsi="Times New Roman" w:eastAsia="宋体"/>
                <w:sz w:val="21"/>
                <w:szCs w:val="24"/>
              </w:rPr>
              <w:t>去掉</w:t>
            </w:r>
          </w:p>
        </w:tc>
        <w:tc>
          <w:tcPr>
            <w:tcW w:w="1418"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厦门</w:t>
            </w:r>
            <w:r>
              <w:rPr>
                <w:rFonts w:ascii="Times New Roman" w:hAnsi="Times New Roman" w:eastAsia="宋体"/>
                <w:sz w:val="21"/>
                <w:szCs w:val="24"/>
              </w:rPr>
              <w:t>稀土材料研究所</w:t>
            </w: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部分采纳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6</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标题</w:t>
            </w:r>
          </w:p>
        </w:tc>
        <w:tc>
          <w:tcPr>
            <w:tcW w:w="3116" w:type="dxa"/>
            <w:vAlign w:val="center"/>
          </w:tcPr>
          <w:p>
            <w:pPr>
              <w:adjustRightInd/>
              <w:snapToGrid/>
              <w:spacing w:after="0"/>
              <w:jc w:val="both"/>
              <w:rPr>
                <w:rFonts w:ascii="宋体" w:hAnsi="宋体" w:eastAsia="宋体"/>
                <w:sz w:val="21"/>
                <w:szCs w:val="21"/>
              </w:rPr>
            </w:pPr>
            <w:r>
              <w:rPr>
                <w:rFonts w:hint="eastAsia" w:ascii="宋体" w:hAnsi="宋体" w:eastAsia="宋体"/>
                <w:sz w:val="21"/>
                <w:szCs w:val="21"/>
              </w:rPr>
              <w:t>方法3应指明为“电感耦合等离子体串联质谱法”，非普通“电感耦合等离子体质谱法”</w:t>
            </w:r>
          </w:p>
        </w:tc>
        <w:tc>
          <w:tcPr>
            <w:tcW w:w="1418" w:type="dxa"/>
            <w:vMerge w:val="restart"/>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中国工程物理研究院化工材料研究所</w:t>
            </w: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7</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1</w:t>
            </w:r>
          </w:p>
        </w:tc>
        <w:tc>
          <w:tcPr>
            <w:tcW w:w="3116" w:type="dxa"/>
            <w:vAlign w:val="center"/>
          </w:tcPr>
          <w:p>
            <w:pPr>
              <w:adjustRightInd/>
              <w:snapToGrid/>
              <w:spacing w:after="0"/>
              <w:jc w:val="both"/>
              <w:rPr>
                <w:rFonts w:hint="eastAsia" w:ascii="Times New Roman" w:hAnsi="Times New Roman" w:eastAsia="宋体"/>
                <w:sz w:val="21"/>
                <w:szCs w:val="24"/>
              </w:rPr>
            </w:pPr>
            <w:r>
              <w:rPr>
                <w:rFonts w:hint="eastAsia" w:ascii="Times New Roman" w:hAnsi="Times New Roman" w:eastAsia="宋体"/>
                <w:sz w:val="21"/>
                <w:szCs w:val="24"/>
              </w:rPr>
              <w:t>“测定时均以内标法进行校正”有歧义，实际测试是外标法，内标仅是对仪器稳定性进行校正</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8</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2.1.4</w:t>
            </w:r>
          </w:p>
        </w:tc>
        <w:tc>
          <w:tcPr>
            <w:tcW w:w="3116" w:type="dxa"/>
            <w:vAlign w:val="center"/>
          </w:tcPr>
          <w:p>
            <w:pPr>
              <w:adjustRightInd/>
              <w:snapToGrid/>
              <w:spacing w:after="0"/>
              <w:jc w:val="both"/>
              <w:rPr>
                <w:rFonts w:hint="eastAsia" w:ascii="Times New Roman" w:hAnsi="Times New Roman" w:eastAsia="宋体"/>
                <w:sz w:val="21"/>
                <w:szCs w:val="24"/>
              </w:rPr>
            </w:pPr>
            <w:r>
              <w:rPr>
                <w:rFonts w:hint="eastAsia" w:ascii="Times New Roman" w:hAnsi="Times New Roman" w:eastAsia="宋体"/>
                <w:sz w:val="21"/>
                <w:szCs w:val="24"/>
              </w:rPr>
              <w:t>需指出过氧化氢是体积浓度还是质量浓度</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不采纳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r>
              <w:rPr>
                <w:rFonts w:ascii="Times New Roman" w:hAnsi="Times New Roman" w:eastAsia="宋体"/>
                <w:sz w:val="21"/>
                <w:szCs w:val="24"/>
              </w:rPr>
              <w:t>与其他</w:t>
            </w:r>
            <w:r>
              <w:rPr>
                <w:rFonts w:hint="eastAsia" w:ascii="Times New Roman" w:hAnsi="Times New Roman" w:eastAsia="宋体"/>
                <w:sz w:val="21"/>
                <w:szCs w:val="24"/>
              </w:rPr>
              <w:t xml:space="preserve"> </w:t>
            </w:r>
            <w:r>
              <w:rPr>
                <w:rFonts w:ascii="Times New Roman" w:hAnsi="Times New Roman" w:eastAsia="宋体"/>
                <w:sz w:val="21"/>
                <w:szCs w:val="24"/>
              </w:rPr>
              <w:t>方法一致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9</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2.1.5</w:t>
            </w:r>
          </w:p>
        </w:tc>
        <w:tc>
          <w:tcPr>
            <w:tcW w:w="3116" w:type="dxa"/>
            <w:vAlign w:val="center"/>
          </w:tcPr>
          <w:p>
            <w:pPr>
              <w:adjustRightInd/>
              <w:snapToGrid/>
              <w:spacing w:after="0"/>
              <w:jc w:val="both"/>
              <w:rPr>
                <w:rFonts w:hint="eastAsia" w:ascii="Times New Roman" w:hAnsi="Times New Roman" w:eastAsia="宋体"/>
                <w:sz w:val="21"/>
                <w:szCs w:val="24"/>
              </w:rPr>
            </w:pPr>
            <w:r>
              <w:rPr>
                <w:rFonts w:hint="eastAsia" w:ascii="Times New Roman" w:hAnsi="Times New Roman" w:eastAsia="宋体"/>
                <w:sz w:val="21"/>
                <w:szCs w:val="24"/>
              </w:rPr>
              <w:t>需指出硝酸浓度</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不采纳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r>
              <w:rPr>
                <w:rFonts w:ascii="Times New Roman" w:hAnsi="Times New Roman" w:eastAsia="宋体"/>
                <w:sz w:val="21"/>
                <w:szCs w:val="24"/>
              </w:rPr>
              <w:t>已经是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10</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2.1.6&amp;2.1.7</w:t>
            </w:r>
          </w:p>
        </w:tc>
        <w:tc>
          <w:tcPr>
            <w:tcW w:w="3116" w:type="dxa"/>
            <w:vAlign w:val="center"/>
          </w:tcPr>
          <w:p>
            <w:pPr>
              <w:adjustRightInd/>
              <w:snapToGrid/>
              <w:spacing w:after="0"/>
              <w:jc w:val="both"/>
              <w:rPr>
                <w:rFonts w:hint="eastAsia" w:ascii="Times New Roman" w:hAnsi="Times New Roman" w:eastAsia="宋体"/>
                <w:sz w:val="21"/>
                <w:szCs w:val="24"/>
              </w:rPr>
            </w:pPr>
            <w:r>
              <w:rPr>
                <w:rFonts w:hint="eastAsia" w:ascii="Times New Roman" w:hAnsi="Times New Roman" w:eastAsia="宋体"/>
                <w:sz w:val="21"/>
                <w:szCs w:val="24"/>
              </w:rPr>
              <w:t>硝酸配制过程是否需要指出</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不采纳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r>
              <w:rPr>
                <w:rFonts w:ascii="Times New Roman" w:hAnsi="Times New Roman" w:eastAsia="宋体"/>
                <w:sz w:val="21"/>
                <w:szCs w:val="24"/>
              </w:rPr>
              <w:t>与其他</w:t>
            </w:r>
            <w:r>
              <w:rPr>
                <w:rFonts w:hint="eastAsia" w:ascii="Times New Roman" w:hAnsi="Times New Roman" w:eastAsia="宋体"/>
                <w:sz w:val="21"/>
                <w:szCs w:val="24"/>
              </w:rPr>
              <w:t xml:space="preserve"> </w:t>
            </w:r>
            <w:r>
              <w:rPr>
                <w:rFonts w:ascii="Times New Roman" w:hAnsi="Times New Roman" w:eastAsia="宋体"/>
                <w:sz w:val="21"/>
                <w:szCs w:val="24"/>
              </w:rPr>
              <w:t>方法一致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11</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2.1.8~2.1.26</w:t>
            </w:r>
          </w:p>
        </w:tc>
        <w:tc>
          <w:tcPr>
            <w:tcW w:w="3116" w:type="dxa"/>
            <w:vAlign w:val="center"/>
          </w:tcPr>
          <w:p>
            <w:pPr>
              <w:adjustRightInd/>
              <w:snapToGrid/>
              <w:spacing w:after="0"/>
              <w:jc w:val="both"/>
              <w:rPr>
                <w:rFonts w:hint="eastAsia" w:ascii="Times New Roman" w:hAnsi="Times New Roman" w:eastAsia="宋体"/>
                <w:sz w:val="21"/>
                <w:szCs w:val="24"/>
              </w:rPr>
            </w:pPr>
            <w:r>
              <w:rPr>
                <w:rFonts w:hint="eastAsia" w:ascii="Times New Roman" w:hAnsi="Times New Roman" w:eastAsia="宋体"/>
                <w:sz w:val="21"/>
                <w:szCs w:val="24"/>
              </w:rPr>
              <w:t>在目前单元素/混合多元素有证书标准溶液均易</w:t>
            </w:r>
            <w:r>
              <w:rPr>
                <w:rFonts w:ascii="Times New Roman" w:hAnsi="Times New Roman" w:eastAsia="宋体"/>
                <w:sz w:val="21"/>
                <w:szCs w:val="24"/>
              </w:rPr>
              <w:t>购</w:t>
            </w:r>
            <w:r>
              <w:rPr>
                <w:rFonts w:hint="eastAsia" w:ascii="Times New Roman" w:hAnsi="Times New Roman" w:eastAsia="宋体"/>
                <w:sz w:val="21"/>
                <w:szCs w:val="24"/>
              </w:rPr>
              <w:t>得， 是否有必要自行进行标准溶液制备，特别是2.1.9中氯化铊作为安监管制药品，购买并不容易，因此针对标准溶液配制是否可以直接改为购置持证标准溶液？</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不采纳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r>
              <w:rPr>
                <w:rFonts w:ascii="Times New Roman" w:hAnsi="Times New Roman" w:eastAsia="宋体"/>
                <w:sz w:val="21"/>
                <w:szCs w:val="24"/>
              </w:rPr>
              <w:t>与其他</w:t>
            </w:r>
            <w:r>
              <w:rPr>
                <w:rFonts w:hint="eastAsia" w:ascii="Times New Roman" w:hAnsi="Times New Roman" w:eastAsia="宋体"/>
                <w:sz w:val="21"/>
                <w:szCs w:val="24"/>
              </w:rPr>
              <w:t xml:space="preserve"> </w:t>
            </w:r>
            <w:r>
              <w:rPr>
                <w:rFonts w:ascii="Times New Roman" w:hAnsi="Times New Roman" w:eastAsia="宋体"/>
                <w:sz w:val="21"/>
                <w:szCs w:val="24"/>
              </w:rPr>
              <w:t>方法一致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1"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12</w:t>
            </w:r>
          </w:p>
        </w:tc>
        <w:tc>
          <w:tcPr>
            <w:tcW w:w="1275"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3.2</w:t>
            </w:r>
          </w:p>
        </w:tc>
        <w:tc>
          <w:tcPr>
            <w:tcW w:w="3116" w:type="dxa"/>
            <w:vAlign w:val="center"/>
          </w:tcPr>
          <w:p>
            <w:pPr>
              <w:adjustRightInd/>
              <w:snapToGrid/>
              <w:spacing w:after="0"/>
              <w:jc w:val="both"/>
              <w:rPr>
                <w:rFonts w:hint="eastAsia" w:ascii="Times New Roman" w:hAnsi="Times New Roman" w:eastAsia="宋体"/>
                <w:sz w:val="21"/>
                <w:szCs w:val="24"/>
              </w:rPr>
            </w:pPr>
            <w:r>
              <w:rPr>
                <w:rFonts w:hint="eastAsia" w:ascii="Times New Roman" w:hAnsi="Times New Roman" w:eastAsia="宋体"/>
                <w:sz w:val="21"/>
                <w:szCs w:val="24"/>
              </w:rPr>
              <w:t>是否需要增加清洗程序以消除记忆效应</w:t>
            </w:r>
          </w:p>
        </w:tc>
        <w:tc>
          <w:tcPr>
            <w:tcW w:w="1418" w:type="dxa"/>
            <w:vMerge w:val="continue"/>
            <w:vAlign w:val="center"/>
          </w:tcPr>
          <w:p>
            <w:pPr>
              <w:spacing w:after="0" w:line="276" w:lineRule="auto"/>
              <w:jc w:val="center"/>
              <w:rPr>
                <w:rFonts w:hint="eastAsia" w:ascii="Times New Roman" w:hAnsi="Times New Roman" w:eastAsia="宋体"/>
                <w:sz w:val="21"/>
                <w:szCs w:val="24"/>
              </w:rPr>
            </w:pPr>
          </w:p>
        </w:tc>
        <w:tc>
          <w:tcPr>
            <w:tcW w:w="1133" w:type="dxa"/>
            <w:vAlign w:val="center"/>
          </w:tcPr>
          <w:p>
            <w:pPr>
              <w:spacing w:after="0" w:line="276" w:lineRule="auto"/>
              <w:jc w:val="center"/>
              <w:rPr>
                <w:rFonts w:hint="eastAsia" w:ascii="Times New Roman" w:hAnsi="Times New Roman" w:eastAsia="宋体"/>
                <w:sz w:val="21"/>
                <w:szCs w:val="24"/>
              </w:rPr>
            </w:pPr>
            <w:r>
              <w:rPr>
                <w:rFonts w:hint="eastAsia" w:ascii="Times New Roman" w:hAnsi="Times New Roman" w:eastAsia="宋体"/>
                <w:sz w:val="21"/>
                <w:szCs w:val="24"/>
              </w:rPr>
              <w:t>不采纳</w:t>
            </w:r>
          </w:p>
        </w:tc>
        <w:tc>
          <w:tcPr>
            <w:tcW w:w="1139" w:type="dxa"/>
            <w:vAlign w:val="center"/>
          </w:tcPr>
          <w:p>
            <w:pPr>
              <w:spacing w:after="0" w:line="276" w:lineRule="auto"/>
              <w:ind w:firstLine="105" w:firstLineChars="50"/>
              <w:jc w:val="center"/>
              <w:rPr>
                <w:rFonts w:ascii="Times New Roman" w:hAnsi="Times New Roman" w:eastAsia="宋体"/>
                <w:sz w:val="21"/>
                <w:szCs w:val="24"/>
              </w:rPr>
            </w:pPr>
            <w:r>
              <w:rPr>
                <w:rFonts w:ascii="Times New Roman" w:hAnsi="Times New Roman" w:eastAsia="宋体"/>
                <w:sz w:val="21"/>
                <w:szCs w:val="24"/>
              </w:rPr>
              <w:t>仪器测定设置</w:t>
            </w:r>
          </w:p>
        </w:tc>
      </w:tr>
    </w:tbl>
    <w:p>
      <w:pPr>
        <w:spacing w:beforeLines="100" w:after="0"/>
        <w:rPr>
          <w:rFonts w:ascii="Times New Roman" w:hAnsi="Times New Roman" w:eastAsia="宋体"/>
          <w:sz w:val="21"/>
        </w:rPr>
      </w:pPr>
      <w:r>
        <w:rPr>
          <w:rFonts w:ascii="Times New Roman" w:hAnsi="Times New Roman" w:eastAsia="宋体"/>
          <w:sz w:val="21"/>
        </w:rPr>
        <w:t>说明（1）发送《征求意见稿》的单位数：</w:t>
      </w:r>
      <w:r>
        <w:rPr>
          <w:rFonts w:hint="eastAsia" w:ascii="Times New Roman" w:hAnsi="Times New Roman" w:eastAsia="宋体"/>
          <w:sz w:val="21"/>
        </w:rPr>
        <w:t>3</w:t>
      </w:r>
      <w:r>
        <w:rPr>
          <w:rFonts w:ascii="Times New Roman" w:hAnsi="Times New Roman" w:eastAsia="宋体"/>
          <w:sz w:val="21"/>
        </w:rPr>
        <w:t>个；</w:t>
      </w:r>
    </w:p>
    <w:p>
      <w:pPr>
        <w:spacing w:after="0"/>
        <w:ind w:firstLine="420" w:firstLineChars="200"/>
        <w:rPr>
          <w:rFonts w:ascii="Times New Roman" w:hAnsi="Times New Roman" w:eastAsia="宋体"/>
          <w:sz w:val="21"/>
        </w:rPr>
      </w:pPr>
      <w:r>
        <w:rPr>
          <w:rFonts w:ascii="Times New Roman" w:hAnsi="Times New Roman" w:eastAsia="宋体"/>
          <w:sz w:val="21"/>
        </w:rPr>
        <w:t>（2）收到《征求意见稿》后，回函的单位数：</w:t>
      </w:r>
      <w:r>
        <w:rPr>
          <w:rFonts w:hint="eastAsia" w:ascii="Times New Roman" w:hAnsi="Times New Roman" w:eastAsia="宋体"/>
          <w:sz w:val="21"/>
        </w:rPr>
        <w:t xml:space="preserve"> 3</w:t>
      </w:r>
      <w:r>
        <w:rPr>
          <w:rFonts w:ascii="Times New Roman" w:hAnsi="Times New Roman" w:eastAsia="宋体"/>
          <w:sz w:val="21"/>
        </w:rPr>
        <w:t>个；</w:t>
      </w:r>
    </w:p>
    <w:p>
      <w:pPr>
        <w:spacing w:after="0"/>
        <w:ind w:firstLine="435"/>
        <w:rPr>
          <w:rFonts w:ascii="Times New Roman" w:hAnsi="Times New Roman" w:eastAsia="宋体"/>
          <w:sz w:val="21"/>
        </w:rPr>
      </w:pPr>
      <w:r>
        <w:rPr>
          <w:rFonts w:ascii="Times New Roman" w:hAnsi="Times New Roman" w:eastAsia="宋体"/>
          <w:sz w:val="21"/>
        </w:rPr>
        <w:t>（3）收到《征求意见稿》后，回函并有建议或意见的单位数：</w:t>
      </w:r>
      <w:r>
        <w:rPr>
          <w:rFonts w:hint="eastAsia" w:ascii="Times New Roman" w:hAnsi="Times New Roman" w:eastAsia="宋体"/>
          <w:sz w:val="21"/>
        </w:rPr>
        <w:t>3</w:t>
      </w:r>
      <w:r>
        <w:rPr>
          <w:rFonts w:ascii="Times New Roman" w:hAnsi="Times New Roman" w:eastAsia="宋体"/>
          <w:sz w:val="21"/>
        </w:rPr>
        <w:t>个；</w:t>
      </w:r>
    </w:p>
    <w:p>
      <w:pPr>
        <w:spacing w:after="0" w:line="440" w:lineRule="exact"/>
        <w:ind w:firstLine="420" w:firstLineChars="200"/>
        <w:rPr>
          <w:rFonts w:ascii="Times New Roman" w:hAnsi="Times New Roman" w:eastAsia="宋体" w:cs="Times New Roman"/>
          <w:sz w:val="24"/>
          <w:szCs w:val="24"/>
        </w:rPr>
      </w:pPr>
      <w:r>
        <w:rPr>
          <w:rFonts w:ascii="Times New Roman" w:hAnsi="Times New Roman" w:eastAsia="宋体"/>
          <w:sz w:val="21"/>
        </w:rPr>
        <w:t xml:space="preserve">    （4）没有回函的单位数0个。</w:t>
      </w:r>
    </w:p>
    <w:p>
      <w:pPr>
        <w:pStyle w:val="2"/>
        <w:spacing w:before="0" w:after="0" w:line="276" w:lineRule="auto"/>
        <w:rPr>
          <w:sz w:val="32"/>
          <w:szCs w:val="32"/>
        </w:rPr>
      </w:pPr>
      <w:bookmarkStart w:id="0" w:name="_Toc491867189"/>
      <w:r>
        <w:rPr>
          <w:rFonts w:hint="eastAsia"/>
          <w:sz w:val="32"/>
          <w:szCs w:val="32"/>
        </w:rPr>
        <w:t>5标准水平分析</w:t>
      </w:r>
      <w:bookmarkEnd w:id="0"/>
    </w:p>
    <w:p>
      <w:pPr>
        <w:spacing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标准为国内外首次制定，该检测方法具有结果可靠、操作简单、方法容易掌握等特点。处于国际先进水平，对国内生产企业及相关行业的技术进步将产生积极的推动作用。</w:t>
      </w:r>
    </w:p>
    <w:p>
      <w:pPr>
        <w:pStyle w:val="2"/>
        <w:spacing w:before="0" w:after="0" w:line="276" w:lineRule="auto"/>
        <w:rPr>
          <w:sz w:val="32"/>
          <w:szCs w:val="32"/>
        </w:rPr>
      </w:pPr>
      <w:bookmarkStart w:id="1" w:name="_Toc491867190"/>
      <w:r>
        <w:rPr>
          <w:rFonts w:hint="eastAsia"/>
          <w:sz w:val="32"/>
          <w:szCs w:val="32"/>
        </w:rPr>
        <w:t>6与现行相关法律、法规、规章及相关标准，特别是强制性标准的协调性</w:t>
      </w:r>
      <w:bookmarkEnd w:id="1"/>
    </w:p>
    <w:p>
      <w:pPr>
        <w:spacing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本标准与相关法律、法规无冲突，符合相关规定，参照国家现行检测标准，同时又确定能涵盖其特性及共性的检测方法。</w:t>
      </w:r>
    </w:p>
    <w:p>
      <w:pPr>
        <w:pStyle w:val="2"/>
        <w:spacing w:before="0" w:after="0" w:line="276" w:lineRule="auto"/>
        <w:rPr>
          <w:sz w:val="32"/>
          <w:szCs w:val="32"/>
        </w:rPr>
      </w:pPr>
      <w:bookmarkStart w:id="2" w:name="_Toc491867191"/>
      <w:r>
        <w:rPr>
          <w:rFonts w:hint="eastAsia"/>
          <w:sz w:val="32"/>
          <w:szCs w:val="32"/>
        </w:rPr>
        <w:t>7  标准中如涉及专利，应有明确的知识产权说明</w:t>
      </w:r>
      <w:bookmarkEnd w:id="2"/>
    </w:p>
    <w:p>
      <w:pPr>
        <w:spacing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本标准制定过程中，没有检索到专利和知识产权问题。</w:t>
      </w:r>
    </w:p>
    <w:p>
      <w:pPr>
        <w:spacing w:after="0" w:line="440" w:lineRule="exact"/>
        <w:outlineLvl w:val="0"/>
        <w:rPr>
          <w:rFonts w:ascii="Times New Roman" w:hAnsi="Times New Roman" w:eastAsia="宋体" w:cs="Times New Roman"/>
          <w:b/>
          <w:bCs/>
          <w:kern w:val="44"/>
          <w:sz w:val="32"/>
          <w:szCs w:val="32"/>
        </w:rPr>
      </w:pPr>
      <w:bookmarkStart w:id="3" w:name="_Toc491867192"/>
      <w:r>
        <w:rPr>
          <w:rFonts w:hint="eastAsia" w:ascii="Times New Roman" w:hAnsi="Times New Roman" w:eastAsia="宋体" w:cs="Times New Roman"/>
          <w:b/>
          <w:bCs/>
          <w:kern w:val="44"/>
          <w:sz w:val="32"/>
          <w:szCs w:val="32"/>
        </w:rPr>
        <w:t>8 重大分歧意见的处理经过和依据</w:t>
      </w:r>
      <w:bookmarkEnd w:id="3"/>
    </w:p>
    <w:p>
      <w:pPr>
        <w:spacing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暂无重大分歧意见。</w:t>
      </w:r>
    </w:p>
    <w:p>
      <w:pPr>
        <w:spacing w:after="0" w:line="440" w:lineRule="exact"/>
        <w:outlineLvl w:val="0"/>
        <w:rPr>
          <w:rFonts w:ascii="Times New Roman" w:hAnsi="Times New Roman" w:eastAsia="宋体" w:cs="Times New Roman"/>
          <w:b/>
          <w:bCs/>
          <w:kern w:val="44"/>
          <w:sz w:val="32"/>
          <w:szCs w:val="32"/>
        </w:rPr>
      </w:pPr>
      <w:bookmarkStart w:id="4" w:name="_Toc491867193"/>
      <w:r>
        <w:rPr>
          <w:rFonts w:hint="eastAsia" w:ascii="Times New Roman" w:hAnsi="Times New Roman" w:eastAsia="宋体" w:cs="Times New Roman"/>
          <w:b/>
          <w:bCs/>
          <w:kern w:val="44"/>
          <w:sz w:val="32"/>
          <w:szCs w:val="32"/>
        </w:rPr>
        <w:t>9  标准作为强制性或推荐性国家（或行业）标准的建议</w:t>
      </w:r>
      <w:bookmarkEnd w:id="4"/>
    </w:p>
    <w:p>
      <w:pPr>
        <w:spacing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本标准是根据我国实际生产使用情况修订的，其整体内容达到国际先进水平，建议作为推荐性行业标准来制定。</w:t>
      </w:r>
    </w:p>
    <w:p>
      <w:pPr>
        <w:spacing w:after="0" w:line="440" w:lineRule="exact"/>
        <w:outlineLvl w:val="0"/>
        <w:rPr>
          <w:rFonts w:ascii="Times New Roman" w:hAnsi="Times New Roman" w:eastAsia="宋体" w:cs="Times New Roman"/>
          <w:b/>
          <w:bCs/>
          <w:kern w:val="44"/>
          <w:sz w:val="32"/>
          <w:szCs w:val="32"/>
        </w:rPr>
      </w:pPr>
      <w:bookmarkStart w:id="5" w:name="_Toc491867194"/>
      <w:r>
        <w:rPr>
          <w:rFonts w:hint="eastAsia" w:ascii="Times New Roman" w:hAnsi="Times New Roman" w:eastAsia="宋体" w:cs="Times New Roman"/>
          <w:b/>
          <w:bCs/>
          <w:kern w:val="44"/>
          <w:sz w:val="32"/>
          <w:szCs w:val="32"/>
        </w:rPr>
        <w:t>10贯彻标准的要求和措施建议</w:t>
      </w:r>
      <w:bookmarkEnd w:id="5"/>
    </w:p>
    <w:p>
      <w:pPr>
        <w:spacing w:after="0" w:line="440" w:lineRule="exact"/>
        <w:outlineLvl w:val="1"/>
        <w:rPr>
          <w:rFonts w:ascii="Times New Roman" w:hAnsi="Times New Roman" w:eastAsia="宋体" w:cs="Times New Roman"/>
          <w:sz w:val="24"/>
          <w:szCs w:val="24"/>
        </w:rPr>
      </w:pPr>
      <w:bookmarkStart w:id="6" w:name="_Toc491867195"/>
      <w:r>
        <w:rPr>
          <w:rFonts w:hint="eastAsia" w:ascii="Times New Roman" w:hAnsi="Times New Roman" w:eastAsia="宋体" w:cs="Times New Roman"/>
          <w:sz w:val="24"/>
          <w:szCs w:val="24"/>
        </w:rPr>
        <w:t>10.1</w:t>
      </w:r>
      <w:r>
        <w:rPr>
          <w:rFonts w:hint="eastAsia" w:ascii="Times New Roman" w:hAnsi="宋体" w:eastAsia="宋体" w:cs="Times New Roman"/>
          <w:sz w:val="24"/>
          <w:szCs w:val="24"/>
        </w:rPr>
        <w:t>组织措施</w:t>
      </w:r>
      <w:bookmarkEnd w:id="6"/>
    </w:p>
    <w:p>
      <w:pPr>
        <w:spacing w:after="0"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本标准是针对氧化铈的相关产品标准而制定的，与生产及应用息息相关，应引起有关部门及相关企业的高度重视。标准颁布实施后，需要国家有关部门组织大力宣传和贯彻，主办各种形式的培训班，使相关企业及相关贸易单位能够积极主动地解读标准内容，充分认识和理解制订的标准条款，进而加以应用。</w:t>
      </w:r>
    </w:p>
    <w:p>
      <w:pPr>
        <w:spacing w:after="0" w:line="440" w:lineRule="exact"/>
        <w:outlineLvl w:val="1"/>
        <w:rPr>
          <w:rFonts w:ascii="Times New Roman" w:hAnsi="Times New Roman" w:eastAsia="宋体" w:cs="Times New Roman"/>
          <w:sz w:val="24"/>
          <w:szCs w:val="24"/>
        </w:rPr>
      </w:pPr>
      <w:bookmarkStart w:id="7" w:name="_Toc491867196"/>
      <w:r>
        <w:rPr>
          <w:rFonts w:hint="eastAsia" w:ascii="Times New Roman" w:hAnsi="Times New Roman" w:eastAsia="宋体" w:cs="Times New Roman"/>
          <w:sz w:val="24"/>
          <w:szCs w:val="24"/>
        </w:rPr>
        <w:t>10.2</w:t>
      </w:r>
      <w:r>
        <w:rPr>
          <w:rFonts w:hint="eastAsia" w:ascii="Times New Roman" w:hAnsi="宋体" w:eastAsia="宋体" w:cs="Times New Roman"/>
          <w:sz w:val="24"/>
          <w:szCs w:val="24"/>
        </w:rPr>
        <w:t>技术措施</w:t>
      </w:r>
      <w:bookmarkEnd w:id="7"/>
    </w:p>
    <w:p>
      <w:pPr>
        <w:spacing w:line="440" w:lineRule="exact"/>
        <w:ind w:firstLine="480" w:firstLineChars="200"/>
        <w:rPr>
          <w:rFonts w:ascii="Times New Roman" w:hAnsi="Times New Roman" w:eastAsia="宋体" w:cs="Times New Roman"/>
          <w:sz w:val="24"/>
          <w:szCs w:val="24"/>
        </w:rPr>
      </w:pPr>
      <w:r>
        <w:rPr>
          <w:rFonts w:hint="eastAsia" w:ascii="Times New Roman" w:hAnsi="宋体" w:eastAsia="宋体" w:cs="Times New Roman"/>
          <w:sz w:val="24"/>
          <w:szCs w:val="24"/>
        </w:rPr>
        <w:t>本方法的研究是根据金属铈、氧化铈的成分特点以及不同应用领域的要求，查阅大量相关资料，设计出一套适合稀土元素铈的检测方法。电感耦合等离子串联体质谱法</w:t>
      </w:r>
      <w:r>
        <w:rPr>
          <w:rFonts w:ascii="Times New Roman" w:hAnsi="宋体" w:eastAsia="宋体" w:cs="Times New Roman"/>
          <w:sz w:val="24"/>
          <w:szCs w:val="24"/>
        </w:rPr>
        <w:t>—</w:t>
      </w:r>
      <w:r>
        <w:rPr>
          <w:rFonts w:hint="eastAsia" w:ascii="Times New Roman" w:hAnsi="宋体" w:eastAsia="宋体" w:cs="Times New Roman"/>
          <w:sz w:val="24"/>
          <w:szCs w:val="24"/>
        </w:rPr>
        <w:t>ICP-MS-MS方法3是针对高纯金属铈及其化合物中稀土杂质的检测问题，应用本方法的试验方案。相关企业参照使用本方法时，应对稀土产品的特性有充分的了解，应认真解读方法标准，选择最适宜的检测方案。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2"/>
          <w:szCs w:val="32"/>
        </w:rPr>
      </w:pPr>
      <w:bookmarkStart w:id="8" w:name="_Toc491867197"/>
      <w:r>
        <w:rPr>
          <w:rFonts w:hint="eastAsia" w:ascii="Times New Roman" w:hAnsi="Times New Roman" w:eastAsia="宋体" w:cs="Times New Roman"/>
          <w:b/>
          <w:bCs/>
          <w:kern w:val="44"/>
          <w:sz w:val="32"/>
          <w:szCs w:val="32"/>
        </w:rPr>
        <w:t>11产业化情况、推广应用论证和预期达到的经济效果</w:t>
      </w:r>
      <w:bookmarkEnd w:id="8"/>
      <w:r>
        <w:rPr>
          <w:rFonts w:hint="eastAsia" w:ascii="Times New Roman" w:hAnsi="Times New Roman" w:eastAsia="宋体" w:cs="Times New Roman"/>
          <w:b/>
          <w:bCs/>
          <w:kern w:val="44"/>
          <w:sz w:val="32"/>
          <w:szCs w:val="32"/>
        </w:rPr>
        <w:t xml:space="preserve">  </w:t>
      </w:r>
    </w:p>
    <w:p>
      <w:pPr>
        <w:spacing w:after="0" w:line="440" w:lineRule="exact"/>
        <w:ind w:firstLine="480" w:firstLineChars="200"/>
        <w:rPr>
          <w:rFonts w:ascii="Times New Roman" w:hAnsi="Times New Roman" w:eastAsia="宋体" w:cs="Times New Roman"/>
          <w:b/>
          <w:sz w:val="24"/>
          <w:szCs w:val="24"/>
        </w:rPr>
      </w:pPr>
      <w:r>
        <w:rPr>
          <w:rFonts w:hint="eastAsia" w:ascii="Times New Roman" w:hAnsi="宋体" w:eastAsia="宋体" w:cs="Times New Roman"/>
          <w:sz w:val="24"/>
          <w:szCs w:val="24"/>
        </w:rPr>
        <w:t>关于稀土氧化物、尤其是高纯稀土产品的分析方法科学、系统的研究较少，现行标准存在诸多弊端，难以适应市场的需求，不利于稀土市场的发展。修订现有方法并适当增加新的技术手段，可丰富标准内容，为使用者提供更多选择，将为稀土行业生产、科研及贸易发展等各方面提供技术支持，该分析标准的修订，将对金属铈及其化合物产品，尤其是高纯稀土的市场行为提供产品质量参照，同时对国内外该类产品的质量提供一个可靠的标准参照。项目的研究具有一定的经济和广泛的社会效益。</w:t>
      </w:r>
      <w:r>
        <w:rPr>
          <w:rFonts w:hint="eastAsia" w:ascii="Times New Roman" w:hAnsi="Times New Roman" w:eastAsia="宋体" w:cs="Times New Roman"/>
          <w:sz w:val="24"/>
          <w:szCs w:val="24"/>
        </w:rPr>
        <w:t xml:space="preserve"> </w:t>
      </w:r>
    </w:p>
    <w:p>
      <w:pPr>
        <w:adjustRightInd/>
        <w:snapToGrid/>
        <w:spacing w:after="0" w:line="440" w:lineRule="exact"/>
        <w:rPr>
          <w:rFonts w:ascii="Times New Roman" w:hAnsi="Times New Roman" w:eastAsia="宋体" w:cs="Times New Roman"/>
          <w:sz w:val="36"/>
          <w:szCs w:val="36"/>
        </w:rPr>
      </w:pPr>
    </w:p>
    <w:p/>
    <w:sectPr>
      <w:footerReference r:id="rId9" w:type="first"/>
      <w:pgSz w:w="11906" w:h="16838"/>
      <w:pgMar w:top="1440" w:right="1800" w:bottom="1440" w:left="1800" w:header="708" w:footer="708"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8683"/>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2CA1"/>
    <w:rsid w:val="00056B6C"/>
    <w:rsid w:val="000B77D3"/>
    <w:rsid w:val="000D2470"/>
    <w:rsid w:val="00115F08"/>
    <w:rsid w:val="001528E3"/>
    <w:rsid w:val="00167980"/>
    <w:rsid w:val="001F190C"/>
    <w:rsid w:val="00234E21"/>
    <w:rsid w:val="00254B72"/>
    <w:rsid w:val="002768FC"/>
    <w:rsid w:val="002B456D"/>
    <w:rsid w:val="00362808"/>
    <w:rsid w:val="0039548C"/>
    <w:rsid w:val="0039724F"/>
    <w:rsid w:val="003F7F37"/>
    <w:rsid w:val="00471224"/>
    <w:rsid w:val="00480D96"/>
    <w:rsid w:val="00482CA1"/>
    <w:rsid w:val="00487D24"/>
    <w:rsid w:val="00490B59"/>
    <w:rsid w:val="00577609"/>
    <w:rsid w:val="00590CD0"/>
    <w:rsid w:val="0059149C"/>
    <w:rsid w:val="005960F1"/>
    <w:rsid w:val="005C4E7E"/>
    <w:rsid w:val="0060771A"/>
    <w:rsid w:val="00697B7A"/>
    <w:rsid w:val="006F0A06"/>
    <w:rsid w:val="00740B90"/>
    <w:rsid w:val="00771029"/>
    <w:rsid w:val="007717A5"/>
    <w:rsid w:val="00793AFD"/>
    <w:rsid w:val="00794DB3"/>
    <w:rsid w:val="007A3F53"/>
    <w:rsid w:val="00854E1F"/>
    <w:rsid w:val="008A79A0"/>
    <w:rsid w:val="008C72BC"/>
    <w:rsid w:val="008F0112"/>
    <w:rsid w:val="009A650C"/>
    <w:rsid w:val="00A50E92"/>
    <w:rsid w:val="00AD274B"/>
    <w:rsid w:val="00B2798E"/>
    <w:rsid w:val="00C07A05"/>
    <w:rsid w:val="00C2475B"/>
    <w:rsid w:val="00C46D0B"/>
    <w:rsid w:val="00D00B84"/>
    <w:rsid w:val="00D4288C"/>
    <w:rsid w:val="00E45100"/>
    <w:rsid w:val="00EC2413"/>
    <w:rsid w:val="00F75DE0"/>
    <w:rsid w:val="00FD40E7"/>
    <w:rsid w:val="7003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2">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4">
    <w:name w:val="header"/>
    <w:basedOn w:val="1"/>
    <w:link w:val="7"/>
    <w:semiHidden/>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标题 1 Char"/>
    <w:basedOn w:val="6"/>
    <w:link w:val="2"/>
    <w:uiPriority w:val="0"/>
    <w:rPr>
      <w:rFonts w:ascii="Times New Roman" w:hAnsi="Times New Roman" w:eastAsia="宋体" w:cs="Times New Roman"/>
      <w:b/>
      <w:bCs/>
      <w:kern w:val="44"/>
      <w:sz w:val="44"/>
      <w:szCs w:val="44"/>
    </w:rPr>
  </w:style>
  <w:style w:type="paragraph" w:styleId="10">
    <w:name w:val="List Paragraph"/>
    <w:basedOn w:val="1"/>
    <w:qFormat/>
    <w:uiPriority w:val="99"/>
    <w:pPr>
      <w:ind w:firstLine="420" w:firstLineChars="200"/>
    </w:pPr>
  </w:style>
  <w:style w:type="paragraph" w:customStyle="1" w:styleId="1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813</Words>
  <Characters>4640</Characters>
  <Lines>38</Lines>
  <Paragraphs>10</Paragraphs>
  <TotalTime>419</TotalTime>
  <ScaleCrop>false</ScaleCrop>
  <LinksUpToDate>false</LinksUpToDate>
  <CharactersWithSpaces>5443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2019-05-23T07:30:00Z</dcterms:created>
  <dc:creator>Microsoft</dc:creator>
  <cp:lastModifiedBy>高兰</cp:lastModifiedBy>
  <dcterms:modified xsi:type="dcterms:W3CDTF">2019-08-07T08:21:44Z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