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30"/>
          <w:szCs w:val="30"/>
        </w:rPr>
      </w:pPr>
      <w:bookmarkStart w:id="1" w:name="_GoBack"/>
      <w:bookmarkEnd w:id="1"/>
      <w:r>
        <w:rPr>
          <w:rFonts w:eastAsia="黑体"/>
          <w:sz w:val="30"/>
          <w:szCs w:val="30"/>
        </w:rPr>
        <w:t>行业标准《</w:t>
      </w:r>
      <w:r>
        <w:rPr>
          <w:rFonts w:hint="eastAsia" w:eastAsia="黑体"/>
          <w:sz w:val="30"/>
          <w:szCs w:val="30"/>
        </w:rPr>
        <w:t>高纯金属镱</w:t>
      </w:r>
      <w:r>
        <w:rPr>
          <w:rFonts w:eastAsia="黑体"/>
          <w:sz w:val="30"/>
          <w:szCs w:val="30"/>
        </w:rPr>
        <w:t>》</w:t>
      </w:r>
      <w:r>
        <w:rPr>
          <w:rFonts w:hint="eastAsia" w:eastAsia="黑体"/>
          <w:sz w:val="30"/>
          <w:szCs w:val="30"/>
          <w:lang w:val="en-US" w:eastAsia="zh-CN"/>
        </w:rPr>
        <w:t>(预审稿）</w:t>
      </w:r>
      <w:r>
        <w:rPr>
          <w:rFonts w:eastAsia="黑体"/>
          <w:sz w:val="30"/>
          <w:szCs w:val="30"/>
        </w:rPr>
        <w:t>编制说明</w:t>
      </w:r>
    </w:p>
    <w:p>
      <w:pPr>
        <w:jc w:val="center"/>
        <w:rPr>
          <w:rFonts w:eastAsia="黑体"/>
          <w:sz w:val="22"/>
          <w:szCs w:val="30"/>
        </w:rPr>
      </w:pPr>
    </w:p>
    <w:p>
      <w:pPr>
        <w:adjustRightInd w:val="0"/>
        <w:snapToGrid w:val="0"/>
        <w:spacing w:line="360" w:lineRule="auto"/>
        <w:outlineLvl w:val="0"/>
        <w:rPr>
          <w:rFonts w:eastAsia="黑体"/>
          <w:sz w:val="24"/>
          <w:szCs w:val="24"/>
        </w:rPr>
      </w:pPr>
      <w:r>
        <w:rPr>
          <w:rFonts w:hAnsi="黑体" w:eastAsia="黑体"/>
          <w:sz w:val="24"/>
          <w:szCs w:val="24"/>
        </w:rPr>
        <w:t>一、工作简况</w:t>
      </w:r>
    </w:p>
    <w:p>
      <w:pPr>
        <w:tabs>
          <w:tab w:val="left" w:pos="522"/>
        </w:tabs>
        <w:adjustRightInd w:val="0"/>
        <w:snapToGrid w:val="0"/>
        <w:spacing w:beforeLines="50" w:line="360" w:lineRule="auto"/>
        <w:jc w:val="left"/>
        <w:rPr>
          <w:rFonts w:hAnsi="黑体" w:eastAsia="黑体"/>
          <w:sz w:val="24"/>
          <w:szCs w:val="24"/>
        </w:rPr>
      </w:pPr>
      <w:r>
        <w:rPr>
          <w:rFonts w:eastAsia="黑体"/>
          <w:sz w:val="24"/>
          <w:szCs w:val="24"/>
        </w:rPr>
        <w:t>1.1</w:t>
      </w:r>
      <w:r>
        <w:rPr>
          <w:rFonts w:hAnsi="黑体" w:eastAsia="黑体"/>
          <w:sz w:val="24"/>
          <w:szCs w:val="24"/>
        </w:rPr>
        <w:t>立项目的及意义</w:t>
      </w:r>
    </w:p>
    <w:p>
      <w:pPr>
        <w:tabs>
          <w:tab w:val="left" w:pos="522"/>
        </w:tabs>
        <w:adjustRightInd w:val="0"/>
        <w:snapToGrid w:val="0"/>
        <w:spacing w:beforeLines="50" w:line="360" w:lineRule="auto"/>
        <w:ind w:firstLine="480" w:firstLineChars="200"/>
        <w:jc w:val="left"/>
        <w:rPr>
          <w:sz w:val="24"/>
        </w:rPr>
      </w:pPr>
      <w:r>
        <w:rPr>
          <w:sz w:val="24"/>
        </w:rPr>
        <w:t>稀土金属在高新技术领域应用广泛，尤其是高纯、超高纯稀土金属，作为研究开发及制备高性能稀土</w:t>
      </w:r>
      <w:r>
        <w:rPr>
          <w:sz w:val="24"/>
          <w:szCs w:val="24"/>
        </w:rPr>
        <w:t>新材料与器件的关键核心基础材料，是获得高性能磁性材料、发光材料、能源材料、电子材料等功能材料的物质保障。如应用于超磁致伸缩材料的金属铽/镝、微纳电子集成电路的稀土高K栅介质材料金属</w:t>
      </w:r>
      <w:r>
        <w:rPr>
          <w:rFonts w:hint="eastAsia"/>
          <w:sz w:val="24"/>
          <w:szCs w:val="24"/>
        </w:rPr>
        <w:t>镱/铒/</w:t>
      </w:r>
      <w:r>
        <w:rPr>
          <w:sz w:val="24"/>
          <w:szCs w:val="24"/>
        </w:rPr>
        <w:t>镧、重费米子超导的</w:t>
      </w:r>
      <w:r>
        <w:rPr>
          <w:rFonts w:hint="eastAsia"/>
          <w:sz w:val="24"/>
          <w:szCs w:val="24"/>
        </w:rPr>
        <w:t>镱和铈、</w:t>
      </w:r>
      <w:r>
        <w:rPr>
          <w:sz w:val="24"/>
          <w:szCs w:val="24"/>
        </w:rPr>
        <w:t>OLED</w:t>
      </w:r>
      <w:r>
        <w:rPr>
          <w:rFonts w:hint="eastAsia"/>
          <w:sz w:val="24"/>
          <w:szCs w:val="24"/>
        </w:rPr>
        <w:t>显示的镱等，</w:t>
      </w:r>
      <w:r>
        <w:rPr>
          <w:sz w:val="24"/>
          <w:szCs w:val="24"/>
        </w:rPr>
        <w:t>对</w:t>
      </w:r>
      <w:r>
        <w:rPr>
          <w:rFonts w:hint="eastAsia"/>
          <w:sz w:val="24"/>
          <w:szCs w:val="24"/>
        </w:rPr>
        <w:t>稀土</w:t>
      </w:r>
      <w:r>
        <w:rPr>
          <w:sz w:val="24"/>
          <w:szCs w:val="24"/>
        </w:rPr>
        <w:t>金属</w:t>
      </w:r>
      <w:r>
        <w:rPr>
          <w:rFonts w:hint="eastAsia"/>
          <w:sz w:val="24"/>
          <w:szCs w:val="24"/>
        </w:rPr>
        <w:t>的</w:t>
      </w:r>
      <w:r>
        <w:rPr>
          <w:sz w:val="24"/>
          <w:szCs w:val="24"/>
        </w:rPr>
        <w:t>纯度及特定杂质含量都提出了极高的要求，无不体现出“金属纯度”与</w:t>
      </w:r>
      <w:r>
        <w:rPr>
          <w:rFonts w:ascii="宋体" w:hAnsi="宋体"/>
          <w:sz w:val="24"/>
        </w:rPr>
        <w:t>“材料性能”的紧密关联性以</w:t>
      </w:r>
      <w:r>
        <w:rPr>
          <w:sz w:val="24"/>
        </w:rPr>
        <w:t>及高纯、超高纯稀土金属作为关键核心基础材料在高新技术产业发展中的至关重要性。</w:t>
      </w:r>
      <w:r>
        <w:rPr>
          <w:rFonts w:hint="eastAsia"/>
          <w:sz w:val="24"/>
        </w:rPr>
        <w:t>尤其是近几年电子信息领域，特别是半导体领域的快速发展，对金属镱的纯度提出了更高的要求，金属镱的应用量及产业规模也呈现快速上升趋势。</w:t>
      </w:r>
    </w:p>
    <w:p>
      <w:pPr>
        <w:autoSpaceDE w:val="0"/>
        <w:autoSpaceDN w:val="0"/>
        <w:adjustRightInd w:val="0"/>
        <w:snapToGrid w:val="0"/>
        <w:spacing w:line="360" w:lineRule="auto"/>
        <w:ind w:firstLine="482"/>
        <w:rPr>
          <w:sz w:val="24"/>
        </w:rPr>
      </w:pPr>
      <w:r>
        <w:rPr>
          <w:rFonts w:hint="eastAsia"/>
          <w:sz w:val="24"/>
        </w:rPr>
        <w:t>高纯稀土金属的制备技术不断进步，如“十二五”期间，有研稀土新材料股份有限公司等单位在稀土金属的深度提纯技术领域获得重大突破。成功突破了</w:t>
      </w:r>
      <w:r>
        <w:rPr>
          <w:sz w:val="24"/>
        </w:rPr>
        <w:t>4N</w:t>
      </w:r>
      <w:r>
        <w:rPr>
          <w:rFonts w:hint="eastAsia"/>
          <w:sz w:val="24"/>
        </w:rPr>
        <w:t>级超高纯稀土金属制备共性关键技术及成套装备，</w:t>
      </w:r>
      <w:r>
        <w:rPr>
          <w:sz w:val="24"/>
        </w:rPr>
        <w:t>建成了年产16吨的超高纯稀土金属中试线，</w:t>
      </w:r>
      <w:r>
        <w:rPr>
          <w:rFonts w:hint="eastAsia"/>
          <w:sz w:val="24"/>
        </w:rPr>
        <w:t>高纯</w:t>
      </w:r>
      <w:r>
        <w:rPr>
          <w:sz w:val="24"/>
        </w:rPr>
        <w:t>金属</w:t>
      </w:r>
      <w:r>
        <w:rPr>
          <w:rFonts w:hint="eastAsia"/>
          <w:sz w:val="24"/>
        </w:rPr>
        <w:t>镱产品中</w:t>
      </w:r>
      <w:r>
        <w:rPr>
          <w:sz w:val="24"/>
          <w:szCs w:val="24"/>
        </w:rPr>
        <w:t>1</w:t>
      </w:r>
      <w:r>
        <w:rPr>
          <w:rFonts w:hint="eastAsia"/>
          <w:sz w:val="24"/>
          <w:szCs w:val="24"/>
        </w:rPr>
        <w:t>5</w:t>
      </w:r>
      <w:r>
        <w:rPr>
          <w:sz w:val="24"/>
          <w:szCs w:val="24"/>
        </w:rPr>
        <w:t>种稀土金属杂质的总量&lt;</w:t>
      </w:r>
      <w:r>
        <w:rPr>
          <w:rFonts w:hint="eastAsia"/>
          <w:sz w:val="24"/>
          <w:szCs w:val="24"/>
        </w:rPr>
        <w:t>5.82</w:t>
      </w:r>
      <w:r>
        <w:rPr>
          <w:i/>
          <w:sz w:val="24"/>
          <w:szCs w:val="24"/>
        </w:rPr>
        <w:t>μg/g</w:t>
      </w:r>
      <w:r>
        <w:rPr>
          <w:sz w:val="24"/>
          <w:szCs w:val="24"/>
        </w:rPr>
        <w:t>，相对纯度&gt;99.999</w:t>
      </w:r>
      <w:r>
        <w:rPr>
          <w:rFonts w:hint="eastAsia"/>
          <w:sz w:val="24"/>
          <w:szCs w:val="24"/>
        </w:rPr>
        <w:t>4</w:t>
      </w:r>
      <w:r>
        <w:rPr>
          <w:sz w:val="24"/>
          <w:szCs w:val="24"/>
        </w:rPr>
        <w:t xml:space="preserve"> wt.%；75种杂质总量&lt;</w:t>
      </w:r>
      <w:r>
        <w:rPr>
          <w:rFonts w:hint="eastAsia"/>
          <w:sz w:val="24"/>
          <w:szCs w:val="24"/>
        </w:rPr>
        <w:t>71.97</w:t>
      </w:r>
      <w:r>
        <w:rPr>
          <w:sz w:val="24"/>
          <w:szCs w:val="24"/>
        </w:rPr>
        <w:t xml:space="preserve"> </w:t>
      </w:r>
      <w:r>
        <w:rPr>
          <w:i/>
          <w:sz w:val="24"/>
          <w:szCs w:val="24"/>
        </w:rPr>
        <w:t>μg/g</w:t>
      </w:r>
      <w:r>
        <w:rPr>
          <w:sz w:val="24"/>
          <w:szCs w:val="24"/>
        </w:rPr>
        <w:t>，</w:t>
      </w:r>
      <w:r>
        <w:rPr>
          <w:rFonts w:hint="eastAsia"/>
          <w:sz w:val="24"/>
        </w:rPr>
        <w:t>镱</w:t>
      </w:r>
      <w:r>
        <w:rPr>
          <w:sz w:val="24"/>
          <w:szCs w:val="24"/>
        </w:rPr>
        <w:t>的绝对纯度&gt;99.99</w:t>
      </w:r>
      <w:r>
        <w:rPr>
          <w:rFonts w:hint="eastAsia"/>
          <w:sz w:val="24"/>
          <w:szCs w:val="24"/>
        </w:rPr>
        <w:t>2</w:t>
      </w:r>
      <w:r>
        <w:rPr>
          <w:sz w:val="24"/>
          <w:szCs w:val="24"/>
        </w:rPr>
        <w:t xml:space="preserve"> wt.%</w:t>
      </w:r>
      <w:r>
        <w:rPr>
          <w:rFonts w:hint="eastAsia"/>
          <w:sz w:val="24"/>
          <w:szCs w:val="24"/>
        </w:rPr>
        <w:t>，该产品已达到国际领先水平</w:t>
      </w:r>
      <w:r>
        <w:rPr>
          <w:rFonts w:hint="eastAsia"/>
          <w:sz w:val="24"/>
        </w:rPr>
        <w:t>。</w:t>
      </w:r>
      <w:r>
        <w:rPr>
          <w:sz w:val="24"/>
        </w:rPr>
        <w:t>目前，国内高纯金属</w:t>
      </w:r>
      <w:r>
        <w:rPr>
          <w:rFonts w:hint="eastAsia"/>
          <w:sz w:val="24"/>
        </w:rPr>
        <w:t>镱</w:t>
      </w:r>
      <w:r>
        <w:rPr>
          <w:sz w:val="24"/>
        </w:rPr>
        <w:t>的生产厂家及用户单位有：有研稀土新材料股份有限公司、湖南稀土金属材料研究院、赣州虔东稀土集团股份有限公司、江西金世纪新材料股份有限公司、赣州晨光稀土新材料股份有限公司等等。</w:t>
      </w:r>
    </w:p>
    <w:p>
      <w:pPr>
        <w:autoSpaceDE w:val="0"/>
        <w:autoSpaceDN w:val="0"/>
        <w:adjustRightInd w:val="0"/>
        <w:snapToGrid w:val="0"/>
        <w:spacing w:line="360" w:lineRule="auto"/>
        <w:ind w:firstLine="482"/>
        <w:rPr>
          <w:sz w:val="24"/>
        </w:rPr>
      </w:pPr>
      <w:r>
        <w:rPr>
          <w:rFonts w:hint="eastAsia"/>
          <w:sz w:val="24"/>
        </w:rPr>
        <w:t>但到目前为止，国内贸易一个统一的产品标准，因此制定高纯金属镱的产品标准很有必要。本标准的制定，可</w:t>
      </w:r>
      <w:r>
        <w:rPr>
          <w:sz w:val="24"/>
        </w:rPr>
        <w:t>为高纯金属</w:t>
      </w:r>
      <w:r>
        <w:rPr>
          <w:rFonts w:hint="eastAsia"/>
          <w:sz w:val="24"/>
        </w:rPr>
        <w:t>镱</w:t>
      </w:r>
      <w:r>
        <w:rPr>
          <w:sz w:val="24"/>
        </w:rPr>
        <w:t>产品贸易提供更合理的仲裁依据，规范高纯金属</w:t>
      </w:r>
      <w:r>
        <w:rPr>
          <w:rFonts w:hint="eastAsia"/>
          <w:sz w:val="24"/>
        </w:rPr>
        <w:t>镱</w:t>
      </w:r>
      <w:r>
        <w:rPr>
          <w:sz w:val="24"/>
        </w:rPr>
        <w:t>贸易；为高纯金属</w:t>
      </w:r>
      <w:r>
        <w:rPr>
          <w:rFonts w:hint="eastAsia"/>
          <w:sz w:val="24"/>
        </w:rPr>
        <w:t>镱</w:t>
      </w:r>
      <w:r>
        <w:rPr>
          <w:sz w:val="24"/>
        </w:rPr>
        <w:t>产品的指标控制提供新的指导意义，有利于集成电路的稀土高K栅介质材料、OL</w:t>
      </w:r>
      <w:r>
        <w:rPr>
          <w:sz w:val="24"/>
          <w:szCs w:val="24"/>
        </w:rPr>
        <w:t>ED</w:t>
      </w:r>
      <w:r>
        <w:rPr>
          <w:rFonts w:hint="eastAsia"/>
          <w:sz w:val="24"/>
          <w:szCs w:val="24"/>
        </w:rPr>
        <w:t>显示</w:t>
      </w:r>
      <w:r>
        <w:rPr>
          <w:sz w:val="24"/>
        </w:rPr>
        <w:t>等生产单位提供最佳生产原材料，促进稀土产业的健康发展。</w:t>
      </w:r>
    </w:p>
    <w:p>
      <w:pPr>
        <w:tabs>
          <w:tab w:val="left" w:pos="522"/>
        </w:tabs>
        <w:adjustRightInd w:val="0"/>
        <w:snapToGrid w:val="0"/>
        <w:spacing w:beforeLines="50" w:line="360" w:lineRule="auto"/>
        <w:jc w:val="left"/>
        <w:rPr>
          <w:rFonts w:eastAsia="黑体"/>
          <w:sz w:val="24"/>
          <w:szCs w:val="24"/>
        </w:rPr>
      </w:pPr>
      <w:r>
        <w:rPr>
          <w:rFonts w:eastAsia="黑体"/>
          <w:sz w:val="24"/>
          <w:szCs w:val="24"/>
        </w:rPr>
        <w:t>1.2</w:t>
      </w:r>
      <w:r>
        <w:rPr>
          <w:rFonts w:hAnsi="黑体" w:eastAsia="黑体"/>
          <w:sz w:val="24"/>
          <w:szCs w:val="24"/>
        </w:rPr>
        <w:t>任务来源</w:t>
      </w:r>
    </w:p>
    <w:p>
      <w:pPr>
        <w:autoSpaceDE w:val="0"/>
        <w:autoSpaceDN w:val="0"/>
        <w:adjustRightInd w:val="0"/>
        <w:snapToGrid w:val="0"/>
        <w:spacing w:line="360" w:lineRule="auto"/>
        <w:ind w:firstLine="482"/>
        <w:rPr>
          <w:sz w:val="24"/>
        </w:rPr>
      </w:pPr>
      <w:r>
        <w:rPr>
          <w:sz w:val="24"/>
        </w:rPr>
        <w:t>根据工业和信息化部办公厅关于印发2018年第二批行业标准制修订和外文版项目计划的通知(工信厅科[2018]31号)</w:t>
      </w:r>
      <w:r>
        <w:rPr>
          <w:rFonts w:hint="eastAsia"/>
          <w:sz w:val="24"/>
        </w:rPr>
        <w:t>文件</w:t>
      </w:r>
      <w:r>
        <w:rPr>
          <w:sz w:val="24"/>
        </w:rPr>
        <w:t>，《高纯金属</w:t>
      </w:r>
      <w:r>
        <w:rPr>
          <w:rFonts w:hint="eastAsia"/>
          <w:sz w:val="24"/>
        </w:rPr>
        <w:t>镱</w:t>
      </w:r>
      <w:r>
        <w:rPr>
          <w:sz w:val="24"/>
        </w:rPr>
        <w:t>》行业标准修订计划正式下达，项目编号为201</w:t>
      </w:r>
      <w:r>
        <w:rPr>
          <w:rFonts w:hint="eastAsia"/>
          <w:sz w:val="24"/>
        </w:rPr>
        <w:t>8</w:t>
      </w:r>
      <w:r>
        <w:rPr>
          <w:sz w:val="24"/>
        </w:rPr>
        <w:t>-</w:t>
      </w:r>
      <w:r>
        <w:rPr>
          <w:rFonts w:hint="eastAsia"/>
          <w:sz w:val="24"/>
        </w:rPr>
        <w:t>0635</w:t>
      </w:r>
      <w:r>
        <w:rPr>
          <w:sz w:val="24"/>
        </w:rPr>
        <w:t>T-XB，完成年限为201</w:t>
      </w:r>
      <w:r>
        <w:rPr>
          <w:rFonts w:hint="eastAsia"/>
          <w:sz w:val="24"/>
        </w:rPr>
        <w:t>9</w:t>
      </w:r>
      <w:r>
        <w:rPr>
          <w:sz w:val="24"/>
        </w:rPr>
        <w:t>年。本标准</w:t>
      </w:r>
      <w:r>
        <w:rPr>
          <w:rFonts w:hint="eastAsia"/>
          <w:sz w:val="24"/>
        </w:rPr>
        <w:t>制定</w:t>
      </w:r>
      <w:r>
        <w:rPr>
          <w:sz w:val="24"/>
        </w:rPr>
        <w:t>任务由有研稀土新材料股份有限公司牵头起草单位，参与起草</w:t>
      </w:r>
      <w:r>
        <w:rPr>
          <w:rFonts w:hint="eastAsia"/>
          <w:sz w:val="24"/>
        </w:rPr>
        <w:t>报名</w:t>
      </w:r>
      <w:r>
        <w:rPr>
          <w:sz w:val="24"/>
        </w:rPr>
        <w:t>单位为</w:t>
      </w:r>
      <w:r>
        <w:rPr>
          <w:rFonts w:hint="eastAsia"/>
          <w:sz w:val="24"/>
        </w:rPr>
        <w:t>包头稀土研究院、乐山有研稀土新材料有限公司、湖南稀土金属材料研究院、江西金世纪新材料股份有限公司、赣州晨光稀土新材料有限公司</w:t>
      </w:r>
      <w:r>
        <w:rPr>
          <w:sz w:val="24"/>
        </w:rPr>
        <w:t>等。</w:t>
      </w:r>
    </w:p>
    <w:p>
      <w:pPr>
        <w:tabs>
          <w:tab w:val="left" w:pos="522"/>
        </w:tabs>
        <w:adjustRightInd w:val="0"/>
        <w:snapToGrid w:val="0"/>
        <w:spacing w:beforeLines="50" w:line="360" w:lineRule="auto"/>
        <w:jc w:val="left"/>
        <w:rPr>
          <w:rFonts w:eastAsia="黑体"/>
          <w:sz w:val="24"/>
          <w:szCs w:val="24"/>
        </w:rPr>
      </w:pPr>
      <w:r>
        <w:rPr>
          <w:rFonts w:eastAsia="黑体"/>
          <w:sz w:val="24"/>
          <w:szCs w:val="24"/>
        </w:rPr>
        <w:t>1.3</w:t>
      </w:r>
      <w:r>
        <w:rPr>
          <w:rFonts w:hint="eastAsia" w:hAnsi="黑体" w:eastAsia="黑体"/>
          <w:sz w:val="24"/>
          <w:szCs w:val="24"/>
        </w:rPr>
        <w:t>编制</w:t>
      </w:r>
      <w:r>
        <w:rPr>
          <w:rFonts w:hAnsi="黑体" w:eastAsia="黑体"/>
          <w:sz w:val="24"/>
          <w:szCs w:val="24"/>
        </w:rPr>
        <w:t>单位</w:t>
      </w:r>
    </w:p>
    <w:p>
      <w:pPr>
        <w:autoSpaceDE w:val="0"/>
        <w:autoSpaceDN w:val="0"/>
        <w:adjustRightInd w:val="0"/>
        <w:snapToGrid w:val="0"/>
        <w:spacing w:line="360" w:lineRule="auto"/>
        <w:ind w:firstLine="482"/>
        <w:rPr>
          <w:sz w:val="24"/>
        </w:rPr>
      </w:pPr>
      <w:r>
        <w:rPr>
          <w:rFonts w:hint="eastAsia"/>
          <w:sz w:val="24"/>
        </w:rPr>
        <w:t>有研稀土新材料股份有限公司是</w:t>
      </w:r>
      <w:r>
        <w:rPr>
          <w:sz w:val="24"/>
        </w:rPr>
        <w:t>2001</w:t>
      </w:r>
      <w:r>
        <w:rPr>
          <w:rFonts w:hint="eastAsia"/>
          <w:sz w:val="24"/>
        </w:rPr>
        <w:t>年由北京有色金属研究总院作为主发起人对稀土材料国家工程研究中心（简称稀土中心）进行整体改制而设立的股份公司。有研稀土及其前身稀土中心、稀土冶金研究所是我国最早从事稀土研究的单位之一。</w:t>
      </w:r>
      <w:r>
        <w:rPr>
          <w:sz w:val="24"/>
        </w:rPr>
        <w:t>60</w:t>
      </w:r>
      <w:r>
        <w:rPr>
          <w:rFonts w:hint="eastAsia"/>
          <w:sz w:val="24"/>
        </w:rPr>
        <w:t>年来，</w:t>
      </w:r>
      <w:r>
        <w:rPr>
          <w:sz w:val="24"/>
        </w:rPr>
        <w:t>自主开发了500多项稀土冶炼、分离提纯、稀土金属及合金以及稀土</w:t>
      </w:r>
      <w:r>
        <w:rPr>
          <w:rFonts w:hint="eastAsia"/>
          <w:sz w:val="24"/>
        </w:rPr>
        <w:t>磁、光、催化</w:t>
      </w:r>
      <w:r>
        <w:rPr>
          <w:sz w:val="24"/>
        </w:rPr>
        <w:t>功能材料等工程化技术，研究成果50%以上应用于工业生产</w:t>
      </w:r>
      <w:r>
        <w:rPr>
          <w:rFonts w:hint="eastAsia"/>
          <w:sz w:val="24"/>
        </w:rPr>
        <w:t>。</w:t>
      </w:r>
      <w:r>
        <w:rPr>
          <w:sz w:val="24"/>
        </w:rPr>
        <w:t>获得省部以上科技奖励162项，其中国家</w:t>
      </w:r>
      <w:r>
        <w:rPr>
          <w:rFonts w:hint="eastAsia"/>
          <w:sz w:val="24"/>
        </w:rPr>
        <w:t>级</w:t>
      </w:r>
      <w:r>
        <w:rPr>
          <w:sz w:val="24"/>
        </w:rPr>
        <w:t>奖</w:t>
      </w:r>
      <w:r>
        <w:rPr>
          <w:rFonts w:hint="eastAsia"/>
          <w:sz w:val="24"/>
        </w:rPr>
        <w:t>励</w:t>
      </w:r>
      <w:r>
        <w:rPr>
          <w:sz w:val="24"/>
        </w:rPr>
        <w:t>40项；向国内外转让稀土冶金及材料先进技术70余项（170余次），为我国稀土工业体系的建立和发展做出了突出贡献。全世界生产的60%以上的稀土产品均采用有研稀土的技术，行业影响力不断提升。</w:t>
      </w:r>
    </w:p>
    <w:p>
      <w:pPr>
        <w:autoSpaceDE w:val="0"/>
        <w:autoSpaceDN w:val="0"/>
        <w:adjustRightInd w:val="0"/>
        <w:snapToGrid w:val="0"/>
        <w:spacing w:line="360" w:lineRule="auto"/>
        <w:ind w:firstLine="482"/>
        <w:rPr>
          <w:sz w:val="24"/>
        </w:rPr>
      </w:pPr>
      <w:r>
        <w:rPr>
          <w:sz w:val="24"/>
        </w:rPr>
        <w:t>在高纯金属制备领域，有研稀土新材料股份有限公司始终处于国内研制、生产的前列，现已开创除钷以外的整套超高纯稀土金属的提纯装备和工业化技术，建立了超/高纯稀土金属及合金制品生产线，高纯和超高纯稀土金属产品分别达300吨和16吨的年生产能力，该套技术及产品已达到国际领先水平。</w:t>
      </w:r>
    </w:p>
    <w:p>
      <w:pPr>
        <w:autoSpaceDE w:val="0"/>
        <w:autoSpaceDN w:val="0"/>
        <w:adjustRightInd w:val="0"/>
        <w:snapToGrid w:val="0"/>
        <w:spacing w:line="360" w:lineRule="auto"/>
        <w:ind w:firstLine="482"/>
        <w:rPr>
          <w:sz w:val="24"/>
        </w:rPr>
      </w:pPr>
      <w:r>
        <w:rPr>
          <w:sz w:val="24"/>
        </w:rPr>
        <w:t>有研稀土职工总数324人，其中科技人员150人，占职工总数的46.30%；大专以上学历科技人员126人，占职工总数的38.89％；</w:t>
      </w:r>
      <w:r>
        <w:rPr>
          <w:rFonts w:hint="eastAsia"/>
          <w:sz w:val="24"/>
        </w:rPr>
        <w:t>院士2人，高级职称以上人员62</w:t>
      </w:r>
      <w:r>
        <w:rPr>
          <w:sz w:val="24"/>
        </w:rPr>
        <w:t>人</w:t>
      </w:r>
      <w:r>
        <w:rPr>
          <w:rFonts w:hint="eastAsia"/>
          <w:sz w:val="24"/>
        </w:rPr>
        <w:t>。</w:t>
      </w:r>
      <w:r>
        <w:rPr>
          <w:sz w:val="24"/>
        </w:rPr>
        <w:t>是一支理论基础扎实、工作经验丰富、结构合理的创新型研发团队。公司一直</w:t>
      </w:r>
      <w:r>
        <w:rPr>
          <w:rFonts w:hint="eastAsia"/>
          <w:sz w:val="24"/>
        </w:rPr>
        <w:t>积极参与</w:t>
      </w:r>
      <w:r>
        <w:rPr>
          <w:sz w:val="24"/>
        </w:rPr>
        <w:t>标准的制修订工作，先后</w:t>
      </w:r>
      <w:r>
        <w:rPr>
          <w:rFonts w:hint="eastAsia"/>
          <w:sz w:val="24"/>
        </w:rPr>
        <w:t>牵头/</w:t>
      </w:r>
      <w:r>
        <w:rPr>
          <w:sz w:val="24"/>
        </w:rPr>
        <w:t>参与</w:t>
      </w:r>
      <w:r>
        <w:rPr>
          <w:rFonts w:hint="eastAsia"/>
          <w:sz w:val="24"/>
        </w:rPr>
        <w:t>制定</w:t>
      </w:r>
      <w:r>
        <w:rPr>
          <w:sz w:val="24"/>
        </w:rPr>
        <w:t>了《稀土术语-稀土金属及合金》</w:t>
      </w:r>
      <w:r>
        <w:rPr>
          <w:rFonts w:hint="eastAsia"/>
          <w:sz w:val="24"/>
        </w:rPr>
        <w:t>、</w:t>
      </w:r>
      <w:r>
        <w:rPr>
          <w:sz w:val="24"/>
        </w:rPr>
        <w:t>《稀土术语-稀土矿产品及化合物》</w:t>
      </w:r>
      <w:r>
        <w:rPr>
          <w:rFonts w:hint="eastAsia"/>
          <w:sz w:val="24"/>
        </w:rPr>
        <w:t>、</w:t>
      </w:r>
      <w:r>
        <w:rPr>
          <w:sz w:val="24"/>
        </w:rPr>
        <w:t>《钕铁硼速凝薄片合金》</w:t>
      </w:r>
      <w:r>
        <w:rPr>
          <w:rFonts w:hint="eastAsia"/>
          <w:sz w:val="24"/>
        </w:rPr>
        <w:t>、</w:t>
      </w:r>
      <w:r>
        <w:rPr>
          <w:sz w:val="24"/>
        </w:rPr>
        <w:t>《钇铝合金》</w:t>
      </w:r>
      <w:r>
        <w:rPr>
          <w:rFonts w:hint="eastAsia"/>
          <w:sz w:val="24"/>
        </w:rPr>
        <w:t>、</w:t>
      </w:r>
      <w:r>
        <w:rPr>
          <w:sz w:val="24"/>
        </w:rPr>
        <w:t>《金属钬》</w:t>
      </w:r>
      <w:r>
        <w:rPr>
          <w:rFonts w:hint="eastAsia"/>
          <w:sz w:val="24"/>
        </w:rPr>
        <w:t>、</w:t>
      </w:r>
      <w:r>
        <w:rPr>
          <w:sz w:val="24"/>
        </w:rPr>
        <w:t>《高纯金属镝》</w:t>
      </w:r>
      <w:r>
        <w:rPr>
          <w:rFonts w:hint="eastAsia"/>
          <w:sz w:val="24"/>
        </w:rPr>
        <w:t>、</w:t>
      </w:r>
      <w:r>
        <w:rPr>
          <w:sz w:val="24"/>
        </w:rPr>
        <w:t>《高纯金属</w:t>
      </w:r>
      <w:r>
        <w:rPr>
          <w:rFonts w:hint="eastAsia"/>
          <w:sz w:val="24"/>
        </w:rPr>
        <w:t>铽</w:t>
      </w:r>
      <w:r>
        <w:rPr>
          <w:sz w:val="24"/>
        </w:rPr>
        <w:t>》等</w:t>
      </w:r>
      <w:r>
        <w:rPr>
          <w:rFonts w:hint="eastAsia"/>
          <w:sz w:val="24"/>
        </w:rPr>
        <w:t>60多</w:t>
      </w:r>
      <w:r>
        <w:rPr>
          <w:sz w:val="24"/>
        </w:rPr>
        <w:t>项稀土</w:t>
      </w:r>
      <w:r>
        <w:rPr>
          <w:rFonts w:hint="eastAsia"/>
          <w:sz w:val="24"/>
        </w:rPr>
        <w:t>国际</w:t>
      </w:r>
      <w:r>
        <w:rPr>
          <w:sz w:val="24"/>
        </w:rPr>
        <w:t>标准</w:t>
      </w:r>
      <w:r>
        <w:rPr>
          <w:rFonts w:hint="eastAsia"/>
          <w:sz w:val="24"/>
        </w:rPr>
        <w:t>、国家标准、行业标准，</w:t>
      </w:r>
      <w:r>
        <w:rPr>
          <w:sz w:val="24"/>
        </w:rPr>
        <w:t>为本项目的顺利实施提供坚实的技术基础和人员保障。</w:t>
      </w:r>
    </w:p>
    <w:p>
      <w:pPr>
        <w:tabs>
          <w:tab w:val="left" w:pos="522"/>
        </w:tabs>
        <w:adjustRightInd w:val="0"/>
        <w:snapToGrid w:val="0"/>
        <w:spacing w:beforeLines="50" w:line="360" w:lineRule="auto"/>
        <w:jc w:val="left"/>
        <w:rPr>
          <w:rFonts w:eastAsia="黑体"/>
          <w:sz w:val="24"/>
          <w:szCs w:val="24"/>
        </w:rPr>
      </w:pPr>
      <w:r>
        <w:rPr>
          <w:rFonts w:eastAsia="黑体"/>
          <w:sz w:val="24"/>
          <w:szCs w:val="24"/>
        </w:rPr>
        <w:t>1.4</w:t>
      </w:r>
      <w:r>
        <w:rPr>
          <w:rFonts w:hAnsi="黑体" w:eastAsia="黑体"/>
          <w:sz w:val="24"/>
          <w:szCs w:val="24"/>
        </w:rPr>
        <w:t>工作进度安排</w:t>
      </w:r>
    </w:p>
    <w:p>
      <w:pPr>
        <w:tabs>
          <w:tab w:val="left" w:pos="522"/>
        </w:tabs>
        <w:adjustRightInd w:val="0"/>
        <w:snapToGrid w:val="0"/>
        <w:spacing w:line="360" w:lineRule="auto"/>
        <w:ind w:firstLine="482"/>
        <w:rPr>
          <w:sz w:val="24"/>
          <w:szCs w:val="24"/>
        </w:rPr>
      </w:pPr>
      <w:r>
        <w:rPr>
          <w:sz w:val="24"/>
          <w:szCs w:val="24"/>
        </w:rPr>
        <w:t>根据任务落实会议精神，我公司组建了高纯金属</w:t>
      </w:r>
      <w:r>
        <w:rPr>
          <w:rFonts w:hint="eastAsia"/>
          <w:sz w:val="24"/>
          <w:szCs w:val="24"/>
        </w:rPr>
        <w:t>镱</w:t>
      </w:r>
      <w:r>
        <w:rPr>
          <w:sz w:val="24"/>
          <w:szCs w:val="24"/>
        </w:rPr>
        <w:t>行业标准</w:t>
      </w:r>
      <w:r>
        <w:rPr>
          <w:rFonts w:hint="eastAsia"/>
          <w:sz w:val="24"/>
          <w:szCs w:val="24"/>
        </w:rPr>
        <w:t>修订</w:t>
      </w:r>
      <w:r>
        <w:rPr>
          <w:sz w:val="24"/>
          <w:szCs w:val="24"/>
        </w:rPr>
        <w:t>小组，主要由高纯</w:t>
      </w:r>
      <w:r>
        <w:rPr>
          <w:rFonts w:hint="eastAsia"/>
          <w:sz w:val="24"/>
          <w:szCs w:val="24"/>
        </w:rPr>
        <w:t>镱</w:t>
      </w:r>
      <w:r>
        <w:rPr>
          <w:sz w:val="24"/>
          <w:szCs w:val="24"/>
        </w:rPr>
        <w:t>生产部门、质管办、市场部技术人员组成。具体时间安排如下：</w:t>
      </w:r>
    </w:p>
    <w:p>
      <w:pPr>
        <w:tabs>
          <w:tab w:val="left" w:pos="522"/>
        </w:tabs>
        <w:adjustRightInd w:val="0"/>
        <w:snapToGrid w:val="0"/>
        <w:spacing w:line="360" w:lineRule="auto"/>
        <w:ind w:firstLine="482"/>
        <w:rPr>
          <w:sz w:val="24"/>
          <w:szCs w:val="24"/>
        </w:rPr>
      </w:pPr>
      <w:r>
        <w:rPr>
          <w:sz w:val="24"/>
          <w:szCs w:val="24"/>
        </w:rPr>
        <w:t>（1）</w:t>
      </w:r>
      <w:r>
        <w:rPr>
          <w:sz w:val="24"/>
        </w:rPr>
        <w:t>征求意见稿： 201</w:t>
      </w:r>
      <w:r>
        <w:rPr>
          <w:rFonts w:hint="eastAsia"/>
          <w:sz w:val="24"/>
        </w:rPr>
        <w:t>9</w:t>
      </w:r>
      <w:r>
        <w:rPr>
          <w:sz w:val="24"/>
        </w:rPr>
        <w:t>年 04 月 16 日</w:t>
      </w:r>
    </w:p>
    <w:p>
      <w:pPr>
        <w:tabs>
          <w:tab w:val="left" w:pos="522"/>
        </w:tabs>
        <w:adjustRightInd w:val="0"/>
        <w:snapToGrid w:val="0"/>
        <w:spacing w:line="360" w:lineRule="auto"/>
        <w:ind w:firstLine="482"/>
        <w:rPr>
          <w:sz w:val="24"/>
          <w:szCs w:val="24"/>
        </w:rPr>
      </w:pPr>
      <w:r>
        <w:rPr>
          <w:sz w:val="24"/>
          <w:szCs w:val="24"/>
        </w:rPr>
        <w:t>（2）</w:t>
      </w:r>
      <w:r>
        <w:rPr>
          <w:sz w:val="24"/>
        </w:rPr>
        <w:t>预  审  稿： 201</w:t>
      </w:r>
      <w:r>
        <w:rPr>
          <w:rFonts w:hint="eastAsia"/>
          <w:sz w:val="24"/>
        </w:rPr>
        <w:t>9</w:t>
      </w:r>
      <w:r>
        <w:rPr>
          <w:sz w:val="24"/>
        </w:rPr>
        <w:t>年 06 月 29 日</w:t>
      </w:r>
    </w:p>
    <w:p>
      <w:pPr>
        <w:tabs>
          <w:tab w:val="left" w:pos="522"/>
        </w:tabs>
        <w:adjustRightInd w:val="0"/>
        <w:snapToGrid w:val="0"/>
        <w:spacing w:line="360" w:lineRule="auto"/>
        <w:ind w:firstLine="482"/>
        <w:rPr>
          <w:sz w:val="24"/>
          <w:szCs w:val="24"/>
        </w:rPr>
      </w:pPr>
      <w:r>
        <w:rPr>
          <w:sz w:val="24"/>
          <w:szCs w:val="24"/>
        </w:rPr>
        <w:t>（3）</w:t>
      </w:r>
      <w:r>
        <w:rPr>
          <w:sz w:val="24"/>
        </w:rPr>
        <w:t>送  审  稿： 201</w:t>
      </w:r>
      <w:r>
        <w:rPr>
          <w:rFonts w:hint="eastAsia"/>
          <w:sz w:val="24"/>
        </w:rPr>
        <w:t>9</w:t>
      </w:r>
      <w:r>
        <w:rPr>
          <w:sz w:val="24"/>
        </w:rPr>
        <w:t>年 09 月 28 日</w:t>
      </w:r>
    </w:p>
    <w:p>
      <w:pPr>
        <w:tabs>
          <w:tab w:val="left" w:pos="522"/>
        </w:tabs>
        <w:adjustRightInd w:val="0"/>
        <w:snapToGrid w:val="0"/>
        <w:spacing w:line="360" w:lineRule="auto"/>
        <w:ind w:firstLine="482"/>
        <w:rPr>
          <w:sz w:val="24"/>
        </w:rPr>
      </w:pPr>
      <w:r>
        <w:rPr>
          <w:sz w:val="24"/>
          <w:szCs w:val="24"/>
        </w:rPr>
        <w:t>（4）</w:t>
      </w:r>
      <w:r>
        <w:rPr>
          <w:sz w:val="24"/>
        </w:rPr>
        <w:t>审定会时间： 201</w:t>
      </w:r>
      <w:r>
        <w:rPr>
          <w:rFonts w:hint="eastAsia"/>
          <w:sz w:val="24"/>
        </w:rPr>
        <w:t>9</w:t>
      </w:r>
      <w:r>
        <w:rPr>
          <w:sz w:val="24"/>
        </w:rPr>
        <w:t>年 10 月 31 日</w:t>
      </w:r>
    </w:p>
    <w:p>
      <w:pPr>
        <w:autoSpaceDE w:val="0"/>
        <w:autoSpaceDN w:val="0"/>
        <w:adjustRightInd w:val="0"/>
        <w:snapToGrid w:val="0"/>
        <w:spacing w:line="360" w:lineRule="auto"/>
        <w:ind w:firstLine="482"/>
        <w:rPr>
          <w:sz w:val="24"/>
          <w:szCs w:val="24"/>
        </w:rPr>
      </w:pPr>
      <w:r>
        <w:rPr>
          <w:sz w:val="24"/>
          <w:szCs w:val="24"/>
        </w:rPr>
        <w:t>接到任务后，</w:t>
      </w:r>
      <w:r>
        <w:rPr>
          <w:rFonts w:hint="eastAsia"/>
          <w:sz w:val="24"/>
          <w:szCs w:val="24"/>
        </w:rPr>
        <w:t>起草单位</w:t>
      </w:r>
      <w:r>
        <w:rPr>
          <w:sz w:val="24"/>
          <w:szCs w:val="24"/>
        </w:rPr>
        <w:t>通过广泛调研、了解市场生产情况和用户应用情况。走访了国内高纯金属</w:t>
      </w:r>
      <w:r>
        <w:rPr>
          <w:rFonts w:hint="eastAsia"/>
          <w:sz w:val="24"/>
          <w:szCs w:val="24"/>
        </w:rPr>
        <w:t>镱</w:t>
      </w:r>
      <w:r>
        <w:rPr>
          <w:sz w:val="24"/>
          <w:szCs w:val="24"/>
        </w:rPr>
        <w:t>主要生产企业，根据各企业所生产的高纯金属</w:t>
      </w:r>
      <w:r>
        <w:rPr>
          <w:rFonts w:hint="eastAsia"/>
          <w:sz w:val="24"/>
          <w:szCs w:val="24"/>
        </w:rPr>
        <w:t>镱</w:t>
      </w:r>
      <w:r>
        <w:rPr>
          <w:sz w:val="24"/>
          <w:szCs w:val="24"/>
        </w:rPr>
        <w:t>产品的实际情况，</w:t>
      </w:r>
      <w:r>
        <w:rPr>
          <w:rFonts w:hint="eastAsia"/>
          <w:sz w:val="24"/>
          <w:szCs w:val="24"/>
        </w:rPr>
        <w:t>起草了《高纯金属镱》标准（草案），形成了标准征求意见稿。并向19家稀土生产企业、科研院所征求意见，</w:t>
      </w:r>
      <w:r>
        <w:rPr>
          <w:sz w:val="24"/>
          <w:szCs w:val="24"/>
        </w:rPr>
        <w:t>起草单位</w:t>
      </w:r>
      <w:r>
        <w:rPr>
          <w:rFonts w:hint="eastAsia"/>
          <w:sz w:val="24"/>
          <w:szCs w:val="24"/>
        </w:rPr>
        <w:t>根据征求的意见</w:t>
      </w:r>
      <w:r>
        <w:rPr>
          <w:sz w:val="24"/>
          <w:szCs w:val="24"/>
        </w:rPr>
        <w:t>，对</w:t>
      </w:r>
      <w:r>
        <w:rPr>
          <w:rFonts w:hint="eastAsia"/>
          <w:sz w:val="24"/>
          <w:szCs w:val="24"/>
        </w:rPr>
        <w:t>标准草案作</w:t>
      </w:r>
      <w:r>
        <w:rPr>
          <w:sz w:val="24"/>
          <w:szCs w:val="24"/>
        </w:rPr>
        <w:t>了</w:t>
      </w:r>
      <w:r>
        <w:rPr>
          <w:rFonts w:hint="eastAsia"/>
          <w:sz w:val="24"/>
          <w:szCs w:val="24"/>
        </w:rPr>
        <w:t>认真的</w:t>
      </w:r>
      <w:r>
        <w:rPr>
          <w:sz w:val="24"/>
          <w:szCs w:val="24"/>
        </w:rPr>
        <w:t>修改，形成</w:t>
      </w:r>
      <w:r>
        <w:rPr>
          <w:rFonts w:hint="eastAsia"/>
          <w:sz w:val="24"/>
          <w:szCs w:val="24"/>
        </w:rPr>
        <w:t>预审</w:t>
      </w:r>
      <w:r>
        <w:rPr>
          <w:sz w:val="24"/>
          <w:szCs w:val="24"/>
        </w:rPr>
        <w:t>稿</w:t>
      </w:r>
      <w:r>
        <w:rPr>
          <w:rFonts w:hint="eastAsia"/>
          <w:sz w:val="24"/>
          <w:szCs w:val="24"/>
        </w:rPr>
        <w:t>。征求的意见及对标准的修改见征求意见汇总表。</w:t>
      </w:r>
    </w:p>
    <w:p>
      <w:pPr>
        <w:tabs>
          <w:tab w:val="left" w:pos="522"/>
        </w:tabs>
        <w:adjustRightInd w:val="0"/>
        <w:snapToGrid w:val="0"/>
        <w:spacing w:beforeLines="50" w:afterLines="50" w:line="360" w:lineRule="auto"/>
        <w:jc w:val="left"/>
        <w:outlineLvl w:val="0"/>
        <w:rPr>
          <w:rFonts w:eastAsia="黑体"/>
          <w:sz w:val="24"/>
          <w:szCs w:val="24"/>
        </w:rPr>
      </w:pPr>
      <w:r>
        <w:rPr>
          <w:rFonts w:eastAsia="黑体"/>
          <w:sz w:val="24"/>
          <w:szCs w:val="24"/>
        </w:rPr>
        <w:t>二、编制原则和依据及标准主要内容</w:t>
      </w:r>
    </w:p>
    <w:p>
      <w:pPr>
        <w:adjustRightInd w:val="0"/>
        <w:snapToGrid w:val="0"/>
        <w:spacing w:line="360" w:lineRule="auto"/>
        <w:outlineLvl w:val="0"/>
        <w:rPr>
          <w:rFonts w:eastAsia="黑体"/>
          <w:sz w:val="24"/>
          <w:szCs w:val="24"/>
        </w:rPr>
      </w:pPr>
      <w:r>
        <w:rPr>
          <w:rFonts w:eastAsia="黑体"/>
          <w:sz w:val="24"/>
          <w:szCs w:val="24"/>
        </w:rPr>
        <w:t>2.1 编制原则和依据</w:t>
      </w:r>
    </w:p>
    <w:p>
      <w:pPr>
        <w:adjustRightInd w:val="0"/>
        <w:snapToGrid w:val="0"/>
        <w:spacing w:line="360" w:lineRule="auto"/>
        <w:ind w:firstLine="480" w:firstLineChars="200"/>
        <w:rPr>
          <w:sz w:val="24"/>
          <w:szCs w:val="24"/>
        </w:rPr>
      </w:pPr>
      <w:r>
        <w:rPr>
          <w:sz w:val="24"/>
          <w:szCs w:val="24"/>
        </w:rPr>
        <w:t>标准负责起草单位在任务落实会上广泛地征求了与会专家和代表的意见，确定了修订的方案；确定了标准起草原则、主要内容框架和依据：</w:t>
      </w:r>
    </w:p>
    <w:p>
      <w:pPr>
        <w:pStyle w:val="38"/>
        <w:numPr>
          <w:ilvl w:val="0"/>
          <w:numId w:val="2"/>
        </w:numPr>
        <w:adjustRightInd w:val="0"/>
        <w:snapToGrid w:val="0"/>
        <w:spacing w:line="360" w:lineRule="auto"/>
        <w:ind w:firstLineChars="0"/>
        <w:rPr>
          <w:rFonts w:ascii="Times New Roman" w:hAnsi="Times New Roman"/>
          <w:sz w:val="24"/>
          <w:szCs w:val="24"/>
        </w:rPr>
      </w:pPr>
      <w:r>
        <w:rPr>
          <w:rFonts w:ascii="Times New Roman" w:hAnsi="Times New Roman"/>
          <w:sz w:val="24"/>
          <w:szCs w:val="24"/>
        </w:rPr>
        <w:t>依据国家相关的法律、法规；</w:t>
      </w:r>
    </w:p>
    <w:p>
      <w:pPr>
        <w:pStyle w:val="38"/>
        <w:numPr>
          <w:ilvl w:val="0"/>
          <w:numId w:val="2"/>
        </w:numPr>
        <w:adjustRightInd w:val="0"/>
        <w:snapToGrid w:val="0"/>
        <w:spacing w:line="360" w:lineRule="auto"/>
        <w:ind w:firstLineChars="0"/>
        <w:rPr>
          <w:rFonts w:ascii="Times New Roman" w:hAnsi="Times New Roman"/>
          <w:sz w:val="24"/>
          <w:szCs w:val="24"/>
        </w:rPr>
      </w:pPr>
      <w:r>
        <w:rPr>
          <w:rFonts w:ascii="Times New Roman" w:hAnsi="Times New Roman"/>
          <w:sz w:val="24"/>
          <w:szCs w:val="24"/>
        </w:rPr>
        <w:t>查询相关标准和收集国内外客户的相关技术要求，积极向相关国际标准、世界领头企业的技术标准要求靠拢，做到标准的先进性；</w:t>
      </w:r>
    </w:p>
    <w:p>
      <w:pPr>
        <w:pStyle w:val="38"/>
        <w:numPr>
          <w:ilvl w:val="0"/>
          <w:numId w:val="2"/>
        </w:numPr>
        <w:adjustRightInd w:val="0"/>
        <w:snapToGrid w:val="0"/>
        <w:spacing w:line="360" w:lineRule="auto"/>
        <w:ind w:firstLineChars="0"/>
        <w:rPr>
          <w:rFonts w:ascii="Times New Roman" w:hAnsi="Times New Roman"/>
          <w:sz w:val="24"/>
          <w:szCs w:val="24"/>
        </w:rPr>
      </w:pPr>
      <w:r>
        <w:rPr>
          <w:rFonts w:ascii="Times New Roman" w:hAnsi="Times New Roman"/>
          <w:sz w:val="24"/>
          <w:szCs w:val="24"/>
        </w:rPr>
        <w:t>根据目前国内高纯金属</w:t>
      </w:r>
      <w:r>
        <w:rPr>
          <w:rFonts w:hint="eastAsia" w:ascii="Times New Roman" w:hAnsi="Times New Roman"/>
          <w:sz w:val="24"/>
          <w:szCs w:val="24"/>
        </w:rPr>
        <w:t>镱</w:t>
      </w:r>
      <w:r>
        <w:rPr>
          <w:rFonts w:ascii="Times New Roman" w:hAnsi="Times New Roman"/>
          <w:sz w:val="24"/>
          <w:szCs w:val="24"/>
        </w:rPr>
        <w:t>生产企业的具体情况及技术水平，结合用户的要求及应用技术的发展趋势，力求做到标准的合理性、实用性，与时俱进；</w:t>
      </w:r>
    </w:p>
    <w:p>
      <w:pPr>
        <w:pStyle w:val="38"/>
        <w:numPr>
          <w:ilvl w:val="0"/>
          <w:numId w:val="2"/>
        </w:numPr>
        <w:adjustRightInd w:val="0"/>
        <w:snapToGrid w:val="0"/>
        <w:spacing w:line="360" w:lineRule="auto"/>
        <w:ind w:firstLineChars="0"/>
        <w:rPr>
          <w:rFonts w:ascii="Times New Roman" w:hAnsi="Times New Roman"/>
          <w:sz w:val="24"/>
          <w:szCs w:val="24"/>
        </w:rPr>
      </w:pPr>
      <w:r>
        <w:rPr>
          <w:rFonts w:hint="eastAsia" w:ascii="Times New Roman" w:hAnsi="Times New Roman"/>
          <w:sz w:val="24"/>
          <w:szCs w:val="24"/>
        </w:rPr>
        <w:t>按照</w:t>
      </w:r>
      <w:r>
        <w:rPr>
          <w:rFonts w:ascii="Times New Roman" w:hAnsi="Times New Roman"/>
          <w:sz w:val="24"/>
          <w:szCs w:val="24"/>
        </w:rPr>
        <w:t>GB/T 1.1，稀土标准和国家标准编写示例的要求进行格式和结构编写。</w:t>
      </w:r>
    </w:p>
    <w:p>
      <w:pPr>
        <w:adjustRightInd w:val="0"/>
        <w:snapToGrid w:val="0"/>
        <w:spacing w:line="360" w:lineRule="auto"/>
        <w:outlineLvl w:val="0"/>
        <w:rPr>
          <w:rFonts w:eastAsia="黑体"/>
          <w:sz w:val="24"/>
          <w:szCs w:val="24"/>
        </w:rPr>
      </w:pPr>
      <w:r>
        <w:rPr>
          <w:rFonts w:eastAsia="黑体"/>
          <w:sz w:val="24"/>
          <w:szCs w:val="24"/>
        </w:rPr>
        <w:t>2.2 标准主要内容</w:t>
      </w:r>
    </w:p>
    <w:p>
      <w:pPr>
        <w:spacing w:line="360" w:lineRule="auto"/>
        <w:ind w:firstLine="480" w:firstLineChars="200"/>
        <w:rPr>
          <w:sz w:val="24"/>
          <w:szCs w:val="24"/>
        </w:rPr>
      </w:pPr>
      <w:r>
        <w:rPr>
          <w:sz w:val="24"/>
          <w:szCs w:val="24"/>
        </w:rPr>
        <w:t>本标准产品分类主要按产品</w:t>
      </w:r>
      <w:r>
        <w:rPr>
          <w:rFonts w:hint="eastAsia"/>
          <w:sz w:val="24"/>
          <w:szCs w:val="24"/>
        </w:rPr>
        <w:t>绝对纯度</w:t>
      </w:r>
      <w:r>
        <w:rPr>
          <w:sz w:val="24"/>
          <w:szCs w:val="24"/>
        </w:rPr>
        <w:t>为依据</w:t>
      </w:r>
      <w:r>
        <w:rPr>
          <w:rFonts w:hint="eastAsia"/>
          <w:sz w:val="24"/>
          <w:szCs w:val="24"/>
        </w:rPr>
        <w:t>规定</w:t>
      </w:r>
      <w:r>
        <w:rPr>
          <w:sz w:val="24"/>
          <w:szCs w:val="24"/>
        </w:rPr>
        <w:t>分为五个牌号，分别适用于不同性能</w:t>
      </w:r>
      <w:r>
        <w:rPr>
          <w:rFonts w:hint="eastAsia"/>
          <w:sz w:val="24"/>
          <w:szCs w:val="24"/>
        </w:rPr>
        <w:t>集成电路用栅介质材料</w:t>
      </w:r>
      <w:r>
        <w:rPr>
          <w:sz w:val="24"/>
          <w:szCs w:val="24"/>
        </w:rPr>
        <w:t>、</w:t>
      </w:r>
      <w:r>
        <w:rPr>
          <w:rFonts w:hint="eastAsia"/>
          <w:sz w:val="24"/>
          <w:szCs w:val="24"/>
        </w:rPr>
        <w:t>重费米子超导材料</w:t>
      </w:r>
      <w:r>
        <w:rPr>
          <w:sz w:val="24"/>
          <w:szCs w:val="24"/>
        </w:rPr>
        <w:t>材、</w:t>
      </w:r>
      <w:r>
        <w:rPr>
          <w:rFonts w:hint="eastAsia"/>
          <w:sz w:val="24"/>
          <w:szCs w:val="24"/>
        </w:rPr>
        <w:t>OLED显示</w:t>
      </w:r>
      <w:r>
        <w:rPr>
          <w:sz w:val="24"/>
          <w:szCs w:val="24"/>
        </w:rPr>
        <w:t>等的使用范围。这种分类是应调研时生产厂家和用户要求划分的。本标准的分类旨在为生产、使用方提出最佳建议，拟达到效率最大化。</w:t>
      </w:r>
      <w:r>
        <w:rPr>
          <w:rFonts w:hint="eastAsia"/>
          <w:sz w:val="24"/>
          <w:szCs w:val="24"/>
        </w:rPr>
        <w:t>这种分类有利技术创新以便使用中发现不同牌号产品的其他有益功能。</w:t>
      </w:r>
    </w:p>
    <w:p>
      <w:pPr>
        <w:spacing w:line="360" w:lineRule="auto"/>
        <w:ind w:firstLine="480" w:firstLineChars="200"/>
        <w:rPr>
          <w:sz w:val="24"/>
          <w:szCs w:val="24"/>
        </w:rPr>
      </w:pPr>
      <w:r>
        <w:rPr>
          <w:sz w:val="24"/>
          <w:szCs w:val="24"/>
        </w:rPr>
        <w:t>本标准技术指标按各高纯</w:t>
      </w:r>
      <w:r>
        <w:rPr>
          <w:rFonts w:hint="eastAsia"/>
          <w:sz w:val="24"/>
          <w:szCs w:val="24"/>
        </w:rPr>
        <w:t>镱</w:t>
      </w:r>
      <w:r>
        <w:rPr>
          <w:sz w:val="24"/>
          <w:szCs w:val="24"/>
        </w:rPr>
        <w:t>生产单位的习惯与用户使用要求化繁就简，抓主要关键指标，以追求经济合理性和可操作性。</w:t>
      </w:r>
    </w:p>
    <w:p>
      <w:pPr>
        <w:spacing w:line="360" w:lineRule="auto"/>
        <w:ind w:firstLine="480" w:firstLineChars="200"/>
        <w:rPr>
          <w:sz w:val="24"/>
          <w:szCs w:val="24"/>
        </w:rPr>
      </w:pPr>
      <w:r>
        <w:rPr>
          <w:sz w:val="24"/>
          <w:szCs w:val="24"/>
        </w:rPr>
        <w:t>根据市场的要求，化学成分表中除了对</w:t>
      </w:r>
      <w:r>
        <w:rPr>
          <w:rFonts w:hint="eastAsia"/>
          <w:sz w:val="24"/>
          <w:szCs w:val="24"/>
        </w:rPr>
        <w:t>Yb、</w:t>
      </w:r>
      <w:r>
        <w:rPr>
          <w:sz w:val="24"/>
          <w:szCs w:val="24"/>
        </w:rPr>
        <w:t>稀土杂质的指标作了规定，还对非稀土杂质Fe、Si、Ca、Mg、Al、Ni、Ti、Mn、Zn、Pd、Cu</w:t>
      </w:r>
      <w:r>
        <w:rPr>
          <w:rFonts w:hint="eastAsia"/>
          <w:sz w:val="24"/>
          <w:szCs w:val="24"/>
        </w:rPr>
        <w:t>、</w:t>
      </w:r>
      <w:r>
        <w:rPr>
          <w:sz w:val="24"/>
          <w:szCs w:val="24"/>
        </w:rPr>
        <w:t>C、O、N、Cl、（Ta，</w:t>
      </w:r>
      <w:r>
        <w:rPr>
          <w:rFonts w:hint="eastAsia"/>
          <w:sz w:val="24"/>
          <w:szCs w:val="24"/>
        </w:rPr>
        <w:t>Nb</w:t>
      </w:r>
      <w:r>
        <w:rPr>
          <w:sz w:val="24"/>
          <w:szCs w:val="24"/>
        </w:rPr>
        <w:t>，Mo和W合量）等关键性杂质做了规定。</w:t>
      </w:r>
    </w:p>
    <w:p>
      <w:pPr>
        <w:tabs>
          <w:tab w:val="left" w:pos="522"/>
        </w:tabs>
        <w:adjustRightInd w:val="0"/>
        <w:snapToGrid w:val="0"/>
        <w:spacing w:beforeLines="50" w:afterLines="50" w:line="360" w:lineRule="auto"/>
        <w:jc w:val="left"/>
        <w:outlineLvl w:val="0"/>
        <w:rPr>
          <w:rFonts w:eastAsia="黑体"/>
          <w:sz w:val="24"/>
          <w:szCs w:val="24"/>
        </w:rPr>
      </w:pPr>
      <w:r>
        <w:rPr>
          <w:rFonts w:eastAsia="黑体"/>
          <w:sz w:val="24"/>
          <w:szCs w:val="24"/>
        </w:rPr>
        <w:t>三、主要技术内容说明</w:t>
      </w:r>
    </w:p>
    <w:p>
      <w:pPr>
        <w:adjustRightInd w:val="0"/>
        <w:snapToGrid w:val="0"/>
        <w:spacing w:line="360" w:lineRule="auto"/>
        <w:ind w:firstLine="424" w:firstLineChars="177"/>
        <w:rPr>
          <w:sz w:val="24"/>
          <w:szCs w:val="24"/>
        </w:rPr>
      </w:pPr>
      <w:r>
        <w:rPr>
          <w:rFonts w:hint="eastAsia"/>
          <w:sz w:val="24"/>
          <w:szCs w:val="24"/>
        </w:rPr>
        <w:t>本标准术语首次制定，从以下条款做出了规定。</w:t>
      </w:r>
    </w:p>
    <w:p>
      <w:pPr>
        <w:adjustRightInd w:val="0"/>
        <w:snapToGrid w:val="0"/>
        <w:spacing w:line="360" w:lineRule="auto"/>
        <w:ind w:left="850" w:leftChars="204" w:hanging="422" w:hangingChars="176"/>
        <w:outlineLvl w:val="0"/>
        <w:rPr>
          <w:sz w:val="24"/>
          <w:szCs w:val="24"/>
        </w:rPr>
      </w:pPr>
      <w:r>
        <w:rPr>
          <w:rFonts w:hint="eastAsia"/>
          <w:sz w:val="24"/>
          <w:szCs w:val="24"/>
        </w:rPr>
        <w:t>1、范围</w:t>
      </w:r>
    </w:p>
    <w:p>
      <w:pPr>
        <w:adjustRightInd w:val="0"/>
        <w:snapToGrid w:val="0"/>
        <w:spacing w:line="360" w:lineRule="auto"/>
        <w:ind w:firstLine="424" w:firstLineChars="177"/>
        <w:rPr>
          <w:sz w:val="24"/>
          <w:szCs w:val="24"/>
        </w:rPr>
      </w:pPr>
      <w:r>
        <w:rPr>
          <w:rFonts w:hint="eastAsia"/>
          <w:sz w:val="24"/>
          <w:szCs w:val="24"/>
        </w:rPr>
        <w:t>本标准规定了高纯金属镱产品的</w:t>
      </w:r>
      <w:r>
        <w:rPr>
          <w:sz w:val="24"/>
          <w:szCs w:val="24"/>
        </w:rPr>
        <w:t>要求、试验方法、检验规则和标志、包装、运输、贮存及质量证明书。</w:t>
      </w:r>
    </w:p>
    <w:p>
      <w:pPr>
        <w:adjustRightInd w:val="0"/>
        <w:snapToGrid w:val="0"/>
        <w:spacing w:line="360" w:lineRule="auto"/>
        <w:ind w:firstLine="424" w:firstLineChars="177"/>
        <w:rPr>
          <w:sz w:val="24"/>
          <w:szCs w:val="24"/>
        </w:rPr>
      </w:pPr>
      <w:r>
        <w:rPr>
          <w:rFonts w:hint="eastAsia"/>
          <w:sz w:val="24"/>
          <w:szCs w:val="24"/>
        </w:rPr>
        <w:t>本标准适用于真空</w:t>
      </w:r>
      <w:r>
        <w:rPr>
          <w:sz w:val="24"/>
          <w:szCs w:val="24"/>
        </w:rPr>
        <w:t>还原-蒸馏法、真空蒸馏</w:t>
      </w:r>
      <w:r>
        <w:rPr>
          <w:rFonts w:hint="eastAsia"/>
          <w:sz w:val="24"/>
          <w:szCs w:val="24"/>
        </w:rPr>
        <w:t>/升华</w:t>
      </w:r>
      <w:r>
        <w:rPr>
          <w:sz w:val="24"/>
          <w:szCs w:val="24"/>
        </w:rPr>
        <w:t>法制得的高纯金属镱</w:t>
      </w:r>
      <w:r>
        <w:rPr>
          <w:rFonts w:hint="eastAsia"/>
          <w:sz w:val="24"/>
          <w:szCs w:val="24"/>
        </w:rPr>
        <w:t>。</w:t>
      </w:r>
    </w:p>
    <w:p>
      <w:pPr>
        <w:adjustRightInd w:val="0"/>
        <w:snapToGrid w:val="0"/>
        <w:spacing w:line="360" w:lineRule="auto"/>
        <w:ind w:left="850" w:leftChars="204" w:hanging="422" w:hangingChars="176"/>
        <w:outlineLvl w:val="0"/>
        <w:rPr>
          <w:sz w:val="24"/>
          <w:szCs w:val="24"/>
        </w:rPr>
      </w:pPr>
      <w:r>
        <w:rPr>
          <w:rFonts w:hint="eastAsia"/>
          <w:sz w:val="24"/>
          <w:szCs w:val="24"/>
        </w:rPr>
        <w:t>2、规范性引用文件</w:t>
      </w:r>
    </w:p>
    <w:p>
      <w:pPr>
        <w:adjustRightInd w:val="0"/>
        <w:snapToGrid w:val="0"/>
        <w:spacing w:line="360" w:lineRule="auto"/>
        <w:ind w:left="1" w:firstLine="422" w:firstLineChars="176"/>
        <w:rPr>
          <w:sz w:val="24"/>
          <w:szCs w:val="24"/>
        </w:rPr>
      </w:pPr>
      <w:r>
        <w:rPr>
          <w:rFonts w:hint="eastAsia"/>
          <w:sz w:val="24"/>
          <w:szCs w:val="24"/>
        </w:rPr>
        <w:t>下列文件对于本文件的应用时必不可少的。凡是注明日期的引用文件，仅注日期的版本适用于本文件。凡是不注明日期的引用文件，其最新版本（包括所有的修改单）适用于本文件。</w:t>
      </w:r>
    </w:p>
    <w:p>
      <w:pPr>
        <w:adjustRightInd w:val="0"/>
        <w:snapToGrid w:val="0"/>
        <w:spacing w:line="360" w:lineRule="auto"/>
        <w:ind w:left="1" w:firstLine="422" w:firstLineChars="176"/>
        <w:rPr>
          <w:sz w:val="24"/>
          <w:szCs w:val="24"/>
        </w:rPr>
      </w:pPr>
      <w:r>
        <w:rPr>
          <w:rFonts w:hint="eastAsia"/>
          <w:sz w:val="24"/>
          <w:szCs w:val="24"/>
        </w:rPr>
        <w:t>GB/T 8170   数值修约规则与极限数值的表示与判定。</w:t>
      </w:r>
    </w:p>
    <w:p>
      <w:pPr>
        <w:adjustRightInd w:val="0"/>
        <w:snapToGrid w:val="0"/>
        <w:spacing w:line="360" w:lineRule="auto"/>
        <w:ind w:left="1" w:firstLine="422" w:firstLineChars="176"/>
        <w:rPr>
          <w:sz w:val="24"/>
          <w:szCs w:val="24"/>
        </w:rPr>
      </w:pPr>
      <w:r>
        <w:rPr>
          <w:rFonts w:hint="eastAsia"/>
          <w:sz w:val="24"/>
          <w:szCs w:val="24"/>
        </w:rPr>
        <w:t xml:space="preserve">GB/T 12690（所有部分） </w:t>
      </w:r>
      <w:r>
        <w:rPr>
          <w:sz w:val="24"/>
          <w:szCs w:val="24"/>
        </w:rPr>
        <w:t xml:space="preserve"> </w:t>
      </w:r>
      <w:r>
        <w:rPr>
          <w:rFonts w:hint="eastAsia"/>
          <w:sz w:val="24"/>
          <w:szCs w:val="24"/>
        </w:rPr>
        <w:t>稀土金属及其氧化物中飞稀土杂质化学分析方法</w:t>
      </w:r>
    </w:p>
    <w:p>
      <w:pPr>
        <w:adjustRightInd w:val="0"/>
        <w:snapToGrid w:val="0"/>
        <w:spacing w:line="360" w:lineRule="auto"/>
        <w:ind w:left="1" w:firstLine="422" w:firstLineChars="176"/>
        <w:rPr>
          <w:sz w:val="24"/>
          <w:szCs w:val="24"/>
        </w:rPr>
      </w:pPr>
      <w:r>
        <w:rPr>
          <w:rFonts w:hint="eastAsia"/>
          <w:sz w:val="24"/>
          <w:szCs w:val="24"/>
        </w:rPr>
        <w:t>GB/T 18115.14稀土金属及其氧化物中稀土杂质化学分析方法</w:t>
      </w:r>
      <w:r>
        <w:rPr>
          <w:sz w:val="24"/>
          <w:szCs w:val="24"/>
        </w:rPr>
        <w:t>镱中镧、铈、镨、钕、钐、铕、钆、铽、镝、钬、铒、铥、镥和钇量的测定</w:t>
      </w:r>
    </w:p>
    <w:p>
      <w:pPr>
        <w:adjustRightInd w:val="0"/>
        <w:snapToGrid w:val="0"/>
        <w:spacing w:line="360" w:lineRule="auto"/>
        <w:ind w:left="1" w:firstLine="422" w:firstLineChars="176"/>
        <w:rPr>
          <w:sz w:val="24"/>
          <w:szCs w:val="24"/>
        </w:rPr>
      </w:pPr>
      <w:r>
        <w:rPr>
          <w:rFonts w:hint="eastAsia"/>
          <w:sz w:val="24"/>
          <w:szCs w:val="24"/>
        </w:rPr>
        <w:t>GB/T 17803  稀土产品牌号表示方法</w:t>
      </w:r>
    </w:p>
    <w:p>
      <w:pPr>
        <w:adjustRightInd w:val="0"/>
        <w:snapToGrid w:val="0"/>
        <w:spacing w:line="360" w:lineRule="auto"/>
        <w:ind w:firstLine="480" w:firstLineChars="200"/>
        <w:outlineLvl w:val="0"/>
        <w:rPr>
          <w:sz w:val="24"/>
          <w:szCs w:val="24"/>
        </w:rPr>
      </w:pPr>
      <w:r>
        <w:rPr>
          <w:rFonts w:hint="eastAsia"/>
          <w:sz w:val="24"/>
          <w:szCs w:val="24"/>
        </w:rPr>
        <w:t>3、产品分类</w:t>
      </w:r>
    </w:p>
    <w:p>
      <w:pPr>
        <w:adjustRightInd w:val="0"/>
        <w:snapToGrid w:val="0"/>
        <w:spacing w:line="360" w:lineRule="auto"/>
        <w:ind w:left="1" w:firstLine="422" w:firstLineChars="176"/>
        <w:rPr>
          <w:sz w:val="24"/>
          <w:szCs w:val="24"/>
        </w:rPr>
      </w:pPr>
      <w:r>
        <w:rPr>
          <w:rFonts w:hint="eastAsia"/>
          <w:sz w:val="24"/>
          <w:szCs w:val="24"/>
        </w:rPr>
        <w:t>产品按化学成分分为H-Yb-4N</w:t>
      </w:r>
      <w:r>
        <w:rPr>
          <w:rFonts w:hint="eastAsia"/>
          <w:sz w:val="24"/>
          <w:szCs w:val="24"/>
          <w:vertAlign w:val="superscript"/>
        </w:rPr>
        <w:t>a</w:t>
      </w:r>
      <w:r>
        <w:rPr>
          <w:rFonts w:hint="eastAsia"/>
          <w:sz w:val="24"/>
          <w:szCs w:val="24"/>
        </w:rPr>
        <w:t>、H-Yb-3N</w:t>
      </w:r>
      <w:r>
        <w:rPr>
          <w:rFonts w:hint="eastAsia"/>
          <w:sz w:val="24"/>
          <w:szCs w:val="24"/>
          <w:vertAlign w:val="superscript"/>
        </w:rPr>
        <w:t>a</w:t>
      </w:r>
      <w:r>
        <w:rPr>
          <w:rFonts w:hint="eastAsia"/>
          <w:sz w:val="24"/>
          <w:szCs w:val="24"/>
        </w:rPr>
        <w:t>8、H-Yb-3N</w:t>
      </w:r>
      <w:r>
        <w:rPr>
          <w:rFonts w:hint="eastAsia"/>
          <w:sz w:val="24"/>
          <w:szCs w:val="24"/>
          <w:vertAlign w:val="superscript"/>
        </w:rPr>
        <w:t>a</w:t>
      </w:r>
      <w:r>
        <w:rPr>
          <w:rFonts w:hint="eastAsia"/>
          <w:sz w:val="24"/>
          <w:szCs w:val="24"/>
        </w:rPr>
        <w:t>5、H-Yb-3N</w:t>
      </w:r>
      <w:r>
        <w:rPr>
          <w:rFonts w:hint="eastAsia"/>
          <w:sz w:val="24"/>
          <w:szCs w:val="24"/>
          <w:vertAlign w:val="superscript"/>
        </w:rPr>
        <w:t>a</w:t>
      </w:r>
      <w:r>
        <w:rPr>
          <w:rFonts w:hint="eastAsia"/>
          <w:sz w:val="24"/>
          <w:szCs w:val="24"/>
        </w:rPr>
        <w:t>-A、H-Yb-3N</w:t>
      </w:r>
      <w:r>
        <w:rPr>
          <w:rFonts w:hint="eastAsia"/>
          <w:sz w:val="24"/>
          <w:szCs w:val="24"/>
          <w:vertAlign w:val="superscript"/>
        </w:rPr>
        <w:t>a</w:t>
      </w:r>
      <w:r>
        <w:rPr>
          <w:rFonts w:hint="eastAsia"/>
          <w:sz w:val="24"/>
          <w:szCs w:val="24"/>
        </w:rPr>
        <w:t>-B五个牌号。</w:t>
      </w:r>
    </w:p>
    <w:p>
      <w:pPr>
        <w:adjustRightInd w:val="0"/>
        <w:snapToGrid w:val="0"/>
        <w:spacing w:line="360" w:lineRule="auto"/>
        <w:ind w:left="1" w:firstLine="422" w:firstLineChars="176"/>
        <w:rPr>
          <w:sz w:val="24"/>
          <w:szCs w:val="24"/>
        </w:rPr>
      </w:pPr>
      <w:r>
        <w:rPr>
          <w:rFonts w:hint="eastAsia"/>
          <w:sz w:val="24"/>
          <w:szCs w:val="24"/>
        </w:rPr>
        <w:t>H-Yb-4N</w:t>
      </w:r>
      <w:r>
        <w:rPr>
          <w:rFonts w:hint="eastAsia"/>
          <w:sz w:val="24"/>
          <w:szCs w:val="24"/>
          <w:vertAlign w:val="superscript"/>
        </w:rPr>
        <w:t>a</w:t>
      </w:r>
      <w:r>
        <w:rPr>
          <w:rFonts w:hint="eastAsia"/>
          <w:sz w:val="24"/>
          <w:szCs w:val="24"/>
        </w:rPr>
        <w:t>牌号高纯金属镱：杂质合量不大于0.01%，其中：稀土杂质总和&lt;0.001%，Fe、Si、Al、Ni、Ti、Pb、Cu和Cl等杂质均不大于0.0005%，Ca、Mg、Mn和Zn等杂质均不大于0.001%，C、O和O合量不大于0.005%，</w:t>
      </w:r>
      <w:r>
        <w:rPr>
          <w:sz w:val="24"/>
          <w:szCs w:val="24"/>
        </w:rPr>
        <w:t>Ta、Nb、Mo和W的合量</w:t>
      </w:r>
      <w:r>
        <w:rPr>
          <w:rFonts w:hint="eastAsia"/>
          <w:sz w:val="24"/>
          <w:szCs w:val="24"/>
        </w:rPr>
        <w:t>不大于0.0005%。</w:t>
      </w:r>
    </w:p>
    <w:p>
      <w:pPr>
        <w:adjustRightInd w:val="0"/>
        <w:snapToGrid w:val="0"/>
        <w:spacing w:line="360" w:lineRule="auto"/>
        <w:ind w:left="1" w:firstLine="422" w:firstLineChars="176"/>
        <w:rPr>
          <w:sz w:val="24"/>
          <w:szCs w:val="24"/>
        </w:rPr>
      </w:pPr>
      <w:r>
        <w:rPr>
          <w:rFonts w:hint="eastAsia"/>
          <w:sz w:val="24"/>
          <w:szCs w:val="24"/>
        </w:rPr>
        <w:t>H-Yb-3N</w:t>
      </w:r>
      <w:r>
        <w:rPr>
          <w:rFonts w:hint="eastAsia"/>
          <w:sz w:val="24"/>
          <w:szCs w:val="24"/>
          <w:vertAlign w:val="superscript"/>
        </w:rPr>
        <w:t>a</w:t>
      </w:r>
      <w:r>
        <w:rPr>
          <w:rFonts w:hint="eastAsia"/>
          <w:sz w:val="24"/>
          <w:szCs w:val="24"/>
        </w:rPr>
        <w:t>8牌号高纯金属镱：杂质合量不大于0.02%，其中：稀土杂质总和&lt;0.002%，Ni、Ti、Pb和Cu等均不大于0.0005%，Al和Cl均不大于0.001%，Si不大于0.0015%， Fe、Ca、Mg、Mn和Zn均不大于0.002%，C、O和O合量不大于0.01%，</w:t>
      </w:r>
      <w:r>
        <w:rPr>
          <w:sz w:val="24"/>
          <w:szCs w:val="24"/>
        </w:rPr>
        <w:t>Ta、Nb、Mo和W的合量</w:t>
      </w:r>
      <w:r>
        <w:rPr>
          <w:rFonts w:hint="eastAsia"/>
          <w:sz w:val="24"/>
          <w:szCs w:val="24"/>
        </w:rPr>
        <w:t>不大于0.001%。</w:t>
      </w:r>
    </w:p>
    <w:p>
      <w:pPr>
        <w:adjustRightInd w:val="0"/>
        <w:snapToGrid w:val="0"/>
        <w:spacing w:line="360" w:lineRule="auto"/>
        <w:ind w:left="1" w:firstLine="422" w:firstLineChars="176"/>
        <w:rPr>
          <w:sz w:val="24"/>
          <w:szCs w:val="24"/>
        </w:rPr>
      </w:pPr>
      <w:r>
        <w:rPr>
          <w:rFonts w:hint="eastAsia"/>
          <w:sz w:val="24"/>
          <w:szCs w:val="24"/>
        </w:rPr>
        <w:t>H-Yb-3N</w:t>
      </w:r>
      <w:r>
        <w:rPr>
          <w:rFonts w:hint="eastAsia"/>
          <w:sz w:val="24"/>
          <w:szCs w:val="24"/>
          <w:vertAlign w:val="superscript"/>
        </w:rPr>
        <w:t>a</w:t>
      </w:r>
      <w:r>
        <w:rPr>
          <w:rFonts w:hint="eastAsia"/>
          <w:sz w:val="24"/>
          <w:szCs w:val="24"/>
        </w:rPr>
        <w:t>5牌号高纯金属镱：杂质合量不大于0.05%，其中：稀土杂质总和&lt;0.005%，Ni、Ti、Pb和Cu均不大于0.001%，Al不大于0.002%，Si、Mn和Zn等均不大于0.003%，Fe、Ca、Mg、Cl、C、O和C等均不大于0.005%，</w:t>
      </w:r>
      <w:r>
        <w:rPr>
          <w:sz w:val="24"/>
          <w:szCs w:val="24"/>
        </w:rPr>
        <w:t>Ta、Nb、Mo和W的合量</w:t>
      </w:r>
      <w:r>
        <w:rPr>
          <w:rFonts w:hint="eastAsia"/>
          <w:sz w:val="24"/>
          <w:szCs w:val="24"/>
        </w:rPr>
        <w:t>不大于0.002%。</w:t>
      </w:r>
    </w:p>
    <w:p>
      <w:pPr>
        <w:adjustRightInd w:val="0"/>
        <w:snapToGrid w:val="0"/>
        <w:spacing w:line="360" w:lineRule="auto"/>
        <w:ind w:left="1" w:firstLine="422" w:firstLineChars="176"/>
        <w:rPr>
          <w:sz w:val="24"/>
          <w:szCs w:val="24"/>
        </w:rPr>
      </w:pPr>
      <w:r>
        <w:rPr>
          <w:rFonts w:hint="eastAsia"/>
          <w:sz w:val="24"/>
          <w:szCs w:val="24"/>
        </w:rPr>
        <w:t>H-Yb-3N</w:t>
      </w:r>
      <w:r>
        <w:rPr>
          <w:rFonts w:hint="eastAsia"/>
          <w:sz w:val="24"/>
          <w:szCs w:val="24"/>
          <w:vertAlign w:val="superscript"/>
        </w:rPr>
        <w:t>a</w:t>
      </w:r>
      <w:r>
        <w:rPr>
          <w:rFonts w:hint="eastAsia"/>
          <w:sz w:val="24"/>
          <w:szCs w:val="24"/>
        </w:rPr>
        <w:t>-A牌号高纯金属镱：杂质合量不大于0.1%，其中：稀土杂质总和&lt;0.005%，Si和Al均不大于0.005%，Ni、Ti、Pb和Cu等均不大于0.002%，Fe、Ca、Mg、C、 O、C和Cl均不大于0.01%，</w:t>
      </w:r>
      <w:r>
        <w:rPr>
          <w:sz w:val="24"/>
          <w:szCs w:val="24"/>
        </w:rPr>
        <w:t>Ta、Nb、Mo和W的合量</w:t>
      </w:r>
      <w:r>
        <w:rPr>
          <w:rFonts w:hint="eastAsia"/>
          <w:sz w:val="24"/>
          <w:szCs w:val="24"/>
        </w:rPr>
        <w:t>不大于0.002%。</w:t>
      </w:r>
    </w:p>
    <w:p>
      <w:pPr>
        <w:adjustRightInd w:val="0"/>
        <w:snapToGrid w:val="0"/>
        <w:spacing w:line="360" w:lineRule="auto"/>
        <w:ind w:left="1" w:firstLine="422" w:firstLineChars="176"/>
        <w:rPr>
          <w:sz w:val="24"/>
          <w:szCs w:val="24"/>
        </w:rPr>
      </w:pPr>
      <w:r>
        <w:rPr>
          <w:rFonts w:hint="eastAsia"/>
          <w:sz w:val="24"/>
          <w:szCs w:val="24"/>
        </w:rPr>
        <w:t>H-Yb-3N</w:t>
      </w:r>
      <w:r>
        <w:rPr>
          <w:rFonts w:hint="eastAsia"/>
          <w:sz w:val="24"/>
          <w:szCs w:val="24"/>
          <w:vertAlign w:val="superscript"/>
        </w:rPr>
        <w:t>a</w:t>
      </w:r>
      <w:r>
        <w:rPr>
          <w:rFonts w:hint="eastAsia"/>
          <w:sz w:val="24"/>
          <w:szCs w:val="24"/>
        </w:rPr>
        <w:t>-B牌号高纯金属镱：杂质合量不大于0.1%，其中：稀土杂质总和&lt;0.01%，O不大于0.02%，其他杂质指标与 H-Yb-3N</w:t>
      </w:r>
      <w:r>
        <w:rPr>
          <w:rFonts w:hint="eastAsia"/>
          <w:sz w:val="24"/>
          <w:szCs w:val="24"/>
          <w:vertAlign w:val="superscript"/>
        </w:rPr>
        <w:t>a</w:t>
      </w:r>
      <w:r>
        <w:rPr>
          <w:rFonts w:hint="eastAsia"/>
          <w:sz w:val="24"/>
          <w:szCs w:val="24"/>
        </w:rPr>
        <w:t>-A牌号高纯金属镱相同。</w:t>
      </w:r>
    </w:p>
    <w:p>
      <w:pPr>
        <w:adjustRightInd w:val="0"/>
        <w:snapToGrid w:val="0"/>
        <w:spacing w:line="360" w:lineRule="auto"/>
        <w:ind w:firstLine="480" w:firstLineChars="200"/>
        <w:outlineLvl w:val="0"/>
        <w:rPr>
          <w:sz w:val="24"/>
          <w:szCs w:val="24"/>
        </w:rPr>
      </w:pPr>
      <w:r>
        <w:rPr>
          <w:rFonts w:hint="eastAsia"/>
          <w:sz w:val="24"/>
          <w:szCs w:val="24"/>
        </w:rPr>
        <w:t>4、化学成分及检测</w:t>
      </w:r>
    </w:p>
    <w:p>
      <w:pPr>
        <w:adjustRightInd w:val="0"/>
        <w:snapToGrid w:val="0"/>
        <w:spacing w:line="360" w:lineRule="auto"/>
        <w:ind w:left="2" w:firstLine="422" w:firstLineChars="176"/>
        <w:rPr>
          <w:sz w:val="24"/>
          <w:szCs w:val="24"/>
        </w:rPr>
      </w:pPr>
      <w:r>
        <w:rPr>
          <w:rFonts w:hint="eastAsia"/>
          <w:sz w:val="24"/>
          <w:szCs w:val="24"/>
        </w:rPr>
        <w:t>化学成分表中除了对稀土杂质总量指标做了规定，还对Fe、Si、Ca、Al、Ni等19种杂质指标进行规定，包括C、N、O等气体杂质，并去规定了高纯金属镱绝对纯度的计算方法。</w:t>
      </w:r>
    </w:p>
    <w:p>
      <w:pPr>
        <w:adjustRightInd w:val="0"/>
        <w:snapToGrid w:val="0"/>
        <w:spacing w:line="360" w:lineRule="auto"/>
        <w:ind w:firstLine="427" w:firstLineChars="178"/>
        <w:outlineLvl w:val="0"/>
        <w:rPr>
          <w:sz w:val="24"/>
          <w:szCs w:val="24"/>
        </w:rPr>
      </w:pPr>
      <w:r>
        <w:rPr>
          <w:rFonts w:hint="eastAsia"/>
          <w:sz w:val="24"/>
          <w:szCs w:val="24"/>
        </w:rPr>
        <w:t>产品的状态为丝状或块状银白色金属，表面洁净，目视无可见夹杂物。</w:t>
      </w:r>
    </w:p>
    <w:p>
      <w:pPr>
        <w:adjustRightInd w:val="0"/>
        <w:snapToGrid w:val="0"/>
        <w:spacing w:line="360" w:lineRule="auto"/>
        <w:ind w:firstLine="427" w:firstLineChars="178"/>
        <w:outlineLvl w:val="0"/>
        <w:rPr>
          <w:sz w:val="24"/>
          <w:szCs w:val="24"/>
        </w:rPr>
      </w:pPr>
      <w:r>
        <w:rPr>
          <w:rFonts w:hint="eastAsia"/>
          <w:sz w:val="24"/>
          <w:szCs w:val="24"/>
        </w:rPr>
        <w:t>产品中稀土杂质和非稀土杂质含量的分析方法按照</w:t>
      </w:r>
      <w:r>
        <w:rPr>
          <w:sz w:val="24"/>
          <w:szCs w:val="24"/>
        </w:rPr>
        <w:t>GB/T 18115.9</w:t>
      </w:r>
      <w:r>
        <w:rPr>
          <w:rFonts w:hint="eastAsia"/>
          <w:sz w:val="24"/>
          <w:szCs w:val="24"/>
        </w:rPr>
        <w:t>、</w:t>
      </w:r>
      <w:r>
        <w:rPr>
          <w:sz w:val="24"/>
          <w:szCs w:val="24"/>
        </w:rPr>
        <w:t>GB/T 12690</w:t>
      </w:r>
      <w:r>
        <w:rPr>
          <w:rFonts w:hint="eastAsia"/>
          <w:sz w:val="24"/>
          <w:szCs w:val="24"/>
        </w:rPr>
        <w:t>和</w:t>
      </w:r>
      <w:r>
        <w:rPr>
          <w:rFonts w:hint="eastAsia" w:hAnsi="宋体"/>
        </w:rPr>
        <w:t>“</w:t>
      </w:r>
      <w:r>
        <w:rPr>
          <w:rFonts w:hAnsi="宋体"/>
        </w:rPr>
        <w:t xml:space="preserve">XB/T XXX-20XX </w:t>
      </w:r>
      <w:r>
        <w:rPr>
          <w:rFonts w:hint="eastAsia" w:hAnsi="宋体"/>
        </w:rPr>
        <w:t>高纯稀土金属化学分析方法痕量元素含量的测定</w:t>
      </w:r>
      <w:r>
        <w:rPr>
          <w:rFonts w:hAnsi="宋体"/>
        </w:rPr>
        <w:t xml:space="preserve"> </w:t>
      </w:r>
      <w:r>
        <w:rPr>
          <w:rFonts w:hint="eastAsia" w:hAnsi="宋体"/>
        </w:rPr>
        <w:t>辉光放电质谱法”</w:t>
      </w:r>
      <w:r>
        <w:rPr>
          <w:rFonts w:hint="eastAsia"/>
          <w:sz w:val="24"/>
          <w:szCs w:val="24"/>
        </w:rPr>
        <w:t>的规定进行。</w:t>
      </w:r>
    </w:p>
    <w:p>
      <w:pPr>
        <w:adjustRightInd w:val="0"/>
        <w:snapToGrid w:val="0"/>
        <w:spacing w:line="360" w:lineRule="auto"/>
        <w:ind w:firstLine="480" w:firstLineChars="200"/>
        <w:outlineLvl w:val="0"/>
        <w:rPr>
          <w:sz w:val="24"/>
          <w:szCs w:val="24"/>
        </w:rPr>
      </w:pPr>
      <w:r>
        <w:rPr>
          <w:rFonts w:hint="eastAsia"/>
          <w:sz w:val="24"/>
          <w:szCs w:val="24"/>
        </w:rPr>
        <w:t>5、取制样</w:t>
      </w:r>
    </w:p>
    <w:p>
      <w:pPr>
        <w:adjustRightInd w:val="0"/>
        <w:snapToGrid w:val="0"/>
        <w:spacing w:line="360" w:lineRule="auto"/>
        <w:ind w:firstLine="427" w:firstLineChars="178"/>
        <w:outlineLvl w:val="0"/>
        <w:rPr>
          <w:sz w:val="24"/>
          <w:szCs w:val="24"/>
        </w:rPr>
      </w:pPr>
      <w:bookmarkStart w:id="0" w:name="_Hlk496202286"/>
      <w:r>
        <w:rPr>
          <w:rFonts w:hint="eastAsia"/>
          <w:sz w:val="24"/>
          <w:szCs w:val="24"/>
        </w:rPr>
        <w:t>5.1产品的取样数量按表1的规定进行。</w:t>
      </w:r>
    </w:p>
    <w:p>
      <w:pPr>
        <w:spacing w:beforeLines="50" w:afterLines="5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产品的取样数量</w:t>
      </w:r>
    </w:p>
    <w:tbl>
      <w:tblPr>
        <w:tblStyle w:val="13"/>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2"/>
        <w:gridCol w:w="742"/>
        <w:gridCol w:w="1100"/>
        <w:gridCol w:w="1216"/>
        <w:gridCol w:w="1330"/>
        <w:gridCol w:w="1330"/>
        <w:gridCol w:w="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952" w:type="dxa"/>
            <w:tcBorders>
              <w:right w:val="single" w:color="auto" w:sz="12" w:space="0"/>
            </w:tcBorders>
            <w:vAlign w:val="center"/>
          </w:tcPr>
          <w:p>
            <w:pPr>
              <w:ind w:firstLine="180" w:firstLineChars="100"/>
              <w:rPr>
                <w:sz w:val="18"/>
              </w:rPr>
            </w:pPr>
            <w:r>
              <w:rPr>
                <w:rFonts w:hint="eastAsia"/>
                <w:sz w:val="18"/>
              </w:rPr>
              <w:t>每批重量</w:t>
            </w:r>
            <w:r>
              <w:rPr>
                <w:sz w:val="18"/>
              </w:rPr>
              <w:t xml:space="preserve"> / kg</w:t>
            </w:r>
          </w:p>
        </w:tc>
        <w:tc>
          <w:tcPr>
            <w:tcW w:w="742" w:type="dxa"/>
            <w:tcBorders>
              <w:left w:val="single" w:color="auto" w:sz="12" w:space="0"/>
            </w:tcBorders>
            <w:vAlign w:val="center"/>
          </w:tcPr>
          <w:p>
            <w:pPr>
              <w:jc w:val="center"/>
              <w:rPr>
                <w:sz w:val="18"/>
              </w:rPr>
            </w:pPr>
            <w:r>
              <w:rPr>
                <w:rFonts w:hint="eastAsia"/>
                <w:sz w:val="18"/>
              </w:rPr>
              <w:t>≤</w:t>
            </w:r>
            <w:r>
              <w:rPr>
                <w:sz w:val="18"/>
              </w:rPr>
              <w:t xml:space="preserve">10 </w:t>
            </w:r>
          </w:p>
        </w:tc>
        <w:tc>
          <w:tcPr>
            <w:tcW w:w="1100" w:type="dxa"/>
            <w:vAlign w:val="center"/>
          </w:tcPr>
          <w:p>
            <w:pPr>
              <w:jc w:val="center"/>
              <w:rPr>
                <w:sz w:val="18"/>
              </w:rPr>
            </w:pPr>
            <w:r>
              <w:rPr>
                <w:rFonts w:hint="eastAsia"/>
                <w:sz w:val="18"/>
              </w:rPr>
              <w:t>＞</w:t>
            </w:r>
            <w:r>
              <w:rPr>
                <w:sz w:val="18"/>
              </w:rPr>
              <w:t>10～50</w:t>
            </w:r>
          </w:p>
        </w:tc>
        <w:tc>
          <w:tcPr>
            <w:tcW w:w="1216" w:type="dxa"/>
            <w:vAlign w:val="center"/>
          </w:tcPr>
          <w:p>
            <w:pPr>
              <w:jc w:val="center"/>
              <w:rPr>
                <w:sz w:val="18"/>
              </w:rPr>
            </w:pPr>
            <w:r>
              <w:rPr>
                <w:rFonts w:hint="eastAsia"/>
                <w:sz w:val="18"/>
              </w:rPr>
              <w:t>＞</w:t>
            </w:r>
            <w:r>
              <w:rPr>
                <w:sz w:val="18"/>
              </w:rPr>
              <w:t>50～100</w:t>
            </w:r>
          </w:p>
        </w:tc>
        <w:tc>
          <w:tcPr>
            <w:tcW w:w="1330" w:type="dxa"/>
            <w:vAlign w:val="center"/>
          </w:tcPr>
          <w:p>
            <w:pPr>
              <w:jc w:val="center"/>
              <w:rPr>
                <w:sz w:val="18"/>
              </w:rPr>
            </w:pPr>
            <w:r>
              <w:rPr>
                <w:rFonts w:hint="eastAsia"/>
                <w:sz w:val="18"/>
              </w:rPr>
              <w:t>＞</w:t>
            </w:r>
            <w:r>
              <w:rPr>
                <w:sz w:val="18"/>
              </w:rPr>
              <w:t>100～200</w:t>
            </w:r>
          </w:p>
        </w:tc>
        <w:tc>
          <w:tcPr>
            <w:tcW w:w="1330" w:type="dxa"/>
            <w:tcBorders>
              <w:right w:val="single" w:color="auto" w:sz="8" w:space="0"/>
            </w:tcBorders>
            <w:vAlign w:val="center"/>
          </w:tcPr>
          <w:p>
            <w:pPr>
              <w:jc w:val="center"/>
              <w:rPr>
                <w:sz w:val="18"/>
              </w:rPr>
            </w:pPr>
            <w:r>
              <w:rPr>
                <w:rFonts w:hint="eastAsia"/>
                <w:sz w:val="18"/>
              </w:rPr>
              <w:t>＞</w:t>
            </w:r>
            <w:r>
              <w:rPr>
                <w:sz w:val="18"/>
              </w:rPr>
              <w:t>200～500</w:t>
            </w:r>
          </w:p>
        </w:tc>
        <w:tc>
          <w:tcPr>
            <w:tcW w:w="858" w:type="dxa"/>
            <w:tcBorders>
              <w:top w:val="single" w:color="auto" w:sz="12" w:space="0"/>
              <w:left w:val="single" w:color="auto" w:sz="8" w:space="0"/>
              <w:bottom w:val="single" w:color="auto" w:sz="6" w:space="0"/>
              <w:right w:val="single" w:color="auto" w:sz="12" w:space="0"/>
            </w:tcBorders>
            <w:vAlign w:val="center"/>
          </w:tcPr>
          <w:p>
            <w:pPr>
              <w:jc w:val="center"/>
              <w:rPr>
                <w:sz w:val="18"/>
              </w:rPr>
            </w:pPr>
            <w:r>
              <w:rPr>
                <w:rFonts w:hint="eastAsia"/>
                <w:sz w:val="18"/>
              </w:rPr>
              <w:t>＞</w:t>
            </w:r>
            <w:r>
              <w:rPr>
                <w:sz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952" w:type="dxa"/>
            <w:tcBorders>
              <w:right w:val="single" w:color="auto" w:sz="12" w:space="0"/>
            </w:tcBorders>
            <w:vAlign w:val="center"/>
          </w:tcPr>
          <w:p>
            <w:pPr>
              <w:ind w:firstLine="180" w:firstLineChars="100"/>
              <w:rPr>
                <w:sz w:val="18"/>
              </w:rPr>
            </w:pPr>
            <w:r>
              <w:rPr>
                <w:rFonts w:hint="eastAsia"/>
                <w:sz w:val="18"/>
              </w:rPr>
              <w:t>取样件数</w:t>
            </w:r>
            <w:r>
              <w:rPr>
                <w:sz w:val="18"/>
              </w:rPr>
              <w:t xml:space="preserve"> / </w:t>
            </w:r>
            <w:r>
              <w:rPr>
                <w:rFonts w:hint="eastAsia"/>
                <w:sz w:val="18"/>
              </w:rPr>
              <w:t>块</w:t>
            </w:r>
            <w:r>
              <w:rPr>
                <w:sz w:val="18"/>
              </w:rPr>
              <w:t xml:space="preserve"> </w:t>
            </w:r>
          </w:p>
        </w:tc>
        <w:tc>
          <w:tcPr>
            <w:tcW w:w="742" w:type="dxa"/>
            <w:tcBorders>
              <w:left w:val="single" w:color="auto" w:sz="12" w:space="0"/>
            </w:tcBorders>
            <w:vAlign w:val="center"/>
          </w:tcPr>
          <w:p>
            <w:pPr>
              <w:jc w:val="center"/>
              <w:rPr>
                <w:sz w:val="18"/>
              </w:rPr>
            </w:pPr>
            <w:r>
              <w:rPr>
                <w:sz w:val="18"/>
              </w:rPr>
              <w:t>2</w:t>
            </w:r>
          </w:p>
        </w:tc>
        <w:tc>
          <w:tcPr>
            <w:tcW w:w="1100" w:type="dxa"/>
            <w:vAlign w:val="center"/>
          </w:tcPr>
          <w:p>
            <w:pPr>
              <w:jc w:val="center"/>
              <w:rPr>
                <w:sz w:val="18"/>
              </w:rPr>
            </w:pPr>
            <w:r>
              <w:rPr>
                <w:sz w:val="18"/>
              </w:rPr>
              <w:t>3</w:t>
            </w:r>
          </w:p>
        </w:tc>
        <w:tc>
          <w:tcPr>
            <w:tcW w:w="1216" w:type="dxa"/>
            <w:vAlign w:val="center"/>
          </w:tcPr>
          <w:p>
            <w:pPr>
              <w:jc w:val="center"/>
              <w:rPr>
                <w:sz w:val="18"/>
              </w:rPr>
            </w:pPr>
            <w:r>
              <w:rPr>
                <w:sz w:val="18"/>
              </w:rPr>
              <w:t>4</w:t>
            </w:r>
          </w:p>
        </w:tc>
        <w:tc>
          <w:tcPr>
            <w:tcW w:w="1330" w:type="dxa"/>
            <w:vAlign w:val="center"/>
          </w:tcPr>
          <w:p>
            <w:pPr>
              <w:jc w:val="center"/>
              <w:rPr>
                <w:sz w:val="18"/>
              </w:rPr>
            </w:pPr>
            <w:r>
              <w:rPr>
                <w:sz w:val="18"/>
              </w:rPr>
              <w:t>5</w:t>
            </w:r>
          </w:p>
        </w:tc>
        <w:tc>
          <w:tcPr>
            <w:tcW w:w="1330" w:type="dxa"/>
            <w:tcBorders>
              <w:right w:val="single" w:color="auto" w:sz="8" w:space="0"/>
            </w:tcBorders>
            <w:vAlign w:val="center"/>
          </w:tcPr>
          <w:p>
            <w:pPr>
              <w:jc w:val="center"/>
              <w:rPr>
                <w:sz w:val="18"/>
              </w:rPr>
            </w:pPr>
            <w:r>
              <w:rPr>
                <w:sz w:val="18"/>
              </w:rPr>
              <w:t>8</w:t>
            </w:r>
          </w:p>
        </w:tc>
        <w:tc>
          <w:tcPr>
            <w:tcW w:w="858" w:type="dxa"/>
            <w:tcBorders>
              <w:top w:val="single" w:color="auto" w:sz="6" w:space="0"/>
              <w:left w:val="single" w:color="auto" w:sz="8" w:space="0"/>
              <w:bottom w:val="single" w:color="auto" w:sz="12" w:space="0"/>
              <w:right w:val="single" w:color="auto" w:sz="12" w:space="0"/>
            </w:tcBorders>
            <w:vAlign w:val="center"/>
          </w:tcPr>
          <w:p>
            <w:pPr>
              <w:jc w:val="center"/>
              <w:rPr>
                <w:sz w:val="18"/>
              </w:rPr>
            </w:pPr>
            <w:r>
              <w:rPr>
                <w:sz w:val="18"/>
              </w:rPr>
              <w:t>10</w:t>
            </w:r>
          </w:p>
        </w:tc>
      </w:tr>
      <w:bookmarkEnd w:id="0"/>
    </w:tbl>
    <w:p>
      <w:pPr>
        <w:adjustRightInd w:val="0"/>
        <w:snapToGrid w:val="0"/>
        <w:spacing w:beforeLines="50" w:line="360" w:lineRule="auto"/>
        <w:ind w:firstLine="427" w:firstLineChars="178"/>
        <w:outlineLvl w:val="0"/>
        <w:rPr>
          <w:sz w:val="24"/>
          <w:szCs w:val="24"/>
        </w:rPr>
      </w:pPr>
      <w:r>
        <w:rPr>
          <w:rFonts w:hint="eastAsia"/>
          <w:sz w:val="24"/>
          <w:szCs w:val="24"/>
        </w:rPr>
        <w:t>5.2 取样时首先将试样打磨干净，蒸馏丝状样品可剪切取样；锭块样品用直径</w:t>
      </w:r>
      <w:r>
        <w:rPr>
          <w:sz w:val="24"/>
          <w:szCs w:val="24"/>
        </w:rPr>
        <w:t>5</w:t>
      </w:r>
      <w:r>
        <w:rPr>
          <w:rFonts w:hint="eastAsia"/>
          <w:sz w:val="24"/>
          <w:szCs w:val="24"/>
        </w:rPr>
        <w:t>～</w:t>
      </w:r>
      <w:r>
        <w:rPr>
          <w:sz w:val="24"/>
          <w:szCs w:val="24"/>
        </w:rPr>
        <w:t>10mm</w:t>
      </w:r>
      <w:r>
        <w:rPr>
          <w:rFonts w:hint="eastAsia"/>
          <w:sz w:val="24"/>
          <w:szCs w:val="24"/>
        </w:rPr>
        <w:t>钻头在金属锭上、下两面等距离处各钻取3点以上，弃去距锭块表面</w:t>
      </w:r>
      <w:r>
        <w:rPr>
          <w:sz w:val="24"/>
          <w:szCs w:val="24"/>
        </w:rPr>
        <w:t>0.5</w:t>
      </w:r>
      <w:r>
        <w:rPr>
          <w:rFonts w:hint="eastAsia"/>
          <w:sz w:val="24"/>
          <w:szCs w:val="24"/>
        </w:rPr>
        <w:t>～</w:t>
      </w:r>
      <w:r>
        <w:rPr>
          <w:sz w:val="24"/>
          <w:szCs w:val="24"/>
        </w:rPr>
        <w:t>1.0mm</w:t>
      </w:r>
      <w:r>
        <w:rPr>
          <w:rFonts w:hint="eastAsia"/>
          <w:sz w:val="24"/>
          <w:szCs w:val="24"/>
        </w:rPr>
        <w:t>的钻屑，然后钻取试样，取样量不少于</w:t>
      </w:r>
      <w:r>
        <w:rPr>
          <w:sz w:val="24"/>
          <w:szCs w:val="24"/>
        </w:rPr>
        <w:t>10g</w:t>
      </w:r>
      <w:r>
        <w:rPr>
          <w:rFonts w:hint="eastAsia"/>
          <w:sz w:val="24"/>
          <w:szCs w:val="24"/>
        </w:rPr>
        <w:t>，将所得试样迅速混匀缩分至所需数量，并立即密封保存，取样过程应防止样品的氧化。</w:t>
      </w:r>
    </w:p>
    <w:p>
      <w:pPr>
        <w:adjustRightInd w:val="0"/>
        <w:snapToGrid w:val="0"/>
        <w:spacing w:beforeLines="50" w:line="360" w:lineRule="auto"/>
        <w:ind w:firstLine="427" w:firstLineChars="178"/>
        <w:outlineLvl w:val="0"/>
        <w:rPr>
          <w:sz w:val="24"/>
          <w:szCs w:val="24"/>
        </w:rPr>
      </w:pPr>
      <w:r>
        <w:rPr>
          <w:rFonts w:hint="eastAsia"/>
          <w:sz w:val="24"/>
          <w:szCs w:val="24"/>
        </w:rPr>
        <w:t>6、包装、标志及质量证明书</w:t>
      </w:r>
    </w:p>
    <w:p>
      <w:pPr>
        <w:adjustRightInd w:val="0"/>
        <w:snapToGrid w:val="0"/>
        <w:spacing w:line="360" w:lineRule="auto"/>
        <w:ind w:firstLine="427" w:firstLineChars="178"/>
        <w:outlineLvl w:val="0"/>
        <w:rPr>
          <w:sz w:val="24"/>
          <w:szCs w:val="24"/>
        </w:rPr>
      </w:pPr>
      <w:r>
        <w:rPr>
          <w:rFonts w:hint="eastAsia"/>
          <w:sz w:val="24"/>
          <w:szCs w:val="24"/>
        </w:rPr>
        <w:t>6.1产品的标志、包装、运输、贮存</w:t>
      </w:r>
    </w:p>
    <w:p>
      <w:pPr>
        <w:adjustRightInd w:val="0"/>
        <w:snapToGrid w:val="0"/>
        <w:spacing w:beforeLines="50" w:line="360" w:lineRule="auto"/>
        <w:ind w:firstLine="427" w:firstLineChars="178"/>
        <w:outlineLvl w:val="0"/>
        <w:rPr>
          <w:sz w:val="24"/>
          <w:szCs w:val="24"/>
        </w:rPr>
      </w:pPr>
      <w:r>
        <w:rPr>
          <w:rFonts w:hint="eastAsia"/>
          <w:sz w:val="24"/>
          <w:szCs w:val="24"/>
        </w:rPr>
        <w:t>应符合GB XXXX 《稀土产品的包装、标志、运输及贮存》的规定。</w:t>
      </w:r>
    </w:p>
    <w:p>
      <w:pPr>
        <w:adjustRightInd w:val="0"/>
        <w:snapToGrid w:val="0"/>
        <w:spacing w:line="360" w:lineRule="auto"/>
        <w:ind w:firstLine="427" w:firstLineChars="178"/>
        <w:outlineLvl w:val="0"/>
        <w:rPr>
          <w:sz w:val="24"/>
          <w:szCs w:val="24"/>
        </w:rPr>
      </w:pPr>
      <w:r>
        <w:rPr>
          <w:sz w:val="24"/>
          <w:szCs w:val="24"/>
        </w:rPr>
        <w:t>6.</w:t>
      </w:r>
      <w:r>
        <w:rPr>
          <w:rFonts w:hint="eastAsia"/>
          <w:sz w:val="24"/>
          <w:szCs w:val="24"/>
        </w:rPr>
        <w:t>2</w:t>
      </w:r>
      <w:r>
        <w:rPr>
          <w:sz w:val="24"/>
          <w:szCs w:val="24"/>
        </w:rPr>
        <w:t xml:space="preserve">  </w:t>
      </w:r>
      <w:r>
        <w:rPr>
          <w:rFonts w:hint="eastAsia"/>
          <w:sz w:val="24"/>
          <w:szCs w:val="24"/>
        </w:rPr>
        <w:t>质量证明书</w:t>
      </w:r>
    </w:p>
    <w:p>
      <w:pPr>
        <w:adjustRightInd w:val="0"/>
        <w:snapToGrid w:val="0"/>
        <w:spacing w:line="360" w:lineRule="auto"/>
        <w:ind w:left="2" w:firstLine="422" w:firstLineChars="176"/>
        <w:rPr>
          <w:sz w:val="24"/>
          <w:szCs w:val="24"/>
        </w:rPr>
      </w:pPr>
      <w:r>
        <w:rPr>
          <w:sz w:val="24"/>
          <w:szCs w:val="24"/>
        </w:rPr>
        <w:t xml:space="preserve"> </w:t>
      </w:r>
      <w:r>
        <w:rPr>
          <w:rFonts w:hint="eastAsia"/>
          <w:sz w:val="24"/>
          <w:szCs w:val="24"/>
        </w:rPr>
        <w:t>每批产品应附质量证明书，注明：</w:t>
      </w:r>
    </w:p>
    <w:p>
      <w:pPr>
        <w:adjustRightInd w:val="0"/>
        <w:snapToGrid w:val="0"/>
        <w:spacing w:line="360" w:lineRule="auto"/>
        <w:ind w:left="2" w:firstLine="422" w:firstLineChars="176"/>
        <w:rPr>
          <w:sz w:val="24"/>
          <w:szCs w:val="24"/>
        </w:rPr>
      </w:pPr>
      <w:r>
        <w:rPr>
          <w:sz w:val="24"/>
          <w:szCs w:val="24"/>
        </w:rPr>
        <w:t xml:space="preserve">a)  </w:t>
      </w:r>
      <w:r>
        <w:rPr>
          <w:rFonts w:hint="eastAsia"/>
          <w:sz w:val="24"/>
          <w:szCs w:val="24"/>
        </w:rPr>
        <w:t>供方名称；</w:t>
      </w:r>
    </w:p>
    <w:p>
      <w:pPr>
        <w:adjustRightInd w:val="0"/>
        <w:snapToGrid w:val="0"/>
        <w:spacing w:line="360" w:lineRule="auto"/>
        <w:ind w:left="2" w:firstLine="422" w:firstLineChars="176"/>
        <w:rPr>
          <w:sz w:val="24"/>
          <w:szCs w:val="24"/>
        </w:rPr>
      </w:pPr>
      <w:r>
        <w:rPr>
          <w:sz w:val="24"/>
          <w:szCs w:val="24"/>
        </w:rPr>
        <w:t xml:space="preserve">b)  </w:t>
      </w:r>
      <w:r>
        <w:rPr>
          <w:rFonts w:hint="eastAsia"/>
          <w:sz w:val="24"/>
          <w:szCs w:val="24"/>
        </w:rPr>
        <w:t>产品名称和牌号；</w:t>
      </w:r>
    </w:p>
    <w:p>
      <w:pPr>
        <w:adjustRightInd w:val="0"/>
        <w:snapToGrid w:val="0"/>
        <w:spacing w:line="360" w:lineRule="auto"/>
        <w:ind w:left="2" w:firstLine="422" w:firstLineChars="176"/>
        <w:rPr>
          <w:sz w:val="24"/>
          <w:szCs w:val="24"/>
        </w:rPr>
      </w:pPr>
      <w:r>
        <w:rPr>
          <w:sz w:val="24"/>
          <w:szCs w:val="24"/>
        </w:rPr>
        <w:t xml:space="preserve">c)  </w:t>
      </w:r>
      <w:r>
        <w:rPr>
          <w:rFonts w:hint="eastAsia"/>
          <w:sz w:val="24"/>
          <w:szCs w:val="24"/>
        </w:rPr>
        <w:t>批号；</w:t>
      </w:r>
    </w:p>
    <w:p>
      <w:pPr>
        <w:adjustRightInd w:val="0"/>
        <w:snapToGrid w:val="0"/>
        <w:spacing w:line="360" w:lineRule="auto"/>
        <w:ind w:left="2" w:firstLine="422" w:firstLineChars="176"/>
        <w:rPr>
          <w:sz w:val="24"/>
          <w:szCs w:val="24"/>
        </w:rPr>
      </w:pPr>
      <w:r>
        <w:rPr>
          <w:sz w:val="24"/>
          <w:szCs w:val="24"/>
        </w:rPr>
        <w:t>d)  净重</w:t>
      </w:r>
      <w:r>
        <w:rPr>
          <w:rFonts w:hint="eastAsia"/>
          <w:sz w:val="24"/>
          <w:szCs w:val="24"/>
        </w:rPr>
        <w:t>、</w:t>
      </w:r>
      <w:r>
        <w:rPr>
          <w:sz w:val="24"/>
          <w:szCs w:val="24"/>
        </w:rPr>
        <w:t>件数</w:t>
      </w:r>
      <w:r>
        <w:rPr>
          <w:rFonts w:hint="eastAsia"/>
          <w:sz w:val="24"/>
          <w:szCs w:val="24"/>
        </w:rPr>
        <w:t>；</w:t>
      </w:r>
    </w:p>
    <w:p>
      <w:pPr>
        <w:adjustRightInd w:val="0"/>
        <w:snapToGrid w:val="0"/>
        <w:spacing w:line="360" w:lineRule="auto"/>
        <w:ind w:left="2" w:firstLine="422" w:firstLineChars="176"/>
        <w:rPr>
          <w:sz w:val="24"/>
          <w:szCs w:val="24"/>
        </w:rPr>
      </w:pPr>
      <w:r>
        <w:rPr>
          <w:sz w:val="24"/>
          <w:szCs w:val="24"/>
        </w:rPr>
        <w:t xml:space="preserve">e)  </w:t>
      </w:r>
      <w:r>
        <w:rPr>
          <w:rFonts w:hint="eastAsia"/>
          <w:sz w:val="24"/>
          <w:szCs w:val="24"/>
        </w:rPr>
        <w:t>各项分析检验结果和供方质量检验部门印记；</w:t>
      </w:r>
    </w:p>
    <w:p>
      <w:pPr>
        <w:adjustRightInd w:val="0"/>
        <w:snapToGrid w:val="0"/>
        <w:spacing w:line="360" w:lineRule="auto"/>
        <w:ind w:left="2" w:firstLine="422" w:firstLineChars="176"/>
        <w:rPr>
          <w:sz w:val="24"/>
          <w:szCs w:val="24"/>
        </w:rPr>
      </w:pPr>
      <w:r>
        <w:rPr>
          <w:sz w:val="24"/>
          <w:szCs w:val="24"/>
        </w:rPr>
        <w:t xml:space="preserve">f)  </w:t>
      </w:r>
      <w:r>
        <w:rPr>
          <w:rFonts w:hint="eastAsia"/>
          <w:sz w:val="24"/>
          <w:szCs w:val="24"/>
        </w:rPr>
        <w:t>本标准编号；</w:t>
      </w:r>
    </w:p>
    <w:p>
      <w:pPr>
        <w:adjustRightInd w:val="0"/>
        <w:snapToGrid w:val="0"/>
        <w:spacing w:line="360" w:lineRule="auto"/>
        <w:ind w:left="2" w:firstLine="422" w:firstLineChars="176"/>
        <w:rPr>
          <w:sz w:val="24"/>
          <w:szCs w:val="24"/>
        </w:rPr>
      </w:pPr>
      <w:r>
        <w:rPr>
          <w:rFonts w:hint="eastAsia"/>
          <w:sz w:val="24"/>
          <w:szCs w:val="24"/>
        </w:rPr>
        <w:t>g</w:t>
      </w:r>
      <w:r>
        <w:rPr>
          <w:sz w:val="24"/>
          <w:szCs w:val="24"/>
        </w:rPr>
        <w:t xml:space="preserve">)  </w:t>
      </w:r>
      <w:r>
        <w:rPr>
          <w:rFonts w:hint="eastAsia"/>
          <w:sz w:val="24"/>
          <w:szCs w:val="24"/>
        </w:rPr>
        <w:t>出厂日期。</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四、标准水平分析</w:t>
      </w:r>
    </w:p>
    <w:p>
      <w:pPr>
        <w:adjustRightInd w:val="0"/>
        <w:snapToGrid w:val="0"/>
        <w:spacing w:line="360" w:lineRule="auto"/>
        <w:ind w:firstLine="480" w:firstLineChars="200"/>
        <w:rPr>
          <w:sz w:val="24"/>
          <w:szCs w:val="24"/>
        </w:rPr>
      </w:pPr>
      <w:r>
        <w:rPr>
          <w:rFonts w:hint="eastAsia"/>
          <w:sz w:val="24"/>
          <w:szCs w:val="24"/>
        </w:rPr>
        <w:t>本标准与国家标准《高纯金属镝》和《高纯金属铽》（待发布）进行了对标，并参考该国家标准中化学成分及其测试方法标准等而制定，是我国高纯稀土金属行业标准体系的重要组成部分。</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五、与现行相关法律、法规、规章及相关标准的协调性</w:t>
      </w:r>
    </w:p>
    <w:p>
      <w:pPr>
        <w:adjustRightInd w:val="0"/>
        <w:snapToGrid w:val="0"/>
        <w:spacing w:line="360" w:lineRule="auto"/>
        <w:ind w:firstLine="480" w:firstLineChars="200"/>
        <w:rPr>
          <w:sz w:val="24"/>
          <w:szCs w:val="24"/>
        </w:rPr>
      </w:pPr>
      <w:r>
        <w:rPr>
          <w:sz w:val="24"/>
          <w:szCs w:val="24"/>
        </w:rPr>
        <w:t>随着现代工业的发展，金属</w:t>
      </w:r>
      <w:r>
        <w:rPr>
          <w:rFonts w:hint="eastAsia"/>
          <w:sz w:val="24"/>
          <w:szCs w:val="24"/>
        </w:rPr>
        <w:t>镱</w:t>
      </w:r>
      <w:r>
        <w:rPr>
          <w:sz w:val="24"/>
          <w:szCs w:val="24"/>
        </w:rPr>
        <w:t>的应用将越来越广泛。</w:t>
      </w:r>
      <w:r>
        <w:rPr>
          <w:rFonts w:hint="eastAsia"/>
          <w:sz w:val="24"/>
          <w:szCs w:val="24"/>
        </w:rPr>
        <w:t>制订</w:t>
      </w:r>
      <w:r>
        <w:rPr>
          <w:sz w:val="24"/>
          <w:szCs w:val="24"/>
        </w:rPr>
        <w:t>后的</w:t>
      </w:r>
      <w:r>
        <w:rPr>
          <w:rFonts w:hint="eastAsia"/>
          <w:sz w:val="24"/>
          <w:szCs w:val="24"/>
        </w:rPr>
        <w:t>高纯金属镱</w:t>
      </w:r>
      <w:r>
        <w:rPr>
          <w:sz w:val="24"/>
          <w:szCs w:val="24"/>
        </w:rPr>
        <w:t>标准将充分反映当前国内各生产企业的技术水平，便于生产，宜于应用。</w:t>
      </w:r>
      <w:r>
        <w:rPr>
          <w:rFonts w:hint="eastAsia"/>
          <w:sz w:val="24"/>
          <w:szCs w:val="24"/>
        </w:rPr>
        <w:t>制订</w:t>
      </w:r>
      <w:r>
        <w:rPr>
          <w:sz w:val="24"/>
          <w:szCs w:val="24"/>
        </w:rPr>
        <w:t>后的标准可为金属</w:t>
      </w:r>
      <w:r>
        <w:rPr>
          <w:rFonts w:hint="eastAsia"/>
          <w:sz w:val="24"/>
          <w:szCs w:val="24"/>
        </w:rPr>
        <w:t>镱</w:t>
      </w:r>
      <w:r>
        <w:rPr>
          <w:sz w:val="24"/>
          <w:szCs w:val="24"/>
        </w:rPr>
        <w:t>产品贸易提供仲裁的依据；为金属</w:t>
      </w:r>
      <w:r>
        <w:rPr>
          <w:rFonts w:hint="eastAsia"/>
          <w:sz w:val="24"/>
          <w:szCs w:val="24"/>
        </w:rPr>
        <w:t>镱</w:t>
      </w:r>
      <w:r>
        <w:rPr>
          <w:sz w:val="24"/>
          <w:szCs w:val="24"/>
        </w:rPr>
        <w:t>产品的指标控制提供指导意义。</w:t>
      </w:r>
      <w:r>
        <w:rPr>
          <w:rFonts w:hint="eastAsia"/>
          <w:sz w:val="24"/>
          <w:szCs w:val="24"/>
        </w:rPr>
        <w:t>制订</w:t>
      </w:r>
      <w:r>
        <w:rPr>
          <w:sz w:val="24"/>
          <w:szCs w:val="24"/>
        </w:rPr>
        <w:t>的</w:t>
      </w:r>
      <w:r>
        <w:rPr>
          <w:rFonts w:hint="eastAsia"/>
          <w:sz w:val="24"/>
          <w:szCs w:val="24"/>
        </w:rPr>
        <w:t>高纯</w:t>
      </w:r>
      <w:r>
        <w:rPr>
          <w:sz w:val="24"/>
          <w:szCs w:val="24"/>
        </w:rPr>
        <w:t>金属</w:t>
      </w:r>
      <w:r>
        <w:rPr>
          <w:rFonts w:hint="eastAsia"/>
          <w:sz w:val="24"/>
          <w:szCs w:val="24"/>
        </w:rPr>
        <w:t>镱</w:t>
      </w:r>
      <w:r>
        <w:rPr>
          <w:sz w:val="24"/>
          <w:szCs w:val="24"/>
        </w:rPr>
        <w:t>标准符合现有国家产业政策，对于解决稀土贸易纠纷发挥一定的作用。</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六、是否涉及专利及知识产权的说明</w:t>
      </w:r>
    </w:p>
    <w:p>
      <w:pPr>
        <w:adjustRightInd w:val="0"/>
        <w:snapToGrid w:val="0"/>
        <w:spacing w:beforeLines="50" w:afterLines="50" w:line="360" w:lineRule="auto"/>
        <w:ind w:firstLine="480" w:firstLineChars="200"/>
        <w:rPr>
          <w:sz w:val="24"/>
          <w:szCs w:val="24"/>
        </w:rPr>
      </w:pPr>
      <w:r>
        <w:rPr>
          <w:sz w:val="24"/>
          <w:szCs w:val="24"/>
        </w:rPr>
        <w:t>本文件修订过程中没有检索到专利和知识产权问题。</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七、重大分歧意见的处理过程</w:t>
      </w:r>
    </w:p>
    <w:p>
      <w:pPr>
        <w:adjustRightInd w:val="0"/>
        <w:snapToGrid w:val="0"/>
        <w:spacing w:beforeLines="50" w:afterLines="50" w:line="360" w:lineRule="auto"/>
        <w:ind w:firstLine="480"/>
        <w:rPr>
          <w:sz w:val="24"/>
          <w:szCs w:val="24"/>
        </w:rPr>
      </w:pPr>
      <w:r>
        <w:rPr>
          <w:sz w:val="24"/>
          <w:szCs w:val="24"/>
        </w:rPr>
        <w:t>本标准属于有色金属领域专业基础标准，编制组根据修订前确定的编制原则进行标准修订，在标准修订稿征求意见过程中未发生重大分歧意见。</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八、作为强制性、推荐性国</w:t>
      </w:r>
      <w:r>
        <w:rPr>
          <w:rFonts w:hint="eastAsia" w:eastAsia="黑体"/>
          <w:sz w:val="24"/>
          <w:szCs w:val="24"/>
        </w:rPr>
        <w:t>行业</w:t>
      </w:r>
      <w:r>
        <w:rPr>
          <w:rFonts w:eastAsia="黑体"/>
          <w:sz w:val="24"/>
          <w:szCs w:val="24"/>
        </w:rPr>
        <w:t>准的建议</w:t>
      </w:r>
    </w:p>
    <w:p>
      <w:pPr>
        <w:adjustRightInd w:val="0"/>
        <w:snapToGrid w:val="0"/>
        <w:spacing w:beforeLines="50" w:afterLines="50" w:line="360" w:lineRule="auto"/>
        <w:ind w:firstLine="480"/>
        <w:rPr>
          <w:sz w:val="24"/>
          <w:szCs w:val="24"/>
        </w:rPr>
      </w:pPr>
      <w:r>
        <w:rPr>
          <w:rFonts w:hint="eastAsia"/>
          <w:sz w:val="24"/>
          <w:szCs w:val="24"/>
        </w:rPr>
        <w:t>制订</w:t>
      </w:r>
      <w:r>
        <w:rPr>
          <w:sz w:val="24"/>
          <w:szCs w:val="24"/>
        </w:rPr>
        <w:t>后的《高纯金属</w:t>
      </w:r>
      <w:r>
        <w:rPr>
          <w:rFonts w:hint="eastAsia"/>
          <w:sz w:val="24"/>
          <w:szCs w:val="24"/>
        </w:rPr>
        <w:t>镱</w:t>
      </w:r>
      <w:r>
        <w:rPr>
          <w:sz w:val="24"/>
          <w:szCs w:val="24"/>
        </w:rPr>
        <w:t>》标准非常适应市场的需求，因此，建议本标准作为推荐性行业标准发布实施。</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九、贯彻标准的要求和措施建议</w:t>
      </w:r>
    </w:p>
    <w:p>
      <w:pPr>
        <w:adjustRightInd w:val="0"/>
        <w:snapToGrid w:val="0"/>
        <w:spacing w:beforeLines="50" w:afterLines="50" w:line="360" w:lineRule="auto"/>
        <w:ind w:firstLine="480" w:firstLineChars="200"/>
        <w:rPr>
          <w:sz w:val="24"/>
          <w:szCs w:val="24"/>
        </w:rPr>
      </w:pPr>
      <w:r>
        <w:rPr>
          <w:rFonts w:hint="eastAsia"/>
          <w:sz w:val="24"/>
          <w:szCs w:val="24"/>
        </w:rPr>
        <w:t>制订</w:t>
      </w:r>
      <w:r>
        <w:rPr>
          <w:sz w:val="24"/>
          <w:szCs w:val="24"/>
        </w:rPr>
        <w:t>后的标准颁布实施后，需要国家有关部门组织大力宣传和贯彻，主办各种形式的培训班，才能让稀土企业及相关贸易单位充分认识和理解</w:t>
      </w:r>
      <w:r>
        <w:rPr>
          <w:rFonts w:hint="eastAsia"/>
          <w:sz w:val="24"/>
          <w:szCs w:val="24"/>
        </w:rPr>
        <w:t>制订</w:t>
      </w:r>
      <w:r>
        <w:rPr>
          <w:sz w:val="24"/>
          <w:szCs w:val="24"/>
        </w:rPr>
        <w:t>后的标准条款，进而加以应用。</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十、废止现行有关标准的建议</w:t>
      </w:r>
    </w:p>
    <w:p>
      <w:pPr>
        <w:adjustRightInd w:val="0"/>
        <w:snapToGrid w:val="0"/>
        <w:spacing w:line="360" w:lineRule="auto"/>
        <w:ind w:firstLine="480" w:firstLineChars="200"/>
        <w:rPr>
          <w:sz w:val="24"/>
          <w:szCs w:val="24"/>
        </w:rPr>
      </w:pPr>
      <w:r>
        <w:rPr>
          <w:rFonts w:hint="eastAsia"/>
          <w:sz w:val="24"/>
          <w:szCs w:val="24"/>
        </w:rPr>
        <w:t>无其他予以说明的事项。</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十一、其他应予以说明的事项</w:t>
      </w:r>
    </w:p>
    <w:p>
      <w:pPr>
        <w:adjustRightInd w:val="0"/>
        <w:snapToGrid w:val="0"/>
        <w:spacing w:line="360" w:lineRule="auto"/>
        <w:ind w:firstLine="480" w:firstLineChars="200"/>
        <w:rPr>
          <w:sz w:val="24"/>
          <w:szCs w:val="24"/>
        </w:rPr>
      </w:pPr>
      <w:r>
        <w:rPr>
          <w:sz w:val="24"/>
          <w:szCs w:val="24"/>
        </w:rPr>
        <w:t>无其他应予以说明的事项</w:t>
      </w:r>
      <w:r>
        <w:rPr>
          <w:rFonts w:hint="eastAsia"/>
          <w:sz w:val="24"/>
          <w:szCs w:val="24"/>
        </w:rPr>
        <w:t>。</w:t>
      </w:r>
    </w:p>
    <w:p>
      <w:pPr>
        <w:tabs>
          <w:tab w:val="left" w:pos="522"/>
        </w:tabs>
        <w:adjustRightInd w:val="0"/>
        <w:snapToGrid w:val="0"/>
        <w:spacing w:beforeLines="50" w:afterLines="50" w:line="360" w:lineRule="auto"/>
        <w:jc w:val="left"/>
        <w:rPr>
          <w:rFonts w:eastAsia="黑体"/>
          <w:sz w:val="24"/>
          <w:szCs w:val="24"/>
        </w:rPr>
      </w:pPr>
      <w:r>
        <w:rPr>
          <w:rFonts w:eastAsia="黑体"/>
          <w:sz w:val="24"/>
          <w:szCs w:val="24"/>
        </w:rPr>
        <w:t>十二、推广应用的预期效果</w:t>
      </w:r>
    </w:p>
    <w:p>
      <w:pPr>
        <w:adjustRightInd w:val="0"/>
        <w:snapToGrid w:val="0"/>
        <w:spacing w:line="360" w:lineRule="auto"/>
        <w:ind w:firstLine="480" w:firstLineChars="200"/>
        <w:rPr>
          <w:sz w:val="24"/>
          <w:szCs w:val="24"/>
        </w:rPr>
      </w:pPr>
      <w:r>
        <w:rPr>
          <w:sz w:val="24"/>
          <w:szCs w:val="24"/>
        </w:rPr>
        <w:t>本标准对当前</w:t>
      </w:r>
      <w:r>
        <w:rPr>
          <w:rFonts w:hint="eastAsia"/>
          <w:sz w:val="24"/>
          <w:szCs w:val="24"/>
        </w:rPr>
        <w:t>以真空还原-蒸馏法、及其经真空蒸馏/升华提纯</w:t>
      </w:r>
      <w:r>
        <w:rPr>
          <w:sz w:val="24"/>
          <w:szCs w:val="24"/>
        </w:rPr>
        <w:t>制得的高纯金属</w:t>
      </w:r>
      <w:r>
        <w:rPr>
          <w:rFonts w:hint="eastAsia"/>
          <w:sz w:val="24"/>
          <w:szCs w:val="24"/>
        </w:rPr>
        <w:t>镱</w:t>
      </w:r>
      <w:r>
        <w:rPr>
          <w:sz w:val="24"/>
          <w:szCs w:val="24"/>
        </w:rPr>
        <w:t>的主要性能参数进行了规定和要求，这些指标不仅可以为高纯金属供应商的生产提供指导，规范国内高纯金属</w:t>
      </w:r>
      <w:r>
        <w:rPr>
          <w:rFonts w:hint="eastAsia"/>
          <w:sz w:val="24"/>
          <w:szCs w:val="24"/>
        </w:rPr>
        <w:t>镱</w:t>
      </w:r>
      <w:r>
        <w:rPr>
          <w:sz w:val="24"/>
          <w:szCs w:val="24"/>
        </w:rPr>
        <w:t>的市场，保护供需双方的利益</w:t>
      </w:r>
      <w:r>
        <w:rPr>
          <w:rFonts w:hint="eastAsia"/>
          <w:sz w:val="24"/>
          <w:szCs w:val="24"/>
        </w:rPr>
        <w:t>，为高纯金属镱产品贸易提供仲裁的依据</w:t>
      </w:r>
      <w:r>
        <w:rPr>
          <w:sz w:val="24"/>
          <w:szCs w:val="24"/>
        </w:rPr>
        <w:t>。因此，本标准的制定和执行将有力推动我国高纯金属</w:t>
      </w:r>
      <w:r>
        <w:rPr>
          <w:rFonts w:hint="eastAsia"/>
          <w:sz w:val="24"/>
          <w:szCs w:val="24"/>
        </w:rPr>
        <w:t>镱</w:t>
      </w:r>
      <w:r>
        <w:rPr>
          <w:sz w:val="24"/>
          <w:szCs w:val="24"/>
        </w:rPr>
        <w:t>产业，以及下游稀土功能材料产业链的的健康快速发展</w:t>
      </w:r>
      <w:r>
        <w:rPr>
          <w:rFonts w:hint="eastAsia"/>
          <w:sz w:val="24"/>
          <w:szCs w:val="24"/>
        </w:rPr>
        <w:t>，为高纯金属镱的指标控制提供指导意义。</w:t>
      </w:r>
    </w:p>
    <w:p>
      <w:pPr>
        <w:tabs>
          <w:tab w:val="left" w:pos="522"/>
        </w:tabs>
        <w:adjustRightInd w:val="0"/>
        <w:snapToGrid w:val="0"/>
        <w:spacing w:line="360" w:lineRule="auto"/>
        <w:jc w:val="right"/>
        <w:rPr>
          <w:sz w:val="24"/>
          <w:szCs w:val="24"/>
        </w:rPr>
      </w:pPr>
      <w:r>
        <w:rPr>
          <w:sz w:val="24"/>
          <w:szCs w:val="24"/>
        </w:rPr>
        <w:t>有研稀土新材料股份有限公司</w:t>
      </w:r>
    </w:p>
    <w:p>
      <w:pPr>
        <w:tabs>
          <w:tab w:val="left" w:pos="522"/>
        </w:tabs>
        <w:adjustRightInd w:val="0"/>
        <w:snapToGrid w:val="0"/>
        <w:spacing w:line="360" w:lineRule="auto"/>
        <w:ind w:firstLine="482"/>
        <w:rPr>
          <w:sz w:val="24"/>
          <w:szCs w:val="24"/>
        </w:rPr>
      </w:pPr>
      <w:r>
        <w:rPr>
          <w:sz w:val="24"/>
          <w:szCs w:val="24"/>
        </w:rPr>
        <w:t xml:space="preserve">                                          二〇一</w:t>
      </w:r>
      <w:r>
        <w:rPr>
          <w:rFonts w:hint="eastAsia"/>
          <w:sz w:val="24"/>
          <w:szCs w:val="24"/>
        </w:rPr>
        <w:t>九</w:t>
      </w:r>
      <w:r>
        <w:rPr>
          <w:sz w:val="24"/>
          <w:szCs w:val="24"/>
        </w:rPr>
        <w:t>年</w:t>
      </w:r>
      <w:r>
        <w:rPr>
          <w:rFonts w:hint="eastAsia"/>
          <w:sz w:val="24"/>
          <w:szCs w:val="24"/>
        </w:rPr>
        <w:t>七</w:t>
      </w:r>
      <w:r>
        <w:rPr>
          <w:sz w:val="24"/>
          <w:szCs w:val="24"/>
        </w:rPr>
        <w:t>月</w:t>
      </w:r>
      <w:r>
        <w:rPr>
          <w:rFonts w:hint="eastAsia"/>
          <w:sz w:val="24"/>
          <w:szCs w:val="24"/>
        </w:rPr>
        <w:t>十六</w:t>
      </w:r>
      <w:r>
        <w:rPr>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5791"/>
    <w:multiLevelType w:val="multilevel"/>
    <w:tmpl w:val="5C6857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46260FA"/>
    <w:multiLevelType w:val="multilevel"/>
    <w:tmpl w:val="646260FA"/>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24EE3"/>
    <w:rsid w:val="000068F3"/>
    <w:rsid w:val="00016EEE"/>
    <w:rsid w:val="00021822"/>
    <w:rsid w:val="000253CA"/>
    <w:rsid w:val="0002715F"/>
    <w:rsid w:val="00034CC0"/>
    <w:rsid w:val="00036B3D"/>
    <w:rsid w:val="00042B71"/>
    <w:rsid w:val="0004785F"/>
    <w:rsid w:val="0005348E"/>
    <w:rsid w:val="00053B98"/>
    <w:rsid w:val="00054DF6"/>
    <w:rsid w:val="00055A17"/>
    <w:rsid w:val="00064C56"/>
    <w:rsid w:val="000658EC"/>
    <w:rsid w:val="00066388"/>
    <w:rsid w:val="00066E5B"/>
    <w:rsid w:val="00075BF5"/>
    <w:rsid w:val="00080D29"/>
    <w:rsid w:val="00090F6D"/>
    <w:rsid w:val="000A0191"/>
    <w:rsid w:val="000A59C5"/>
    <w:rsid w:val="000B1918"/>
    <w:rsid w:val="000C6ABA"/>
    <w:rsid w:val="000D2202"/>
    <w:rsid w:val="000E0CFC"/>
    <w:rsid w:val="000E3F8A"/>
    <w:rsid w:val="000E6BA9"/>
    <w:rsid w:val="000F2140"/>
    <w:rsid w:val="000F7F84"/>
    <w:rsid w:val="00100355"/>
    <w:rsid w:val="001012EA"/>
    <w:rsid w:val="00115FC0"/>
    <w:rsid w:val="00121C3F"/>
    <w:rsid w:val="00123CFA"/>
    <w:rsid w:val="00124315"/>
    <w:rsid w:val="00132351"/>
    <w:rsid w:val="001359F6"/>
    <w:rsid w:val="00140586"/>
    <w:rsid w:val="001418DE"/>
    <w:rsid w:val="00141E18"/>
    <w:rsid w:val="00145998"/>
    <w:rsid w:val="001459A2"/>
    <w:rsid w:val="001469AF"/>
    <w:rsid w:val="001471A2"/>
    <w:rsid w:val="00157861"/>
    <w:rsid w:val="00163267"/>
    <w:rsid w:val="00163E5B"/>
    <w:rsid w:val="00165011"/>
    <w:rsid w:val="00165546"/>
    <w:rsid w:val="00172A27"/>
    <w:rsid w:val="001868CF"/>
    <w:rsid w:val="0018737D"/>
    <w:rsid w:val="00187387"/>
    <w:rsid w:val="0019618F"/>
    <w:rsid w:val="001A340B"/>
    <w:rsid w:val="001A65C3"/>
    <w:rsid w:val="001B1A5B"/>
    <w:rsid w:val="001B2D4C"/>
    <w:rsid w:val="001B397E"/>
    <w:rsid w:val="001B3B7A"/>
    <w:rsid w:val="001B64AF"/>
    <w:rsid w:val="001B755B"/>
    <w:rsid w:val="001C4934"/>
    <w:rsid w:val="001C654C"/>
    <w:rsid w:val="001C7332"/>
    <w:rsid w:val="001D0610"/>
    <w:rsid w:val="001D18A5"/>
    <w:rsid w:val="001D5293"/>
    <w:rsid w:val="001E13BE"/>
    <w:rsid w:val="001E25DF"/>
    <w:rsid w:val="001E2A76"/>
    <w:rsid w:val="001E635E"/>
    <w:rsid w:val="001E712C"/>
    <w:rsid w:val="001E792D"/>
    <w:rsid w:val="001F39F4"/>
    <w:rsid w:val="001F46C8"/>
    <w:rsid w:val="001F6638"/>
    <w:rsid w:val="001F671A"/>
    <w:rsid w:val="00203ED7"/>
    <w:rsid w:val="002058B6"/>
    <w:rsid w:val="002145B9"/>
    <w:rsid w:val="0022261F"/>
    <w:rsid w:val="00222DB0"/>
    <w:rsid w:val="00226300"/>
    <w:rsid w:val="0022726D"/>
    <w:rsid w:val="00236D7B"/>
    <w:rsid w:val="00263027"/>
    <w:rsid w:val="0026654B"/>
    <w:rsid w:val="00271040"/>
    <w:rsid w:val="0027415E"/>
    <w:rsid w:val="00274B18"/>
    <w:rsid w:val="002761D0"/>
    <w:rsid w:val="00282D45"/>
    <w:rsid w:val="002830C9"/>
    <w:rsid w:val="0028423C"/>
    <w:rsid w:val="0028797A"/>
    <w:rsid w:val="00290ED0"/>
    <w:rsid w:val="00295D0B"/>
    <w:rsid w:val="002A75EF"/>
    <w:rsid w:val="002A7752"/>
    <w:rsid w:val="002B1B78"/>
    <w:rsid w:val="002B2DB6"/>
    <w:rsid w:val="002B3729"/>
    <w:rsid w:val="002C3BFF"/>
    <w:rsid w:val="002C479F"/>
    <w:rsid w:val="002C5698"/>
    <w:rsid w:val="002C7596"/>
    <w:rsid w:val="002D0E55"/>
    <w:rsid w:val="002E3576"/>
    <w:rsid w:val="002E75A9"/>
    <w:rsid w:val="002F291A"/>
    <w:rsid w:val="002F3760"/>
    <w:rsid w:val="002F3E04"/>
    <w:rsid w:val="00301A18"/>
    <w:rsid w:val="00305991"/>
    <w:rsid w:val="00313100"/>
    <w:rsid w:val="00314468"/>
    <w:rsid w:val="0031732E"/>
    <w:rsid w:val="00317E3D"/>
    <w:rsid w:val="0033038A"/>
    <w:rsid w:val="00334CD4"/>
    <w:rsid w:val="00337978"/>
    <w:rsid w:val="003409AD"/>
    <w:rsid w:val="00346B25"/>
    <w:rsid w:val="003525EB"/>
    <w:rsid w:val="00353127"/>
    <w:rsid w:val="0035450B"/>
    <w:rsid w:val="003561BB"/>
    <w:rsid w:val="0036025C"/>
    <w:rsid w:val="00362F7C"/>
    <w:rsid w:val="0038542F"/>
    <w:rsid w:val="00390D74"/>
    <w:rsid w:val="00393046"/>
    <w:rsid w:val="003963ED"/>
    <w:rsid w:val="003A0DDB"/>
    <w:rsid w:val="003A0EFD"/>
    <w:rsid w:val="003A1752"/>
    <w:rsid w:val="003A3874"/>
    <w:rsid w:val="003A584D"/>
    <w:rsid w:val="003A69D4"/>
    <w:rsid w:val="003B162C"/>
    <w:rsid w:val="003B2679"/>
    <w:rsid w:val="003B26C5"/>
    <w:rsid w:val="003B650A"/>
    <w:rsid w:val="003B763D"/>
    <w:rsid w:val="003B7EF7"/>
    <w:rsid w:val="003D031B"/>
    <w:rsid w:val="003E1C30"/>
    <w:rsid w:val="003E460B"/>
    <w:rsid w:val="003E4EBA"/>
    <w:rsid w:val="003F56FD"/>
    <w:rsid w:val="003F7077"/>
    <w:rsid w:val="00403E29"/>
    <w:rsid w:val="0040529B"/>
    <w:rsid w:val="00414766"/>
    <w:rsid w:val="00426D67"/>
    <w:rsid w:val="004404C9"/>
    <w:rsid w:val="004436F6"/>
    <w:rsid w:val="00446467"/>
    <w:rsid w:val="00451700"/>
    <w:rsid w:val="00451802"/>
    <w:rsid w:val="00452B02"/>
    <w:rsid w:val="00453A2D"/>
    <w:rsid w:val="00462876"/>
    <w:rsid w:val="00463CDE"/>
    <w:rsid w:val="00464F9E"/>
    <w:rsid w:val="00471AD3"/>
    <w:rsid w:val="00482F5A"/>
    <w:rsid w:val="00490868"/>
    <w:rsid w:val="00496365"/>
    <w:rsid w:val="004B07BB"/>
    <w:rsid w:val="004B407B"/>
    <w:rsid w:val="004B42D7"/>
    <w:rsid w:val="004C3214"/>
    <w:rsid w:val="004C66C5"/>
    <w:rsid w:val="004D3884"/>
    <w:rsid w:val="004D3D19"/>
    <w:rsid w:val="004E192A"/>
    <w:rsid w:val="004F0280"/>
    <w:rsid w:val="004F6996"/>
    <w:rsid w:val="005042EF"/>
    <w:rsid w:val="005170D6"/>
    <w:rsid w:val="00521762"/>
    <w:rsid w:val="00532066"/>
    <w:rsid w:val="00533DF1"/>
    <w:rsid w:val="00534433"/>
    <w:rsid w:val="00534C42"/>
    <w:rsid w:val="00537B7A"/>
    <w:rsid w:val="005402D7"/>
    <w:rsid w:val="005446AE"/>
    <w:rsid w:val="005461E0"/>
    <w:rsid w:val="00556C7E"/>
    <w:rsid w:val="005604BA"/>
    <w:rsid w:val="00560948"/>
    <w:rsid w:val="0056115B"/>
    <w:rsid w:val="0056568A"/>
    <w:rsid w:val="00565EBD"/>
    <w:rsid w:val="005665E9"/>
    <w:rsid w:val="00570A5F"/>
    <w:rsid w:val="0057234F"/>
    <w:rsid w:val="00574E73"/>
    <w:rsid w:val="005758B4"/>
    <w:rsid w:val="005817F5"/>
    <w:rsid w:val="005A3D43"/>
    <w:rsid w:val="005A4CA5"/>
    <w:rsid w:val="005A6E27"/>
    <w:rsid w:val="005B23FE"/>
    <w:rsid w:val="005B43AC"/>
    <w:rsid w:val="005D1E94"/>
    <w:rsid w:val="005D4A87"/>
    <w:rsid w:val="005D6948"/>
    <w:rsid w:val="005E3CA9"/>
    <w:rsid w:val="005E7093"/>
    <w:rsid w:val="005F0224"/>
    <w:rsid w:val="005F6262"/>
    <w:rsid w:val="00611B63"/>
    <w:rsid w:val="0062038D"/>
    <w:rsid w:val="00622EEF"/>
    <w:rsid w:val="00624EF1"/>
    <w:rsid w:val="00626EC8"/>
    <w:rsid w:val="006357CD"/>
    <w:rsid w:val="0063717E"/>
    <w:rsid w:val="0064035D"/>
    <w:rsid w:val="0064052A"/>
    <w:rsid w:val="00647535"/>
    <w:rsid w:val="00656B89"/>
    <w:rsid w:val="006679AF"/>
    <w:rsid w:val="00670169"/>
    <w:rsid w:val="006765B7"/>
    <w:rsid w:val="00682633"/>
    <w:rsid w:val="00684C69"/>
    <w:rsid w:val="00684E95"/>
    <w:rsid w:val="00687C23"/>
    <w:rsid w:val="006908B1"/>
    <w:rsid w:val="00695880"/>
    <w:rsid w:val="00695E1C"/>
    <w:rsid w:val="006A0CAF"/>
    <w:rsid w:val="006A235A"/>
    <w:rsid w:val="006A3648"/>
    <w:rsid w:val="006B141B"/>
    <w:rsid w:val="006B250E"/>
    <w:rsid w:val="006B3521"/>
    <w:rsid w:val="006B6F63"/>
    <w:rsid w:val="006B7CBA"/>
    <w:rsid w:val="006C095C"/>
    <w:rsid w:val="006D194F"/>
    <w:rsid w:val="006E393D"/>
    <w:rsid w:val="006F401C"/>
    <w:rsid w:val="006F51D0"/>
    <w:rsid w:val="006F549D"/>
    <w:rsid w:val="006F6268"/>
    <w:rsid w:val="006F7280"/>
    <w:rsid w:val="007111BB"/>
    <w:rsid w:val="00716661"/>
    <w:rsid w:val="00717ABF"/>
    <w:rsid w:val="00720A7F"/>
    <w:rsid w:val="00722064"/>
    <w:rsid w:val="0072459A"/>
    <w:rsid w:val="00725414"/>
    <w:rsid w:val="007259FE"/>
    <w:rsid w:val="00732039"/>
    <w:rsid w:val="00734DF8"/>
    <w:rsid w:val="007443CD"/>
    <w:rsid w:val="00745425"/>
    <w:rsid w:val="007468B5"/>
    <w:rsid w:val="00754926"/>
    <w:rsid w:val="00755B61"/>
    <w:rsid w:val="007571D8"/>
    <w:rsid w:val="007613FB"/>
    <w:rsid w:val="00767622"/>
    <w:rsid w:val="007745DB"/>
    <w:rsid w:val="0078277B"/>
    <w:rsid w:val="007845B5"/>
    <w:rsid w:val="007920B6"/>
    <w:rsid w:val="00795019"/>
    <w:rsid w:val="00797517"/>
    <w:rsid w:val="00797B5A"/>
    <w:rsid w:val="007A59B9"/>
    <w:rsid w:val="007B4B91"/>
    <w:rsid w:val="007B631B"/>
    <w:rsid w:val="007B7819"/>
    <w:rsid w:val="007C1615"/>
    <w:rsid w:val="007C421E"/>
    <w:rsid w:val="007C4494"/>
    <w:rsid w:val="007C7CC5"/>
    <w:rsid w:val="007D0A97"/>
    <w:rsid w:val="007E5212"/>
    <w:rsid w:val="007F5F9A"/>
    <w:rsid w:val="00801CEF"/>
    <w:rsid w:val="0081282D"/>
    <w:rsid w:val="00813035"/>
    <w:rsid w:val="00820567"/>
    <w:rsid w:val="00822776"/>
    <w:rsid w:val="0082292C"/>
    <w:rsid w:val="00824167"/>
    <w:rsid w:val="008304E1"/>
    <w:rsid w:val="008436B5"/>
    <w:rsid w:val="00844011"/>
    <w:rsid w:val="00853D66"/>
    <w:rsid w:val="00856475"/>
    <w:rsid w:val="00860449"/>
    <w:rsid w:val="0086543D"/>
    <w:rsid w:val="00886F32"/>
    <w:rsid w:val="00891FB8"/>
    <w:rsid w:val="0089566E"/>
    <w:rsid w:val="008A0C50"/>
    <w:rsid w:val="008A4747"/>
    <w:rsid w:val="008A5293"/>
    <w:rsid w:val="008B1B1A"/>
    <w:rsid w:val="008B2D74"/>
    <w:rsid w:val="008B304B"/>
    <w:rsid w:val="008B7471"/>
    <w:rsid w:val="008C0E4B"/>
    <w:rsid w:val="008C12B1"/>
    <w:rsid w:val="008C55C9"/>
    <w:rsid w:val="008D0237"/>
    <w:rsid w:val="008D61DA"/>
    <w:rsid w:val="008E08AF"/>
    <w:rsid w:val="008F337D"/>
    <w:rsid w:val="00901061"/>
    <w:rsid w:val="00910850"/>
    <w:rsid w:val="00913CE7"/>
    <w:rsid w:val="00915758"/>
    <w:rsid w:val="00916151"/>
    <w:rsid w:val="00924EE3"/>
    <w:rsid w:val="0093188F"/>
    <w:rsid w:val="00937AAF"/>
    <w:rsid w:val="00955975"/>
    <w:rsid w:val="00955FAE"/>
    <w:rsid w:val="009620F9"/>
    <w:rsid w:val="009634DE"/>
    <w:rsid w:val="00963E94"/>
    <w:rsid w:val="00970629"/>
    <w:rsid w:val="009720F2"/>
    <w:rsid w:val="00977B26"/>
    <w:rsid w:val="00985BB4"/>
    <w:rsid w:val="00990B04"/>
    <w:rsid w:val="009A5215"/>
    <w:rsid w:val="009A7A48"/>
    <w:rsid w:val="009B0873"/>
    <w:rsid w:val="009B67AE"/>
    <w:rsid w:val="009C108E"/>
    <w:rsid w:val="009C4F05"/>
    <w:rsid w:val="009C5880"/>
    <w:rsid w:val="009D1274"/>
    <w:rsid w:val="009E3C36"/>
    <w:rsid w:val="009F2CFC"/>
    <w:rsid w:val="00A03671"/>
    <w:rsid w:val="00A0588E"/>
    <w:rsid w:val="00A173B2"/>
    <w:rsid w:val="00A229CA"/>
    <w:rsid w:val="00A2344E"/>
    <w:rsid w:val="00A2395B"/>
    <w:rsid w:val="00A24B7A"/>
    <w:rsid w:val="00A25981"/>
    <w:rsid w:val="00A278AF"/>
    <w:rsid w:val="00A343FA"/>
    <w:rsid w:val="00A359B6"/>
    <w:rsid w:val="00A40B3B"/>
    <w:rsid w:val="00A52AAF"/>
    <w:rsid w:val="00A565EA"/>
    <w:rsid w:val="00A631A1"/>
    <w:rsid w:val="00A65285"/>
    <w:rsid w:val="00A66588"/>
    <w:rsid w:val="00A85832"/>
    <w:rsid w:val="00AA4537"/>
    <w:rsid w:val="00AA4ED6"/>
    <w:rsid w:val="00AA6EB5"/>
    <w:rsid w:val="00AA7B43"/>
    <w:rsid w:val="00AA7E82"/>
    <w:rsid w:val="00AB298F"/>
    <w:rsid w:val="00AB5BC6"/>
    <w:rsid w:val="00AC1E77"/>
    <w:rsid w:val="00AC6C15"/>
    <w:rsid w:val="00AD7376"/>
    <w:rsid w:val="00AE07EA"/>
    <w:rsid w:val="00AE4940"/>
    <w:rsid w:val="00AE7A5E"/>
    <w:rsid w:val="00AF1C4E"/>
    <w:rsid w:val="00AF6B57"/>
    <w:rsid w:val="00B05183"/>
    <w:rsid w:val="00B05889"/>
    <w:rsid w:val="00B067FD"/>
    <w:rsid w:val="00B07816"/>
    <w:rsid w:val="00B1096F"/>
    <w:rsid w:val="00B1142B"/>
    <w:rsid w:val="00B130B0"/>
    <w:rsid w:val="00B20B50"/>
    <w:rsid w:val="00B20FA8"/>
    <w:rsid w:val="00B260AD"/>
    <w:rsid w:val="00B302B0"/>
    <w:rsid w:val="00B341D5"/>
    <w:rsid w:val="00B41487"/>
    <w:rsid w:val="00B41CE1"/>
    <w:rsid w:val="00B43039"/>
    <w:rsid w:val="00B508EB"/>
    <w:rsid w:val="00B6381F"/>
    <w:rsid w:val="00B652AC"/>
    <w:rsid w:val="00B66189"/>
    <w:rsid w:val="00B6660D"/>
    <w:rsid w:val="00B70D28"/>
    <w:rsid w:val="00B7276C"/>
    <w:rsid w:val="00B749C6"/>
    <w:rsid w:val="00B74E98"/>
    <w:rsid w:val="00B839CF"/>
    <w:rsid w:val="00B85E73"/>
    <w:rsid w:val="00B91232"/>
    <w:rsid w:val="00B9261B"/>
    <w:rsid w:val="00B93D94"/>
    <w:rsid w:val="00BA0E79"/>
    <w:rsid w:val="00BB1EFE"/>
    <w:rsid w:val="00BB2416"/>
    <w:rsid w:val="00BB604C"/>
    <w:rsid w:val="00BC30C7"/>
    <w:rsid w:val="00BC5BCF"/>
    <w:rsid w:val="00BC6212"/>
    <w:rsid w:val="00BC7363"/>
    <w:rsid w:val="00BD3C53"/>
    <w:rsid w:val="00BD41FA"/>
    <w:rsid w:val="00BD63AD"/>
    <w:rsid w:val="00BE091A"/>
    <w:rsid w:val="00BF1C46"/>
    <w:rsid w:val="00BF3F40"/>
    <w:rsid w:val="00BF6FE7"/>
    <w:rsid w:val="00C01AF9"/>
    <w:rsid w:val="00C0617A"/>
    <w:rsid w:val="00C209A7"/>
    <w:rsid w:val="00C2200F"/>
    <w:rsid w:val="00C26916"/>
    <w:rsid w:val="00C31C7D"/>
    <w:rsid w:val="00C31F56"/>
    <w:rsid w:val="00C344DF"/>
    <w:rsid w:val="00C34979"/>
    <w:rsid w:val="00C36475"/>
    <w:rsid w:val="00C41196"/>
    <w:rsid w:val="00C416B7"/>
    <w:rsid w:val="00C45979"/>
    <w:rsid w:val="00C46102"/>
    <w:rsid w:val="00C6168F"/>
    <w:rsid w:val="00C651AF"/>
    <w:rsid w:val="00C70FE0"/>
    <w:rsid w:val="00C72B93"/>
    <w:rsid w:val="00C7694B"/>
    <w:rsid w:val="00C82ED9"/>
    <w:rsid w:val="00C83FE6"/>
    <w:rsid w:val="00C867F2"/>
    <w:rsid w:val="00C95D84"/>
    <w:rsid w:val="00C95F9D"/>
    <w:rsid w:val="00CA27F8"/>
    <w:rsid w:val="00CA332A"/>
    <w:rsid w:val="00CB0DCD"/>
    <w:rsid w:val="00CC48A4"/>
    <w:rsid w:val="00CC5B7F"/>
    <w:rsid w:val="00CE45BC"/>
    <w:rsid w:val="00CE480F"/>
    <w:rsid w:val="00CF1DE2"/>
    <w:rsid w:val="00CF2F21"/>
    <w:rsid w:val="00CF3752"/>
    <w:rsid w:val="00CF71BB"/>
    <w:rsid w:val="00D036AB"/>
    <w:rsid w:val="00D05424"/>
    <w:rsid w:val="00D10A26"/>
    <w:rsid w:val="00D2080F"/>
    <w:rsid w:val="00D25426"/>
    <w:rsid w:val="00D41EAC"/>
    <w:rsid w:val="00D533AA"/>
    <w:rsid w:val="00D55867"/>
    <w:rsid w:val="00D611A7"/>
    <w:rsid w:val="00D61580"/>
    <w:rsid w:val="00D663D7"/>
    <w:rsid w:val="00D802BF"/>
    <w:rsid w:val="00D842A9"/>
    <w:rsid w:val="00D86689"/>
    <w:rsid w:val="00D94DFC"/>
    <w:rsid w:val="00DA20E4"/>
    <w:rsid w:val="00DA47CE"/>
    <w:rsid w:val="00DB3494"/>
    <w:rsid w:val="00DB56AB"/>
    <w:rsid w:val="00DC0CE4"/>
    <w:rsid w:val="00DC5B37"/>
    <w:rsid w:val="00DC6A8B"/>
    <w:rsid w:val="00DD26C5"/>
    <w:rsid w:val="00DD4037"/>
    <w:rsid w:val="00DE0BE9"/>
    <w:rsid w:val="00DE3BB6"/>
    <w:rsid w:val="00DE53B3"/>
    <w:rsid w:val="00DF143D"/>
    <w:rsid w:val="00DF658D"/>
    <w:rsid w:val="00E01BF2"/>
    <w:rsid w:val="00E053D2"/>
    <w:rsid w:val="00E122A3"/>
    <w:rsid w:val="00E1573C"/>
    <w:rsid w:val="00E20849"/>
    <w:rsid w:val="00E24788"/>
    <w:rsid w:val="00E26762"/>
    <w:rsid w:val="00E30FFA"/>
    <w:rsid w:val="00E34B67"/>
    <w:rsid w:val="00E46280"/>
    <w:rsid w:val="00E52CE1"/>
    <w:rsid w:val="00E54252"/>
    <w:rsid w:val="00E54EDF"/>
    <w:rsid w:val="00E55B7E"/>
    <w:rsid w:val="00E565E7"/>
    <w:rsid w:val="00E569B4"/>
    <w:rsid w:val="00E56F33"/>
    <w:rsid w:val="00E5732E"/>
    <w:rsid w:val="00E64339"/>
    <w:rsid w:val="00E65EC1"/>
    <w:rsid w:val="00E7784E"/>
    <w:rsid w:val="00E8072A"/>
    <w:rsid w:val="00E85126"/>
    <w:rsid w:val="00E94355"/>
    <w:rsid w:val="00E948F7"/>
    <w:rsid w:val="00E96B1A"/>
    <w:rsid w:val="00EA01AF"/>
    <w:rsid w:val="00EA1EE8"/>
    <w:rsid w:val="00EA70FA"/>
    <w:rsid w:val="00EB02B1"/>
    <w:rsid w:val="00EB1F66"/>
    <w:rsid w:val="00EB4623"/>
    <w:rsid w:val="00EC073D"/>
    <w:rsid w:val="00EC7524"/>
    <w:rsid w:val="00ED06E0"/>
    <w:rsid w:val="00ED2A03"/>
    <w:rsid w:val="00ED3977"/>
    <w:rsid w:val="00EE25DC"/>
    <w:rsid w:val="00EE7D1E"/>
    <w:rsid w:val="00EF210D"/>
    <w:rsid w:val="00EF4A2F"/>
    <w:rsid w:val="00F037A4"/>
    <w:rsid w:val="00F129EA"/>
    <w:rsid w:val="00F2157D"/>
    <w:rsid w:val="00F22943"/>
    <w:rsid w:val="00F254CA"/>
    <w:rsid w:val="00F268DF"/>
    <w:rsid w:val="00F31162"/>
    <w:rsid w:val="00F43BE9"/>
    <w:rsid w:val="00F44EF4"/>
    <w:rsid w:val="00F45B22"/>
    <w:rsid w:val="00F45D3E"/>
    <w:rsid w:val="00F465F1"/>
    <w:rsid w:val="00F4736A"/>
    <w:rsid w:val="00F5638B"/>
    <w:rsid w:val="00F626D0"/>
    <w:rsid w:val="00F64AEB"/>
    <w:rsid w:val="00F702FF"/>
    <w:rsid w:val="00F7037E"/>
    <w:rsid w:val="00F71037"/>
    <w:rsid w:val="00F7228B"/>
    <w:rsid w:val="00F7442F"/>
    <w:rsid w:val="00F759CE"/>
    <w:rsid w:val="00F81ABD"/>
    <w:rsid w:val="00F82DC6"/>
    <w:rsid w:val="00F87294"/>
    <w:rsid w:val="00F913D7"/>
    <w:rsid w:val="00FA0A5F"/>
    <w:rsid w:val="00FA1443"/>
    <w:rsid w:val="00FA1D47"/>
    <w:rsid w:val="00FB2037"/>
    <w:rsid w:val="00FB6F7A"/>
    <w:rsid w:val="00FC18A8"/>
    <w:rsid w:val="00FC33DA"/>
    <w:rsid w:val="00FC4BF6"/>
    <w:rsid w:val="00FD0BFB"/>
    <w:rsid w:val="00FD2A85"/>
    <w:rsid w:val="00FD33F2"/>
    <w:rsid w:val="00FD4586"/>
    <w:rsid w:val="00FD7A72"/>
    <w:rsid w:val="00FE026E"/>
    <w:rsid w:val="00FE3DB5"/>
    <w:rsid w:val="00FF3D41"/>
    <w:rsid w:val="00FF490B"/>
    <w:rsid w:val="4A5664DB"/>
    <w:rsid w:val="59F90FCA"/>
    <w:rsid w:val="65071E92"/>
    <w:rsid w:val="6D1F7F55"/>
    <w:rsid w:val="6F33543B"/>
    <w:rsid w:val="7C07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4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42"/>
    <w:uiPriority w:val="0"/>
    <w:rPr>
      <w:rFonts w:ascii="宋体"/>
      <w:sz w:val="18"/>
      <w:szCs w:val="18"/>
    </w:rPr>
  </w:style>
  <w:style w:type="paragraph" w:styleId="4">
    <w:name w:val="annotation text"/>
    <w:basedOn w:val="1"/>
    <w:link w:val="24"/>
    <w:qFormat/>
    <w:uiPriority w:val="0"/>
    <w:pPr>
      <w:jc w:val="left"/>
    </w:pPr>
  </w:style>
  <w:style w:type="paragraph" w:styleId="5">
    <w:name w:val="Body Text Indent"/>
    <w:basedOn w:val="1"/>
    <w:link w:val="21"/>
    <w:qFormat/>
    <w:uiPriority w:val="0"/>
    <w:pPr>
      <w:spacing w:after="120"/>
      <w:ind w:left="200" w:leftChars="200"/>
    </w:pPr>
    <w:rPr>
      <w:rFonts w:ascii="宋体" w:hAnsi="宋体"/>
      <w:kern w:val="0"/>
      <w:sz w:val="20"/>
    </w:rPr>
  </w:style>
  <w:style w:type="paragraph" w:styleId="6">
    <w:name w:val="Date"/>
    <w:basedOn w:val="1"/>
    <w:next w:val="1"/>
    <w:uiPriority w:val="0"/>
    <w:pPr>
      <w:ind w:left="100" w:leftChars="2500"/>
    </w:pPr>
    <w:rPr>
      <w:rFonts w:ascii="宋体" w:hAnsi="宋体"/>
      <w:sz w:val="28"/>
    </w:rPr>
  </w:style>
  <w:style w:type="paragraph" w:styleId="7">
    <w:name w:val="Balloon Text"/>
    <w:basedOn w:val="1"/>
    <w:qFormat/>
    <w:uiPriority w:val="0"/>
    <w:rPr>
      <w:sz w:val="18"/>
    </w:rPr>
  </w:style>
  <w:style w:type="paragraph" w:styleId="8">
    <w:name w:val="footer"/>
    <w:basedOn w:val="1"/>
    <w:link w:val="18"/>
    <w:qFormat/>
    <w:uiPriority w:val="0"/>
    <w:pPr>
      <w:tabs>
        <w:tab w:val="center" w:pos="4153"/>
        <w:tab w:val="right" w:pos="8306"/>
      </w:tabs>
      <w:snapToGrid w:val="0"/>
      <w:jc w:val="left"/>
    </w:pPr>
    <w:rPr>
      <w:sz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link w:val="4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20"/>
    <w:uiPriority w:val="0"/>
    <w:rPr>
      <w:b/>
      <w:bCs/>
    </w:rPr>
  </w:style>
  <w:style w:type="character" w:styleId="15">
    <w:name w:val="Emphasis"/>
    <w:basedOn w:val="14"/>
    <w:qFormat/>
    <w:uiPriority w:val="20"/>
    <w:rPr>
      <w:i/>
      <w:iCs/>
    </w:rPr>
  </w:style>
  <w:style w:type="character" w:styleId="16">
    <w:name w:val="Hyperlink"/>
    <w:basedOn w:val="14"/>
    <w:unhideWhenUsed/>
    <w:uiPriority w:val="99"/>
    <w:rPr>
      <w:color w:val="0000FF"/>
      <w:u w:val="single"/>
    </w:rPr>
  </w:style>
  <w:style w:type="character" w:styleId="17">
    <w:name w:val="annotation reference"/>
    <w:uiPriority w:val="0"/>
    <w:rPr>
      <w:sz w:val="21"/>
      <w:szCs w:val="21"/>
    </w:rPr>
  </w:style>
  <w:style w:type="character" w:customStyle="1" w:styleId="18">
    <w:name w:val="页脚 Char"/>
    <w:link w:val="8"/>
    <w:uiPriority w:val="0"/>
    <w:rPr>
      <w:kern w:val="2"/>
      <w:sz w:val="18"/>
    </w:rPr>
  </w:style>
  <w:style w:type="character" w:customStyle="1" w:styleId="19">
    <w:name w:val="页眉 Char"/>
    <w:link w:val="9"/>
    <w:uiPriority w:val="0"/>
    <w:rPr>
      <w:kern w:val="2"/>
      <w:sz w:val="18"/>
    </w:rPr>
  </w:style>
  <w:style w:type="character" w:customStyle="1" w:styleId="20">
    <w:name w:val="批注主题 Char"/>
    <w:link w:val="12"/>
    <w:uiPriority w:val="0"/>
    <w:rPr>
      <w:b/>
      <w:bCs/>
      <w:kern w:val="2"/>
      <w:sz w:val="21"/>
    </w:rPr>
  </w:style>
  <w:style w:type="character" w:customStyle="1" w:styleId="21">
    <w:name w:val="正文文本缩进 Char"/>
    <w:link w:val="5"/>
    <w:locked/>
    <w:uiPriority w:val="0"/>
    <w:rPr>
      <w:rFonts w:ascii="宋体" w:hAnsi="宋体" w:eastAsia="宋体"/>
      <w:lang w:bidi="ar-SA"/>
    </w:rPr>
  </w:style>
  <w:style w:type="character" w:customStyle="1" w:styleId="22">
    <w:name w:val="段 Char"/>
    <w:link w:val="23"/>
    <w:qFormat/>
    <w:uiPriority w:val="0"/>
    <w:rPr>
      <w:rFonts w:ascii="宋体"/>
      <w:sz w:val="21"/>
      <w:lang w:val="en-US" w:eastAsia="zh-CN" w:bidi="ar-SA"/>
    </w:rPr>
  </w:style>
  <w:style w:type="paragraph" w:customStyle="1" w:styleId="23">
    <w:name w:val="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批注文字 Char"/>
    <w:link w:val="4"/>
    <w:uiPriority w:val="0"/>
    <w:rPr>
      <w:kern w:val="2"/>
      <w:sz w:val="21"/>
    </w:rPr>
  </w:style>
  <w:style w:type="paragraph" w:customStyle="1" w:styleId="25">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26">
    <w:name w:val="四级条标题"/>
    <w:basedOn w:val="27"/>
    <w:next w:val="23"/>
    <w:qFormat/>
    <w:uiPriority w:val="0"/>
    <w:pPr>
      <w:tabs>
        <w:tab w:val="left" w:pos="1418"/>
      </w:tabs>
      <w:outlineLvl w:val="5"/>
    </w:pPr>
  </w:style>
  <w:style w:type="paragraph" w:customStyle="1" w:styleId="27">
    <w:name w:val="三级条标题"/>
    <w:basedOn w:val="28"/>
    <w:next w:val="23"/>
    <w:uiPriority w:val="0"/>
    <w:pPr>
      <w:tabs>
        <w:tab w:val="left" w:pos="1418"/>
      </w:tabs>
      <w:outlineLvl w:val="4"/>
    </w:pPr>
  </w:style>
  <w:style w:type="paragraph" w:customStyle="1" w:styleId="28">
    <w:name w:val="二级条标题"/>
    <w:basedOn w:val="29"/>
    <w:next w:val="23"/>
    <w:uiPriority w:val="0"/>
    <w:pPr>
      <w:tabs>
        <w:tab w:val="left" w:pos="1418"/>
      </w:tabs>
      <w:outlineLvl w:val="3"/>
    </w:pPr>
  </w:style>
  <w:style w:type="paragraph" w:customStyle="1" w:styleId="29">
    <w:name w:val="一级条标题"/>
    <w:basedOn w:val="1"/>
    <w:next w:val="23"/>
    <w:uiPriority w:val="0"/>
    <w:pPr>
      <w:widowControl/>
      <w:tabs>
        <w:tab w:val="left" w:pos="1418"/>
      </w:tabs>
      <w:outlineLvl w:val="2"/>
    </w:pPr>
    <w:rPr>
      <w:rFonts w:ascii="黑体" w:eastAsia="黑体"/>
      <w:kern w:val="0"/>
    </w:rPr>
  </w:style>
  <w:style w:type="paragraph" w:customStyle="1" w:styleId="30">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
    <w:name w:val="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4">
    <w:name w:val="正文表标题"/>
    <w:next w:val="23"/>
    <w:uiPriority w:val="0"/>
    <w:pPr>
      <w:numPr>
        <w:ilvl w:val="0"/>
        <w:numId w:val="1"/>
      </w:numPr>
      <w:jc w:val="center"/>
    </w:pPr>
    <w:rPr>
      <w:rFonts w:ascii="黑体" w:hAnsi="Times New Roman" w:eastAsia="黑体" w:cs="Times New Roman"/>
      <w:sz w:val="21"/>
      <w:lang w:val="en-US" w:eastAsia="zh-CN" w:bidi="ar-SA"/>
    </w:rPr>
  </w:style>
  <w:style w:type="paragraph" w:customStyle="1" w:styleId="35">
    <w:name w:val="章标题"/>
    <w:next w:val="23"/>
    <w:uiPriority w:val="0"/>
    <w:pPr>
      <w:spacing w:before="50" w:after="50"/>
      <w:jc w:val="both"/>
      <w:outlineLvl w:val="1"/>
    </w:pPr>
    <w:rPr>
      <w:rFonts w:ascii="黑体" w:hAnsi="Times New Roman" w:eastAsia="黑体" w:cs="Times New Roman"/>
      <w:sz w:val="21"/>
      <w:lang w:val="en-US" w:eastAsia="zh-CN" w:bidi="ar-SA"/>
    </w:rPr>
  </w:style>
  <w:style w:type="paragraph" w:customStyle="1" w:styleId="36">
    <w:name w:val="五级条标题"/>
    <w:basedOn w:val="26"/>
    <w:next w:val="23"/>
    <w:qFormat/>
    <w:uiPriority w:val="0"/>
    <w:pPr>
      <w:outlineLvl w:val="6"/>
    </w:pPr>
  </w:style>
  <w:style w:type="paragraph" w:customStyle="1" w:styleId="37">
    <w:name w:val="Char Char Char Char"/>
    <w:basedOn w:val="1"/>
    <w:qFormat/>
    <w:uiPriority w:val="0"/>
    <w:pPr>
      <w:widowControl/>
      <w:spacing w:after="160" w:line="240" w:lineRule="exact"/>
      <w:jc w:val="left"/>
    </w:pPr>
    <w:rPr>
      <w:rFonts w:ascii="Verdana" w:hAnsi="Verdana"/>
      <w:kern w:val="0"/>
      <w:sz w:val="18"/>
      <w:lang w:eastAsia="en-US"/>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标准"/>
    <w:basedOn w:val="1"/>
    <w:uiPriority w:val="0"/>
    <w:pPr>
      <w:adjustRightInd w:val="0"/>
      <w:spacing w:line="312" w:lineRule="atLeast"/>
      <w:jc w:val="center"/>
      <w:textAlignment w:val="baseline"/>
    </w:pPr>
    <w:rPr>
      <w:kern w:val="0"/>
    </w:rPr>
  </w:style>
  <w:style w:type="paragraph" w:customStyle="1" w:styleId="40">
    <w:name w:val="列出段落1"/>
    <w:basedOn w:val="1"/>
    <w:qFormat/>
    <w:uiPriority w:val="99"/>
    <w:pPr>
      <w:ind w:firstLine="420" w:firstLineChars="200"/>
    </w:pPr>
    <w:rPr>
      <w:rFonts w:ascii="Calibri" w:hAnsi="Calibri"/>
      <w:szCs w:val="22"/>
    </w:rPr>
  </w:style>
  <w:style w:type="paragraph" w:customStyle="1" w:styleId="41">
    <w:name w:val="封面正文"/>
    <w:uiPriority w:val="0"/>
    <w:pPr>
      <w:jc w:val="both"/>
    </w:pPr>
    <w:rPr>
      <w:rFonts w:ascii="Times New Roman" w:hAnsi="Times New Roman" w:eastAsia="宋体" w:cs="Times New Roman"/>
      <w:lang w:val="en-US" w:eastAsia="zh-CN" w:bidi="ar-SA"/>
    </w:rPr>
  </w:style>
  <w:style w:type="character" w:customStyle="1" w:styleId="42">
    <w:name w:val="文档结构图 Char"/>
    <w:basedOn w:val="14"/>
    <w:link w:val="3"/>
    <w:uiPriority w:val="0"/>
    <w:rPr>
      <w:rFonts w:ascii="宋体"/>
      <w:kern w:val="2"/>
      <w:sz w:val="18"/>
      <w:szCs w:val="18"/>
    </w:rPr>
  </w:style>
  <w:style w:type="character" w:customStyle="1" w:styleId="43">
    <w:name w:val="标题 3 Char"/>
    <w:basedOn w:val="14"/>
    <w:link w:val="2"/>
    <w:uiPriority w:val="9"/>
    <w:rPr>
      <w:rFonts w:ascii="宋体" w:hAnsi="宋体" w:cs="宋体"/>
      <w:b/>
      <w:bCs/>
      <w:sz w:val="27"/>
      <w:szCs w:val="27"/>
    </w:rPr>
  </w:style>
  <w:style w:type="character" w:customStyle="1" w:styleId="44">
    <w:name w:val="HTML 预设格式 Char"/>
    <w:basedOn w:val="14"/>
    <w:link w:val="10"/>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稀土行业标准《高纯金属镝》（征求意见稿）编制说明-0314.dotx</Template>
  <Company>微软中国</Company>
  <Pages>7</Pages>
  <Words>796</Words>
  <Characters>4540</Characters>
  <Lines>37</Lines>
  <Paragraphs>10</Paragraphs>
  <TotalTime>87</TotalTime>
  <ScaleCrop>false</ScaleCrop>
  <LinksUpToDate>false</LinksUpToDate>
  <CharactersWithSpaces>5326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2019-04-11T05:55:00Z</dcterms:created>
  <dc:creator>MiaoRuiying</dc:creator>
  <cp:lastModifiedBy>高兰</cp:lastModifiedBy>
  <cp:lastPrinted>2019-07-17T08:04:00Z</cp:lastPrinted>
  <dcterms:modified xsi:type="dcterms:W3CDTF">2019-07-19T02:28:11Z</dcterms:modified>
  <dc:title>国家标准《钕镁合金》编制说明</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