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</w:pPr>
      <w:bookmarkStart w:id="6" w:name="_GoBack"/>
      <w:bookmarkEnd w:id="6"/>
      <w:r>
        <w:pict>
          <v:shape id="_x0000_s1028" o:spid="_x0000_s1028" o:spt="202" type="#_x0000_t202" style="position:absolute;left:0pt;margin-left:361.1pt;margin-top:-16.35pt;height:88.5pt;width:140.2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contextualSpacing/>
                    <w:jc w:val="center"/>
                    <w:rPr>
                      <w:b/>
                      <w:sz w:val="144"/>
                    </w:rPr>
                  </w:pPr>
                  <w:r>
                    <w:rPr>
                      <w:rFonts w:hint="eastAsia"/>
                      <w:b/>
                      <w:sz w:val="144"/>
                    </w:rPr>
                    <w:t>XB</w:t>
                  </w:r>
                </w:p>
              </w:txbxContent>
            </v:textbox>
          </v:shape>
        </w:pict>
      </w:r>
      <w:r>
        <w:t xml:space="preserve">ICS 77.120.99                                                  </w:t>
      </w:r>
    </w:p>
    <w:p>
      <w:pPr>
        <w:pStyle w:val="21"/>
      </w:pPr>
      <w:r>
        <w:t>H 65</w:t>
      </w:r>
    </w:p>
    <w:p>
      <w:pPr>
        <w:pStyle w:val="20"/>
      </w:pPr>
    </w:p>
    <w:p>
      <w:pPr>
        <w:pStyle w:val="20"/>
      </w:pPr>
    </w:p>
    <w:p>
      <w:pPr>
        <w:pStyle w:val="20"/>
      </w:pPr>
    </w:p>
    <w:p>
      <w:pPr>
        <w:pStyle w:val="20"/>
        <w:rPr>
          <w:b/>
        </w:rPr>
      </w:pPr>
      <w:r>
        <w:rPr>
          <w:rFonts w:hint="eastAsia"/>
          <w:b/>
          <w:sz w:val="72"/>
        </w:rPr>
        <w:t>中华人民共和国稀土行业标准</w:t>
      </w:r>
    </w:p>
    <w:p>
      <w:pPr>
        <w:pStyle w:val="25"/>
        <w:rPr>
          <w:lang w:val="de-DE"/>
        </w:rPr>
      </w:pPr>
      <w:r>
        <w:rPr>
          <w:rFonts w:hint="eastAsia"/>
          <w:lang w:val="de-DE"/>
        </w:rPr>
        <w:t>X</w:t>
      </w:r>
      <w:r>
        <w:rPr>
          <w:lang w:val="de-DE"/>
        </w:rPr>
        <w:t xml:space="preserve">B/T </w:t>
      </w:r>
      <w:r>
        <w:rPr>
          <w:rFonts w:hint="eastAsia"/>
          <w:lang w:val="de-DE"/>
        </w:rPr>
        <w:t>xxx</w:t>
      </w:r>
      <w:r>
        <w:rPr>
          <w:lang w:val="de-DE"/>
        </w:rPr>
        <w:t>—××××</w:t>
      </w:r>
    </w:p>
    <w:p>
      <w:pPr>
        <w:pStyle w:val="28"/>
        <w:ind w:right="210"/>
        <w:rPr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  <w:r>
        <w:rPr>
          <w:rFonts w:hint="eastAsia"/>
          <w:u w:val="single"/>
          <w:lang w:val="de-DE"/>
        </w:rPr>
        <w:t xml:space="preserve">                                                                                           </w:t>
      </w:r>
    </w:p>
    <w:p>
      <w:pPr>
        <w:pStyle w:val="22"/>
      </w:pPr>
    </w:p>
    <w:p>
      <w:pPr>
        <w:pStyle w:val="22"/>
      </w:pPr>
    </w:p>
    <w:p>
      <w:pPr>
        <w:pStyle w:val="22"/>
      </w:pPr>
      <w:r>
        <w:rPr>
          <w:rFonts w:hint="eastAsia"/>
        </w:rPr>
        <w:t>高纯金属镱</w:t>
      </w:r>
    </w:p>
    <w:p>
      <w:pPr>
        <w:pStyle w:val="27"/>
      </w:pPr>
      <w:r>
        <w:rPr>
          <w:rFonts w:hint="eastAsia"/>
        </w:rPr>
        <w:t xml:space="preserve">High-purity </w:t>
      </w:r>
      <w:r>
        <w:rPr>
          <w:bCs/>
        </w:rPr>
        <w:t>ytterbium</w:t>
      </w:r>
      <w:r>
        <w:t xml:space="preserve"> metal</w:t>
      </w:r>
      <w:r>
        <w:br w:type="textWrapping"/>
      </w:r>
      <w:r>
        <w:br w:type="textWrapping"/>
      </w:r>
    </w:p>
    <w:p>
      <w:pPr>
        <w:pStyle w:val="26"/>
      </w:pPr>
    </w:p>
    <w:p>
      <w:pPr>
        <w:pStyle w:val="29"/>
      </w:pPr>
      <w:r>
        <w:rPr>
          <w:rFonts w:hint="eastAsia"/>
        </w:rPr>
        <w:t>（预审稿）</w:t>
      </w:r>
    </w:p>
    <w:p>
      <w:pPr>
        <w:pStyle w:val="24"/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28"/>
        <w:ind w:right="630"/>
        <w:jc w:val="both"/>
        <w:rPr>
          <w:u w:val="single"/>
          <w:lang w:val="de-DE"/>
        </w:rPr>
      </w:pPr>
    </w:p>
    <w:p>
      <w:pPr>
        <w:pStyle w:val="30"/>
        <w:rPr>
          <w:u w:val="single"/>
        </w:rPr>
      </w:pPr>
      <w:r>
        <w:rPr>
          <w:rFonts w:hint="eastAsia"/>
          <w:u w:val="single"/>
        </w:rPr>
        <w:t>××××</w:t>
      </w:r>
      <w:r>
        <w:rPr>
          <w:u w:val="single"/>
        </w:rPr>
        <w:t>-</w:t>
      </w:r>
      <w:r>
        <w:rPr>
          <w:rFonts w:hint="eastAsia"/>
          <w:u w:val="single"/>
        </w:rPr>
        <w:t>××</w:t>
      </w:r>
      <w:r>
        <w:rPr>
          <w:u w:val="single"/>
        </w:rPr>
        <w:t>-</w:t>
      </w:r>
      <w:r>
        <w:rPr>
          <w:rFonts w:hint="eastAsia"/>
          <w:u w:val="single"/>
        </w:rPr>
        <w:t>××发布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>××××</w:t>
      </w:r>
      <w:r>
        <w:rPr>
          <w:u w:val="single"/>
        </w:rPr>
        <w:t>-</w:t>
      </w:r>
      <w:r>
        <w:rPr>
          <w:rFonts w:hint="eastAsia"/>
          <w:u w:val="single"/>
        </w:rPr>
        <w:t>××</w:t>
      </w:r>
      <w:r>
        <w:rPr>
          <w:u w:val="single"/>
        </w:rPr>
        <w:t>-</w:t>
      </w:r>
      <w:r>
        <w:rPr>
          <w:rFonts w:hint="eastAsia"/>
          <w:u w:val="single"/>
        </w:rPr>
        <w:t>××实施</w:t>
      </w:r>
    </w:p>
    <w:p>
      <w:pPr>
        <w:widowControl/>
        <w:spacing w:line="34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bookmarkStart w:id="0" w:name="_Hlk491262227"/>
      <w:r>
        <w:rPr>
          <w:rFonts w:hint="eastAsia" w:ascii="华文中宋" w:hAnsi="华文中宋" w:eastAsia="华文中宋" w:cs="华文中宋"/>
          <w:b/>
          <w:spacing w:val="102"/>
          <w:sz w:val="32"/>
          <w:szCs w:val="32"/>
        </w:rPr>
        <w:t xml:space="preserve">   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中华人民共和国工业和信息化部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发布</w:t>
      </w:r>
    </w:p>
    <w:p>
      <w:pPr>
        <w:pStyle w:val="20"/>
        <w:rPr>
          <w:u w:val="single"/>
          <w:lang w:val="de-DE"/>
        </w:rPr>
      </w:pPr>
      <w:r>
        <w:rPr>
          <w:rFonts w:eastAsia="黑体"/>
          <w:sz w:val="28"/>
        </w:rPr>
        <w:t xml:space="preserve"> </w:t>
      </w:r>
    </w:p>
    <w:bookmarkEnd w:id="0"/>
    <w:p>
      <w:pPr>
        <w:widowControl/>
        <w:jc w:val="left"/>
        <w:rPr>
          <w:kern w:val="0"/>
          <w:sz w:val="20"/>
          <w:u w:val="single"/>
          <w:lang w:val="de-DE"/>
        </w:rPr>
        <w:sectPr>
          <w:pgSz w:w="11907" w:h="16839"/>
          <w:pgMar w:top="567" w:right="851" w:bottom="1361" w:left="1418" w:header="0" w:footer="0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18"/>
        <w:jc w:val="both"/>
      </w:pPr>
      <w:r>
        <w:rPr>
          <w:rFonts w:hint="eastAsia"/>
        </w:rPr>
        <w:t xml:space="preserve">                      前</w:t>
      </w:r>
      <w:r>
        <w:rPr>
          <w:rFonts w:hint="eastAsia"/>
          <w:lang w:val="de-DE"/>
        </w:rPr>
        <w:t xml:space="preserve">    </w:t>
      </w:r>
      <w:r>
        <w:rPr>
          <w:rFonts w:hint="eastAsia"/>
        </w:rPr>
        <w:t>言</w:t>
      </w:r>
    </w:p>
    <w:p>
      <w:pPr>
        <w:adjustRightInd w:val="0"/>
        <w:snapToGrid w:val="0"/>
        <w:spacing w:line="360" w:lineRule="atLeast"/>
        <w:rPr>
          <w:szCs w:val="21"/>
        </w:rPr>
      </w:pPr>
      <w:r>
        <w:rPr>
          <w:rFonts w:hAnsi="宋体"/>
          <w:szCs w:val="21"/>
        </w:rPr>
        <w:t>本标准按照</w:t>
      </w:r>
      <w:r>
        <w:rPr>
          <w:szCs w:val="21"/>
        </w:rPr>
        <w:t>GB/T 1.1-2009</w:t>
      </w:r>
      <w:r>
        <w:rPr>
          <w:rFonts w:hAnsi="宋体"/>
          <w:szCs w:val="21"/>
        </w:rPr>
        <w:t>给出的规则起草。</w:t>
      </w:r>
    </w:p>
    <w:p>
      <w:pPr>
        <w:spacing w:line="360" w:lineRule="atLeast"/>
        <w:rPr>
          <w:szCs w:val="21"/>
        </w:rPr>
      </w:pPr>
      <w:r>
        <w:rPr>
          <w:rFonts w:hAnsi="宋体"/>
          <w:szCs w:val="21"/>
        </w:rPr>
        <w:t>本标准由全国稀土标准化技术委员会（</w:t>
      </w:r>
      <w:r>
        <w:rPr>
          <w:szCs w:val="21"/>
        </w:rPr>
        <w:t>SAC/TC229</w:t>
      </w:r>
      <w:r>
        <w:rPr>
          <w:rFonts w:hAnsi="宋体"/>
          <w:szCs w:val="21"/>
        </w:rPr>
        <w:t>）提出并归口。</w:t>
      </w:r>
    </w:p>
    <w:p>
      <w:pPr>
        <w:spacing w:line="360" w:lineRule="atLeast"/>
        <w:rPr>
          <w:szCs w:val="21"/>
        </w:rPr>
      </w:pPr>
      <w:r>
        <w:rPr>
          <w:rFonts w:hAnsi="宋体"/>
          <w:szCs w:val="21"/>
        </w:rPr>
        <w:t>本标准起草单位：</w:t>
      </w:r>
      <w:r>
        <w:rPr>
          <w:rFonts w:hint="eastAsia" w:hAnsi="宋体"/>
          <w:szCs w:val="21"/>
        </w:rPr>
        <w:t>有研稀土新材料股份有限公司……</w:t>
      </w:r>
    </w:p>
    <w:p>
      <w:pPr>
        <w:adjustRightInd w:val="0"/>
        <w:snapToGrid w:val="0"/>
        <w:spacing w:line="360" w:lineRule="atLeast"/>
        <w:rPr>
          <w:kern w:val="0"/>
        </w:rPr>
      </w:pPr>
      <w:r>
        <w:rPr>
          <w:kern w:val="0"/>
        </w:rPr>
        <w:t xml:space="preserve">本标准主要起草人： </w:t>
      </w:r>
    </w:p>
    <w:p>
      <w:pPr>
        <w:pStyle w:val="14"/>
        <w:spacing w:line="200" w:lineRule="atLeast"/>
        <w:ind w:firstLine="420"/>
        <w:rPr>
          <w:rFonts w:hAnsi="Times New Roman"/>
          <w:szCs w:val="20"/>
        </w:rPr>
      </w:pPr>
    </w:p>
    <w:p>
      <w:pPr>
        <w:widowControl/>
        <w:jc w:val="left"/>
        <w:rPr>
          <w:rFonts w:ascii="宋体"/>
          <w:kern w:val="0"/>
        </w:rPr>
        <w:sectPr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17"/>
        <w:spacing w:line="360" w:lineRule="exact"/>
        <w:ind w:firstLine="3840"/>
        <w:jc w:val="both"/>
        <w:rPr>
          <w:b/>
        </w:rPr>
      </w:pPr>
      <w:r>
        <w:rPr>
          <w:rFonts w:hint="eastAsia"/>
          <w:b/>
        </w:rPr>
        <w:t>高纯金属镱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1  范围</w:t>
      </w:r>
    </w:p>
    <w:p>
      <w:pPr>
        <w:pStyle w:val="14"/>
        <w:adjustRightInd w:val="0"/>
        <w:snapToGrid w:val="0"/>
        <w:ind w:firstLine="420"/>
      </w:pPr>
      <w:r>
        <w:t>本标准规定了高纯金属镱的要求、试验方法、检验规则和标志、包装、运输、贮存及质量证明书。</w:t>
      </w:r>
    </w:p>
    <w:p>
      <w:pPr>
        <w:pStyle w:val="14"/>
        <w:adjustRightInd w:val="0"/>
        <w:snapToGrid w:val="0"/>
        <w:ind w:firstLine="420"/>
      </w:pPr>
      <w:r>
        <w:t>本标准适用于以</w:t>
      </w:r>
      <w:r>
        <w:rPr>
          <w:rFonts w:hint="eastAsia"/>
        </w:rPr>
        <w:t>真空</w:t>
      </w:r>
      <w:r>
        <w:t>还原-蒸馏法、真空蒸馏</w:t>
      </w:r>
      <w:r>
        <w:rPr>
          <w:rFonts w:hint="eastAsia"/>
        </w:rPr>
        <w:t>/升华</w:t>
      </w:r>
      <w:r>
        <w:t>法制得的高纯金属镱，主要用于生产</w:t>
      </w:r>
      <w:r>
        <w:rPr>
          <w:rFonts w:hint="eastAsia"/>
        </w:rPr>
        <w:t>稀土高K栅介材料、重费米子超导材料、显示材料</w:t>
      </w:r>
      <w:r>
        <w:t>等</w:t>
      </w:r>
      <w:r>
        <w:rPr>
          <w:rFonts w:hint="eastAsia"/>
        </w:rPr>
        <w:t>功能材料</w:t>
      </w:r>
      <w:r>
        <w:t>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hAnsi="Times New Roman" w:eastAsia="黑体"/>
        </w:rPr>
      </w:pPr>
      <w:r>
        <w:rPr>
          <w:rFonts w:hint="eastAsia" w:ascii="黑体" w:eastAsia="黑体"/>
        </w:rPr>
        <w:t>2  规范性引用文件</w:t>
      </w:r>
    </w:p>
    <w:p>
      <w:pPr>
        <w:pStyle w:val="14"/>
        <w:ind w:firstLine="420"/>
        <w:rPr>
          <w:szCs w:val="21"/>
        </w:rPr>
      </w:pPr>
      <w:r>
        <w:rPr>
          <w:rFonts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GB/T 8170   数值修约规则与极限数值的表示与判定。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GB/T 12690（所有部分）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>稀土金属及其氧化物中非稀土杂质化学分析方法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GB/T 18115.14稀土金属及其氧化物中稀土杂质化学分析方法</w:t>
      </w:r>
      <w:r>
        <w:rPr>
          <w:rFonts w:ascii="宋体" w:hAnsi="宋体"/>
          <w:kern w:val="0"/>
          <w:szCs w:val="21"/>
        </w:rPr>
        <w:t>镱中镧、铈、镨、钕、钐、铕、钆、铽、镝、钬、铒、铥、镥和钇量的测定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XB/T XXX-20XX </w:t>
      </w:r>
      <w:r>
        <w:rPr>
          <w:rFonts w:hint="eastAsia" w:ascii="宋体" w:hAnsi="宋体"/>
          <w:kern w:val="0"/>
          <w:szCs w:val="21"/>
        </w:rPr>
        <w:t>高纯稀土金属化学分析方法痕量元素含量的测定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>辉光放电质谱法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GB  XXXX   稀土产品的包装、标志、运输及贮存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3  要求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hAnsi="Times New Roman" w:eastAsia="黑体"/>
          <w:kern w:val="0"/>
          <w:szCs w:val="20"/>
        </w:rPr>
      </w:pPr>
      <w:r>
        <w:rPr>
          <w:rFonts w:hint="eastAsia" w:ascii="黑体" w:eastAsia="黑体"/>
        </w:rPr>
        <w:t>3.1 产品分类</w:t>
      </w:r>
    </w:p>
    <w:p>
      <w:pPr>
        <w:spacing w:beforeLines="5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3.1.1 牌号</w:t>
      </w:r>
    </w:p>
    <w:p>
      <w:pPr>
        <w:ind w:firstLine="420" w:firstLineChars="200"/>
      </w:pPr>
      <w:r>
        <w:rPr>
          <w:rFonts w:asciiTheme="minorEastAsia" w:hAnsiTheme="minorEastAsia" w:eastAsiaTheme="minorEastAsia"/>
        </w:rPr>
        <w:t>产品按化学成分分为H-Yb-4N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asciiTheme="minorEastAsia" w:hAnsiTheme="minorEastAsia" w:eastAsiaTheme="minorEastAsia"/>
        </w:rPr>
        <w:t>、H-Yb-3N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asciiTheme="minorEastAsia" w:hAnsiTheme="minorEastAsia" w:eastAsiaTheme="minorEastAsia"/>
        </w:rPr>
        <w:t>8、H-Yb-3N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asciiTheme="minorEastAsia" w:hAnsiTheme="minorEastAsia" w:eastAsiaTheme="minorEastAsia"/>
        </w:rPr>
        <w:t>5、H-Yb-3N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asciiTheme="minorEastAsia" w:hAnsiTheme="minorEastAsia" w:eastAsiaTheme="minorEastAsia"/>
        </w:rPr>
        <w:t>-A、H-Yb-3N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asciiTheme="minorEastAsia" w:hAnsiTheme="minorEastAsia" w:eastAsiaTheme="minorEastAsia"/>
        </w:rPr>
        <w:t>-B</w:t>
      </w:r>
      <w:r>
        <w:rPr>
          <w:rFonts w:hint="eastAsia"/>
        </w:rPr>
        <w:t>五个牌号。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3.1.2 </w:t>
      </w:r>
      <w:r>
        <w:rPr>
          <w:rFonts w:hint="eastAsia" w:ascii="黑体" w:hAnsi="黑体" w:eastAsia="黑体"/>
        </w:rPr>
        <w:t>牌号表示方法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高纯金属镱牌号共分四个层次，其中第一层次表示高纯，用高纯的英文首字母“H”表示；第二层次表示产品金属镱，用分子式“Yb”表示；第三层次表示纯度，当产品稀土绝对纯度（质量分数）等于或大于99%时，则用质量分数中“9”的个数加“N”来表示（“N”为数字9的英文首字母），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hint="eastAsia" w:asciiTheme="minorEastAsia" w:hAnsiTheme="minorEastAsia" w:eastAsiaTheme="minorEastAsia"/>
        </w:rPr>
        <w:t>为absolute首字母，N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hint="eastAsia" w:asciiTheme="minorEastAsia" w:hAnsiTheme="minorEastAsia" w:eastAsiaTheme="minorEastAsia"/>
        </w:rPr>
        <w:t>表示绝对纯度；（-A）表示绝对纯度相同但稀土杂质合量不同的产品，用A、B等大写英文字母加以区分。具体表示方法如下：</w:t>
      </w:r>
    </w:p>
    <w:p>
      <w:pPr>
        <w:ind w:firstLine="420" w:firstLineChars="200"/>
        <w:jc w:val="center"/>
      </w:pPr>
      <w:r>
        <w:object>
          <v:shape id="_x0000_i1025" o:spt="75" type="#_x0000_t75" style="height:140.8pt;width:287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牌号</w:t>
      </w:r>
      <w:r>
        <w:rPr>
          <w:rFonts w:asciiTheme="minorEastAsia" w:hAnsiTheme="minorEastAsia" w:eastAsiaTheme="minorEastAsia"/>
        </w:rPr>
        <w:t>示例</w:t>
      </w:r>
      <w:r>
        <w:rPr>
          <w:rFonts w:hint="eastAsia" w:asciiTheme="minorEastAsia" w:hAnsiTheme="minorEastAsia" w:eastAsiaTheme="minorEastAsia"/>
        </w:rPr>
        <w:t>：H-Yb-</w:t>
      </w:r>
      <w:r>
        <w:rPr>
          <w:rFonts w:asciiTheme="minorEastAsia" w:hAnsiTheme="minorEastAsia" w:eastAsiaTheme="minorEastAsia"/>
        </w:rPr>
        <w:t>3N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asciiTheme="minorEastAsia" w:hAnsiTheme="minorEastAsia" w:eastAsiaTheme="minorEastAsia"/>
        </w:rPr>
        <w:t>8表示绝对纯度为99.98</w:t>
      </w:r>
      <w:r>
        <w:rPr>
          <w:rFonts w:hint="eastAsia" w:asciiTheme="minorEastAsia" w:hAnsiTheme="minorEastAsia" w:eastAsiaTheme="minorEastAsia"/>
        </w:rPr>
        <w:t>%的高纯镱产品；H-Yb-</w:t>
      </w:r>
      <w:r>
        <w:rPr>
          <w:rFonts w:asciiTheme="minorEastAsia" w:hAnsiTheme="minorEastAsia" w:eastAsiaTheme="minorEastAsia"/>
        </w:rPr>
        <w:t>3N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hint="eastAsia" w:asciiTheme="minorEastAsia" w:hAnsiTheme="minorEastAsia" w:eastAsiaTheme="minorEastAsia"/>
        </w:rPr>
        <w:t>-</w:t>
      </w:r>
      <w:r>
        <w:rPr>
          <w:rFonts w:asciiTheme="minorEastAsia" w:hAnsiTheme="minorEastAsia" w:eastAsiaTheme="minorEastAsia"/>
        </w:rPr>
        <w:t>A和H</w:t>
      </w:r>
      <w:r>
        <w:rPr>
          <w:rFonts w:hint="eastAsia" w:asciiTheme="minorEastAsia" w:hAnsiTheme="minorEastAsia" w:eastAsiaTheme="minorEastAsia"/>
        </w:rPr>
        <w:t>-Yb-</w:t>
      </w:r>
      <w:r>
        <w:rPr>
          <w:rFonts w:asciiTheme="minorEastAsia" w:hAnsiTheme="minorEastAsia" w:eastAsiaTheme="minorEastAsia"/>
        </w:rPr>
        <w:t>3N</w:t>
      </w:r>
      <w:r>
        <w:rPr>
          <w:rFonts w:asciiTheme="minorEastAsia" w:hAnsiTheme="minorEastAsia" w:eastAsiaTheme="minorEastAsia"/>
          <w:vertAlign w:val="superscript"/>
        </w:rPr>
        <w:t>a</w:t>
      </w:r>
      <w:r>
        <w:rPr>
          <w:rFonts w:asciiTheme="minorEastAsia" w:hAnsiTheme="minorEastAsia" w:eastAsiaTheme="minorEastAsia"/>
        </w:rPr>
        <w:t>-B表示绝对纯度均为</w:t>
      </w:r>
      <w:r>
        <w:rPr>
          <w:rFonts w:hint="eastAsia"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</w:rPr>
        <w:t>9.9</w:t>
      </w:r>
      <w:r>
        <w:rPr>
          <w:rFonts w:hint="eastAsia" w:asciiTheme="minorEastAsia" w:hAnsiTheme="minorEastAsia" w:eastAsiaTheme="minorEastAsia"/>
        </w:rPr>
        <w:t>%，但</w:t>
      </w:r>
      <w:r>
        <w:rPr>
          <w:rFonts w:asciiTheme="minorEastAsia" w:hAnsiTheme="minorEastAsia" w:eastAsiaTheme="minorEastAsia"/>
        </w:rPr>
        <w:t>稀土杂质合量不同的高纯</w:t>
      </w:r>
      <w:r>
        <w:rPr>
          <w:rFonts w:hint="eastAsia" w:asciiTheme="minorEastAsia" w:hAnsiTheme="minorEastAsia" w:eastAsiaTheme="minorEastAsia"/>
        </w:rPr>
        <w:t>镱</w:t>
      </w:r>
      <w:r>
        <w:rPr>
          <w:rFonts w:asciiTheme="minorEastAsia" w:hAnsiTheme="minorEastAsia" w:eastAsiaTheme="minorEastAsia"/>
        </w:rPr>
        <w:t>产品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beforeLines="50" w:afterLines="50"/>
        <w:rPr>
          <w:rFonts w:ascii="黑体" w:hAnsi="黑体" w:eastAsia="黑体"/>
        </w:rPr>
      </w:pPr>
      <w:r>
        <w:rPr>
          <w:szCs w:val="21"/>
        </w:rPr>
        <w:t xml:space="preserve">  </w:t>
      </w:r>
      <w:r>
        <w:rPr>
          <w:rFonts w:ascii="黑体" w:hAnsi="黑体" w:eastAsia="黑体"/>
        </w:rPr>
        <w:t>3.2</w:t>
      </w:r>
      <w:r>
        <w:rPr>
          <w:rFonts w:hint="eastAsia" w:ascii="黑体" w:hAnsi="黑体" w:eastAsia="黑体"/>
        </w:rPr>
        <w:t>化学成分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产品化学成分应符合表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的规定。需方如对产品有特殊要求，供需双方可另行协商。</w:t>
      </w:r>
    </w:p>
    <w:p>
      <w:pPr>
        <w:spacing w:beforeLines="50" w:afterLines="50"/>
        <w:jc w:val="center"/>
        <w:rPr>
          <w:rFonts w:ascii="黑体" w:hAnsi="黑体" w:eastAsia="黑体" w:cs="Arial Unicode MS"/>
        </w:rPr>
      </w:pPr>
      <w:r>
        <w:rPr>
          <w:rFonts w:hint="eastAsia" w:ascii="黑体" w:hAnsi="黑体" w:eastAsia="黑体" w:cs="Arial Unicode MS"/>
        </w:rPr>
        <w:t>表</w:t>
      </w:r>
      <w:r>
        <w:rPr>
          <w:rFonts w:ascii="黑体" w:hAnsi="黑体" w:eastAsia="黑体" w:cs="Arial Unicode MS"/>
        </w:rPr>
        <w:t xml:space="preserve">1 </w:t>
      </w:r>
    </w:p>
    <w:tbl>
      <w:tblPr>
        <w:tblStyle w:val="8"/>
        <w:tblW w:w="87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94"/>
        <w:gridCol w:w="394"/>
        <w:gridCol w:w="1224"/>
        <w:gridCol w:w="1140"/>
        <w:gridCol w:w="1140"/>
        <w:gridCol w:w="1140"/>
        <w:gridCol w:w="1170"/>
        <w:gridCol w:w="1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5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产品牌号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H-Yb-4N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a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H-Yb-3N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H-Yb-3N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H-Yb-3N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A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H-Yb-3N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化学成分（质量分数）/%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Yb</w:t>
            </w:r>
            <w:r>
              <w:rPr>
                <w:rFonts w:asciiTheme="minorEastAsia" w:hAnsiTheme="minorEastAsia" w:eastAsiaTheme="minorEastAsia"/>
                <w:kern w:val="0"/>
                <w:szCs w:val="21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，不小于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99.99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99.98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99.95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99.9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99.9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杂质含量，不大于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稀土杂质合量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0.002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0.005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非稀土杂质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Fe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Si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0.003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Ca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Mg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Al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Ni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Ti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Mn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0.003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Zn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0.003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Pb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Cu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C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O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N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228" w:type="dxa"/>
            <w:shd w:val="clear" w:color="auto" w:fill="auto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Cl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9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Ta、Nb、Mo和W的合量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0.0005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杂质合量，不大于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74" w:type="dxa"/>
            <w:gridSpan w:val="9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szCs w:val="21"/>
              </w:rPr>
              <w:t>：镱（Yb）的绝对纯度由计算得出，即[(100-Σ表1所列杂质含量)%]</w:t>
            </w:r>
          </w:p>
        </w:tc>
      </w:tr>
    </w:tbl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hAnsi="Times New Roman" w:eastAsia="黑体"/>
          <w:kern w:val="0"/>
          <w:szCs w:val="20"/>
        </w:rPr>
      </w:pPr>
      <w:r>
        <w:rPr>
          <w:rFonts w:ascii="Times New Roman" w:eastAsia="黑体"/>
        </w:rPr>
        <w:t>3.3</w:t>
      </w:r>
      <w:r>
        <w:rPr>
          <w:rFonts w:hint="eastAsia" w:ascii="Times New Roman" w:eastAsia="黑体"/>
        </w:rPr>
        <w:t>外观</w:t>
      </w:r>
    </w:p>
    <w:p>
      <w:pPr>
        <w:adjustRightInd w:val="0"/>
        <w:snapToGrid w:val="0"/>
        <w:spacing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3.3.1 </w:t>
      </w:r>
      <w:r>
        <w:rPr>
          <w:rFonts w:hint="eastAsia" w:asciiTheme="minorEastAsia" w:hAnsiTheme="minorEastAsia" w:eastAsiaTheme="minorEastAsia"/>
        </w:rPr>
        <w:t>产品为丝状，呈银灰色金属光泽。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adjustRightInd w:val="0"/>
        <w:snapToGrid w:val="0"/>
        <w:spacing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3.3.2 </w:t>
      </w:r>
      <w:r>
        <w:rPr>
          <w:rFonts w:hint="eastAsia" w:asciiTheme="minorEastAsia" w:hAnsiTheme="minorEastAsia" w:eastAsiaTheme="minorEastAsia"/>
        </w:rPr>
        <w:t>产品表面应清洁，目视无可见夹杂物。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4  试验方法</w:t>
      </w:r>
    </w:p>
    <w:p>
      <w:pPr>
        <w:spacing w:line="3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4.1化学成分</w:t>
      </w:r>
    </w:p>
    <w:p>
      <w:pPr>
        <w:pStyle w:val="19"/>
        <w:spacing w:line="360" w:lineRule="exact"/>
        <w:rPr>
          <w:rFonts w:asciiTheme="minorEastAsia" w:hAnsiTheme="minorEastAsia" w:eastAsiaTheme="minorEastAsia"/>
        </w:rPr>
      </w:pPr>
      <w:bookmarkStart w:id="1" w:name="_Hlk496201320"/>
      <w:r>
        <w:rPr>
          <w:rFonts w:asciiTheme="minorEastAsia" w:hAnsiTheme="minorEastAsia" w:eastAsiaTheme="minorEastAsia"/>
        </w:rPr>
        <w:t xml:space="preserve">4.1.1 </w:t>
      </w:r>
      <w:r>
        <w:rPr>
          <w:rFonts w:hint="eastAsia" w:asciiTheme="minorEastAsia" w:hAnsiTheme="minorEastAsia" w:eastAsiaTheme="minorEastAsia"/>
        </w:rPr>
        <w:t>产品中稀土杂质含量的分析方法按</w:t>
      </w:r>
      <w:r>
        <w:rPr>
          <w:rFonts w:asciiTheme="minorEastAsia" w:hAnsiTheme="minorEastAsia" w:eastAsiaTheme="minorEastAsia"/>
        </w:rPr>
        <w:t>GB/T 18115.14</w:t>
      </w:r>
      <w:r>
        <w:rPr>
          <w:rFonts w:hint="eastAsia" w:asciiTheme="minorEastAsia" w:hAnsiTheme="minorEastAsia" w:eastAsiaTheme="minorEastAsia"/>
        </w:rPr>
        <w:t>和“</w:t>
      </w:r>
      <w:r>
        <w:rPr>
          <w:rFonts w:asciiTheme="minorEastAsia" w:hAnsiTheme="minorEastAsia" w:eastAsiaTheme="minorEastAsia"/>
        </w:rPr>
        <w:t xml:space="preserve">XB/T XXX-20XX </w:t>
      </w:r>
      <w:r>
        <w:rPr>
          <w:rFonts w:hint="eastAsia" w:asciiTheme="minorEastAsia" w:hAnsiTheme="minorEastAsia" w:eastAsiaTheme="minorEastAsia"/>
        </w:rPr>
        <w:t>高纯稀土金属化学分析方法痕量元素含量的测定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辉光放电质谱法”的规定进行。</w:t>
      </w:r>
    </w:p>
    <w:p>
      <w:pPr>
        <w:pStyle w:val="19"/>
        <w:spacing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4.1.2 </w:t>
      </w:r>
      <w:r>
        <w:rPr>
          <w:rFonts w:hint="eastAsia" w:asciiTheme="minorEastAsia" w:hAnsiTheme="minorEastAsia" w:eastAsiaTheme="minorEastAsia"/>
        </w:rPr>
        <w:t>产品非稀土杂质含量的分析方法按</w:t>
      </w:r>
      <w:r>
        <w:rPr>
          <w:rFonts w:asciiTheme="minorEastAsia" w:hAnsiTheme="minorEastAsia" w:eastAsiaTheme="minorEastAsia"/>
        </w:rPr>
        <w:t>GB/T 12690</w:t>
      </w:r>
      <w:r>
        <w:rPr>
          <w:rFonts w:hint="eastAsia" w:asciiTheme="minorEastAsia" w:hAnsiTheme="minorEastAsia" w:eastAsiaTheme="minorEastAsia"/>
        </w:rPr>
        <w:t>和“</w:t>
      </w:r>
      <w:r>
        <w:rPr>
          <w:rFonts w:asciiTheme="minorEastAsia" w:hAnsiTheme="minorEastAsia" w:eastAsiaTheme="minorEastAsia"/>
        </w:rPr>
        <w:t xml:space="preserve">XB/T XXX-20XX </w:t>
      </w:r>
      <w:r>
        <w:rPr>
          <w:rFonts w:hint="eastAsia" w:asciiTheme="minorEastAsia" w:hAnsiTheme="minorEastAsia" w:eastAsiaTheme="minorEastAsia"/>
        </w:rPr>
        <w:t>高纯稀土金属化学分析方法痕量元素含量的测定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辉光放电质谱法”的规定进行。</w:t>
      </w:r>
    </w:p>
    <w:bookmarkEnd w:id="1"/>
    <w:p>
      <w:pPr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4.2数值修约</w:t>
      </w:r>
    </w:p>
    <w:p>
      <w:pPr>
        <w:pStyle w:val="19"/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按</w:t>
      </w:r>
      <w:r>
        <w:rPr>
          <w:rFonts w:asciiTheme="minorEastAsia" w:hAnsiTheme="minorEastAsia" w:eastAsiaTheme="minorEastAsia"/>
        </w:rPr>
        <w:t>GB/T 8170</w:t>
      </w:r>
      <w:r>
        <w:rPr>
          <w:rFonts w:hint="eastAsia" w:asciiTheme="minorEastAsia" w:hAnsiTheme="minorEastAsia" w:eastAsiaTheme="minorEastAsia"/>
        </w:rPr>
        <w:t>的规定进行。</w:t>
      </w:r>
    </w:p>
    <w:p>
      <w:pPr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4.3 外观质量</w:t>
      </w:r>
    </w:p>
    <w:p>
      <w:pPr>
        <w:pStyle w:val="19"/>
        <w:spacing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自然散色光下，目视检查。</w:t>
      </w:r>
    </w:p>
    <w:p>
      <w:pPr>
        <w:pStyle w:val="14"/>
        <w:adjustRightInd w:val="0"/>
        <w:snapToGrid w:val="0"/>
        <w:spacing w:before="312" w:after="312" w:line="0" w:lineRule="atLeas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5  检验规则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5.1  </w:t>
      </w:r>
      <w:r>
        <w:rPr>
          <w:rFonts w:hint="eastAsia" w:ascii="Times New Roman" w:eastAsia="黑体"/>
        </w:rPr>
        <w:t>检查与验收</w:t>
      </w:r>
    </w:p>
    <w:p>
      <w:pPr>
        <w:adjustRightInd w:val="0"/>
        <w:snapToGrid w:val="0"/>
        <w:spacing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5.1.1  </w:t>
      </w:r>
      <w:r>
        <w:rPr>
          <w:rFonts w:hint="eastAsia" w:asciiTheme="minorEastAsia" w:hAnsiTheme="minorEastAsia" w:eastAsiaTheme="minorEastAsia"/>
        </w:rPr>
        <w:t>产品由供方质量检验部门进行检验，保证产品质量符合本标准规定，并填写产品质量证明书。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5.1.2 </w:t>
      </w:r>
      <w:r>
        <w:rPr>
          <w:rFonts w:hint="eastAsia" w:asciiTheme="minorEastAsia" w:hAnsiTheme="minorEastAsia" w:eastAsiaTheme="minorEastAsia"/>
        </w:rPr>
        <w:t>需方应对收到的产品按本标准的规定进行检验，如检验结果与本标准规定不符时，应在收到产品之日起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个月内向供方提出，由供需双方协商解决。如需仲裁，可委托双方认可的单位进行，并在需方共同取样。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5.2  </w:t>
      </w:r>
      <w:r>
        <w:rPr>
          <w:rFonts w:hint="eastAsia" w:ascii="Times New Roman" w:eastAsia="黑体"/>
        </w:rPr>
        <w:t>组批</w:t>
      </w:r>
    </w:p>
    <w:p>
      <w:pPr>
        <w:adjustRightInd w:val="0"/>
        <w:snapToGrid w:val="0"/>
        <w:spacing w:line="360" w:lineRule="exact"/>
        <w:ind w:firstLine="420" w:firstLineChars="200"/>
      </w:pPr>
      <w:r>
        <w:rPr>
          <w:rFonts w:hint="eastAsia" w:hAnsi="宋体"/>
        </w:rPr>
        <w:t>产品应成批检验，每批应由同一牌号的产品组成。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5.3  </w:t>
      </w:r>
      <w:r>
        <w:rPr>
          <w:rFonts w:hint="eastAsia" w:ascii="Times New Roman" w:eastAsia="黑体"/>
        </w:rPr>
        <w:t>检验项目</w:t>
      </w:r>
    </w:p>
    <w:p>
      <w:pPr>
        <w:pStyle w:val="14"/>
        <w:adjustRightInd w:val="0"/>
        <w:snapToGrid w:val="0"/>
        <w:spacing w:line="360" w:lineRule="exact"/>
        <w:ind w:firstLine="420"/>
      </w:pPr>
      <w:r>
        <w:rPr>
          <w:rFonts w:hint="eastAsia"/>
        </w:rPr>
        <w:t>每批产品均应进行化学成分和外观质量的检验。</w:t>
      </w:r>
    </w:p>
    <w:p>
      <w:pPr>
        <w:pStyle w:val="14"/>
        <w:adjustRightInd w:val="0"/>
        <w:snapToGrid w:val="0"/>
        <w:spacing w:line="360" w:lineRule="exact"/>
        <w:ind w:firstLine="0" w:firstLineChars="0"/>
        <w:rPr>
          <w:rFonts w:ascii="Times New Roman" w:eastAsia="黑体"/>
        </w:rPr>
      </w:pPr>
      <w:r>
        <w:rPr>
          <w:rFonts w:ascii="Times New Roman" w:eastAsia="黑体"/>
        </w:rPr>
        <w:t xml:space="preserve">5.4  </w:t>
      </w:r>
      <w:r>
        <w:rPr>
          <w:rFonts w:hint="eastAsia" w:ascii="Times New Roman" w:eastAsia="黑体"/>
        </w:rPr>
        <w:t>取样与制样</w:t>
      </w:r>
    </w:p>
    <w:p>
      <w:pPr>
        <w:adjustRightInd w:val="0"/>
        <w:snapToGrid w:val="0"/>
        <w:spacing w:line="360" w:lineRule="exact"/>
      </w:pPr>
      <w:bookmarkStart w:id="2" w:name="_Hlk496202286"/>
      <w:r>
        <w:rPr>
          <w:rFonts w:hint="eastAsia" w:ascii="宋体" w:hAnsi="宋体"/>
        </w:rPr>
        <w:t>5.4.1</w:t>
      </w:r>
      <w:r>
        <w:rPr>
          <w:rFonts w:hint="eastAsia" w:ascii="宋体" w:hAnsi="宋体" w:cs="宋体"/>
          <w:kern w:val="0"/>
          <w:szCs w:val="21"/>
        </w:rPr>
        <w:t>化学成分分析的仲裁取样件数</w:t>
      </w:r>
      <w:r>
        <w:rPr>
          <w:rFonts w:hint="eastAsia"/>
        </w:rPr>
        <w:t>按表</w:t>
      </w:r>
      <w:r>
        <w:t>2</w:t>
      </w:r>
      <w:r>
        <w:rPr>
          <w:rFonts w:hint="eastAsia"/>
        </w:rPr>
        <w:t>的规定进行。</w:t>
      </w:r>
    </w:p>
    <w:p>
      <w:pPr>
        <w:spacing w:beforeLines="50" w:afterLines="5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</w:t>
      </w:r>
      <w:r>
        <w:rPr>
          <w:rFonts w:ascii="黑体" w:hAnsi="黑体" w:eastAsia="黑体"/>
        </w:rPr>
        <w:t xml:space="preserve">2 </w:t>
      </w:r>
    </w:p>
    <w:tbl>
      <w:tblPr>
        <w:tblStyle w:val="8"/>
        <w:tblW w:w="85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742"/>
        <w:gridCol w:w="1100"/>
        <w:gridCol w:w="1216"/>
        <w:gridCol w:w="1330"/>
        <w:gridCol w:w="1330"/>
        <w:gridCol w:w="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每批重量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 / kg</w:t>
            </w:r>
          </w:p>
        </w:tc>
        <w:tc>
          <w:tcPr>
            <w:tcW w:w="74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≤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10 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＞</w:t>
            </w:r>
            <w:r>
              <w:rPr>
                <w:rFonts w:asciiTheme="minorEastAsia" w:hAnsiTheme="minorEastAsia" w:eastAsiaTheme="minorEastAsia"/>
                <w:sz w:val="18"/>
              </w:rPr>
              <w:t>10～50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＞</w:t>
            </w:r>
            <w:r>
              <w:rPr>
                <w:rFonts w:asciiTheme="minorEastAsia" w:hAnsiTheme="minorEastAsia" w:eastAsiaTheme="minorEastAsia"/>
                <w:sz w:val="18"/>
              </w:rPr>
              <w:t>50～100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＞</w:t>
            </w:r>
            <w:r>
              <w:rPr>
                <w:rFonts w:asciiTheme="minorEastAsia" w:hAnsiTheme="minorEastAsia" w:eastAsiaTheme="minorEastAsia"/>
                <w:sz w:val="18"/>
              </w:rPr>
              <w:t>100～200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＞</w:t>
            </w:r>
            <w:r>
              <w:rPr>
                <w:rFonts w:asciiTheme="minorEastAsia" w:hAnsiTheme="minorEastAsia" w:eastAsiaTheme="minorEastAsia"/>
                <w:sz w:val="18"/>
              </w:rPr>
              <w:t>200～500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＞</w:t>
            </w:r>
            <w:r>
              <w:rPr>
                <w:rFonts w:asciiTheme="minorEastAsia" w:hAnsiTheme="minorEastAsia" w:eastAsiaTheme="minorEastAsia"/>
                <w:sz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取样件数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 /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块</w:t>
            </w:r>
            <w:r>
              <w:rPr>
                <w:rFonts w:asciiTheme="minorEastAsia" w:hAnsiTheme="minorEastAsia" w:eastAsiaTheme="minorEastAsia"/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5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8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10</w:t>
            </w:r>
          </w:p>
        </w:tc>
      </w:tr>
      <w:bookmarkEnd w:id="2"/>
    </w:tbl>
    <w:p>
      <w:pPr>
        <w:spacing w:line="360" w:lineRule="exact"/>
        <w:rPr>
          <w:szCs w:val="21"/>
        </w:rPr>
      </w:pPr>
      <w:bookmarkStart w:id="3" w:name="_Hlk496202326"/>
      <w:r>
        <w:rPr>
          <w:rFonts w:hint="eastAsia" w:ascii="黑体" w:hAnsi="宋体" w:eastAsia="黑体"/>
        </w:rPr>
        <w:t>5.4.2</w:t>
      </w:r>
      <w:r>
        <w:rPr>
          <w:rFonts w:hint="eastAsia"/>
        </w:rPr>
        <w:t>化学成分分析的取样方法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分析氧含量，在保护气氛下从金属锭中间截面位置上锯切试样，取样量不少于10g，取好的块状样品应立即密封保存。分析其他元素含量时，用直径5～10mm的钻头在金属锭上下两面各钻三点以上，钻点均匀分布，弃去深度0.5～1.0mm的表面钻屑，然后钻取试样，取样量不少于10g，将所得试样迅速混匀缩分至所需数量，并立即密封保存。蒸馏产品取样时，也可制取块状样品，取样时弃去深度0.5～1.0mm的表层，取样量不少于10g，将所得试样迅速混匀缩分至所需数量，并立即密封保存。</w:t>
      </w:r>
    </w:p>
    <w:bookmarkEnd w:id="3"/>
    <w:p>
      <w:pPr>
        <w:pStyle w:val="14"/>
        <w:adjustRightInd w:val="0"/>
        <w:snapToGrid w:val="0"/>
        <w:spacing w:before="156" w:line="360" w:lineRule="exact"/>
        <w:ind w:firstLine="0" w:firstLineChars="0"/>
        <w:rPr>
          <w:rFonts w:ascii="Times New Roman" w:hAnsi="Times New Roman" w:eastAsia="黑体"/>
        </w:rPr>
      </w:pPr>
      <w:r>
        <w:rPr>
          <w:rFonts w:ascii="Times New Roman" w:eastAsia="黑体"/>
        </w:rPr>
        <w:t xml:space="preserve">5.5  </w:t>
      </w:r>
      <w:r>
        <w:rPr>
          <w:rFonts w:hint="eastAsia" w:ascii="Times New Roman" w:eastAsia="黑体"/>
        </w:rPr>
        <w:t>检验结果的判定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5.5.1 化学成分仲裁分析结果与本标准规定不符时，则从该批产品中取双倍样对不合格项目进行重复试验，</w:t>
      </w:r>
      <w:bookmarkStart w:id="4" w:name="_Hlk488852754"/>
      <w:r>
        <w:rPr>
          <w:rFonts w:hint="eastAsia" w:ascii="宋体" w:hAnsi="宋体"/>
        </w:rPr>
        <w:t>如仍有不合格项，</w:t>
      </w:r>
      <w:bookmarkEnd w:id="4"/>
      <w:r>
        <w:rPr>
          <w:rFonts w:hint="eastAsia" w:ascii="宋体" w:hAnsi="宋体"/>
        </w:rPr>
        <w:t>则判该批产品为不合格。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5.5.2 产品外观检验与本标准规定不符时，则直接判该批产品为不合格。</w:t>
      </w:r>
    </w:p>
    <w:p>
      <w:pPr>
        <w:pStyle w:val="14"/>
        <w:adjustRightInd w:val="0"/>
        <w:snapToGrid w:val="0"/>
        <w:spacing w:beforeLines="100" w:afterLines="100" w:line="360" w:lineRule="exact"/>
        <w:ind w:firstLine="0" w:firstLineChars="0"/>
        <w:rPr>
          <w:rFonts w:ascii="Times New Roman" w:hAnsi="Times New Roman" w:eastAsia="黑体"/>
        </w:rPr>
      </w:pPr>
      <w:bookmarkStart w:id="5" w:name="_Hlk496202388"/>
      <w:r>
        <w:rPr>
          <w:rFonts w:hint="eastAsia" w:ascii="黑体" w:eastAsia="黑体"/>
        </w:rPr>
        <w:t>6  标志、包装、运输、贮存及</w:t>
      </w:r>
      <w:r>
        <w:rPr>
          <w:rFonts w:hint="eastAsia" w:ascii="Times New Roman" w:eastAsia="黑体"/>
        </w:rPr>
        <w:t>质量证明书</w:t>
      </w:r>
    </w:p>
    <w:p>
      <w:pPr>
        <w:pStyle w:val="19"/>
        <w:numPr>
          <w:ilvl w:val="1"/>
          <w:numId w:val="0"/>
        </w:numPr>
        <w:spacing w:beforeLines="50" w:afterLines="50" w:line="400" w:lineRule="exact"/>
        <w:jc w:val="left"/>
      </w:pPr>
      <w:r>
        <w:rPr>
          <w:rFonts w:hint="eastAsia"/>
          <w:bCs/>
        </w:rPr>
        <w:t>6.1</w:t>
      </w:r>
      <w:r>
        <w:rPr>
          <w:rFonts w:hint="eastAsia"/>
        </w:rPr>
        <w:t>产品的标志、包装、运输、贮存</w:t>
      </w:r>
    </w:p>
    <w:p>
      <w:pPr>
        <w:spacing w:beforeLines="50" w:afterLines="5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应符合GB XXXX 《稀土产品的包装、标志、运输及贮存》的规定。</w:t>
      </w:r>
    </w:p>
    <w:p>
      <w:pPr>
        <w:spacing w:beforeLines="50" w:afterLines="50"/>
        <w:rPr>
          <w:rFonts w:eastAsia="黑体"/>
          <w:bCs/>
        </w:rPr>
      </w:pPr>
      <w:r>
        <w:rPr>
          <w:rFonts w:ascii="黑体" w:hAnsi="黑体" w:eastAsia="黑体"/>
          <w:bCs/>
        </w:rPr>
        <w:t>6.</w:t>
      </w:r>
      <w:r>
        <w:rPr>
          <w:rFonts w:hint="eastAsia" w:ascii="黑体" w:hAnsi="黑体" w:eastAsia="黑体"/>
          <w:bCs/>
        </w:rPr>
        <w:t>2</w:t>
      </w:r>
      <w:r>
        <w:rPr>
          <w:rFonts w:ascii="黑体" w:hAnsi="黑体" w:eastAsia="黑体"/>
          <w:bCs/>
        </w:rPr>
        <w:t xml:space="preserve"> </w:t>
      </w:r>
      <w:r>
        <w:rPr>
          <w:rFonts w:eastAsia="黑体"/>
          <w:bCs/>
        </w:rPr>
        <w:t xml:space="preserve"> </w:t>
      </w:r>
      <w:r>
        <w:rPr>
          <w:rFonts w:hint="eastAsia" w:eastAsia="黑体"/>
          <w:bCs/>
        </w:rPr>
        <w:t>质量证明书</w:t>
      </w:r>
    </w:p>
    <w:p>
      <w:pPr>
        <w:ind w:firstLine="359" w:firstLineChars="171"/>
        <w:rPr>
          <w:rFonts w:asciiTheme="minorEastAsia" w:hAnsiTheme="minorEastAsia" w:eastAsiaTheme="minorEastAsia"/>
        </w:rPr>
      </w:pPr>
      <w:r>
        <w:t xml:space="preserve"> </w:t>
      </w:r>
      <w:r>
        <w:rPr>
          <w:rFonts w:hint="eastAsia" w:asciiTheme="minorEastAsia" w:hAnsiTheme="minorEastAsia" w:eastAsiaTheme="minorEastAsia"/>
        </w:rPr>
        <w:t>每批产品应附质量证明书，注明：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a)  </w:t>
      </w:r>
      <w:r>
        <w:rPr>
          <w:rFonts w:hint="eastAsia" w:asciiTheme="minorEastAsia" w:hAnsiTheme="minorEastAsia" w:eastAsiaTheme="minorEastAsia"/>
        </w:rPr>
        <w:t>供方名称；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b)  </w:t>
      </w:r>
      <w:r>
        <w:rPr>
          <w:rFonts w:hint="eastAsia" w:asciiTheme="minorEastAsia" w:hAnsiTheme="minorEastAsia" w:eastAsiaTheme="minorEastAsia"/>
        </w:rPr>
        <w:t>产品名称和牌号；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c)  </w:t>
      </w:r>
      <w:r>
        <w:rPr>
          <w:rFonts w:hint="eastAsia" w:asciiTheme="minorEastAsia" w:hAnsiTheme="minorEastAsia" w:eastAsiaTheme="minorEastAsia"/>
        </w:rPr>
        <w:t>批号；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d)  净重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件数</w:t>
      </w:r>
      <w:r>
        <w:rPr>
          <w:rFonts w:hint="eastAsia" w:asciiTheme="minorEastAsia" w:hAnsiTheme="minorEastAsia" w:eastAsiaTheme="minorEastAsia"/>
        </w:rPr>
        <w:t>；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e)  </w:t>
      </w:r>
      <w:r>
        <w:rPr>
          <w:rFonts w:hint="eastAsia" w:asciiTheme="minorEastAsia" w:hAnsiTheme="minorEastAsia" w:eastAsiaTheme="minorEastAsia"/>
        </w:rPr>
        <w:t>各项分析检验结果和供方质量检验部门印记；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f)  </w:t>
      </w:r>
      <w:r>
        <w:rPr>
          <w:rFonts w:hint="eastAsia" w:asciiTheme="minorEastAsia" w:hAnsiTheme="minorEastAsia" w:eastAsiaTheme="minorEastAsia"/>
        </w:rPr>
        <w:t>本标准编号；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</w:t>
      </w:r>
      <w:r>
        <w:rPr>
          <w:rFonts w:asciiTheme="minorEastAsia" w:hAnsiTheme="minorEastAsia" w:eastAsiaTheme="minorEastAsia"/>
        </w:rPr>
        <w:t xml:space="preserve">)  </w:t>
      </w:r>
      <w:r>
        <w:rPr>
          <w:rFonts w:hint="eastAsia" w:asciiTheme="minorEastAsia" w:hAnsiTheme="minorEastAsia" w:eastAsiaTheme="minorEastAsia"/>
        </w:rPr>
        <w:t>出厂日期。</w:t>
      </w:r>
    </w:p>
    <w:bookmarkEnd w:id="5"/>
    <w:p>
      <w:pPr>
        <w:adjustRightInd w:val="0"/>
        <w:snapToGrid w:val="0"/>
        <w:spacing w:line="360" w:lineRule="exact"/>
        <w:rPr>
          <w:rFonts w:hAnsi="宋体"/>
        </w:rPr>
      </w:pPr>
    </w:p>
    <w:p>
      <w:pPr>
        <w:adjustRightInd w:val="0"/>
        <w:snapToGrid w:val="0"/>
        <w:spacing w:line="360" w:lineRule="exact"/>
        <w:ind w:firstLine="420" w:firstLineChars="200"/>
      </w:pPr>
      <w:r>
        <w:pict>
          <v:line id="直接连接符 1" o:spid="_x0000_s1026" o:spt="20" style="position:absolute;left:0pt;margin-left:162.75pt;margin-top:2.65pt;height:0.05pt;width:110.25pt;z-index: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">
            <v:path arrowok="t"/>
            <v:fill focussize="0,0"/>
            <v:stroke weight="2pt"/>
            <v:imagedata o:title=""/>
            <o:lock v:ext="edit"/>
          </v:lin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7BF"/>
    <w:rsid w:val="00010419"/>
    <w:rsid w:val="00011CE1"/>
    <w:rsid w:val="00020F4B"/>
    <w:rsid w:val="00075FFE"/>
    <w:rsid w:val="00090983"/>
    <w:rsid w:val="00092337"/>
    <w:rsid w:val="000E1F2E"/>
    <w:rsid w:val="000F6DC9"/>
    <w:rsid w:val="00121A78"/>
    <w:rsid w:val="0013402D"/>
    <w:rsid w:val="00170717"/>
    <w:rsid w:val="001878B2"/>
    <w:rsid w:val="001B32E8"/>
    <w:rsid w:val="001B4AE4"/>
    <w:rsid w:val="001C4689"/>
    <w:rsid w:val="001E5DCD"/>
    <w:rsid w:val="001F0C5B"/>
    <w:rsid w:val="00203750"/>
    <w:rsid w:val="002240CC"/>
    <w:rsid w:val="00266011"/>
    <w:rsid w:val="002750F2"/>
    <w:rsid w:val="002B7D84"/>
    <w:rsid w:val="002C0661"/>
    <w:rsid w:val="002D1B70"/>
    <w:rsid w:val="002D41AA"/>
    <w:rsid w:val="00332287"/>
    <w:rsid w:val="00353245"/>
    <w:rsid w:val="0035666B"/>
    <w:rsid w:val="00386FEA"/>
    <w:rsid w:val="003947F7"/>
    <w:rsid w:val="003C1E57"/>
    <w:rsid w:val="003E6E7F"/>
    <w:rsid w:val="0040005D"/>
    <w:rsid w:val="00477CEB"/>
    <w:rsid w:val="004956CE"/>
    <w:rsid w:val="004A20A2"/>
    <w:rsid w:val="004B5D59"/>
    <w:rsid w:val="004C6C38"/>
    <w:rsid w:val="005174E6"/>
    <w:rsid w:val="005239A4"/>
    <w:rsid w:val="00530331"/>
    <w:rsid w:val="00537ED8"/>
    <w:rsid w:val="0054415D"/>
    <w:rsid w:val="00547F8D"/>
    <w:rsid w:val="005C5562"/>
    <w:rsid w:val="005D5F06"/>
    <w:rsid w:val="005E3D35"/>
    <w:rsid w:val="005F4333"/>
    <w:rsid w:val="00606802"/>
    <w:rsid w:val="00663755"/>
    <w:rsid w:val="006679EE"/>
    <w:rsid w:val="0069175E"/>
    <w:rsid w:val="006B1ACE"/>
    <w:rsid w:val="006C7EA7"/>
    <w:rsid w:val="006D3832"/>
    <w:rsid w:val="006E42A2"/>
    <w:rsid w:val="00710040"/>
    <w:rsid w:val="00735BBF"/>
    <w:rsid w:val="00737D08"/>
    <w:rsid w:val="00795191"/>
    <w:rsid w:val="007C3354"/>
    <w:rsid w:val="007D311D"/>
    <w:rsid w:val="0083067E"/>
    <w:rsid w:val="008628B9"/>
    <w:rsid w:val="008728F9"/>
    <w:rsid w:val="00885EC2"/>
    <w:rsid w:val="008B104F"/>
    <w:rsid w:val="008C238A"/>
    <w:rsid w:val="008F1636"/>
    <w:rsid w:val="008F1B75"/>
    <w:rsid w:val="00901E97"/>
    <w:rsid w:val="009067D8"/>
    <w:rsid w:val="0090749F"/>
    <w:rsid w:val="00932A0D"/>
    <w:rsid w:val="00940A1D"/>
    <w:rsid w:val="00951E52"/>
    <w:rsid w:val="009579DA"/>
    <w:rsid w:val="00966FC7"/>
    <w:rsid w:val="0097597E"/>
    <w:rsid w:val="0098603A"/>
    <w:rsid w:val="00990FFB"/>
    <w:rsid w:val="00996831"/>
    <w:rsid w:val="009C5AD4"/>
    <w:rsid w:val="009F3DEA"/>
    <w:rsid w:val="00A13B9D"/>
    <w:rsid w:val="00A1472F"/>
    <w:rsid w:val="00A45C2E"/>
    <w:rsid w:val="00A47F7F"/>
    <w:rsid w:val="00A944CF"/>
    <w:rsid w:val="00A969E1"/>
    <w:rsid w:val="00AA295D"/>
    <w:rsid w:val="00AD0675"/>
    <w:rsid w:val="00AE130F"/>
    <w:rsid w:val="00AE69ED"/>
    <w:rsid w:val="00B0607C"/>
    <w:rsid w:val="00B42664"/>
    <w:rsid w:val="00B712B6"/>
    <w:rsid w:val="00B75517"/>
    <w:rsid w:val="00BD7E4E"/>
    <w:rsid w:val="00BF2524"/>
    <w:rsid w:val="00C4542D"/>
    <w:rsid w:val="00C549CB"/>
    <w:rsid w:val="00C576AE"/>
    <w:rsid w:val="00C9149D"/>
    <w:rsid w:val="00C9277B"/>
    <w:rsid w:val="00CD068E"/>
    <w:rsid w:val="00D201F5"/>
    <w:rsid w:val="00D44E37"/>
    <w:rsid w:val="00D67BAA"/>
    <w:rsid w:val="00DA6BCA"/>
    <w:rsid w:val="00DD4E5A"/>
    <w:rsid w:val="00DE7FB1"/>
    <w:rsid w:val="00E00226"/>
    <w:rsid w:val="00E167BF"/>
    <w:rsid w:val="00E57B41"/>
    <w:rsid w:val="00E6139A"/>
    <w:rsid w:val="00E6611E"/>
    <w:rsid w:val="00E80DCD"/>
    <w:rsid w:val="00EE365D"/>
    <w:rsid w:val="00EE39D7"/>
    <w:rsid w:val="00F2384D"/>
    <w:rsid w:val="00F56666"/>
    <w:rsid w:val="00F801AF"/>
    <w:rsid w:val="00F91B44"/>
    <w:rsid w:val="02B300B6"/>
    <w:rsid w:val="034F57B7"/>
    <w:rsid w:val="3BC90256"/>
    <w:rsid w:val="535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paragraph" w:styleId="7">
    <w:name w:val="Body Text First Indent"/>
    <w:basedOn w:val="3"/>
    <w:link w:val="35"/>
    <w:uiPriority w:val="0"/>
    <w:pPr>
      <w:ind w:firstLine="420" w:firstLineChars="100"/>
    </w:pPr>
    <w:rPr>
      <w:szCs w:val="24"/>
    </w:rPr>
  </w:style>
  <w:style w:type="table" w:styleId="9">
    <w:name w:val="Table Grid"/>
    <w:basedOn w:val="8"/>
    <w:qFormat/>
    <w:uiPriority w:val="59"/>
    <w:pPr>
      <w:spacing w:beforeAutospacing="1" w:afterAutospacing="1"/>
    </w:pPr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段 Char"/>
    <w:link w:val="14"/>
    <w:qFormat/>
    <w:locked/>
    <w:uiPriority w:val="0"/>
    <w:rPr>
      <w:rFonts w:ascii="宋体" w:hAnsi="宋体" w:eastAsia="宋体"/>
      <w:kern w:val="2"/>
      <w:sz w:val="21"/>
      <w:szCs w:val="22"/>
      <w:lang w:val="en-US" w:eastAsia="zh-CN" w:bidi="ar-SA"/>
    </w:rPr>
  </w:style>
  <w:style w:type="paragraph" w:customStyle="1" w:styleId="14">
    <w:name w:val="段"/>
    <w:link w:val="13"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脚 Char"/>
    <w:link w:val="5"/>
    <w:uiPriority w:val="99"/>
    <w:rPr>
      <w:sz w:val="18"/>
      <w:szCs w:val="18"/>
    </w:rPr>
  </w:style>
  <w:style w:type="character" w:customStyle="1" w:styleId="16">
    <w:name w:val="页眉 Char"/>
    <w:link w:val="6"/>
    <w:uiPriority w:val="99"/>
    <w:rPr>
      <w:sz w:val="18"/>
      <w:szCs w:val="18"/>
    </w:rPr>
  </w:style>
  <w:style w:type="paragraph" w:customStyle="1" w:styleId="17">
    <w:name w:val="目次、标准名称标题"/>
    <w:basedOn w:val="18"/>
    <w:next w:val="14"/>
    <w:uiPriority w:val="0"/>
    <w:pPr>
      <w:spacing w:line="460" w:lineRule="exact"/>
    </w:pPr>
  </w:style>
  <w:style w:type="paragraph" w:customStyle="1" w:styleId="18">
    <w:name w:val="前言、引言标题"/>
    <w:next w:val="1"/>
    <w:qFormat/>
    <w:uiPriority w:val="0"/>
    <w:p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一级条标题"/>
    <w:basedOn w:val="1"/>
    <w:next w:val="14"/>
    <w:qFormat/>
    <w:uiPriority w:val="0"/>
    <w:pPr>
      <w:widowControl/>
      <w:outlineLvl w:val="2"/>
    </w:pPr>
    <w:rPr>
      <w:rFonts w:ascii="黑体" w:eastAsia="黑体"/>
      <w:kern w:val="0"/>
    </w:rPr>
  </w:style>
  <w:style w:type="paragraph" w:customStyle="1" w:styleId="20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文献分类号"/>
    <w:uiPriority w:val="0"/>
    <w:pPr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2">
    <w:name w:val="封面标准名称"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封面标准号2"/>
    <w:basedOn w:val="1"/>
    <w:qFormat/>
    <w:uiPriority w:val="0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</w:rPr>
  </w:style>
  <w:style w:type="paragraph" w:customStyle="1" w:styleId="26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8">
    <w:name w:val="封面标准代替信息"/>
    <w:basedOn w:val="25"/>
    <w:qFormat/>
    <w:uiPriority w:val="0"/>
    <w:pPr>
      <w:spacing w:before="57"/>
    </w:pPr>
    <w:rPr>
      <w:rFonts w:ascii="宋体"/>
      <w:sz w:val="21"/>
    </w:rPr>
  </w:style>
  <w:style w:type="paragraph" w:customStyle="1" w:styleId="2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0">
    <w:name w:val="实施日期"/>
    <w:basedOn w:val="1"/>
    <w:qFormat/>
    <w:uiPriority w:val="0"/>
    <w:pPr>
      <w:widowControl/>
      <w:jc w:val="right"/>
    </w:pPr>
    <w:rPr>
      <w:rFonts w:eastAsia="黑体"/>
      <w:kern w:val="0"/>
      <w:sz w:val="28"/>
    </w:rPr>
  </w:style>
  <w:style w:type="character" w:customStyle="1" w:styleId="31">
    <w:name w:val="文档结构图 Char"/>
    <w:link w:val="2"/>
    <w:semiHidden/>
    <w:uiPriority w:val="99"/>
    <w:rPr>
      <w:rFonts w:ascii="宋体" w:hAnsi="Times New Roman" w:eastAsia="宋体"/>
      <w:kern w:val="2"/>
      <w:sz w:val="18"/>
      <w:szCs w:val="18"/>
    </w:rPr>
  </w:style>
  <w:style w:type="character" w:customStyle="1" w:styleId="32">
    <w:name w:val="批注框文本 Char"/>
    <w:link w:val="4"/>
    <w:semiHidden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33">
    <w:name w:val="apple-converted-space"/>
    <w:basedOn w:val="10"/>
    <w:uiPriority w:val="0"/>
  </w:style>
  <w:style w:type="character" w:customStyle="1" w:styleId="34">
    <w:name w:val="正文文本 Char"/>
    <w:basedOn w:val="10"/>
    <w:link w:val="3"/>
    <w:semiHidden/>
    <w:uiPriority w:val="99"/>
    <w:rPr>
      <w:rFonts w:ascii="Times New Roman" w:hAnsi="Times New Roman" w:eastAsia="宋体"/>
      <w:kern w:val="2"/>
      <w:sz w:val="21"/>
    </w:rPr>
  </w:style>
  <w:style w:type="character" w:customStyle="1" w:styleId="35">
    <w:name w:val="正文首行缩进 Char"/>
    <w:basedOn w:val="34"/>
    <w:link w:val="7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501</Words>
  <Characters>2858</Characters>
  <Lines>23</Lines>
  <Paragraphs>6</Paragraphs>
  <TotalTime>79</TotalTime>
  <ScaleCrop>false</ScaleCrop>
  <LinksUpToDate>false</LinksUpToDate>
  <CharactersWithSpaces>3353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2019-06-19T03:24:00Z</dcterms:created>
  <dc:creator>笑笑</dc:creator>
  <cp:lastModifiedBy>高兰</cp:lastModifiedBy>
  <cp:lastPrinted>2019-07-17T07:54:00Z</cp:lastPrinted>
  <dcterms:modified xsi:type="dcterms:W3CDTF">2019-07-19T02:27:39Z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