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9"/>
        <w:framePr w:w="0" w:hRule="auto" w:wrap="auto" w:vAnchor="margin" w:hAnchor="text" w:xAlign="left" w:yAlign="inline"/>
        <w:ind w:right="628" w:firstLine="420"/>
        <w:rPr>
          <w:sz w:val="144"/>
          <w:szCs w:val="14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39"/>
          <w:pgMar w:top="567" w:right="851" w:bottom="1361" w:left="1418" w:header="0" w:footer="0" w:gutter="0"/>
          <w:pgNumType w:start="1"/>
          <w:cols w:space="425" w:num="1"/>
          <w:titlePg/>
          <w:docGrid w:type="lines" w:linePitch="312" w:charSpace="0"/>
        </w:sectPr>
      </w:pPr>
      <w:r>
        <w:rPr>
          <w:w w:val="100"/>
        </w:rPr>
        <w:pict>
          <v:line id="直接连接符 11" o:spid="_x0000_s1026" o:spt="20" style="position:absolute;left:0pt;margin-left:0pt;margin-top:700pt;height:0pt;width:482pt;z-index:251668480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">
            <v:path arrowok="t"/>
            <v:fill focussize="0,0"/>
            <v:stroke weight="1pt" color="#080000"/>
            <v:imagedata o:title=""/>
            <o:lock v:ext="edit"/>
          </v:line>
        </w:pict>
      </w:r>
      <w:r>
        <w:rPr>
          <w:w w:val="100"/>
        </w:rPr>
        <w:pict>
          <v:line id="直接连接符 10" o:spid="_x0000_s1035" o:spt="20" style="position:absolute;left:0pt;margin-left:0pt;margin-top:179pt;height:0pt;width:482pt;z-index:251667456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">
            <v:path arrowok="t"/>
            <v:fill focussize="0,0"/>
            <v:stroke weight="1pt" color="#080000"/>
            <v:imagedata o:title=""/>
            <o:lock v:ext="edit"/>
          </v:line>
        </w:pict>
      </w:r>
      <w:r>
        <w:rPr>
          <w:w w:val="100"/>
        </w:rPr>
        <w:pict>
          <v:shape id="文本框 9" o:spid="_x0000_s1034" o:spt="202" type="#_x0000_t202" style="position:absolute;left:0pt;margin-top:704.45pt;height:52.1pt;width:481.9pt;mso-position-horizontal:center;mso-position-horizontal-relative:margin;mso-position-vertical-relative:margin;z-index:251666432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21"/>
                    <w:spacing w:line="240" w:lineRule="atLeast"/>
                    <w:rPr>
                      <w:rFonts w:ascii="黑体" w:hAnsi="黑体" w:eastAsia="黑体"/>
                      <w:b w:val="0"/>
                      <w:spacing w:val="22"/>
                      <w:w w:val="100"/>
                      <w:position w:val="3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/>
                      <w:b w:val="0"/>
                      <w:spacing w:val="0"/>
                      <w:sz w:val="30"/>
                    </w:rPr>
                    <w:t>中华人民共和国工业和信息化部</w:t>
                  </w:r>
                  <w:r>
                    <w:rPr>
                      <w:rFonts w:hint="eastAsia" w:ascii="黑体" w:hAnsi="黑体" w:eastAsia="黑体"/>
                      <w:b w:val="0"/>
                      <w:spacing w:val="0"/>
                      <w:sz w:val="28"/>
                      <w:szCs w:val="28"/>
                    </w:rPr>
                    <w:t xml:space="preserve"> 发布</w:t>
                  </w:r>
                </w:p>
                <w:p/>
              </w:txbxContent>
            </v:textbox>
            <w10:anchorlock/>
          </v:shape>
        </w:pict>
      </w:r>
      <w:r>
        <w:rPr>
          <w:w w:val="100"/>
        </w:rPr>
        <w:pict>
          <v:shape id="文本框 8" o:spid="_x0000_s1027" o:spt="202" type="#_x0000_t202" style="position:absolute;left:0pt;margin-left:322.9pt;margin-top:674.3pt;height:24.6pt;width:159pt;mso-position-horizontal-relative:margin;mso-position-vertical-relative:margin;z-index:25166540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36"/>
                  </w:pPr>
                  <w:r>
                    <w:rPr>
                      <w:rFonts w:hint="eastAsia"/>
                    </w:rPr>
                    <w:t>××××-××-××实施</w:t>
                  </w:r>
                </w:p>
              </w:txbxContent>
            </v:textbox>
            <w10:anchorlock/>
          </v:shape>
        </w:pict>
      </w:r>
      <w:r>
        <w:rPr>
          <w:w w:val="100"/>
        </w:rPr>
        <w:pict>
          <v:shape id="文本框 7" o:spid="_x0000_s1028" o:spt="202" type="#_x0000_t202" style="position:absolute;left:0pt;margin-left:0pt;margin-top:674.3pt;height:24.6pt;width:159pt;mso-position-horizontal-relative:margin;mso-position-vertical-relative:margin;z-index:251664384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33"/>
                  </w:pPr>
                  <w:r>
                    <w:rPr>
                      <w:rFonts w:hint="eastAsia"/>
                    </w:rPr>
                    <w:t>××××-××-××发布</w:t>
                  </w:r>
                </w:p>
              </w:txbxContent>
            </v:textbox>
            <w10:anchorlock/>
          </v:shape>
        </w:pict>
      </w:r>
      <w:r>
        <w:rPr>
          <w:w w:val="100"/>
        </w:rPr>
        <w:pict>
          <v:shape id="文本框 6" o:spid="_x0000_s1029" o:spt="202" type="#_x0000_t202" style="position:absolute;left:0pt;margin-left:0pt;margin-top:286.25pt;height:329.2pt;width:470pt;mso-position-horizontal-relative:margin;mso-position-vertical-relative:margin;z-index:251663360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adjustRightInd w:val="0"/>
                    <w:snapToGrid w:val="0"/>
                    <w:jc w:val="center"/>
                    <w:rPr>
                      <w:rFonts w:ascii="黑体" w:hAnsi="Times New Roman" w:eastAsia="黑体"/>
                      <w:kern w:val="0"/>
                      <w:sz w:val="52"/>
                      <w:szCs w:val="21"/>
                    </w:rPr>
                  </w:pPr>
                  <w:r>
                    <w:rPr>
                      <w:rFonts w:hint="eastAsia" w:ascii="黑体" w:hAnsi="Times New Roman" w:eastAsia="黑体"/>
                      <w:kern w:val="0"/>
                      <w:sz w:val="52"/>
                      <w:szCs w:val="21"/>
                    </w:rPr>
                    <w:t>镝/铽金属</w:t>
                  </w:r>
                  <w:r>
                    <w:rPr>
                      <w:rFonts w:ascii="黑体" w:hAnsi="Times New Roman" w:eastAsia="黑体"/>
                      <w:kern w:val="0"/>
                      <w:sz w:val="52"/>
                      <w:szCs w:val="21"/>
                    </w:rPr>
                    <w:t>靶</w:t>
                  </w:r>
                  <w:r>
                    <w:rPr>
                      <w:rFonts w:hint="eastAsia" w:ascii="黑体" w:hAnsi="Times New Roman" w:eastAsia="黑体"/>
                      <w:kern w:val="0"/>
                      <w:sz w:val="52"/>
                      <w:szCs w:val="21"/>
                    </w:rPr>
                    <w:t>材</w:t>
                  </w:r>
                </w:p>
                <w:p>
                  <w:pPr>
                    <w:pStyle w:val="24"/>
                    <w:rPr>
                      <w:rFonts w:ascii="黑体" w:hAnsi="黑体" w:eastAsia="黑体"/>
                      <w:color w:val="000000"/>
                    </w:rPr>
                  </w:pPr>
                  <w:r>
                    <w:rPr>
                      <w:rFonts w:ascii="黑体" w:hAnsi="黑体" w:eastAsia="黑体"/>
                      <w:bCs/>
                      <w:color w:val="000000"/>
                      <w:szCs w:val="28"/>
                    </w:rPr>
                    <w:t>Dyspros</w:t>
                  </w:r>
                  <w:r>
                    <w:rPr>
                      <w:rFonts w:ascii="黑体" w:hAnsi="黑体" w:eastAsia="黑体"/>
                      <w:bCs/>
                      <w:szCs w:val="28"/>
                    </w:rPr>
                    <w:t>ium /Terbiu</w:t>
                  </w:r>
                  <w:r>
                    <w:rPr>
                      <w:rFonts w:ascii="黑体" w:hAnsi="黑体" w:eastAsia="黑体"/>
                      <w:bCs/>
                      <w:color w:val="000000"/>
                      <w:szCs w:val="28"/>
                    </w:rPr>
                    <w:t>m</w:t>
                  </w:r>
                  <w:r>
                    <w:rPr>
                      <w:rFonts w:hint="eastAsia" w:ascii="黑体" w:hAnsi="黑体" w:eastAsia="黑体"/>
                      <w:szCs w:val="28"/>
                    </w:rPr>
                    <w:t xml:space="preserve">metal </w:t>
                  </w:r>
                  <w:r>
                    <w:rPr>
                      <w:rFonts w:ascii="黑体" w:hAnsi="黑体" w:eastAsia="黑体"/>
                      <w:szCs w:val="28"/>
                    </w:rPr>
                    <w:t>targets</w:t>
                  </w:r>
                </w:p>
                <w:p>
                  <w:pPr>
                    <w:pStyle w:val="23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</w:rPr>
                    <w:t>（预审稿）</w:t>
                  </w:r>
                </w:p>
                <w:p>
                  <w:pPr>
                    <w:pStyle w:val="22"/>
                  </w:pPr>
                </w:p>
              </w:txbxContent>
            </v:textbox>
            <w10:anchorlock/>
          </v:shape>
        </w:pict>
      </w:r>
      <w:r>
        <w:rPr>
          <w:w w:val="100"/>
        </w:rPr>
        <w:pict>
          <v:shape id="文本框 5" o:spid="_x0000_s1030" o:spt="202" type="#_x0000_t202" style="position:absolute;left:0pt;margin-left:0pt;margin-top:110.35pt;height:67.75pt;width:456.9pt;mso-position-horizontal-relative:margin;mso-position-vertical-relative:margin;z-index:251662336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34"/>
                  </w:pPr>
                </w:p>
                <w:p>
                  <w:pPr>
                    <w:pStyle w:val="34"/>
                    <w:wordWrap w:val="0"/>
                  </w:pPr>
                  <w:r>
                    <w:rPr>
                      <w:rFonts w:hint="eastAsia"/>
                    </w:rPr>
                    <w:t xml:space="preserve">   X</w:t>
                  </w:r>
                  <w:r>
                    <w:t>B/TXXXX</w:t>
                  </w:r>
                  <w:r>
                    <w:rPr>
                      <w:rFonts w:hint="eastAsia"/>
                    </w:rPr>
                    <w:t>-20</w:t>
                  </w:r>
                  <w:r>
                    <w:t>1</w:t>
                  </w:r>
                  <w:r>
                    <w:rPr>
                      <w:rFonts w:hint="eastAsia"/>
                    </w:rPr>
                    <w:t>x</w:t>
                  </w:r>
                </w:p>
                <w:p>
                  <w:pPr>
                    <w:pStyle w:val="35"/>
                  </w:pPr>
                </w:p>
              </w:txbxContent>
            </v:textbox>
            <w10:anchorlock/>
          </v:shape>
        </w:pict>
      </w:r>
      <w:r>
        <w:rPr>
          <w:w w:val="100"/>
        </w:rPr>
        <w:pict>
          <v:shape id="文本框 4" o:spid="_x0000_s1031" o:spt="202" type="#_x0000_t202" style="position:absolute;left:0pt;margin-left:0pt;margin-top:79.6pt;height:30.8pt;width:481.9pt;mso-position-horizontal-relative:margin;mso-position-vertical-relative:margin;z-index:251661312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25"/>
                  </w:pPr>
                  <w:r>
                    <w:rPr>
                      <w:rFonts w:hint="eastAsia"/>
                    </w:rPr>
                    <w:t>中华人民共和国稀土行业标准</w:t>
                  </w:r>
                </w:p>
                <w:p>
                  <w:pPr>
                    <w:pStyle w:val="20"/>
                  </w:pPr>
                  <w:r>
                    <w:rPr>
                      <w:rFonts w:hint="eastAsia"/>
                    </w:rPr>
                    <w:t>标准</w:t>
                  </w:r>
                </w:p>
              </w:txbxContent>
            </v:textbox>
            <w10:anchorlock/>
          </v:shape>
        </w:pict>
      </w:r>
      <w:r>
        <w:rPr>
          <w:w w:val="100"/>
        </w:rPr>
        <w:pict>
          <v:shape id="文本框 3" o:spid="_x0000_s1032" o:spt="202" type="#_x0000_t202" style="position:absolute;left:0pt;margin-left:0pt;margin-top:0pt;height:51.8pt;width:200pt;mso-position-horizontal-relative:margin;mso-position-vertical-relative:margin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19"/>
                  </w:pPr>
                  <w:r>
                    <w:rPr>
                      <w:rFonts w:hint="eastAsia"/>
                    </w:rPr>
                    <w:t>ICS 77.120.99</w:t>
                  </w:r>
                </w:p>
                <w:p>
                  <w:pPr>
                    <w:pStyle w:val="19"/>
                  </w:pPr>
                  <w:r>
                    <w:rPr>
                      <w:rFonts w:hint="eastAsia"/>
                    </w:rPr>
                    <w:t>H 65</w:t>
                  </w:r>
                </w:p>
              </w:txbxContent>
            </v:textbox>
            <w10:anchorlock/>
          </v:shape>
        </w:pict>
      </w:r>
      <w:r>
        <w:rPr>
          <w:sz w:val="144"/>
          <w:szCs w:val="144"/>
        </w:rPr>
        <w:t>XB</w:t>
      </w:r>
    </w:p>
    <w:p>
      <w:pPr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前言</w:t>
      </w:r>
    </w:p>
    <w:p>
      <w:pPr>
        <w:jc w:val="center"/>
        <w:rPr>
          <w:rFonts w:ascii="Times New Roman" w:hAnsi="Times New Roman" w:eastAsia="宋体"/>
          <w:sz w:val="32"/>
          <w:szCs w:val="32"/>
        </w:rPr>
      </w:pPr>
    </w:p>
    <w:p>
      <w:pPr>
        <w:spacing w:line="360" w:lineRule="exact"/>
        <w:jc w:val="center"/>
        <w:rPr>
          <w:rFonts w:ascii="Times New Roman" w:hAnsi="Times New Roman" w:eastAsia="宋体"/>
          <w:sz w:val="32"/>
          <w:szCs w:val="32"/>
        </w:rPr>
      </w:pPr>
    </w:p>
    <w:p>
      <w:pPr>
        <w:spacing w:line="360" w:lineRule="exact"/>
        <w:ind w:firstLine="420" w:firstLineChars="200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本标准按照GB/T 1.1-2009给出的规则起草。</w:t>
      </w:r>
    </w:p>
    <w:p>
      <w:pPr>
        <w:spacing w:line="360" w:lineRule="exact"/>
        <w:ind w:firstLine="420" w:firstLineChars="200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本标准由全国稀土标准化技术委员会（SAC/TC229）</w:t>
      </w:r>
      <w:r>
        <w:rPr>
          <w:rFonts w:hint="eastAsia" w:ascii="Times New Roman" w:hAnsi="Times New Roman" w:eastAsia="宋体"/>
          <w:szCs w:val="21"/>
          <w:lang w:eastAsia="zh-CN"/>
        </w:rPr>
        <w:t>提出并</w:t>
      </w:r>
      <w:bookmarkStart w:id="49" w:name="_GoBack"/>
      <w:bookmarkEnd w:id="49"/>
      <w:r>
        <w:rPr>
          <w:rFonts w:ascii="Times New Roman" w:hAnsi="Times New Roman" w:eastAsia="宋体"/>
          <w:szCs w:val="21"/>
        </w:rPr>
        <w:t>归口。</w:t>
      </w:r>
    </w:p>
    <w:p>
      <w:pPr>
        <w:spacing w:line="360" w:lineRule="exact"/>
        <w:ind w:firstLine="420" w:firstLineChars="200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本标准负责起草单位：包头稀土研究院、有研稀土新材料股份有限公司、</w:t>
      </w:r>
      <w:r>
        <w:fldChar w:fldCharType="begin"/>
      </w:r>
      <w:r>
        <w:instrText xml:space="preserve"> HYPERLINK "http://www.baidu.com/link?url=JmTiWgVQTg22VUJVWhrYrYE_yHV22BRIsd2NrA-dVJq" \t "_blank" </w:instrText>
      </w:r>
      <w:r>
        <w:fldChar w:fldCharType="separate"/>
      </w:r>
      <w:r>
        <w:rPr>
          <w:rFonts w:ascii="Times New Roman" w:hAnsi="Times New Roman" w:eastAsia="宋体"/>
          <w:szCs w:val="21"/>
        </w:rPr>
        <w:t>湖南稀土金属材料研究院</w:t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t>、</w:t>
      </w:r>
      <w:r>
        <w:fldChar w:fldCharType="begin"/>
      </w:r>
      <w:r>
        <w:instrText xml:space="preserve"> HYPERLINK "http://www.baidu.com/link?url=nHLdyN4VgYHT5fW3oIHQwQyou7y2gixPik2rmEOxpMy" \t "_blank" </w:instrText>
      </w:r>
      <w:r>
        <w:fldChar w:fldCharType="separate"/>
      </w:r>
      <w:r>
        <w:rPr>
          <w:rFonts w:ascii="Times New Roman" w:hAnsi="Times New Roman" w:eastAsia="宋体"/>
          <w:szCs w:val="21"/>
        </w:rPr>
        <w:t>国合通用测试评价认证股份公司</w:t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t>、</w:t>
      </w:r>
      <w:r>
        <w:fldChar w:fldCharType="begin"/>
      </w:r>
      <w:r>
        <w:instrText xml:space="preserve"> HYPERLINK "http://www.baidu.com/link?url=HxKLZxATrO-vKgTEjD04NUTbzrJZdd1KhdnEGTNecu_" \t "_blank" </w:instrText>
      </w:r>
      <w:r>
        <w:fldChar w:fldCharType="separate"/>
      </w:r>
      <w:r>
        <w:rPr>
          <w:rFonts w:ascii="Times New Roman" w:hAnsi="Times New Roman" w:eastAsia="宋体"/>
          <w:szCs w:val="21"/>
        </w:rPr>
        <w:t>虔东稀土集团股份有限公司</w:t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t>、</w:t>
      </w:r>
      <w:r>
        <w:fldChar w:fldCharType="begin"/>
      </w:r>
      <w:r>
        <w:instrText xml:space="preserve"> HYPERLINK "http://www.baidu.com/link?url=u4rr_vbgy5jNAlCcduJc9DVzFE24-kJY_R--cmw425d0w7FNMmMLywrx3PFD7x9W26TX3hB7-LAIRo_lxq9htMdghNqz8AH44Spys0uGwTleQ_2Xm2cEXPrAm0anGwjB2fQKjOxbsD2NtIBJLJwOw6X9kj05UpdXHcpDXGbp_DrfBz_xa92wsP6BzKCW8KyE" \t "_blank" </w:instrText>
      </w:r>
      <w:r>
        <w:fldChar w:fldCharType="separate"/>
      </w:r>
      <w:r>
        <w:rPr>
          <w:rFonts w:ascii="Times New Roman" w:hAnsi="Times New Roman" w:eastAsia="宋体"/>
          <w:szCs w:val="21"/>
        </w:rPr>
        <w:t>江苏金石稀土有限公司</w:t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t>、</w:t>
      </w:r>
      <w:r>
        <w:fldChar w:fldCharType="begin"/>
      </w:r>
      <w:r>
        <w:instrText xml:space="preserve"> HYPERLINK "http://www.baidu.com/link?url=GfJG9nHwNq9o8HID0IxGadn2GDnBKvO06ccfY-s45SKDHv3vNS9aHlKsc9mTRKhH" \t "_blank" </w:instrText>
      </w:r>
      <w:r>
        <w:fldChar w:fldCharType="separate"/>
      </w:r>
      <w:r>
        <w:rPr>
          <w:rFonts w:ascii="Times New Roman" w:hAnsi="Times New Roman" w:eastAsia="宋体"/>
          <w:szCs w:val="21"/>
        </w:rPr>
        <w:t>福建省长汀金龙稀土有限公司</w:t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t>、</w:t>
      </w:r>
      <w:r>
        <w:fldChar w:fldCharType="begin"/>
      </w:r>
      <w:r>
        <w:instrText xml:space="preserve"> HYPERLINK "http://www.baidu.com/link?url=tbZTbRq37jvl_kyKJC_juAc-wBYu2fpYi_5u57Ory1lVK2YaOmo8jEfPIeXuADjW" \t "_blank" </w:instrText>
      </w:r>
      <w:r>
        <w:fldChar w:fldCharType="separate"/>
      </w:r>
      <w:r>
        <w:rPr>
          <w:rFonts w:ascii="Times New Roman" w:hAnsi="Times New Roman" w:eastAsia="宋体"/>
          <w:szCs w:val="21"/>
        </w:rPr>
        <w:t>信丰县包钢新利稀土有限责任公司</w:t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t>、厦门稀土材料研究所。</w:t>
      </w:r>
    </w:p>
    <w:p>
      <w:pPr>
        <w:spacing w:line="360" w:lineRule="exact"/>
        <w:ind w:firstLine="420" w:firstLineChars="200"/>
        <w:rPr>
          <w:rFonts w:ascii="Times New Roman" w:hAnsi="Times New Roman"/>
          <w:sz w:val="28"/>
        </w:rPr>
        <w:sectPr>
          <w:headerReference r:id="rId10" w:type="first"/>
          <w:headerReference r:id="rId9" w:type="default"/>
          <w:footerReference r:id="rId11" w:type="default"/>
          <w:footerReference r:id="rId12" w:type="even"/>
          <w:pgSz w:w="11907" w:h="16840"/>
          <w:pgMar w:top="1985" w:right="1134" w:bottom="1361" w:left="1418" w:header="1588" w:footer="720" w:gutter="0"/>
          <w:pgNumType w:start="1"/>
          <w:cols w:space="720" w:num="1"/>
        </w:sectPr>
      </w:pPr>
      <w:r>
        <w:rPr>
          <w:rFonts w:ascii="Times New Roman" w:hAnsi="Times New Roman" w:eastAsia="宋体"/>
          <w:szCs w:val="21"/>
        </w:rPr>
        <w:t>本标准主要起草人：李静雅，刘小鱼，胡权霞，解萍，刘荣丽，鲁飞，夏雯，朱晓婷，刘志勇，刘树峰，李慧，孙良成，郑天仓，张永健，张相良，杨帆。</w:t>
      </w:r>
    </w:p>
    <w:p>
      <w:pPr>
        <w:spacing w:before="640" w:after="560" w:line="460" w:lineRule="exact"/>
        <w:jc w:val="center"/>
        <w:outlineLvl w:val="0"/>
        <w:rPr>
          <w:rFonts w:ascii="Times New Roman" w:hAnsi="Times New Roman" w:eastAsia="黑体"/>
          <w:bCs/>
          <w:sz w:val="32"/>
        </w:rPr>
      </w:pPr>
      <w:r>
        <w:rPr>
          <w:rFonts w:ascii="Times New Roman" w:hAnsi="Times New Roman" w:eastAsia="黑体"/>
          <w:bCs/>
          <w:sz w:val="32"/>
        </w:rPr>
        <w:t>镝/铽金属靶材</w:t>
      </w:r>
    </w:p>
    <w:p>
      <w:pPr>
        <w:pStyle w:val="2"/>
        <w:keepNext w:val="0"/>
        <w:keepLines w:val="0"/>
        <w:tabs>
          <w:tab w:val="left" w:pos="432"/>
        </w:tabs>
        <w:spacing w:before="156" w:beforeLines="50" w:after="156" w:afterLines="50" w:line="360" w:lineRule="exact"/>
        <w:jc w:val="left"/>
        <w:textAlignment w:val="baseline"/>
        <w:rPr>
          <w:rFonts w:eastAsia="黑体"/>
          <w:b w:val="0"/>
          <w:sz w:val="21"/>
          <w:szCs w:val="21"/>
        </w:rPr>
      </w:pPr>
      <w:bookmarkStart w:id="0" w:name="正文"/>
      <w:bookmarkEnd w:id="0"/>
      <w:bookmarkStart w:id="1" w:name="_Toc430680185"/>
      <w:bookmarkStart w:id="2" w:name="_Toc468067978"/>
      <w:bookmarkStart w:id="3" w:name="_Toc468069927"/>
      <w:bookmarkStart w:id="4" w:name="_Toc431105881"/>
      <w:r>
        <w:rPr>
          <w:rFonts w:eastAsia="黑体"/>
          <w:b w:val="0"/>
          <w:sz w:val="21"/>
          <w:szCs w:val="21"/>
        </w:rPr>
        <w:t>1 　范围</w:t>
      </w:r>
      <w:bookmarkEnd w:id="1"/>
      <w:bookmarkEnd w:id="2"/>
      <w:bookmarkEnd w:id="3"/>
      <w:bookmarkEnd w:id="4"/>
    </w:p>
    <w:p>
      <w:pPr>
        <w:adjustRightInd w:val="0"/>
        <w:snapToGrid w:val="0"/>
        <w:spacing w:line="360" w:lineRule="exact"/>
        <w:ind w:firstLine="420" w:firstLineChars="200"/>
        <w:rPr>
          <w:rFonts w:ascii="Times New Roman" w:hAnsi="Times New Roman" w:eastAsia="宋体"/>
        </w:rPr>
      </w:pPr>
      <w:bookmarkStart w:id="5" w:name="_Toc468067979"/>
      <w:bookmarkStart w:id="6" w:name="_Toc468069928"/>
      <w:bookmarkStart w:id="7" w:name="_Toc431105882"/>
      <w:bookmarkStart w:id="8" w:name="_Toc430680186"/>
      <w:r>
        <w:rPr>
          <w:rFonts w:ascii="Times New Roman" w:hAnsi="Times New Roman" w:eastAsia="宋体"/>
          <w:szCs w:val="21"/>
        </w:rPr>
        <w:t>本标准规定了镝/铽金属靶材的要求、试验方法、检验规则和标志、包装、运输、</w:t>
      </w:r>
      <w:bookmarkStart w:id="9" w:name="_Hlk535845717"/>
      <w:r>
        <w:rPr>
          <w:rFonts w:ascii="Times New Roman" w:hAnsi="Times New Roman" w:eastAsia="宋体"/>
        </w:rPr>
        <w:t>贮存及质量证明书。</w:t>
      </w:r>
    </w:p>
    <w:bookmarkEnd w:id="9"/>
    <w:p>
      <w:pPr>
        <w:adjustRightInd w:val="0"/>
        <w:snapToGrid w:val="0"/>
        <w:spacing w:line="360" w:lineRule="exact"/>
        <w:ind w:firstLine="420" w:firstLineChars="200"/>
        <w:rPr>
          <w:rFonts w:ascii="Times New Roman" w:hAnsi="Times New Roman" w:eastAsia="宋体"/>
          <w:b/>
          <w:bCs/>
          <w:sz w:val="32"/>
        </w:rPr>
      </w:pPr>
      <w:r>
        <w:rPr>
          <w:rFonts w:ascii="Times New Roman" w:hAnsi="Times New Roman" w:eastAsia="宋体"/>
          <w:szCs w:val="21"/>
        </w:rPr>
        <w:t>本标准适用于真空冶炼法</w:t>
      </w:r>
      <w:r>
        <w:rPr>
          <w:rFonts w:ascii="Times New Roman" w:hAnsi="Times New Roman" w:eastAsia="宋体"/>
        </w:rPr>
        <w:t>制得的</w:t>
      </w:r>
      <w:r>
        <w:rPr>
          <w:rFonts w:ascii="Times New Roman" w:hAnsi="Times New Roman" w:eastAsia="宋体"/>
          <w:szCs w:val="21"/>
        </w:rPr>
        <w:t>镝/铽金属靶材,</w:t>
      </w:r>
      <w:bookmarkStart w:id="10" w:name="_Hlk6777517"/>
      <w:bookmarkStart w:id="11" w:name="_Hlk535845787"/>
      <w:r>
        <w:rPr>
          <w:rFonts w:ascii="Times New Roman" w:hAnsi="Times New Roman" w:eastAsia="宋体"/>
        </w:rPr>
        <w:t>主要应用于钕铁硼磁控溅射镀膜等</w:t>
      </w:r>
      <w:bookmarkEnd w:id="10"/>
      <w:r>
        <w:rPr>
          <w:rFonts w:ascii="Times New Roman" w:hAnsi="Times New Roman" w:eastAsia="宋体"/>
        </w:rPr>
        <w:t>领域。</w:t>
      </w:r>
      <w:bookmarkEnd w:id="11"/>
    </w:p>
    <w:p>
      <w:pPr>
        <w:pStyle w:val="2"/>
        <w:keepNext w:val="0"/>
        <w:keepLines w:val="0"/>
        <w:tabs>
          <w:tab w:val="left" w:pos="432"/>
        </w:tabs>
        <w:spacing w:before="100" w:beforeAutospacing="1" w:after="100" w:afterAutospacing="1" w:line="360" w:lineRule="exact"/>
        <w:jc w:val="left"/>
        <w:textAlignment w:val="baseline"/>
        <w:rPr>
          <w:rFonts w:eastAsia="黑体"/>
          <w:b w:val="0"/>
          <w:sz w:val="21"/>
          <w:szCs w:val="21"/>
        </w:rPr>
      </w:pPr>
      <w:r>
        <w:rPr>
          <w:rFonts w:eastAsia="黑体"/>
          <w:b w:val="0"/>
          <w:sz w:val="21"/>
          <w:szCs w:val="21"/>
        </w:rPr>
        <w:t>2　</w:t>
      </w:r>
      <w:bookmarkEnd w:id="5"/>
      <w:bookmarkEnd w:id="6"/>
      <w:bookmarkEnd w:id="7"/>
      <w:bookmarkEnd w:id="8"/>
      <w:r>
        <w:rPr>
          <w:rFonts w:eastAsia="黑体"/>
          <w:b w:val="0"/>
          <w:sz w:val="21"/>
          <w:szCs w:val="21"/>
        </w:rPr>
        <w:t>规范性引用文件</w:t>
      </w:r>
    </w:p>
    <w:p>
      <w:pPr>
        <w:pStyle w:val="7"/>
        <w:spacing w:after="0" w:line="360" w:lineRule="exact"/>
        <w:ind w:firstLineChars="200"/>
        <w:rPr>
          <w:szCs w:val="21"/>
        </w:rPr>
      </w:pPr>
      <w:r>
        <w:rPr>
          <w:szCs w:val="21"/>
        </w:rPr>
        <w:t>下列文件对于本文件的应用是必不可少的。凡是注日期的引用文件，仅注日期的版本适用于本文件。凡是不注日期的引用文件，其最新版本（包括所有的修改单）适用于文件。</w:t>
      </w:r>
    </w:p>
    <w:p>
      <w:pPr>
        <w:pStyle w:val="7"/>
        <w:spacing w:after="0" w:line="360" w:lineRule="exact"/>
        <w:ind w:firstLineChars="200"/>
        <w:rPr>
          <w:szCs w:val="21"/>
        </w:rPr>
      </w:pPr>
      <w:r>
        <w:rPr>
          <w:szCs w:val="21"/>
        </w:rPr>
        <w:t>GJB 1580A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>变形金属超声检测方法</w:t>
      </w:r>
    </w:p>
    <w:p>
      <w:pPr>
        <w:pStyle w:val="7"/>
        <w:spacing w:after="0" w:line="360" w:lineRule="exact"/>
        <w:ind w:firstLineChars="200"/>
        <w:rPr>
          <w:szCs w:val="21"/>
        </w:rPr>
      </w:pPr>
      <w:r>
        <w:rPr>
          <w:szCs w:val="21"/>
        </w:rPr>
        <w:t>GB/T 6060.1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>表面粗糙度比较样块铸造表面</w:t>
      </w:r>
    </w:p>
    <w:p>
      <w:pPr>
        <w:pStyle w:val="7"/>
        <w:spacing w:after="0" w:line="360" w:lineRule="exact"/>
        <w:ind w:firstLineChars="200"/>
        <w:rPr>
          <w:szCs w:val="21"/>
        </w:rPr>
      </w:pPr>
      <w:r>
        <w:rPr>
          <w:szCs w:val="21"/>
        </w:rPr>
        <w:t>GB/T 6394</w:t>
      </w:r>
      <w:r>
        <w:rPr>
          <w:rFonts w:hint="eastAsia"/>
          <w:szCs w:val="21"/>
        </w:rPr>
        <w:t xml:space="preserve">    </w:t>
      </w:r>
      <w:r>
        <w:rPr>
          <w:szCs w:val="21"/>
        </w:rPr>
        <w:t>金属平均晶粒度测定方法</w:t>
      </w:r>
    </w:p>
    <w:p>
      <w:pPr>
        <w:spacing w:line="400" w:lineRule="exact"/>
        <w:ind w:firstLine="420" w:firstLineChars="200"/>
        <w:rPr>
          <w:rFonts w:ascii="Times New Roman" w:hAnsi="Times New Roman" w:eastAsia="宋体"/>
        </w:rPr>
      </w:pPr>
      <w:r>
        <w:rPr>
          <w:rFonts w:ascii="Times New Roman" w:hAnsi="Times New Roman" w:eastAsia="宋体"/>
          <w:szCs w:val="21"/>
        </w:rPr>
        <w:t xml:space="preserve">GB/T 8170   </w:t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ascii="Times New Roman" w:hAnsi="Times New Roman" w:eastAsia="宋体"/>
        </w:rPr>
        <w:t>数值修约规则与极限数值的表示与判定</w:t>
      </w:r>
    </w:p>
    <w:p>
      <w:pPr>
        <w:spacing w:line="400" w:lineRule="exact"/>
        <w:ind w:firstLine="420" w:firstLineChars="200"/>
        <w:rPr>
          <w:rFonts w:ascii="Times New Roman" w:hAnsi="Times New Roman" w:eastAsia="宋体"/>
          <w:szCs w:val="21"/>
        </w:rPr>
      </w:pPr>
      <w:bookmarkStart w:id="12" w:name="_Toc468069929"/>
      <w:bookmarkStart w:id="13" w:name="_Toc468067980"/>
      <w:r>
        <w:rPr>
          <w:rFonts w:ascii="Times New Roman" w:hAnsi="Times New Roman" w:eastAsia="宋体"/>
          <w:szCs w:val="21"/>
        </w:rPr>
        <w:t>GB/T 12690(所有部分)  稀土金属及其氧化物中非稀土杂质化学分析方法</w:t>
      </w:r>
    </w:p>
    <w:p>
      <w:pPr>
        <w:spacing w:line="400" w:lineRule="exact"/>
        <w:ind w:firstLine="420" w:firstLineChars="200"/>
        <w:rPr>
          <w:rFonts w:ascii="Times New Roman" w:hAnsi="Times New Roman" w:eastAsia="宋体"/>
        </w:rPr>
      </w:pPr>
      <w:r>
        <w:rPr>
          <w:rFonts w:ascii="Times New Roman" w:hAnsi="Times New Roman" w:eastAsia="宋体"/>
          <w:szCs w:val="21"/>
        </w:rPr>
        <w:t>GB/T 14635</w:t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ascii="Times New Roman" w:hAnsi="Times New Roman" w:eastAsia="宋体"/>
          <w:szCs w:val="21"/>
        </w:rPr>
        <w:t xml:space="preserve"> </w:t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ascii="Times New Roman" w:hAnsi="Times New Roman" w:eastAsia="宋体"/>
          <w:szCs w:val="21"/>
        </w:rPr>
        <w:t>稀土金属及其化合物化学分析方法</w:t>
      </w:r>
    </w:p>
    <w:p>
      <w:pPr>
        <w:pStyle w:val="7"/>
        <w:spacing w:after="0" w:line="360" w:lineRule="exact"/>
        <w:ind w:firstLineChars="200"/>
        <w:rPr>
          <w:szCs w:val="21"/>
        </w:rPr>
      </w:pPr>
      <w:r>
        <w:rPr>
          <w:szCs w:val="21"/>
        </w:rPr>
        <w:t xml:space="preserve">GB/T 15056  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>铸造表面粗糙度评定方法</w:t>
      </w:r>
    </w:p>
    <w:p>
      <w:pPr>
        <w:spacing w:line="400" w:lineRule="exact"/>
        <w:ind w:firstLine="420" w:firstLineChars="200"/>
        <w:rPr>
          <w:rFonts w:ascii="Times New Roman" w:hAnsi="Times New Roman" w:eastAsia="宋体"/>
        </w:rPr>
      </w:pPr>
      <w:r>
        <w:rPr>
          <w:rFonts w:ascii="Times New Roman" w:hAnsi="Times New Roman" w:eastAsia="宋体"/>
          <w:szCs w:val="21"/>
        </w:rPr>
        <w:t>GB/T 17803</w:t>
      </w:r>
      <w:r>
        <w:rPr>
          <w:rFonts w:hint="eastAsia" w:ascii="Times New Roman" w:hAnsi="Times New Roman" w:eastAsia="宋体"/>
          <w:szCs w:val="21"/>
        </w:rPr>
        <w:t xml:space="preserve">    </w:t>
      </w:r>
      <w:r>
        <w:rPr>
          <w:rFonts w:ascii="Times New Roman" w:hAnsi="Times New Roman" w:eastAsia="宋体"/>
        </w:rPr>
        <w:t>稀土产品牌号表示方法</w:t>
      </w:r>
    </w:p>
    <w:p>
      <w:pPr>
        <w:spacing w:line="400" w:lineRule="exact"/>
        <w:ind w:firstLine="420" w:firstLineChars="200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GB/T18115.8   稀土金属及其氧化物中稀土杂质化学分析方法铽中镧、铈、镨、钕、钐、铕、钆、镝、钬、铒、铥、镱、镥和钇量的测定</w:t>
      </w:r>
    </w:p>
    <w:p>
      <w:pPr>
        <w:spacing w:line="400" w:lineRule="exact"/>
        <w:ind w:firstLine="420" w:firstLineChars="200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GB/T18115.9   稀土金属及其氧化物中稀土杂质化学分析方法镝中镧、铈、镨、钕、钐、铕、钆、铽、钬、铒、铥、镱、镥和钇量的测定</w:t>
      </w:r>
    </w:p>
    <w:p>
      <w:pPr>
        <w:pStyle w:val="2"/>
        <w:keepNext w:val="0"/>
        <w:keepLines w:val="0"/>
        <w:tabs>
          <w:tab w:val="left" w:pos="432"/>
        </w:tabs>
        <w:spacing w:before="100" w:beforeAutospacing="1" w:after="100" w:afterAutospacing="1" w:line="360" w:lineRule="exact"/>
        <w:jc w:val="left"/>
        <w:textAlignment w:val="baseline"/>
        <w:rPr>
          <w:rFonts w:eastAsia="黑体"/>
          <w:b w:val="0"/>
          <w:sz w:val="21"/>
          <w:szCs w:val="21"/>
        </w:rPr>
      </w:pPr>
      <w:r>
        <w:rPr>
          <w:rFonts w:eastAsia="黑体"/>
          <w:b w:val="0"/>
          <w:sz w:val="21"/>
          <w:szCs w:val="21"/>
        </w:rPr>
        <w:t>3　</w:t>
      </w:r>
      <w:bookmarkEnd w:id="12"/>
      <w:bookmarkEnd w:id="13"/>
      <w:r>
        <w:rPr>
          <w:rFonts w:eastAsia="黑体"/>
          <w:b w:val="0"/>
          <w:sz w:val="21"/>
          <w:szCs w:val="21"/>
        </w:rPr>
        <w:t>要求</w:t>
      </w:r>
    </w:p>
    <w:p>
      <w:pPr>
        <w:pStyle w:val="17"/>
        <w:snapToGrid w:val="0"/>
        <w:spacing w:before="156" w:beforeLines="50" w:after="156" w:afterLines="50" w:line="360" w:lineRule="exact"/>
        <w:ind w:firstLine="0" w:firstLineChars="0"/>
        <w:rPr>
          <w:rFonts w:ascii="Times New Roman" w:eastAsia="黑体"/>
          <w:b/>
          <w:bCs/>
          <w:sz w:val="21"/>
          <w:szCs w:val="21"/>
        </w:rPr>
      </w:pPr>
      <w:bookmarkStart w:id="14" w:name="_Toc468067981"/>
      <w:bookmarkStart w:id="15" w:name="_Toc468069930"/>
      <w:r>
        <w:rPr>
          <w:rFonts w:ascii="Times New Roman" w:eastAsia="黑体"/>
          <w:b/>
          <w:bCs/>
          <w:sz w:val="21"/>
          <w:szCs w:val="21"/>
        </w:rPr>
        <w:t>3.1 产品分类</w:t>
      </w:r>
    </w:p>
    <w:p>
      <w:pPr>
        <w:adjustRightInd w:val="0"/>
        <w:snapToGrid w:val="0"/>
        <w:spacing w:line="360" w:lineRule="exact"/>
        <w:ind w:firstLine="432" w:firstLineChars="206"/>
        <w:rPr>
          <w:rFonts w:ascii="Times New Roman" w:hAnsi="Times New Roman" w:eastAsia="宋体"/>
          <w:szCs w:val="21"/>
        </w:rPr>
      </w:pPr>
      <w:bookmarkStart w:id="16" w:name="_Hlk535845966"/>
      <w:r>
        <w:rPr>
          <w:rFonts w:ascii="Times New Roman" w:hAnsi="Times New Roman" w:eastAsia="宋体"/>
          <w:szCs w:val="21"/>
        </w:rPr>
        <w:t>产品按</w:t>
      </w:r>
      <w:bookmarkEnd w:id="16"/>
      <w:r>
        <w:rPr>
          <w:rFonts w:ascii="Times New Roman" w:hAnsi="Times New Roman" w:eastAsia="宋体"/>
          <w:szCs w:val="21"/>
        </w:rPr>
        <w:t>化学成分分为</w:t>
      </w:r>
      <w:r>
        <w:rPr>
          <w:rFonts w:ascii="Times New Roman" w:hAnsi="Times New Roman"/>
          <w:szCs w:val="21"/>
        </w:rPr>
        <w:t>Dy</w:t>
      </w:r>
      <w:r>
        <w:rPr>
          <w:rFonts w:hint="eastAsia" w:ascii="Times New Roman" w:hAnsi="Times New Roman"/>
          <w:szCs w:val="21"/>
        </w:rPr>
        <w:t>/</w:t>
      </w:r>
      <w:r>
        <w:rPr>
          <w:rFonts w:ascii="Times New Roman" w:hAnsi="Times New Roman"/>
          <w:szCs w:val="21"/>
        </w:rPr>
        <w:t>Tb–4N、Dy</w:t>
      </w:r>
      <w:r>
        <w:rPr>
          <w:rFonts w:hint="eastAsia" w:ascii="Times New Roman" w:hAnsi="Times New Roman"/>
          <w:szCs w:val="21"/>
        </w:rPr>
        <w:t>/</w:t>
      </w:r>
      <w:r>
        <w:rPr>
          <w:rFonts w:ascii="Times New Roman" w:hAnsi="Times New Roman"/>
          <w:szCs w:val="21"/>
        </w:rPr>
        <w:t>Tb–3N、Dy</w:t>
      </w:r>
      <w:r>
        <w:rPr>
          <w:rFonts w:hint="eastAsia" w:ascii="Times New Roman" w:hAnsi="Times New Roman"/>
          <w:szCs w:val="21"/>
        </w:rPr>
        <w:t>/</w:t>
      </w:r>
      <w:r>
        <w:rPr>
          <w:rFonts w:ascii="Times New Roman" w:hAnsi="Times New Roman"/>
          <w:szCs w:val="21"/>
        </w:rPr>
        <w:t>Tb–2N</w:t>
      </w:r>
      <w:bookmarkStart w:id="17" w:name="_Hlk535846112"/>
      <w:r>
        <w:rPr>
          <w:rFonts w:ascii="Times New Roman" w:hAnsi="Times New Roman" w:eastAsia="宋体"/>
          <w:szCs w:val="21"/>
        </w:rPr>
        <w:t>三个牌号，产品牌号表示方法应符合GB/T 17803的规定。</w:t>
      </w:r>
      <w:bookmarkEnd w:id="17"/>
    </w:p>
    <w:p>
      <w:pPr>
        <w:pStyle w:val="17"/>
        <w:snapToGrid w:val="0"/>
        <w:spacing w:before="156" w:beforeLines="50" w:after="156" w:afterLines="50" w:line="360" w:lineRule="exact"/>
        <w:ind w:firstLine="0" w:firstLineChars="0"/>
        <w:rPr>
          <w:rFonts w:ascii="Times New Roman" w:eastAsia="黑体"/>
        </w:rPr>
      </w:pPr>
      <w:r>
        <w:rPr>
          <w:rFonts w:ascii="Times New Roman" w:eastAsia="黑体"/>
        </w:rPr>
        <w:t>3.2 化学成分</w:t>
      </w:r>
    </w:p>
    <w:p>
      <w:pPr>
        <w:adjustRightInd w:val="0"/>
        <w:snapToGrid w:val="0"/>
        <w:spacing w:line="360" w:lineRule="exact"/>
        <w:ind w:firstLine="420"/>
        <w:rPr>
          <w:rFonts w:ascii="Times New Roman" w:hAnsi="Times New Roman" w:eastAsia="宋体"/>
        </w:rPr>
      </w:pPr>
      <w:bookmarkStart w:id="18" w:name="_Hlk6773285"/>
      <w:r>
        <w:rPr>
          <w:rFonts w:ascii="Times New Roman" w:hAnsi="Times New Roman" w:eastAsia="宋体"/>
        </w:rPr>
        <w:t>产品的化学成分应符合表1的规定</w:t>
      </w:r>
      <w:bookmarkEnd w:id="18"/>
      <w:r>
        <w:rPr>
          <w:rFonts w:ascii="Times New Roman" w:hAnsi="Times New Roman" w:eastAsia="宋体"/>
        </w:rPr>
        <w:t>。需方如有特殊要求，供需双方可另行协商。</w:t>
      </w:r>
    </w:p>
    <w:bookmarkEnd w:id="14"/>
    <w:bookmarkEnd w:id="15"/>
    <w:p>
      <w:pPr>
        <w:spacing w:line="360" w:lineRule="exact"/>
        <w:jc w:val="center"/>
        <w:rPr>
          <w:rFonts w:ascii="Times New Roman" w:hAnsi="Times New Roman" w:eastAsia="宋体"/>
          <w:bCs/>
          <w:szCs w:val="21"/>
        </w:rPr>
      </w:pPr>
      <w:bookmarkStart w:id="19" w:name="_Toc468069931"/>
      <w:bookmarkStart w:id="20" w:name="_Toc468067982"/>
    </w:p>
    <w:p>
      <w:pPr>
        <w:spacing w:line="360" w:lineRule="exact"/>
        <w:jc w:val="center"/>
        <w:rPr>
          <w:rFonts w:ascii="Times New Roman" w:hAnsi="Times New Roman" w:eastAsia="宋体"/>
          <w:bCs/>
          <w:szCs w:val="21"/>
        </w:rPr>
      </w:pPr>
    </w:p>
    <w:p>
      <w:pPr>
        <w:spacing w:line="360" w:lineRule="exact"/>
        <w:jc w:val="center"/>
        <w:rPr>
          <w:rFonts w:ascii="Times New Roman" w:hAnsi="Times New Roman" w:eastAsia="宋体"/>
          <w:bCs/>
          <w:szCs w:val="21"/>
        </w:rPr>
      </w:pPr>
    </w:p>
    <w:p>
      <w:pPr>
        <w:spacing w:line="360" w:lineRule="exact"/>
        <w:jc w:val="center"/>
        <w:rPr>
          <w:rFonts w:ascii="Times New Roman" w:hAnsi="Times New Roman" w:eastAsia="宋体"/>
          <w:bCs/>
          <w:szCs w:val="21"/>
        </w:rPr>
      </w:pPr>
    </w:p>
    <w:p>
      <w:pPr>
        <w:spacing w:line="360" w:lineRule="exact"/>
        <w:jc w:val="center"/>
        <w:rPr>
          <w:rFonts w:ascii="Times New Roman" w:hAnsi="Times New Roman" w:eastAsia="黑体"/>
          <w:bCs/>
          <w:szCs w:val="21"/>
        </w:rPr>
      </w:pPr>
      <w:r>
        <w:rPr>
          <w:rFonts w:ascii="Times New Roman" w:hAnsi="Times New Roman" w:eastAsia="黑体"/>
          <w:bCs/>
          <w:szCs w:val="21"/>
        </w:rPr>
        <w:t>表1</w:t>
      </w:r>
    </w:p>
    <w:tbl>
      <w:tblPr>
        <w:tblStyle w:val="8"/>
        <w:tblW w:w="833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9"/>
        <w:gridCol w:w="730"/>
        <w:gridCol w:w="1492"/>
        <w:gridCol w:w="1660"/>
        <w:gridCol w:w="1660"/>
        <w:gridCol w:w="13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5" w:type="dxa"/>
            <w:gridSpan w:val="4"/>
            <w:tcBorders>
              <w:top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产品牌号</w:t>
            </w:r>
          </w:p>
        </w:tc>
        <w:tc>
          <w:tcPr>
            <w:tcW w:w="1660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Dy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/>
                <w:sz w:val="18"/>
                <w:szCs w:val="18"/>
              </w:rPr>
              <w:t>Tb</w:t>
            </w:r>
            <w:r>
              <w:rPr>
                <w:rFonts w:ascii="Times New Roman" w:hAnsi="Times New Roman"/>
                <w:szCs w:val="21"/>
              </w:rPr>
              <w:t>–</w:t>
            </w:r>
            <w:r>
              <w:rPr>
                <w:rFonts w:ascii="Times New Roman" w:hAnsi="Times New Roman" w:eastAsia="宋体"/>
                <w:sz w:val="18"/>
                <w:szCs w:val="18"/>
              </w:rPr>
              <w:t>4N</w:t>
            </w:r>
          </w:p>
        </w:tc>
        <w:tc>
          <w:tcPr>
            <w:tcW w:w="16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Dy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/>
                <w:sz w:val="18"/>
                <w:szCs w:val="18"/>
              </w:rPr>
              <w:t>Tb</w:t>
            </w:r>
            <w:r>
              <w:rPr>
                <w:rFonts w:ascii="Times New Roman" w:hAnsi="Times New Roman"/>
                <w:szCs w:val="21"/>
              </w:rPr>
              <w:t>–</w:t>
            </w:r>
            <w:r>
              <w:rPr>
                <w:rFonts w:ascii="Times New Roman" w:hAnsi="Times New Roman" w:eastAsia="宋体"/>
                <w:sz w:val="18"/>
                <w:szCs w:val="18"/>
              </w:rPr>
              <w:t>3N</w:t>
            </w:r>
          </w:p>
        </w:tc>
        <w:tc>
          <w:tcPr>
            <w:tcW w:w="139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Dy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/>
                <w:sz w:val="18"/>
                <w:szCs w:val="18"/>
              </w:rPr>
              <w:t>Tb</w:t>
            </w:r>
            <w:r>
              <w:rPr>
                <w:rFonts w:ascii="Times New Roman" w:hAnsi="Times New Roman"/>
                <w:szCs w:val="21"/>
              </w:rPr>
              <w:t>–</w:t>
            </w:r>
            <w:r>
              <w:rPr>
                <w:rFonts w:ascii="Times New Roman" w:hAnsi="Times New Roman" w:eastAsia="宋体"/>
                <w:sz w:val="18"/>
                <w:szCs w:val="18"/>
              </w:rPr>
              <w:t>2N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化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学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分（质量分</w:t>
            </w:r>
          </w:p>
          <w:p>
            <w:pPr>
              <w:spacing w:line="360" w:lineRule="exact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数）</w:t>
            </w:r>
            <w:r>
              <w:rPr>
                <w:rFonts w:ascii="Times New Roman" w:hAnsi="Times New Roman" w:eastAsia="宋体"/>
                <w:kern w:val="0"/>
                <w:sz w:val="18"/>
                <w:szCs w:val="18"/>
              </w:rPr>
              <w:t>/%</w:t>
            </w:r>
          </w:p>
        </w:tc>
        <w:tc>
          <w:tcPr>
            <w:tcW w:w="3081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RE,不小于</w:t>
            </w:r>
          </w:p>
        </w:tc>
        <w:tc>
          <w:tcPr>
            <w:tcW w:w="1660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99.0</w:t>
            </w:r>
          </w:p>
        </w:tc>
        <w:tc>
          <w:tcPr>
            <w:tcW w:w="16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99.0</w:t>
            </w:r>
          </w:p>
        </w:tc>
        <w:tc>
          <w:tcPr>
            <w:tcW w:w="139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99.0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85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杂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质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含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量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不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大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于</w:t>
            </w:r>
          </w:p>
        </w:tc>
        <w:tc>
          <w:tcPr>
            <w:tcW w:w="2222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(</w:t>
            </w:r>
            <w:r>
              <w:rPr>
                <w:rFonts w:ascii="Times New Roman" w:hAnsi="Times New Roman" w:eastAsia="宋体"/>
                <w:sz w:val="18"/>
                <w:szCs w:val="18"/>
              </w:rPr>
              <w:t>Dy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/>
                <w:sz w:val="18"/>
                <w:szCs w:val="18"/>
              </w:rPr>
              <w:t>Tb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>)</w:t>
            </w:r>
            <w:r>
              <w:rPr>
                <w:rFonts w:ascii="Times New Roman" w:hAnsi="Times New Roman" w:eastAsia="宋体"/>
                <w:sz w:val="18"/>
                <w:szCs w:val="18"/>
              </w:rPr>
              <w:t>/RE, 不小于</w:t>
            </w:r>
          </w:p>
        </w:tc>
        <w:tc>
          <w:tcPr>
            <w:tcW w:w="1660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99.99</w:t>
            </w:r>
          </w:p>
        </w:tc>
        <w:tc>
          <w:tcPr>
            <w:tcW w:w="16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99.9</w:t>
            </w:r>
          </w:p>
        </w:tc>
        <w:tc>
          <w:tcPr>
            <w:tcW w:w="139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99.0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85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3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kern w:val="0"/>
                <w:sz w:val="18"/>
                <w:szCs w:val="18"/>
              </w:rPr>
              <w:t>非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kern w:val="0"/>
                <w:sz w:val="18"/>
                <w:szCs w:val="18"/>
              </w:rPr>
              <w:t>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kern w:val="0"/>
                <w:sz w:val="18"/>
                <w:szCs w:val="18"/>
              </w:rPr>
              <w:t>土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kern w:val="0"/>
                <w:sz w:val="18"/>
                <w:szCs w:val="18"/>
              </w:rPr>
              <w:t>杂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kern w:val="0"/>
                <w:sz w:val="18"/>
                <w:szCs w:val="18"/>
              </w:rPr>
              <w:t>质</w:t>
            </w:r>
          </w:p>
        </w:tc>
        <w:tc>
          <w:tcPr>
            <w:tcW w:w="1492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Fe</w:t>
            </w:r>
          </w:p>
        </w:tc>
        <w:tc>
          <w:tcPr>
            <w:tcW w:w="1660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0.001</w:t>
            </w:r>
          </w:p>
        </w:tc>
        <w:tc>
          <w:tcPr>
            <w:tcW w:w="16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0.01</w:t>
            </w:r>
          </w:p>
        </w:tc>
        <w:tc>
          <w:tcPr>
            <w:tcW w:w="139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85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Si</w:t>
            </w:r>
          </w:p>
        </w:tc>
        <w:tc>
          <w:tcPr>
            <w:tcW w:w="1660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0.001</w:t>
            </w:r>
          </w:p>
        </w:tc>
        <w:tc>
          <w:tcPr>
            <w:tcW w:w="16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0.01</w:t>
            </w:r>
          </w:p>
        </w:tc>
        <w:tc>
          <w:tcPr>
            <w:tcW w:w="139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85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Na</w:t>
            </w:r>
          </w:p>
        </w:tc>
        <w:tc>
          <w:tcPr>
            <w:tcW w:w="1660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0.001</w:t>
            </w:r>
          </w:p>
        </w:tc>
        <w:tc>
          <w:tcPr>
            <w:tcW w:w="16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0.01</w:t>
            </w:r>
          </w:p>
        </w:tc>
        <w:tc>
          <w:tcPr>
            <w:tcW w:w="139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85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Mg</w:t>
            </w:r>
          </w:p>
        </w:tc>
        <w:tc>
          <w:tcPr>
            <w:tcW w:w="1660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0.001</w:t>
            </w:r>
          </w:p>
        </w:tc>
        <w:tc>
          <w:tcPr>
            <w:tcW w:w="16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0.01</w:t>
            </w:r>
          </w:p>
        </w:tc>
        <w:tc>
          <w:tcPr>
            <w:tcW w:w="139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85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Al</w:t>
            </w:r>
          </w:p>
        </w:tc>
        <w:tc>
          <w:tcPr>
            <w:tcW w:w="1660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0.001</w:t>
            </w:r>
          </w:p>
        </w:tc>
        <w:tc>
          <w:tcPr>
            <w:tcW w:w="16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0.01</w:t>
            </w:r>
          </w:p>
        </w:tc>
        <w:tc>
          <w:tcPr>
            <w:tcW w:w="139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85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Ca</w:t>
            </w:r>
          </w:p>
        </w:tc>
        <w:tc>
          <w:tcPr>
            <w:tcW w:w="1660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0.003</w:t>
            </w:r>
          </w:p>
        </w:tc>
        <w:tc>
          <w:tcPr>
            <w:tcW w:w="16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0.03</w:t>
            </w:r>
          </w:p>
        </w:tc>
        <w:tc>
          <w:tcPr>
            <w:tcW w:w="139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0.3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85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Ni</w:t>
            </w:r>
          </w:p>
        </w:tc>
        <w:tc>
          <w:tcPr>
            <w:tcW w:w="1660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0.001</w:t>
            </w:r>
          </w:p>
        </w:tc>
        <w:tc>
          <w:tcPr>
            <w:tcW w:w="16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0.01</w:t>
            </w:r>
          </w:p>
        </w:tc>
        <w:tc>
          <w:tcPr>
            <w:tcW w:w="139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85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Cu</w:t>
            </w:r>
          </w:p>
        </w:tc>
        <w:tc>
          <w:tcPr>
            <w:tcW w:w="1660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0.001</w:t>
            </w:r>
          </w:p>
        </w:tc>
        <w:tc>
          <w:tcPr>
            <w:tcW w:w="16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0.01</w:t>
            </w:r>
          </w:p>
        </w:tc>
        <w:tc>
          <w:tcPr>
            <w:tcW w:w="139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85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C</w:t>
            </w:r>
          </w:p>
        </w:tc>
        <w:tc>
          <w:tcPr>
            <w:tcW w:w="1660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0.005</w:t>
            </w:r>
          </w:p>
        </w:tc>
        <w:tc>
          <w:tcPr>
            <w:tcW w:w="16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0.01</w:t>
            </w:r>
          </w:p>
        </w:tc>
        <w:tc>
          <w:tcPr>
            <w:tcW w:w="139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0.02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85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S</w:t>
            </w:r>
          </w:p>
        </w:tc>
        <w:tc>
          <w:tcPr>
            <w:tcW w:w="1660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0.005</w:t>
            </w:r>
          </w:p>
        </w:tc>
        <w:tc>
          <w:tcPr>
            <w:tcW w:w="16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0.01</w:t>
            </w:r>
          </w:p>
        </w:tc>
        <w:tc>
          <w:tcPr>
            <w:tcW w:w="139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0.02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85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O</w:t>
            </w:r>
          </w:p>
        </w:tc>
        <w:tc>
          <w:tcPr>
            <w:tcW w:w="1660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0.02</w:t>
            </w:r>
          </w:p>
        </w:tc>
        <w:tc>
          <w:tcPr>
            <w:tcW w:w="16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0.03</w:t>
            </w:r>
          </w:p>
        </w:tc>
        <w:tc>
          <w:tcPr>
            <w:tcW w:w="139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85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N</w:t>
            </w:r>
          </w:p>
        </w:tc>
        <w:tc>
          <w:tcPr>
            <w:tcW w:w="1660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0.01</w:t>
            </w:r>
          </w:p>
        </w:tc>
        <w:tc>
          <w:tcPr>
            <w:tcW w:w="16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0.02</w:t>
            </w:r>
          </w:p>
        </w:tc>
        <w:tc>
          <w:tcPr>
            <w:tcW w:w="139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0.04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85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Ta、Mo和W的合量</w:t>
            </w:r>
          </w:p>
        </w:tc>
        <w:tc>
          <w:tcPr>
            <w:tcW w:w="1660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0.003</w:t>
            </w:r>
          </w:p>
        </w:tc>
        <w:tc>
          <w:tcPr>
            <w:tcW w:w="16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0.005</w:t>
            </w:r>
          </w:p>
        </w:tc>
        <w:tc>
          <w:tcPr>
            <w:tcW w:w="139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0.008</w:t>
            </w:r>
          </w:p>
        </w:tc>
      </w:tr>
    </w:tbl>
    <w:p>
      <w:pPr>
        <w:pStyle w:val="17"/>
        <w:snapToGrid w:val="0"/>
        <w:spacing w:before="156" w:beforeLines="50" w:after="156" w:afterLines="50" w:line="360" w:lineRule="auto"/>
        <w:ind w:firstLine="0" w:firstLineChars="0"/>
        <w:rPr>
          <w:rFonts w:ascii="Times New Roman" w:eastAsia="黑体"/>
        </w:rPr>
      </w:pPr>
      <w:r>
        <w:rPr>
          <w:rFonts w:ascii="Times New Roman" w:eastAsia="黑体"/>
        </w:rPr>
        <w:t>3.3 平均晶粒尺寸</w:t>
      </w:r>
    </w:p>
    <w:p>
      <w:pPr>
        <w:snapToGrid w:val="0"/>
        <w:spacing w:line="360" w:lineRule="auto"/>
        <w:ind w:firstLine="420" w:firstLineChars="200"/>
        <w:rPr>
          <w:rFonts w:ascii="Times New Roman" w:hAnsi="Times New Roman" w:eastAsia="宋体"/>
          <w:bCs/>
          <w:szCs w:val="21"/>
        </w:rPr>
      </w:pPr>
      <w:r>
        <w:rPr>
          <w:rFonts w:ascii="Times New Roman" w:hAnsi="Times New Roman" w:eastAsia="宋体"/>
          <w:bCs/>
          <w:szCs w:val="21"/>
        </w:rPr>
        <w:t>平均晶粒尺寸</w:t>
      </w:r>
      <w:bookmarkStart w:id="21" w:name="_Hlk6775184"/>
      <w:r>
        <w:rPr>
          <w:rFonts w:ascii="Times New Roman" w:hAnsi="Times New Roman" w:eastAsia="宋体"/>
          <w:bCs/>
          <w:szCs w:val="21"/>
        </w:rPr>
        <w:t xml:space="preserve">不大于200 </w:t>
      </w:r>
      <w:r>
        <w:rPr>
          <w:rFonts w:ascii="Times New Roman" w:hAnsi="Times New Roman" w:eastAsia="宋体"/>
          <w:sz w:val="24"/>
        </w:rPr>
        <w:t>μm。</w:t>
      </w:r>
    </w:p>
    <w:p>
      <w:pPr>
        <w:snapToGrid w:val="0"/>
        <w:spacing w:line="360" w:lineRule="auto"/>
        <w:rPr>
          <w:rFonts w:ascii="Times New Roman" w:hAnsi="Times New Roman" w:eastAsia="黑体"/>
        </w:rPr>
      </w:pPr>
      <w:r>
        <w:rPr>
          <w:rFonts w:ascii="Times New Roman" w:hAnsi="Times New Roman" w:eastAsia="黑体"/>
        </w:rPr>
        <w:t>3.4 内部质量</w:t>
      </w:r>
    </w:p>
    <w:bookmarkEnd w:id="21"/>
    <w:p>
      <w:pPr>
        <w:pStyle w:val="3"/>
        <w:keepNext w:val="0"/>
        <w:keepLines w:val="0"/>
        <w:tabs>
          <w:tab w:val="left" w:pos="576"/>
        </w:tabs>
        <w:adjustRightInd w:val="0"/>
        <w:snapToGrid w:val="0"/>
        <w:spacing w:before="156" w:beforeLines="50" w:after="0" w:line="360" w:lineRule="auto"/>
        <w:ind w:firstLine="420" w:firstLineChars="200"/>
        <w:jc w:val="left"/>
        <w:textAlignment w:val="baseline"/>
        <w:rPr>
          <w:rFonts w:ascii="Times New Roman" w:hAnsi="Times New Roman" w:eastAsia="宋体"/>
          <w:b w:val="0"/>
          <w:sz w:val="21"/>
          <w:szCs w:val="21"/>
        </w:rPr>
      </w:pPr>
      <w:r>
        <w:rPr>
          <w:rFonts w:ascii="Times New Roman" w:hAnsi="Times New Roman" w:eastAsia="宋体"/>
          <w:b w:val="0"/>
          <w:sz w:val="21"/>
          <w:szCs w:val="21"/>
        </w:rPr>
        <w:t>产品内部不应有分层、疏松、夹杂和气孔等缺陷。</w:t>
      </w:r>
    </w:p>
    <w:p>
      <w:pPr>
        <w:pStyle w:val="17"/>
        <w:snapToGrid w:val="0"/>
        <w:spacing w:before="156" w:beforeLines="50" w:after="156" w:afterLines="50" w:line="360" w:lineRule="auto"/>
        <w:ind w:firstLine="0" w:firstLineChars="0"/>
        <w:rPr>
          <w:rFonts w:ascii="Times New Roman" w:eastAsia="黑体"/>
          <w:bCs/>
          <w:sz w:val="21"/>
          <w:szCs w:val="21"/>
        </w:rPr>
      </w:pPr>
      <w:r>
        <w:rPr>
          <w:rFonts w:ascii="Times New Roman" w:eastAsia="黑体"/>
          <w:bCs/>
          <w:sz w:val="21"/>
          <w:szCs w:val="21"/>
        </w:rPr>
        <w:t>3.5 表面粗糙度</w:t>
      </w:r>
    </w:p>
    <w:p>
      <w:pPr>
        <w:snapToGrid w:val="0"/>
        <w:spacing w:line="360" w:lineRule="auto"/>
        <w:ind w:firstLine="420" w:firstLineChars="200"/>
        <w:rPr>
          <w:rFonts w:ascii="Times New Roman" w:hAnsi="Times New Roman" w:eastAsia="宋体"/>
          <w:bCs/>
          <w:szCs w:val="21"/>
        </w:rPr>
      </w:pPr>
      <w:r>
        <w:rPr>
          <w:rFonts w:ascii="Times New Roman" w:hAnsi="Times New Roman" w:eastAsia="宋体"/>
          <w:bCs/>
          <w:szCs w:val="21"/>
        </w:rPr>
        <w:t>表面粗糙度（</w:t>
      </w:r>
      <w:r>
        <w:rPr>
          <w:rFonts w:ascii="Times New Roman" w:hAnsi="Times New Roman" w:eastAsia="宋体"/>
          <w:bCs/>
          <w:i/>
          <w:szCs w:val="21"/>
        </w:rPr>
        <w:t>Ra）</w:t>
      </w:r>
      <w:r>
        <w:rPr>
          <w:rFonts w:ascii="Times New Roman" w:hAnsi="Times New Roman" w:eastAsia="宋体"/>
          <w:bCs/>
          <w:szCs w:val="21"/>
        </w:rPr>
        <w:t xml:space="preserve">不大于2.0 </w:t>
      </w:r>
      <w:r>
        <w:rPr>
          <w:rFonts w:ascii="Times New Roman" w:hAnsi="Times New Roman" w:eastAsia="宋体"/>
          <w:sz w:val="24"/>
        </w:rPr>
        <w:t>μm。</w:t>
      </w:r>
    </w:p>
    <w:p>
      <w:pPr>
        <w:pStyle w:val="3"/>
        <w:keepNext w:val="0"/>
        <w:keepLines w:val="0"/>
        <w:tabs>
          <w:tab w:val="left" w:pos="576"/>
        </w:tabs>
        <w:adjustRightInd w:val="0"/>
        <w:snapToGrid w:val="0"/>
        <w:spacing w:before="156" w:beforeLines="50" w:after="156" w:afterLines="50" w:line="360" w:lineRule="auto"/>
        <w:jc w:val="left"/>
        <w:textAlignment w:val="baseline"/>
        <w:rPr>
          <w:rFonts w:ascii="Times New Roman" w:hAnsi="Times New Roman"/>
          <w:b w:val="0"/>
          <w:bCs w:val="0"/>
          <w:sz w:val="21"/>
          <w:szCs w:val="21"/>
        </w:rPr>
      </w:pPr>
      <w:r>
        <w:rPr>
          <w:rFonts w:ascii="Times New Roman" w:hAnsi="Times New Roman"/>
          <w:b w:val="0"/>
          <w:bCs w:val="0"/>
          <w:sz w:val="21"/>
          <w:szCs w:val="21"/>
        </w:rPr>
        <w:t>3.6 几何尺寸、</w:t>
      </w:r>
      <w:r>
        <w:rPr>
          <w:rFonts w:ascii="Times New Roman" w:hAnsi="Times New Roman"/>
          <w:b w:val="0"/>
          <w:sz w:val="21"/>
          <w:szCs w:val="21"/>
        </w:rPr>
        <w:t>允许偏差</w:t>
      </w:r>
    </w:p>
    <w:p>
      <w:pPr>
        <w:spacing w:line="360" w:lineRule="auto"/>
        <w:ind w:firstLine="420" w:firstLineChars="200"/>
        <w:rPr>
          <w:rFonts w:ascii="Times New Roman" w:hAnsi="Times New Roman" w:eastAsia="宋体"/>
          <w:bCs/>
          <w:szCs w:val="21"/>
        </w:rPr>
      </w:pPr>
      <w:r>
        <w:rPr>
          <w:rFonts w:ascii="Times New Roman" w:hAnsi="Times New Roman" w:eastAsia="宋体"/>
          <w:bCs/>
          <w:szCs w:val="21"/>
        </w:rPr>
        <w:t>产品尺寸及结构方式一般根据需方提供图纸确定，经供需双方协商确定并在订货单（或合同）中注明。如果需方图纸未提供允许偏差，则产品尺寸允许偏差应符合±0.2 mm的要求。</w:t>
      </w:r>
    </w:p>
    <w:p>
      <w:pPr>
        <w:pStyle w:val="3"/>
        <w:keepNext w:val="0"/>
        <w:keepLines w:val="0"/>
        <w:tabs>
          <w:tab w:val="left" w:pos="576"/>
        </w:tabs>
        <w:adjustRightInd w:val="0"/>
        <w:spacing w:before="156" w:beforeLines="50" w:after="156" w:afterLines="50" w:line="360" w:lineRule="exact"/>
        <w:jc w:val="left"/>
        <w:textAlignment w:val="baseline"/>
        <w:rPr>
          <w:rFonts w:ascii="Times New Roman" w:hAnsi="Times New Roman"/>
          <w:b w:val="0"/>
          <w:bCs w:val="0"/>
          <w:sz w:val="21"/>
          <w:szCs w:val="21"/>
        </w:rPr>
      </w:pPr>
      <w:r>
        <w:rPr>
          <w:rFonts w:ascii="Times New Roman" w:hAnsi="Times New Roman"/>
          <w:b w:val="0"/>
          <w:bCs w:val="0"/>
          <w:sz w:val="21"/>
          <w:szCs w:val="21"/>
        </w:rPr>
        <w:t>3.7 外观质量</w:t>
      </w:r>
    </w:p>
    <w:p>
      <w:pPr>
        <w:pStyle w:val="3"/>
        <w:keepNext w:val="0"/>
        <w:keepLines w:val="0"/>
        <w:tabs>
          <w:tab w:val="left" w:pos="576"/>
        </w:tabs>
        <w:adjustRightInd w:val="0"/>
        <w:spacing w:before="0" w:after="0" w:line="360" w:lineRule="exact"/>
        <w:jc w:val="left"/>
        <w:textAlignment w:val="baseline"/>
        <w:rPr>
          <w:rFonts w:ascii="Times New Roman" w:hAnsi="Times New Roman" w:eastAsia="宋体"/>
          <w:b w:val="0"/>
          <w:bCs w:val="0"/>
          <w:sz w:val="21"/>
          <w:szCs w:val="22"/>
        </w:rPr>
      </w:pPr>
      <w:r>
        <w:rPr>
          <w:rFonts w:ascii="Times New Roman" w:hAnsi="Times New Roman" w:eastAsia="宋体"/>
          <w:b w:val="0"/>
          <w:sz w:val="21"/>
          <w:szCs w:val="21"/>
        </w:rPr>
        <w:t>3.7.1  产</w:t>
      </w:r>
      <w:r>
        <w:rPr>
          <w:rFonts w:ascii="Times New Roman" w:hAnsi="Times New Roman" w:eastAsia="宋体"/>
          <w:b w:val="0"/>
          <w:bCs w:val="0"/>
          <w:sz w:val="21"/>
          <w:szCs w:val="22"/>
        </w:rPr>
        <w:t>品表面应无凹坑、划伤、裂纹、凸起等缺陷。</w:t>
      </w:r>
    </w:p>
    <w:p>
      <w:pPr>
        <w:adjustRightInd w:val="0"/>
        <w:snapToGrid w:val="0"/>
        <w:spacing w:line="360" w:lineRule="exact"/>
        <w:rPr>
          <w:rFonts w:ascii="Times New Roman" w:hAnsi="Times New Roman" w:eastAsia="宋体"/>
        </w:rPr>
      </w:pPr>
      <w:r>
        <w:rPr>
          <w:rFonts w:ascii="Times New Roman" w:hAnsi="Times New Roman" w:eastAsia="宋体"/>
          <w:szCs w:val="21"/>
        </w:rPr>
        <w:t xml:space="preserve">3.7.2  </w:t>
      </w:r>
      <w:bookmarkStart w:id="22" w:name="_Hlk6774448"/>
      <w:r>
        <w:rPr>
          <w:rFonts w:ascii="Times New Roman" w:hAnsi="Times New Roman" w:eastAsia="宋体"/>
        </w:rPr>
        <w:t>产品表面应清洁光滑，无指痕、油污、锈蚀，无颗粒附加物。</w:t>
      </w:r>
      <w:bookmarkEnd w:id="22"/>
    </w:p>
    <w:p>
      <w:pPr>
        <w:pStyle w:val="3"/>
        <w:keepNext w:val="0"/>
        <w:keepLines w:val="0"/>
        <w:tabs>
          <w:tab w:val="left" w:pos="576"/>
        </w:tabs>
        <w:adjustRightInd w:val="0"/>
        <w:spacing w:before="156" w:beforeLines="50" w:after="156" w:afterLines="50" w:line="360" w:lineRule="exact"/>
        <w:jc w:val="left"/>
        <w:textAlignment w:val="baseline"/>
        <w:rPr>
          <w:rFonts w:ascii="Times New Roman" w:hAnsi="Times New Roman"/>
          <w:b w:val="0"/>
          <w:bCs w:val="0"/>
          <w:kern w:val="44"/>
          <w:sz w:val="21"/>
          <w:szCs w:val="21"/>
        </w:rPr>
      </w:pPr>
      <w:r>
        <w:rPr>
          <w:rFonts w:ascii="Times New Roman" w:hAnsi="Times New Roman"/>
          <w:b w:val="0"/>
          <w:bCs w:val="0"/>
          <w:kern w:val="44"/>
          <w:sz w:val="21"/>
          <w:szCs w:val="21"/>
        </w:rPr>
        <w:t>4 试验方法</w:t>
      </w:r>
    </w:p>
    <w:p>
      <w:pPr>
        <w:spacing w:before="156" w:beforeLines="50" w:after="156" w:afterLines="50" w:line="360" w:lineRule="exact"/>
        <w:rPr>
          <w:rFonts w:ascii="Times New Roman" w:hAnsi="Times New Roman" w:eastAsia="黑体"/>
          <w:bCs/>
          <w:szCs w:val="21"/>
        </w:rPr>
      </w:pPr>
      <w:r>
        <w:rPr>
          <w:rFonts w:ascii="Times New Roman" w:hAnsi="Times New Roman" w:eastAsia="黑体"/>
          <w:bCs/>
          <w:szCs w:val="21"/>
        </w:rPr>
        <w:t>4.1化学成分</w:t>
      </w:r>
      <w:bookmarkEnd w:id="19"/>
      <w:bookmarkEnd w:id="20"/>
    </w:p>
    <w:p>
      <w:pPr>
        <w:adjustRightInd w:val="0"/>
        <w:snapToGrid w:val="0"/>
        <w:spacing w:line="360" w:lineRule="exact"/>
        <w:rPr>
          <w:rFonts w:ascii="Times New Roman" w:hAnsi="Times New Roman" w:eastAsia="宋体"/>
        </w:rPr>
      </w:pPr>
      <w:r>
        <w:rPr>
          <w:rFonts w:ascii="Times New Roman" w:hAnsi="Times New Roman" w:eastAsia="宋体"/>
          <w:szCs w:val="21"/>
        </w:rPr>
        <w:t>4.1.1</w:t>
      </w:r>
      <w:r>
        <w:rPr>
          <w:rFonts w:ascii="Times New Roman" w:hAnsi="Times New Roman" w:eastAsia="宋体"/>
        </w:rPr>
        <w:t>产品中稀土总量的分析方法按照</w:t>
      </w:r>
      <w:r>
        <w:rPr>
          <w:rFonts w:ascii="Times New Roman" w:hAnsi="Times New Roman" w:eastAsia="宋体"/>
          <w:szCs w:val="21"/>
        </w:rPr>
        <w:t>GB/T 14635的规定进行</w:t>
      </w:r>
      <w:r>
        <w:rPr>
          <w:rFonts w:ascii="Times New Roman" w:hAnsi="Times New Roman" w:eastAsia="宋体"/>
        </w:rPr>
        <w:t>。</w:t>
      </w:r>
    </w:p>
    <w:p>
      <w:pPr>
        <w:adjustRightInd w:val="0"/>
        <w:snapToGrid w:val="0"/>
        <w:spacing w:line="360" w:lineRule="exact"/>
        <w:rPr>
          <w:rFonts w:ascii="Times New Roman" w:hAnsi="Times New Roman" w:eastAsia="宋体"/>
          <w:lang w:val="zh-CN"/>
        </w:rPr>
      </w:pPr>
      <w:r>
        <w:rPr>
          <w:rFonts w:ascii="Times New Roman" w:hAnsi="Times New Roman" w:eastAsia="宋体"/>
          <w:szCs w:val="21"/>
        </w:rPr>
        <w:t>4.1.2</w:t>
      </w:r>
      <w:r>
        <w:rPr>
          <w:rFonts w:ascii="Times New Roman" w:hAnsi="Times New Roman" w:eastAsia="宋体"/>
        </w:rPr>
        <w:t>产品中稀土杂质含量的分析方法Tb按照</w:t>
      </w:r>
      <w:r>
        <w:rPr>
          <w:rFonts w:ascii="Times New Roman" w:hAnsi="Times New Roman" w:eastAsia="宋体"/>
          <w:szCs w:val="21"/>
        </w:rPr>
        <w:t>GB/T 18115.8; Dy</w:t>
      </w:r>
      <w:r>
        <w:rPr>
          <w:rFonts w:ascii="Times New Roman" w:hAnsi="Times New Roman" w:eastAsia="宋体"/>
        </w:rPr>
        <w:t>按照</w:t>
      </w:r>
      <w:r>
        <w:rPr>
          <w:rFonts w:ascii="Times New Roman" w:hAnsi="Times New Roman" w:eastAsia="宋体"/>
          <w:szCs w:val="21"/>
        </w:rPr>
        <w:t>GB/T 18115.9</w:t>
      </w:r>
      <w:r>
        <w:rPr>
          <w:rFonts w:ascii="Times New Roman" w:hAnsi="Times New Roman" w:eastAsia="宋体"/>
        </w:rPr>
        <w:t>的规定进行</w:t>
      </w:r>
      <w:r>
        <w:rPr>
          <w:rFonts w:ascii="Times New Roman" w:hAnsi="Times New Roman" w:eastAsia="宋体"/>
          <w:lang w:val="zh-CN"/>
        </w:rPr>
        <w:t>。</w:t>
      </w:r>
    </w:p>
    <w:p>
      <w:pPr>
        <w:adjustRightInd w:val="0"/>
        <w:snapToGrid w:val="0"/>
        <w:spacing w:line="360" w:lineRule="exact"/>
        <w:rPr>
          <w:rFonts w:ascii="Times New Roman" w:hAnsi="Times New Roman" w:eastAsia="宋体"/>
          <w:lang w:val="zh-CN"/>
        </w:rPr>
      </w:pPr>
      <w:r>
        <w:rPr>
          <w:rFonts w:ascii="Times New Roman" w:hAnsi="Times New Roman" w:eastAsia="宋体"/>
          <w:szCs w:val="21"/>
        </w:rPr>
        <w:t>4.1.3</w:t>
      </w:r>
      <w:r>
        <w:rPr>
          <w:rFonts w:ascii="Times New Roman" w:hAnsi="Times New Roman" w:eastAsia="宋体"/>
        </w:rPr>
        <w:t>产品中非稀土杂质含量的分析方法按照</w:t>
      </w:r>
      <w:r>
        <w:rPr>
          <w:rFonts w:ascii="Times New Roman" w:hAnsi="Times New Roman" w:eastAsia="宋体"/>
          <w:szCs w:val="21"/>
        </w:rPr>
        <w:t>GB/T 12690</w:t>
      </w:r>
      <w:r>
        <w:rPr>
          <w:rFonts w:ascii="Times New Roman" w:hAnsi="Times New Roman" w:eastAsia="宋体"/>
        </w:rPr>
        <w:t>的规定进行</w:t>
      </w:r>
      <w:r>
        <w:rPr>
          <w:rFonts w:ascii="Times New Roman" w:hAnsi="Times New Roman" w:eastAsia="宋体"/>
          <w:lang w:val="zh-CN"/>
        </w:rPr>
        <w:t>。</w:t>
      </w:r>
    </w:p>
    <w:p>
      <w:pPr>
        <w:spacing w:before="156" w:beforeLines="50" w:after="156" w:afterLines="50" w:line="360" w:lineRule="exact"/>
        <w:rPr>
          <w:rFonts w:ascii="Times New Roman" w:hAnsi="Times New Roman" w:eastAsia="黑体"/>
          <w:bCs/>
          <w:szCs w:val="21"/>
        </w:rPr>
      </w:pPr>
      <w:r>
        <w:rPr>
          <w:rFonts w:ascii="Times New Roman" w:hAnsi="Times New Roman" w:eastAsia="黑体"/>
          <w:bCs/>
          <w:szCs w:val="21"/>
        </w:rPr>
        <w:t>4.2数值修约</w:t>
      </w:r>
    </w:p>
    <w:p>
      <w:pPr>
        <w:spacing w:before="156" w:beforeLines="50" w:after="156" w:afterLines="50" w:line="360" w:lineRule="exact"/>
        <w:ind w:firstLine="420" w:firstLineChars="200"/>
        <w:rPr>
          <w:rFonts w:ascii="Times New Roman" w:hAnsi="Times New Roman" w:eastAsia="黑体"/>
          <w:bCs/>
          <w:szCs w:val="21"/>
        </w:rPr>
      </w:pPr>
      <w:r>
        <w:rPr>
          <w:rFonts w:ascii="Times New Roman" w:hAnsi="Times New Roman" w:eastAsia="宋体"/>
          <w:bCs/>
          <w:szCs w:val="21"/>
        </w:rPr>
        <w:t>按</w:t>
      </w:r>
      <w:r>
        <w:rPr>
          <w:rFonts w:ascii="Times New Roman" w:hAnsi="Times New Roman" w:eastAsia="宋体"/>
          <w:szCs w:val="21"/>
        </w:rPr>
        <w:t>GB/T 8170</w:t>
      </w:r>
      <w:r>
        <w:rPr>
          <w:rFonts w:ascii="Times New Roman" w:hAnsi="Times New Roman" w:eastAsia="宋体"/>
          <w:bCs/>
          <w:szCs w:val="21"/>
        </w:rPr>
        <w:t>的规定进行。</w:t>
      </w:r>
    </w:p>
    <w:p>
      <w:pPr>
        <w:spacing w:before="156" w:beforeLines="50" w:after="156" w:afterLines="50" w:line="360" w:lineRule="exact"/>
        <w:rPr>
          <w:rFonts w:ascii="Times New Roman" w:hAnsi="Times New Roman" w:eastAsia="黑体"/>
          <w:bCs/>
          <w:szCs w:val="21"/>
        </w:rPr>
      </w:pPr>
      <w:r>
        <w:rPr>
          <w:rFonts w:ascii="Times New Roman" w:hAnsi="Times New Roman" w:eastAsia="黑体"/>
          <w:bCs/>
          <w:szCs w:val="21"/>
        </w:rPr>
        <w:t>4.3 晶粒尺寸检验</w:t>
      </w:r>
      <w:bookmarkStart w:id="23" w:name="_Toc468069937"/>
      <w:bookmarkStart w:id="24" w:name="_Toc468067988"/>
    </w:p>
    <w:p>
      <w:pPr>
        <w:spacing w:line="360" w:lineRule="exact"/>
        <w:ind w:firstLine="420" w:firstLineChars="200"/>
        <w:rPr>
          <w:rFonts w:ascii="Times New Roman" w:hAnsi="Times New Roman" w:eastAsia="宋体"/>
          <w:bCs/>
          <w:szCs w:val="21"/>
        </w:rPr>
      </w:pPr>
      <w:r>
        <w:rPr>
          <w:rFonts w:ascii="Times New Roman" w:hAnsi="Times New Roman" w:eastAsia="宋体"/>
          <w:bCs/>
          <w:szCs w:val="21"/>
        </w:rPr>
        <w:t>按照GB/T 6394</w:t>
      </w:r>
      <w:r>
        <w:rPr>
          <w:rFonts w:ascii="Times New Roman" w:hAnsi="Times New Roman" w:eastAsia="宋体"/>
        </w:rPr>
        <w:t>的规定</w:t>
      </w:r>
      <w:r>
        <w:rPr>
          <w:rFonts w:ascii="Times New Roman" w:hAnsi="Times New Roman" w:eastAsia="宋体"/>
          <w:bCs/>
          <w:szCs w:val="21"/>
        </w:rPr>
        <w:t>进行。</w:t>
      </w:r>
    </w:p>
    <w:p>
      <w:pPr>
        <w:spacing w:before="156" w:beforeLines="50" w:after="156" w:afterLines="50" w:line="360" w:lineRule="exact"/>
        <w:rPr>
          <w:rFonts w:ascii="Times New Roman" w:hAnsi="Times New Roman" w:eastAsia="黑体"/>
          <w:bCs/>
          <w:szCs w:val="21"/>
        </w:rPr>
      </w:pPr>
      <w:r>
        <w:rPr>
          <w:rFonts w:ascii="Times New Roman" w:hAnsi="Times New Roman" w:eastAsia="黑体"/>
          <w:bCs/>
          <w:szCs w:val="21"/>
        </w:rPr>
        <w:t>4.4内部质量检验</w:t>
      </w:r>
    </w:p>
    <w:p>
      <w:pPr>
        <w:spacing w:before="156" w:beforeLines="50" w:after="156" w:afterLines="50" w:line="360" w:lineRule="exact"/>
        <w:ind w:firstLine="420" w:firstLineChars="200"/>
        <w:rPr>
          <w:rFonts w:ascii="Times New Roman" w:hAnsi="Times New Roman" w:eastAsia="宋体"/>
          <w:bCs/>
          <w:szCs w:val="21"/>
        </w:rPr>
      </w:pPr>
      <w:r>
        <w:rPr>
          <w:rFonts w:ascii="Times New Roman" w:hAnsi="Times New Roman" w:eastAsia="宋体"/>
          <w:bCs/>
          <w:szCs w:val="21"/>
        </w:rPr>
        <w:t>按照GB 1580A</w:t>
      </w:r>
      <w:r>
        <w:rPr>
          <w:rFonts w:ascii="Times New Roman" w:hAnsi="Times New Roman" w:eastAsia="宋体"/>
        </w:rPr>
        <w:t>的规定进行</w:t>
      </w:r>
      <w:r>
        <w:rPr>
          <w:rFonts w:ascii="Times New Roman" w:hAnsi="Times New Roman" w:eastAsia="宋体"/>
          <w:bCs/>
          <w:szCs w:val="21"/>
        </w:rPr>
        <w:t>。</w:t>
      </w:r>
    </w:p>
    <w:p>
      <w:pPr>
        <w:spacing w:before="156" w:beforeLines="50" w:after="156" w:afterLines="50" w:line="360" w:lineRule="exact"/>
        <w:rPr>
          <w:rFonts w:ascii="Times New Roman" w:hAnsi="Times New Roman" w:eastAsia="黑体"/>
          <w:bCs/>
          <w:szCs w:val="21"/>
        </w:rPr>
      </w:pPr>
      <w:r>
        <w:rPr>
          <w:rFonts w:ascii="Times New Roman" w:hAnsi="Times New Roman" w:eastAsia="黑体"/>
          <w:bCs/>
          <w:szCs w:val="21"/>
        </w:rPr>
        <w:t>4.5</w:t>
      </w:r>
      <w:r>
        <w:rPr>
          <w:rFonts w:ascii="Times New Roman" w:hAnsi="Times New Roman" w:eastAsia="黑体"/>
        </w:rPr>
        <w:t>几何尺寸及允许偏差检测</w:t>
      </w:r>
    </w:p>
    <w:p>
      <w:pPr>
        <w:spacing w:line="360" w:lineRule="exact"/>
        <w:ind w:firstLine="420" w:firstLineChars="200"/>
        <w:rPr>
          <w:rFonts w:ascii="Times New Roman" w:hAnsi="Times New Roman" w:eastAsia="宋体"/>
          <w:bCs/>
          <w:szCs w:val="21"/>
        </w:rPr>
      </w:pPr>
      <w:r>
        <w:rPr>
          <w:rFonts w:ascii="Times New Roman" w:hAnsi="Times New Roman" w:eastAsia="宋体"/>
          <w:bCs/>
          <w:szCs w:val="21"/>
        </w:rPr>
        <w:t>应用相应精度的测量工具进行测量。</w:t>
      </w:r>
    </w:p>
    <w:p>
      <w:pPr>
        <w:spacing w:before="156" w:beforeLines="50" w:after="156" w:afterLines="50" w:line="360" w:lineRule="exact"/>
        <w:rPr>
          <w:rFonts w:ascii="Times New Roman" w:hAnsi="Times New Roman" w:eastAsia="黑体"/>
          <w:bCs/>
          <w:szCs w:val="21"/>
        </w:rPr>
      </w:pPr>
      <w:r>
        <w:rPr>
          <w:rFonts w:ascii="Times New Roman" w:hAnsi="Times New Roman" w:eastAsia="黑体"/>
          <w:bCs/>
          <w:szCs w:val="21"/>
        </w:rPr>
        <w:t>4.6表面粗糙度检测</w:t>
      </w:r>
    </w:p>
    <w:p>
      <w:pPr>
        <w:adjustRightInd w:val="0"/>
        <w:snapToGrid w:val="0"/>
        <w:spacing w:line="360" w:lineRule="exact"/>
        <w:ind w:firstLine="420" w:firstLineChars="200"/>
        <w:rPr>
          <w:rFonts w:ascii="Times New Roman" w:hAnsi="Times New Roman" w:eastAsia="宋体"/>
        </w:rPr>
      </w:pPr>
      <w:bookmarkStart w:id="25" w:name="_Hlk535852256"/>
      <w:r>
        <w:rPr>
          <w:rFonts w:ascii="Times New Roman" w:hAnsi="Times New Roman" w:eastAsia="宋体"/>
        </w:rPr>
        <w:t>按照</w:t>
      </w:r>
      <w:r>
        <w:rPr>
          <w:rFonts w:ascii="Times New Roman" w:hAnsi="Times New Roman"/>
          <w:szCs w:val="21"/>
        </w:rPr>
        <w:t>GB/T 6060.1，GB/T 15056</w:t>
      </w:r>
      <w:r>
        <w:rPr>
          <w:rFonts w:ascii="Times New Roman" w:hAnsi="Times New Roman" w:eastAsia="宋体"/>
          <w:bCs/>
          <w:szCs w:val="21"/>
        </w:rPr>
        <w:t>的</w:t>
      </w:r>
      <w:r>
        <w:rPr>
          <w:rFonts w:ascii="Times New Roman" w:hAnsi="Times New Roman" w:eastAsia="宋体"/>
        </w:rPr>
        <w:t>规定进行。</w:t>
      </w:r>
      <w:bookmarkEnd w:id="25"/>
    </w:p>
    <w:p>
      <w:pPr>
        <w:spacing w:before="156" w:beforeLines="50" w:after="156" w:afterLines="50" w:line="360" w:lineRule="exact"/>
        <w:rPr>
          <w:rFonts w:ascii="Times New Roman" w:hAnsi="Times New Roman" w:eastAsia="黑体"/>
          <w:bCs/>
          <w:szCs w:val="21"/>
        </w:rPr>
      </w:pPr>
      <w:r>
        <w:rPr>
          <w:rFonts w:ascii="Times New Roman" w:hAnsi="Times New Roman" w:eastAsia="黑体"/>
          <w:bCs/>
          <w:szCs w:val="21"/>
        </w:rPr>
        <w:t>4.7外观质量检验</w:t>
      </w:r>
    </w:p>
    <w:p>
      <w:pPr>
        <w:spacing w:line="360" w:lineRule="exact"/>
        <w:ind w:firstLine="420" w:firstLineChars="200"/>
        <w:rPr>
          <w:rFonts w:ascii="Times New Roman" w:hAnsi="Times New Roman" w:eastAsia="宋体"/>
          <w:bCs/>
          <w:szCs w:val="21"/>
        </w:rPr>
      </w:pPr>
      <w:r>
        <w:rPr>
          <w:rFonts w:ascii="Times New Roman" w:hAnsi="Times New Roman" w:eastAsia="宋体"/>
          <w:bCs/>
          <w:szCs w:val="21"/>
        </w:rPr>
        <w:t>用目视检查，如发现异常现象，用放大镜或数码显微镜进行鉴别。</w:t>
      </w:r>
    </w:p>
    <w:bookmarkEnd w:id="23"/>
    <w:bookmarkEnd w:id="24"/>
    <w:p>
      <w:pPr>
        <w:spacing w:before="312" w:beforeLines="100" w:after="312" w:afterLines="100" w:line="360" w:lineRule="exact"/>
        <w:jc w:val="left"/>
        <w:rPr>
          <w:rFonts w:ascii="Times New Roman" w:hAnsi="Times New Roman" w:eastAsia="宋体"/>
          <w:b/>
          <w:bCs/>
          <w:kern w:val="44"/>
          <w:szCs w:val="21"/>
        </w:rPr>
      </w:pPr>
      <w:r>
        <w:rPr>
          <w:rFonts w:ascii="Times New Roman" w:hAnsi="Times New Roman" w:eastAsia="宋体"/>
          <w:b/>
          <w:bCs/>
          <w:kern w:val="44"/>
          <w:szCs w:val="21"/>
        </w:rPr>
        <w:t>5检验规则</w:t>
      </w:r>
    </w:p>
    <w:p>
      <w:pPr>
        <w:spacing w:before="312" w:beforeLines="100" w:after="156" w:afterLines="50" w:line="360" w:lineRule="exact"/>
        <w:jc w:val="left"/>
        <w:rPr>
          <w:rFonts w:ascii="Times New Roman" w:hAnsi="Times New Roman" w:eastAsia="宋体"/>
          <w:b/>
          <w:bCs/>
          <w:kern w:val="44"/>
          <w:szCs w:val="21"/>
        </w:rPr>
      </w:pPr>
      <w:r>
        <w:rPr>
          <w:rFonts w:ascii="Times New Roman" w:hAnsi="Times New Roman" w:eastAsia="黑体"/>
          <w:b/>
          <w:bCs/>
          <w:szCs w:val="21"/>
        </w:rPr>
        <w:t>5.1 检验与验收</w:t>
      </w:r>
    </w:p>
    <w:p>
      <w:pPr>
        <w:pStyle w:val="3"/>
        <w:keepNext w:val="0"/>
        <w:keepLines w:val="0"/>
        <w:tabs>
          <w:tab w:val="left" w:pos="576"/>
        </w:tabs>
        <w:adjustRightInd w:val="0"/>
        <w:spacing w:before="0" w:after="0" w:line="360" w:lineRule="exact"/>
        <w:jc w:val="left"/>
        <w:textAlignment w:val="baseline"/>
        <w:rPr>
          <w:rFonts w:ascii="Times New Roman" w:hAnsi="Times New Roman" w:eastAsia="宋体"/>
          <w:b w:val="0"/>
          <w:sz w:val="21"/>
          <w:szCs w:val="21"/>
        </w:rPr>
      </w:pPr>
      <w:bookmarkStart w:id="26" w:name="_Toc468067991"/>
      <w:bookmarkStart w:id="27" w:name="_Toc468069940"/>
      <w:r>
        <w:rPr>
          <w:rFonts w:ascii="Times New Roman" w:hAnsi="Times New Roman" w:eastAsia="宋体"/>
          <w:b w:val="0"/>
          <w:sz w:val="21"/>
          <w:szCs w:val="21"/>
        </w:rPr>
        <w:t>5.1.1 产品应由供方质量技术检验部门进行检验，保证材料符合本标准规定，并填写质量证明书。</w:t>
      </w:r>
      <w:bookmarkEnd w:id="26"/>
      <w:bookmarkEnd w:id="27"/>
      <w:bookmarkStart w:id="28" w:name="_Toc468068001"/>
      <w:bookmarkStart w:id="29" w:name="_Toc468069950"/>
      <w:bookmarkStart w:id="30" w:name="_Toc468069951"/>
      <w:bookmarkStart w:id="31" w:name="_Toc468068002"/>
    </w:p>
    <w:p>
      <w:pPr>
        <w:pStyle w:val="3"/>
        <w:keepNext w:val="0"/>
        <w:keepLines w:val="0"/>
        <w:tabs>
          <w:tab w:val="left" w:pos="576"/>
        </w:tabs>
        <w:adjustRightInd w:val="0"/>
        <w:spacing w:before="0" w:after="0" w:line="360" w:lineRule="exact"/>
        <w:jc w:val="left"/>
        <w:textAlignment w:val="baseline"/>
        <w:rPr>
          <w:rFonts w:ascii="Times New Roman" w:hAnsi="Times New Roman" w:eastAsia="宋体"/>
          <w:b w:val="0"/>
          <w:bCs w:val="0"/>
          <w:sz w:val="21"/>
        </w:rPr>
      </w:pPr>
      <w:r>
        <w:rPr>
          <w:rFonts w:ascii="Times New Roman" w:hAnsi="Times New Roman" w:eastAsia="宋体"/>
          <w:b w:val="0"/>
          <w:bCs w:val="0"/>
          <w:sz w:val="21"/>
        </w:rPr>
        <w:t>5.1.2需方应对收到的产品进行检验，如检验结果与本标准规定不符时，应在收到产品之日起2个月内向供方提出，由供需双方协商解决。如需仲裁，可委托双方认可的单位进行，并在需方共同取样。</w:t>
      </w:r>
      <w:bookmarkEnd w:id="28"/>
      <w:bookmarkEnd w:id="29"/>
    </w:p>
    <w:p>
      <w:pPr>
        <w:pStyle w:val="3"/>
        <w:keepNext w:val="0"/>
        <w:keepLines w:val="0"/>
        <w:tabs>
          <w:tab w:val="left" w:pos="576"/>
        </w:tabs>
        <w:adjustRightInd w:val="0"/>
        <w:spacing w:before="0" w:after="0" w:line="360" w:lineRule="atLeast"/>
        <w:jc w:val="left"/>
        <w:textAlignment w:val="baseline"/>
        <w:rPr>
          <w:rFonts w:ascii="Times New Roman" w:hAnsi="Times New Roman" w:eastAsia="宋体"/>
          <w:b w:val="0"/>
          <w:sz w:val="21"/>
          <w:szCs w:val="21"/>
        </w:rPr>
      </w:pPr>
      <w:r>
        <w:rPr>
          <w:rFonts w:ascii="Times New Roman" w:hAnsi="Times New Roman"/>
          <w:b w:val="0"/>
          <w:bCs w:val="0"/>
          <w:sz w:val="21"/>
          <w:szCs w:val="21"/>
        </w:rPr>
        <w:t>5.2组批</w:t>
      </w:r>
      <w:bookmarkEnd w:id="30"/>
      <w:bookmarkEnd w:id="31"/>
    </w:p>
    <w:p>
      <w:pPr>
        <w:adjustRightInd w:val="0"/>
        <w:snapToGrid w:val="0"/>
        <w:spacing w:line="360" w:lineRule="atLeast"/>
        <w:ind w:firstLine="420" w:firstLineChars="200"/>
        <w:rPr>
          <w:rFonts w:ascii="Times New Roman" w:hAnsi="Times New Roman" w:eastAsia="宋体"/>
          <w:szCs w:val="32"/>
        </w:rPr>
      </w:pPr>
      <w:bookmarkStart w:id="32" w:name="_Toc468068003"/>
      <w:bookmarkStart w:id="33" w:name="_Toc468069952"/>
      <w:r>
        <w:rPr>
          <w:rFonts w:ascii="Times New Roman" w:hAnsi="Times New Roman" w:eastAsia="宋体"/>
          <w:szCs w:val="32"/>
        </w:rPr>
        <w:t>产品应成批提交检验，同一牌号的一个铸锭为一批产品。</w:t>
      </w:r>
    </w:p>
    <w:p>
      <w:pPr>
        <w:pStyle w:val="3"/>
        <w:keepNext w:val="0"/>
        <w:keepLines w:val="0"/>
        <w:tabs>
          <w:tab w:val="left" w:pos="576"/>
        </w:tabs>
        <w:adjustRightInd w:val="0"/>
        <w:spacing w:before="0" w:after="0" w:line="360" w:lineRule="exact"/>
        <w:jc w:val="left"/>
        <w:textAlignment w:val="baseline"/>
        <w:rPr>
          <w:rFonts w:ascii="Times New Roman" w:hAnsi="Times New Roman"/>
          <w:b w:val="0"/>
          <w:bCs w:val="0"/>
          <w:sz w:val="21"/>
          <w:szCs w:val="21"/>
        </w:rPr>
      </w:pPr>
      <w:r>
        <w:rPr>
          <w:rFonts w:ascii="Times New Roman" w:hAnsi="Times New Roman"/>
          <w:b w:val="0"/>
          <w:bCs w:val="0"/>
          <w:sz w:val="21"/>
          <w:szCs w:val="21"/>
        </w:rPr>
        <w:t>5.3检验项目</w:t>
      </w:r>
      <w:bookmarkEnd w:id="32"/>
      <w:bookmarkEnd w:id="33"/>
    </w:p>
    <w:p>
      <w:pPr>
        <w:adjustRightInd w:val="0"/>
        <w:snapToGrid w:val="0"/>
        <w:spacing w:line="360" w:lineRule="exact"/>
        <w:ind w:firstLine="420" w:firstLineChars="200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每批产品应进行化学成分、晶粒尺寸、内部质量、表面粗糙度、几何尺寸及允许偏差、外观质量等检验。</w:t>
      </w:r>
      <w:bookmarkStart w:id="34" w:name="_Toc468069954"/>
      <w:bookmarkStart w:id="35" w:name="_Toc468068005"/>
    </w:p>
    <w:p>
      <w:pPr>
        <w:pStyle w:val="3"/>
        <w:keepNext w:val="0"/>
        <w:keepLines w:val="0"/>
        <w:tabs>
          <w:tab w:val="left" w:pos="576"/>
        </w:tabs>
        <w:adjustRightInd w:val="0"/>
        <w:spacing w:before="0" w:after="0" w:line="360" w:lineRule="exact"/>
        <w:jc w:val="left"/>
        <w:textAlignment w:val="baseline"/>
        <w:rPr>
          <w:rFonts w:ascii="Times New Roman" w:hAnsi="Times New Roman"/>
          <w:b w:val="0"/>
          <w:bCs w:val="0"/>
          <w:sz w:val="21"/>
          <w:szCs w:val="21"/>
        </w:rPr>
      </w:pPr>
      <w:r>
        <w:rPr>
          <w:rFonts w:ascii="Times New Roman" w:hAnsi="Times New Roman"/>
          <w:b w:val="0"/>
          <w:bCs w:val="0"/>
          <w:sz w:val="21"/>
          <w:szCs w:val="21"/>
        </w:rPr>
        <w:t>5.4取样与制样</w:t>
      </w:r>
    </w:p>
    <w:p>
      <w:pPr>
        <w:spacing w:line="360" w:lineRule="exact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5.4.1化学成分分析取样</w:t>
      </w:r>
    </w:p>
    <w:p>
      <w:pPr>
        <w:spacing w:line="360" w:lineRule="exact"/>
        <w:ind w:firstLine="420" w:firstLineChars="200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取样时将加工前的铸锭打磨干净，用直径5 mm～10 mm钻头在铸锭上、下端部等距离处各钻取3点以上，弃去距锭块表面0.5 mm～1.0 mm的钻屑，然后钻取试样，上、下取样量分别不少于10 g，将所得上、下端部试样分别混匀后迅速密封保存，取样过程应防止样品的氧化。</w:t>
      </w:r>
    </w:p>
    <w:p>
      <w:pPr>
        <w:spacing w:line="360" w:lineRule="exact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5.4.2晶粒尺寸的取样</w:t>
      </w:r>
    </w:p>
    <w:p>
      <w:pPr>
        <w:spacing w:line="360" w:lineRule="exact"/>
        <w:ind w:firstLine="420" w:firstLineChars="200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每批中抽取一件铸锭，依据分析方法要求在成品上等距离处截取3块符合分析要求尺寸的小样块进行晶粒尺寸的检测。</w:t>
      </w:r>
    </w:p>
    <w:p>
      <w:pPr>
        <w:spacing w:line="360" w:lineRule="exact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5.4.3内部质量、表面粗糙度、几何尺寸及允许偏差、外观质量的取样</w:t>
      </w:r>
    </w:p>
    <w:p>
      <w:pPr>
        <w:spacing w:line="360" w:lineRule="exact"/>
        <w:ind w:firstLine="420" w:firstLineChars="200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将铸锭加工成成品后，逐件检查每件成品的内部质量、表面粗糙度、几何尺寸及允许偏差、外观质量。</w:t>
      </w:r>
    </w:p>
    <w:p>
      <w:pPr>
        <w:spacing w:line="360" w:lineRule="exact"/>
        <w:rPr>
          <w:rFonts w:ascii="Times New Roman" w:hAnsi="Times New Roman" w:eastAsia="宋体"/>
        </w:rPr>
      </w:pPr>
      <w:r>
        <w:rPr>
          <w:rFonts w:ascii="Times New Roman" w:hAnsi="Times New Roman" w:eastAsia="黑体"/>
          <w:b/>
          <w:bCs/>
          <w:szCs w:val="21"/>
        </w:rPr>
        <w:t>5.5检验结果判定</w:t>
      </w:r>
      <w:bookmarkEnd w:id="34"/>
      <w:bookmarkEnd w:id="35"/>
    </w:p>
    <w:p>
      <w:pPr>
        <w:snapToGrid w:val="0"/>
        <w:spacing w:line="360" w:lineRule="exact"/>
        <w:rPr>
          <w:rFonts w:ascii="Times New Roman" w:hAnsi="Times New Roman" w:eastAsia="宋体"/>
        </w:rPr>
      </w:pPr>
      <w:bookmarkStart w:id="36" w:name="_Hlk535852723"/>
      <w:bookmarkStart w:id="37" w:name="_Toc468069955"/>
      <w:bookmarkStart w:id="38" w:name="_Toc468068006"/>
      <w:r>
        <w:rPr>
          <w:rFonts w:ascii="Times New Roman" w:hAnsi="Times New Roman" w:eastAsia="宋体"/>
        </w:rPr>
        <w:t>5.5.1化学成分分析结果与本标准规定不符合时，则从该加工前的铸锭中取双倍试样对不合格项目进行重复检验，如仍有任一结果不合格，则判定该批产品为不合格。</w:t>
      </w:r>
    </w:p>
    <w:p>
      <w:pPr>
        <w:snapToGrid w:val="0"/>
        <w:spacing w:line="360" w:lineRule="exact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</w:rPr>
        <w:t>5.5.2 产品的晶粒尺寸检验结果与本标准规定不符合时，则从该批产品中抽取两件产品对晶粒尺寸进行重复检验，如仍有任一结果不合格，则判定该批产品为不合格。</w:t>
      </w:r>
    </w:p>
    <w:p>
      <w:pPr>
        <w:snapToGrid w:val="0"/>
        <w:spacing w:line="360" w:lineRule="exact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5.5.3内部质量、表面粗糙度、几何尺寸及允许偏差、外观质量检验结果与本标准规定不符合时，则直接判该件产品为不合格。</w:t>
      </w:r>
    </w:p>
    <w:bookmarkEnd w:id="36"/>
    <w:p>
      <w:pPr>
        <w:pStyle w:val="2"/>
        <w:keepNext w:val="0"/>
        <w:keepLines w:val="0"/>
        <w:tabs>
          <w:tab w:val="left" w:pos="432"/>
        </w:tabs>
        <w:spacing w:before="156" w:beforeLines="50" w:after="156" w:afterLines="50" w:line="360" w:lineRule="exact"/>
        <w:jc w:val="left"/>
        <w:textAlignment w:val="baseline"/>
        <w:rPr>
          <w:rFonts w:eastAsia="黑体"/>
          <w:b w:val="0"/>
          <w:sz w:val="21"/>
        </w:rPr>
      </w:pPr>
      <w:r>
        <w:rPr>
          <w:rFonts w:eastAsia="黑体"/>
          <w:b w:val="0"/>
          <w:sz w:val="21"/>
        </w:rPr>
        <w:t>6包装、标志、运输、贮存</w:t>
      </w:r>
      <w:bookmarkEnd w:id="37"/>
      <w:bookmarkEnd w:id="38"/>
      <w:r>
        <w:rPr>
          <w:rFonts w:eastAsia="黑体"/>
          <w:b w:val="0"/>
          <w:sz w:val="21"/>
        </w:rPr>
        <w:t>及质量证明书</w:t>
      </w:r>
    </w:p>
    <w:p>
      <w:pPr>
        <w:pStyle w:val="3"/>
        <w:keepNext w:val="0"/>
        <w:keepLines w:val="0"/>
        <w:tabs>
          <w:tab w:val="left" w:pos="576"/>
        </w:tabs>
        <w:adjustRightInd w:val="0"/>
        <w:spacing w:before="156" w:beforeLines="50" w:after="156" w:afterLines="50" w:line="360" w:lineRule="exact"/>
        <w:jc w:val="left"/>
        <w:textAlignment w:val="baseline"/>
        <w:rPr>
          <w:rFonts w:ascii="Times New Roman" w:hAnsi="Times New Roman"/>
          <w:b w:val="0"/>
          <w:bCs w:val="0"/>
          <w:sz w:val="21"/>
        </w:rPr>
      </w:pPr>
      <w:bookmarkStart w:id="39" w:name="_Toc468068007"/>
      <w:bookmarkStart w:id="40" w:name="_Toc468069956"/>
      <w:r>
        <w:rPr>
          <w:rFonts w:ascii="Times New Roman" w:hAnsi="Times New Roman"/>
          <w:b w:val="0"/>
          <w:bCs w:val="0"/>
          <w:sz w:val="21"/>
        </w:rPr>
        <w:t>6.1包装</w:t>
      </w:r>
    </w:p>
    <w:p>
      <w:pPr>
        <w:spacing w:line="360" w:lineRule="exact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6.1.1 产品的清洗、干燥及内包装应在洁净间内进行。产品经过全面清洗，真空干燥后每件产品进行独立真空包装，真空袋封口要平整无贯通，真空袋体无漏洞，无真空泄露。</w:t>
      </w:r>
    </w:p>
    <w:p>
      <w:pPr>
        <w:spacing w:line="360" w:lineRule="exact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6.1.2 外包装采用纸盒或中空盒包装。包装盒内应有防碰撞措施。将质量证明书用塑封袋装好后粘贴于包装盒上。</w:t>
      </w:r>
    </w:p>
    <w:p>
      <w:pPr>
        <w:spacing w:line="360" w:lineRule="exact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6.1.3 包装产品应保存于清洁的环境中。</w:t>
      </w:r>
    </w:p>
    <w:p>
      <w:pPr>
        <w:pStyle w:val="3"/>
        <w:keepNext w:val="0"/>
        <w:keepLines w:val="0"/>
        <w:tabs>
          <w:tab w:val="left" w:pos="576"/>
        </w:tabs>
        <w:adjustRightInd w:val="0"/>
        <w:spacing w:before="156" w:beforeLines="50" w:after="156" w:afterLines="50" w:line="360" w:lineRule="exact"/>
        <w:jc w:val="left"/>
        <w:textAlignment w:val="baseline"/>
        <w:rPr>
          <w:rFonts w:ascii="Times New Roman" w:hAnsi="Times New Roman"/>
          <w:b w:val="0"/>
          <w:bCs w:val="0"/>
          <w:sz w:val="21"/>
        </w:rPr>
      </w:pPr>
      <w:r>
        <w:rPr>
          <w:rFonts w:ascii="Times New Roman" w:hAnsi="Times New Roman"/>
          <w:b w:val="0"/>
          <w:bCs w:val="0"/>
          <w:sz w:val="21"/>
        </w:rPr>
        <w:t>6.2标志</w:t>
      </w:r>
      <w:bookmarkEnd w:id="39"/>
      <w:bookmarkEnd w:id="40"/>
      <w:bookmarkStart w:id="41" w:name="_Toc468068008"/>
      <w:bookmarkStart w:id="42" w:name="_Toc468069957"/>
    </w:p>
    <w:p>
      <w:pPr>
        <w:pStyle w:val="3"/>
        <w:keepNext w:val="0"/>
        <w:keepLines w:val="0"/>
        <w:tabs>
          <w:tab w:val="left" w:pos="576"/>
        </w:tabs>
        <w:adjustRightInd w:val="0"/>
        <w:spacing w:before="156" w:beforeLines="50" w:after="156" w:afterLines="50" w:line="360" w:lineRule="exact"/>
        <w:jc w:val="left"/>
        <w:textAlignment w:val="baseline"/>
        <w:rPr>
          <w:rFonts w:ascii="Times New Roman" w:hAnsi="Times New Roman" w:eastAsia="宋体"/>
          <w:b w:val="0"/>
          <w:bCs w:val="0"/>
          <w:sz w:val="21"/>
        </w:rPr>
      </w:pPr>
      <w:r>
        <w:rPr>
          <w:rFonts w:ascii="Times New Roman" w:hAnsi="Times New Roman" w:eastAsia="宋体"/>
          <w:b w:val="0"/>
          <w:bCs w:val="0"/>
          <w:sz w:val="21"/>
        </w:rPr>
        <w:t>6.2.1</w:t>
      </w:r>
      <w:bookmarkEnd w:id="41"/>
      <w:bookmarkEnd w:id="42"/>
      <w:bookmarkStart w:id="43" w:name="_Toc468069958"/>
      <w:bookmarkStart w:id="44" w:name="_Toc468068009"/>
      <w:r>
        <w:rPr>
          <w:rFonts w:ascii="Times New Roman" w:hAnsi="Times New Roman" w:eastAsia="宋体"/>
          <w:b w:val="0"/>
          <w:bCs w:val="0"/>
          <w:sz w:val="21"/>
        </w:rPr>
        <w:t>在检验合格的产品上，将公司标志、成份及生产批号刻在产品指定的的位置。</w:t>
      </w:r>
    </w:p>
    <w:p>
      <w:pPr>
        <w:rPr>
          <w:rFonts w:ascii="Times New Roman" w:hAnsi="Times New Roman" w:eastAsia="宋体"/>
          <w:szCs w:val="32"/>
        </w:rPr>
      </w:pPr>
      <w:r>
        <w:rPr>
          <w:rFonts w:ascii="Times New Roman" w:hAnsi="Times New Roman" w:eastAsia="宋体"/>
          <w:szCs w:val="32"/>
        </w:rPr>
        <w:t>6.2.2 在每个外包装上贴纸质标贴，内容包括：</w:t>
      </w:r>
    </w:p>
    <w:p>
      <w:pPr>
        <w:spacing w:line="360" w:lineRule="exact"/>
        <w:ind w:firstLine="420" w:firstLineChars="200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a) 供方厂名厂址；</w:t>
      </w:r>
    </w:p>
    <w:p>
      <w:pPr>
        <w:spacing w:line="360" w:lineRule="exact"/>
        <w:ind w:firstLine="420" w:firstLineChars="200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b) 公司标志；</w:t>
      </w:r>
    </w:p>
    <w:p>
      <w:pPr>
        <w:spacing w:line="360" w:lineRule="exact"/>
        <w:ind w:firstLine="420" w:firstLineChars="200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c）产品名称类型、规格；</w:t>
      </w:r>
    </w:p>
    <w:p>
      <w:pPr>
        <w:spacing w:line="360" w:lineRule="exact"/>
        <w:ind w:firstLine="420" w:firstLineChars="200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d) 牌号；</w:t>
      </w:r>
    </w:p>
    <w:p>
      <w:pPr>
        <w:spacing w:line="360" w:lineRule="exact"/>
        <w:ind w:firstLine="420" w:firstLineChars="200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e) 客户名称；</w:t>
      </w:r>
    </w:p>
    <w:p>
      <w:pPr>
        <w:spacing w:line="360" w:lineRule="exact"/>
        <w:ind w:firstLine="420" w:firstLineChars="200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f) 订单编号；</w:t>
      </w:r>
    </w:p>
    <w:p>
      <w:pPr>
        <w:spacing w:line="360" w:lineRule="exact"/>
        <w:ind w:firstLine="420" w:firstLineChars="200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g) 物料编号；</w:t>
      </w:r>
    </w:p>
    <w:p>
      <w:pPr>
        <w:spacing w:line="360" w:lineRule="exact"/>
        <w:ind w:firstLine="420" w:firstLineChars="200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h) 生产批号；</w:t>
      </w:r>
    </w:p>
    <w:p>
      <w:pPr>
        <w:spacing w:line="360" w:lineRule="exact"/>
        <w:ind w:firstLine="420" w:firstLineChars="200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i) 出厂日期；</w:t>
      </w:r>
    </w:p>
    <w:p>
      <w:pPr>
        <w:spacing w:line="360" w:lineRule="exact"/>
        <w:ind w:firstLine="420" w:firstLineChars="200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j) 其他内容。</w:t>
      </w:r>
    </w:p>
    <w:bookmarkEnd w:id="43"/>
    <w:bookmarkEnd w:id="44"/>
    <w:p>
      <w:pPr>
        <w:pStyle w:val="3"/>
        <w:keepNext w:val="0"/>
        <w:keepLines w:val="0"/>
        <w:tabs>
          <w:tab w:val="left" w:pos="576"/>
        </w:tabs>
        <w:adjustRightInd w:val="0"/>
        <w:spacing w:before="156" w:beforeLines="50" w:after="156" w:afterLines="50" w:line="360" w:lineRule="exact"/>
        <w:jc w:val="left"/>
        <w:textAlignment w:val="baseline"/>
        <w:rPr>
          <w:rFonts w:ascii="Times New Roman" w:hAnsi="Times New Roman"/>
          <w:b w:val="0"/>
          <w:bCs w:val="0"/>
          <w:sz w:val="21"/>
        </w:rPr>
      </w:pPr>
      <w:bookmarkStart w:id="45" w:name="_Toc468069959"/>
      <w:bookmarkStart w:id="46" w:name="_Toc468068010"/>
      <w:r>
        <w:rPr>
          <w:rFonts w:ascii="Times New Roman" w:hAnsi="Times New Roman"/>
          <w:b w:val="0"/>
          <w:bCs w:val="0"/>
          <w:sz w:val="21"/>
        </w:rPr>
        <w:t>6.3运输、贮存</w:t>
      </w:r>
      <w:bookmarkEnd w:id="45"/>
      <w:bookmarkEnd w:id="46"/>
    </w:p>
    <w:p>
      <w:pPr>
        <w:pStyle w:val="7"/>
        <w:spacing w:after="0" w:line="360" w:lineRule="exact"/>
        <w:ind w:firstLine="210"/>
      </w:pPr>
      <w:r>
        <w:t>运输及贮存过程中，应注意防</w:t>
      </w:r>
      <w:r>
        <w:rPr>
          <w:kern w:val="0"/>
          <w:szCs w:val="20"/>
        </w:rPr>
        <w:t>震</w:t>
      </w:r>
      <w:r>
        <w:t>、防潮、防压、防止二次污染。</w:t>
      </w:r>
    </w:p>
    <w:p>
      <w:pPr>
        <w:pStyle w:val="3"/>
        <w:keepNext w:val="0"/>
        <w:keepLines w:val="0"/>
        <w:tabs>
          <w:tab w:val="left" w:pos="576"/>
        </w:tabs>
        <w:adjustRightInd w:val="0"/>
        <w:spacing w:before="156" w:beforeLines="50" w:after="156" w:afterLines="50" w:line="360" w:lineRule="exact"/>
        <w:jc w:val="left"/>
        <w:textAlignment w:val="baseline"/>
        <w:rPr>
          <w:rFonts w:ascii="Times New Roman" w:hAnsi="Times New Roman"/>
          <w:b w:val="0"/>
          <w:bCs w:val="0"/>
          <w:sz w:val="21"/>
        </w:rPr>
      </w:pPr>
      <w:bookmarkStart w:id="47" w:name="_Toc468069960"/>
      <w:bookmarkStart w:id="48" w:name="_Toc468068011"/>
      <w:r>
        <w:rPr>
          <w:rFonts w:ascii="Times New Roman" w:hAnsi="Times New Roman"/>
          <w:b w:val="0"/>
          <w:bCs w:val="0"/>
          <w:sz w:val="21"/>
        </w:rPr>
        <w:t>6.4质量证明书</w:t>
      </w:r>
      <w:bookmarkEnd w:id="47"/>
      <w:bookmarkEnd w:id="48"/>
    </w:p>
    <w:p>
      <w:pPr>
        <w:pStyle w:val="7"/>
        <w:spacing w:after="0" w:line="360" w:lineRule="exact"/>
        <w:ind w:firstLineChars="200"/>
      </w:pPr>
      <w:r>
        <w:t>每批产品应附质量证明书，注明：</w:t>
      </w:r>
    </w:p>
    <w:p>
      <w:pPr>
        <w:pStyle w:val="7"/>
        <w:spacing w:after="0" w:line="360" w:lineRule="exact"/>
        <w:ind w:firstLineChars="200"/>
      </w:pPr>
      <w:r>
        <w:t>a) 供方名称；</w:t>
      </w:r>
    </w:p>
    <w:p>
      <w:pPr>
        <w:pStyle w:val="7"/>
        <w:spacing w:after="0" w:line="360" w:lineRule="exact"/>
        <w:ind w:firstLineChars="200"/>
      </w:pPr>
      <w:r>
        <w:t>b) 产品名称；</w:t>
      </w:r>
    </w:p>
    <w:p>
      <w:pPr>
        <w:pStyle w:val="7"/>
        <w:spacing w:after="0" w:line="360" w:lineRule="exact"/>
        <w:ind w:firstLineChars="200"/>
      </w:pPr>
      <w:r>
        <w:t>c) 规格；</w:t>
      </w:r>
    </w:p>
    <w:p>
      <w:pPr>
        <w:pStyle w:val="7"/>
        <w:spacing w:after="0" w:line="360" w:lineRule="exact"/>
        <w:ind w:firstLineChars="200"/>
      </w:pPr>
      <w:r>
        <w:t>d) 牌号、批号、净重、毛重、件数；</w:t>
      </w:r>
    </w:p>
    <w:p>
      <w:pPr>
        <w:pStyle w:val="7"/>
        <w:spacing w:after="0" w:line="360" w:lineRule="exact"/>
        <w:ind w:firstLineChars="200"/>
      </w:pPr>
      <w:r>
        <w:t>e) 各项分析检验结果和供方质量技术检验部门印记；</w:t>
      </w:r>
    </w:p>
    <w:p>
      <w:pPr>
        <w:pStyle w:val="7"/>
        <w:spacing w:after="0" w:line="360" w:lineRule="exact"/>
        <w:ind w:firstLineChars="200"/>
      </w:pPr>
      <w:r>
        <w:t>f) 本标准编号；</w:t>
      </w:r>
    </w:p>
    <w:p>
      <w:pPr>
        <w:pStyle w:val="7"/>
        <w:spacing w:after="0" w:line="360" w:lineRule="exact"/>
        <w:ind w:firstLineChars="200"/>
      </w:pPr>
      <w:r>
        <w:t>g) 其他需要协商或增加标准以外要求的内容。</w:t>
      </w:r>
    </w:p>
    <w:p>
      <w:pPr>
        <w:pStyle w:val="7"/>
        <w:spacing w:after="0" w:line="360" w:lineRule="exact"/>
        <w:ind w:firstLineChars="200"/>
      </w:pPr>
      <w:r>
        <w:t>h)检验日期；</w:t>
      </w:r>
    </w:p>
    <w:p>
      <w:pPr>
        <w:pStyle w:val="7"/>
        <w:spacing w:after="0" w:line="360" w:lineRule="exact"/>
        <w:ind w:firstLineChars="200"/>
      </w:pPr>
      <w:r>
        <w:t>i) 出厂日期。</w:t>
      </w:r>
    </w:p>
    <w:p>
      <w:pPr>
        <w:adjustRightInd w:val="0"/>
        <w:snapToGrid w:val="0"/>
        <w:jc w:val="center"/>
        <w:rPr>
          <w:rFonts w:ascii="Times New Roman" w:hAnsi="Times New Roman" w:eastAsia="宋体"/>
        </w:rPr>
      </w:pPr>
    </w:p>
    <w:p>
      <w:pPr>
        <w:adjustRightInd w:val="0"/>
        <w:snapToGrid w:val="0"/>
        <w:jc w:val="center"/>
        <w:rPr>
          <w:rFonts w:ascii="Times New Roman" w:hAnsi="Times New Roman" w:eastAsia="宋体"/>
        </w:rPr>
      </w:pPr>
    </w:p>
    <w:p>
      <w:pPr>
        <w:adjustRightInd w:val="0"/>
        <w:snapToGrid w:val="0"/>
        <w:jc w:val="center"/>
        <w:rPr>
          <w:rFonts w:ascii="Times New Roman" w:hAnsi="Times New Roman" w:eastAsia="宋体"/>
        </w:rPr>
      </w:pPr>
    </w:p>
    <w:p>
      <w:pPr>
        <w:adjustRightInd w:val="0"/>
        <w:snapToGrid w:val="0"/>
        <w:jc w:val="center"/>
        <w:rPr>
          <w:rFonts w:ascii="Times New Roman" w:hAnsi="Times New Roman" w:eastAsia="宋体"/>
        </w:rPr>
      </w:pPr>
    </w:p>
    <w:p>
      <w:pPr>
        <w:adjustRightInd w:val="0"/>
        <w:snapToGrid w:val="0"/>
        <w:jc w:val="center"/>
        <w:rPr>
          <w:rFonts w:ascii="Times New Roman" w:hAnsi="Times New Roman" w:eastAsia="宋体"/>
        </w:rPr>
      </w:pPr>
    </w:p>
    <w:p>
      <w:pPr>
        <w:adjustRightInd w:val="0"/>
        <w:snapToGrid w:val="0"/>
        <w:jc w:val="center"/>
        <w:rPr>
          <w:rFonts w:ascii="Times New Roman" w:hAnsi="Times New Roman" w:eastAsia="宋体"/>
        </w:rPr>
      </w:pPr>
    </w:p>
    <w:p>
      <w:pPr>
        <w:adjustRightInd w:val="0"/>
        <w:snapToGrid w:val="0"/>
        <w:jc w:val="center"/>
        <w:rPr>
          <w:rFonts w:ascii="Times New Roman" w:hAnsi="Times New Roman" w:eastAsia="宋体"/>
        </w:rPr>
      </w:pPr>
    </w:p>
    <w:p>
      <w:pPr>
        <w:adjustRightInd w:val="0"/>
        <w:snapToGrid w:val="0"/>
        <w:jc w:val="center"/>
        <w:rPr>
          <w:rFonts w:ascii="Times New Roman" w:hAnsi="Times New Roman" w:eastAsia="宋体"/>
        </w:rPr>
      </w:pPr>
    </w:p>
    <w:p>
      <w:pPr>
        <w:adjustRightInd w:val="0"/>
        <w:snapToGrid w:val="0"/>
        <w:jc w:val="center"/>
        <w:rPr>
          <w:rFonts w:ascii="Times New Roman" w:hAnsi="Times New Roman" w:eastAsia="宋体"/>
        </w:rPr>
      </w:pPr>
    </w:p>
    <w:p>
      <w:pPr>
        <w:adjustRightInd w:val="0"/>
        <w:snapToGrid w:val="0"/>
        <w:spacing w:line="360" w:lineRule="exact"/>
        <w:ind w:firstLine="420" w:firstLineChars="200"/>
        <w:rPr>
          <w:rFonts w:ascii="Times New Roman" w:hAnsi="Times New Roman"/>
        </w:rPr>
      </w:pPr>
    </w:p>
    <w:p>
      <w:pPr>
        <w:spacing w:before="50" w:after="50" w:line="360" w:lineRule="exact"/>
        <w:jc w:val="left"/>
        <w:rPr>
          <w:rFonts w:ascii="Times New Roman" w:hAnsi="Times New Roman" w:eastAsia="黑体"/>
          <w:sz w:val="24"/>
        </w:rPr>
      </w:pPr>
      <w:r>
        <w:rPr>
          <w:rFonts w:ascii="Times New Roman" w:hAnsi="Times New Roman"/>
        </w:rPr>
        <w:pict>
          <v:line id="直接连接符 1" o:spid="_x0000_s1033" o:spt="20" style="position:absolute;left:0pt;margin-left:147.05pt;margin-top:7.5pt;height:0pt;width:124.1pt;z-index:251659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">
            <v:path arrowok="t"/>
            <v:fill focussize="0,0"/>
            <v:stroke weight="1.5pt"/>
            <v:imagedata o:title=""/>
            <o:lock v:ext="edit"/>
          </v:line>
        </w:pict>
      </w:r>
    </w:p>
    <w:p>
      <w:pPr>
        <w:spacing w:before="50" w:after="50" w:line="360" w:lineRule="exact"/>
        <w:rPr>
          <w:rFonts w:ascii="Times New Roman" w:hAnsi="Times New Roman"/>
        </w:rPr>
      </w:pPr>
    </w:p>
    <w:p>
      <w:pPr>
        <w:adjustRightInd w:val="0"/>
        <w:snapToGrid w:val="0"/>
        <w:jc w:val="center"/>
        <w:rPr>
          <w:rFonts w:ascii="Times New Roman" w:hAnsi="Times New Roman" w:eastAsia="宋体"/>
        </w:rPr>
      </w:pPr>
    </w:p>
    <w:p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0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6</w:t>
    </w:r>
    <w:r>
      <w:rPr>
        <w:rStyle w:val="10"/>
      </w:rP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4</w:t>
    </w:r>
    <w:r>
      <w:rPr>
        <w:rStyle w:val="10"/>
      </w:rPr>
      <w:fldChar w:fldCharType="end"/>
    </w:r>
  </w:p>
  <w:p>
    <w:pPr>
      <w:pStyle w:val="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1"/>
    </w:pPr>
    <w:r>
      <w:t>XB/T ××××—201×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ind w:firstLine="6720" w:firstLineChars="3200"/>
    </w:pPr>
    <w:r>
      <w:t xml:space="preserve">XB/T </w:t>
    </w:r>
    <w:r>
      <w:rPr>
        <w:rFonts w:hint="eastAsia"/>
      </w:rPr>
      <w:t>501</w:t>
    </w:r>
    <w:r>
      <w:t>—</w:t>
    </w:r>
    <w:r>
      <w:rPr>
        <w:rFonts w:hint="eastAsia"/>
      </w:rPr>
      <w:t>20</w:t>
    </w:r>
    <w:r>
      <w:t>××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1"/>
    </w:pPr>
    <w:r>
      <w:t>XB/T ××××—201×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sz w:val="21"/>
      </w:rPr>
    </w:pPr>
    <w:r>
      <w:tab/>
    </w:r>
    <w:r>
      <w:rPr>
        <w:b/>
        <w:bCs/>
        <w:sz w:val="21"/>
      </w:rPr>
      <w:t>GB/T 13560</w:t>
    </w:r>
    <w:r>
      <w:rPr>
        <w:rFonts w:hint="eastAsia"/>
        <w:b/>
        <w:bCs/>
        <w:sz w:val="21"/>
      </w:rPr>
      <w:t>—</w:t>
    </w:r>
    <w:r>
      <w:rPr>
        <w:b/>
        <w:bCs/>
        <w:sz w:val="21"/>
      </w:rPr>
      <w:t>200X</w:t>
    </w:r>
  </w:p>
  <w:p>
    <w:pPr>
      <w:pStyle w:val="2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10D6"/>
    <w:rsid w:val="0003069F"/>
    <w:rsid w:val="000E23F9"/>
    <w:rsid w:val="001E0AF2"/>
    <w:rsid w:val="00203C5A"/>
    <w:rsid w:val="004C3678"/>
    <w:rsid w:val="0052257B"/>
    <w:rsid w:val="00554A3D"/>
    <w:rsid w:val="00707DA0"/>
    <w:rsid w:val="00833AEB"/>
    <w:rsid w:val="00860397"/>
    <w:rsid w:val="008948B4"/>
    <w:rsid w:val="008A2402"/>
    <w:rsid w:val="008B1A14"/>
    <w:rsid w:val="009E3804"/>
    <w:rsid w:val="00AE3E93"/>
    <w:rsid w:val="00AE4BBB"/>
    <w:rsid w:val="00AF0AB5"/>
    <w:rsid w:val="00CB6166"/>
    <w:rsid w:val="00F77C9A"/>
    <w:rsid w:val="00FA10D6"/>
    <w:rsid w:val="505905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7"/>
    <w:semiHidden/>
    <w:unhideWhenUsed/>
    <w:uiPriority w:val="99"/>
    <w:pPr>
      <w:spacing w:after="120"/>
    </w:p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Body Text First Indent"/>
    <w:basedOn w:val="4"/>
    <w:link w:val="28"/>
    <w:uiPriority w:val="0"/>
    <w:pPr>
      <w:ind w:firstLine="420" w:firstLineChars="100"/>
    </w:pPr>
    <w:rPr>
      <w:rFonts w:ascii="Times New Roman" w:hAnsi="Times New Roman" w:eastAsia="宋体"/>
      <w:szCs w:val="24"/>
    </w:rPr>
  </w:style>
  <w:style w:type="character" w:styleId="10">
    <w:name w:val="page number"/>
    <w:uiPriority w:val="0"/>
  </w:style>
  <w:style w:type="character" w:customStyle="1" w:styleId="11">
    <w:name w:val="页眉 Char"/>
    <w:basedOn w:val="9"/>
    <w:link w:val="6"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uiPriority w:val="99"/>
    <w:rPr>
      <w:sz w:val="18"/>
      <w:szCs w:val="18"/>
    </w:rPr>
  </w:style>
  <w:style w:type="character" w:customStyle="1" w:styleId="13">
    <w:name w:val="标题 1 Char"/>
    <w:basedOn w:val="9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4">
    <w:name w:val="标题 2 Char"/>
    <w:basedOn w:val="9"/>
    <w:link w:val="3"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5">
    <w:name w:val="页眉 字符"/>
    <w:uiPriority w:val="99"/>
    <w:rPr>
      <w:sz w:val="18"/>
      <w:szCs w:val="18"/>
    </w:rPr>
  </w:style>
  <w:style w:type="character" w:customStyle="1" w:styleId="16">
    <w:name w:val="页脚 字符"/>
    <w:uiPriority w:val="99"/>
    <w:rPr>
      <w:sz w:val="18"/>
      <w:szCs w:val="18"/>
    </w:rPr>
  </w:style>
  <w:style w:type="paragraph" w:customStyle="1" w:styleId="17">
    <w:name w:val="段"/>
    <w:link w:val="18"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0"/>
      <w:szCs w:val="20"/>
      <w:lang w:val="en-US" w:eastAsia="zh-CN" w:bidi="ar-SA"/>
    </w:rPr>
  </w:style>
  <w:style w:type="character" w:customStyle="1" w:styleId="18">
    <w:name w:val="段 Char"/>
    <w:link w:val="17"/>
    <w:uiPriority w:val="0"/>
    <w:rPr>
      <w:rFonts w:ascii="宋体" w:hAnsi="Times New Roman" w:eastAsia="宋体" w:cs="Times New Roman"/>
      <w:kern w:val="0"/>
      <w:sz w:val="20"/>
      <w:szCs w:val="20"/>
    </w:rPr>
  </w:style>
  <w:style w:type="paragraph" w:customStyle="1" w:styleId="19">
    <w:name w:val="文献分类号"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kern w:val="0"/>
      <w:sz w:val="21"/>
      <w:szCs w:val="21"/>
      <w:lang w:val="en-US" w:eastAsia="zh-CN" w:bidi="ar-SA"/>
    </w:rPr>
  </w:style>
  <w:style w:type="paragraph" w:customStyle="1" w:styleId="20">
    <w:name w:val="标准称谓"/>
    <w:next w:val="1"/>
    <w:uiPriority w:val="0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spacing w:val="20"/>
      <w:w w:val="148"/>
      <w:kern w:val="0"/>
      <w:sz w:val="52"/>
      <w:szCs w:val="20"/>
      <w:lang w:val="en-US" w:eastAsia="zh-CN" w:bidi="ar-SA"/>
    </w:rPr>
  </w:style>
  <w:style w:type="paragraph" w:customStyle="1" w:styleId="21">
    <w:name w:val="发布部门"/>
    <w:next w:val="17"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kern w:val="0"/>
      <w:sz w:val="36"/>
      <w:szCs w:val="20"/>
      <w:lang w:val="en-US" w:eastAsia="zh-CN" w:bidi="ar-SA"/>
    </w:rPr>
  </w:style>
  <w:style w:type="paragraph" w:customStyle="1" w:styleId="22">
    <w:name w:val="封面标准文稿编辑信息"/>
    <w:uiPriority w:val="0"/>
    <w:pPr>
      <w:spacing w:before="180" w:line="180" w:lineRule="exact"/>
      <w:jc w:val="center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23">
    <w:name w:val="封面标准文稿类别"/>
    <w:uiPriority w:val="0"/>
    <w:pPr>
      <w:spacing w:before="440" w:line="400" w:lineRule="exact"/>
      <w:jc w:val="center"/>
    </w:pPr>
    <w:rPr>
      <w:rFonts w:ascii="宋体" w:hAnsi="Times New Roman" w:eastAsia="宋体" w:cs="Times New Roman"/>
      <w:kern w:val="0"/>
      <w:sz w:val="24"/>
      <w:szCs w:val="20"/>
      <w:lang w:val="en-US" w:eastAsia="zh-CN" w:bidi="ar-SA"/>
    </w:rPr>
  </w:style>
  <w:style w:type="paragraph" w:customStyle="1" w:styleId="24">
    <w:name w:val="封面一致性程度标识"/>
    <w:uiPriority w:val="0"/>
    <w:pPr>
      <w:spacing w:before="440" w:line="400" w:lineRule="exact"/>
      <w:jc w:val="center"/>
    </w:pPr>
    <w:rPr>
      <w:rFonts w:ascii="宋体" w:hAnsi="Times New Roman" w:eastAsia="宋体" w:cs="Times New Roman"/>
      <w:kern w:val="0"/>
      <w:sz w:val="28"/>
      <w:szCs w:val="20"/>
      <w:lang w:val="en-US" w:eastAsia="zh-CN" w:bidi="ar-SA"/>
    </w:rPr>
  </w:style>
  <w:style w:type="paragraph" w:customStyle="1" w:styleId="25">
    <w:name w:val="其他标准称谓"/>
    <w:uiPriority w:val="0"/>
    <w:pPr>
      <w:spacing w:line="0" w:lineRule="atLeast"/>
      <w:jc w:val="distribute"/>
    </w:pPr>
    <w:rPr>
      <w:rFonts w:ascii="黑体" w:hAnsi="宋体" w:eastAsia="黑体" w:cs="Times New Roman"/>
      <w:kern w:val="0"/>
      <w:sz w:val="52"/>
      <w:szCs w:val="20"/>
      <w:lang w:val="en-US" w:eastAsia="zh-CN" w:bidi="ar-SA"/>
    </w:rPr>
  </w:style>
  <w:style w:type="paragraph" w:customStyle="1" w:styleId="26">
    <w:name w:val="标准书眉一"/>
    <w:uiPriority w:val="0"/>
    <w:pPr>
      <w:jc w:val="both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customStyle="1" w:styleId="27">
    <w:name w:val="正文文本 Char"/>
    <w:basedOn w:val="9"/>
    <w:link w:val="4"/>
    <w:semiHidden/>
    <w:uiPriority w:val="99"/>
    <w:rPr>
      <w:rFonts w:ascii="等线" w:hAnsi="等线" w:eastAsia="等线" w:cs="Times New Roman"/>
    </w:rPr>
  </w:style>
  <w:style w:type="character" w:customStyle="1" w:styleId="28">
    <w:name w:val="正文首行缩进 Char"/>
    <w:basedOn w:val="27"/>
    <w:link w:val="7"/>
    <w:uiPriority w:val="0"/>
    <w:rPr>
      <w:rFonts w:ascii="Times New Roman" w:hAnsi="Times New Roman" w:eastAsia="宋体" w:cs="Times New Roman"/>
      <w:szCs w:val="24"/>
    </w:rPr>
  </w:style>
  <w:style w:type="paragraph" w:customStyle="1" w:styleId="29">
    <w:name w:val="标准标志"/>
    <w:next w:val="1"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kern w:val="0"/>
      <w:sz w:val="96"/>
      <w:szCs w:val="20"/>
      <w:lang w:val="en-US" w:eastAsia="zh-CN" w:bidi="ar-SA"/>
    </w:rPr>
  </w:style>
  <w:style w:type="paragraph" w:customStyle="1" w:styleId="30">
    <w:name w:val="标准书脚_奇数页"/>
    <w:uiPriority w:val="0"/>
    <w:pPr>
      <w:spacing w:before="120"/>
      <w:jc w:val="right"/>
    </w:pPr>
    <w:rPr>
      <w:rFonts w:ascii="Times New Roman" w:hAnsi="Times New Roman" w:eastAsia="宋体" w:cs="Times New Roman"/>
      <w:kern w:val="0"/>
      <w:sz w:val="18"/>
      <w:szCs w:val="20"/>
      <w:lang w:val="en-US" w:eastAsia="zh-CN" w:bidi="ar-SA"/>
    </w:rPr>
  </w:style>
  <w:style w:type="paragraph" w:customStyle="1" w:styleId="31">
    <w:name w:val="标准书眉_奇数页"/>
    <w:next w:val="1"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32">
    <w:name w:val="标准书眉_偶数页"/>
    <w:basedOn w:val="31"/>
    <w:next w:val="1"/>
    <w:uiPriority w:val="0"/>
    <w:pPr>
      <w:jc w:val="left"/>
    </w:pPr>
  </w:style>
  <w:style w:type="paragraph" w:customStyle="1" w:styleId="33">
    <w:name w:val="发布日期"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kern w:val="0"/>
      <w:sz w:val="28"/>
      <w:szCs w:val="20"/>
      <w:lang w:val="en-US" w:eastAsia="zh-CN" w:bidi="ar-SA"/>
    </w:rPr>
  </w:style>
  <w:style w:type="paragraph" w:customStyle="1" w:styleId="34">
    <w:name w:val="封面标准号2"/>
    <w:basedOn w:val="1"/>
    <w:uiPriority w:val="0"/>
    <w:pPr>
      <w:framePr w:w="9138" w:h="1244" w:hRule="exact" w:wrap="around" w:vAnchor="page" w:hAnchor="margin" w:y="2908" w:anchorLock="1"/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rFonts w:ascii="Times New Roman" w:hAnsi="Times New Roman" w:eastAsia="宋体"/>
      <w:kern w:val="0"/>
      <w:sz w:val="28"/>
      <w:szCs w:val="20"/>
    </w:rPr>
  </w:style>
  <w:style w:type="paragraph" w:customStyle="1" w:styleId="35">
    <w:name w:val="封面标准代替信息"/>
    <w:basedOn w:val="34"/>
    <w:uiPriority w:val="0"/>
    <w:pPr>
      <w:spacing w:before="57"/>
    </w:pPr>
    <w:rPr>
      <w:rFonts w:ascii="宋体"/>
      <w:sz w:val="21"/>
    </w:rPr>
  </w:style>
  <w:style w:type="paragraph" w:customStyle="1" w:styleId="36">
    <w:name w:val="实施日期"/>
    <w:basedOn w:val="33"/>
    <w:uiPriority w:val="0"/>
    <w:pPr>
      <w:framePr w:hSpace="0" w:xAlign="right"/>
      <w:jc w:val="righ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35"/>
    <customShpInfo spid="_x0000_s1034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7</Pages>
  <Words>611</Words>
  <Characters>3485</Characters>
  <Lines>29</Lines>
  <Paragraphs>8</Paragraphs>
  <TotalTime>92</TotalTime>
  <ScaleCrop>false</ScaleCrop>
  <LinksUpToDate>false</LinksUpToDate>
  <CharactersWithSpaces>4088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2019-07-12T02:45:00Z</dcterms:created>
  <dc:creator>T430U</dc:creator>
  <cp:lastModifiedBy>高兰</cp:lastModifiedBy>
  <dcterms:modified xsi:type="dcterms:W3CDTF">2019-07-19T02:26:48Z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