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bookmarkStart w:id="2" w:name="_GoBack"/>
      <w:bookmarkEnd w:id="2"/>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eastAsia" w:cs="Times New Roman" w:eastAsiaTheme="minorEastAsia"/>
          <w:b/>
          <w:sz w:val="52"/>
          <w:szCs w:val="52"/>
          <w:lang w:eastAsia="zh-CN"/>
        </w:rPr>
        <w:t>镍钴二元素复合氧化物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val="en-US" w:eastAsia="zh-CN"/>
        </w:rPr>
        <w:t>征求意见稿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浙江华友钴业股份有限公司</w:t>
      </w:r>
    </w:p>
    <w:p>
      <w:pPr>
        <w:spacing w:line="360" w:lineRule="auto"/>
        <w:jc w:val="center"/>
        <w:rPr>
          <w:rFonts w:hint="default" w:ascii="Times New Roman" w:hAnsi="Times New Roman" w:cs="Times New Roman"/>
          <w:b/>
          <w:sz w:val="32"/>
          <w:highlight w:val="none"/>
        </w:rPr>
      </w:pPr>
      <w:r>
        <w:rPr>
          <w:rFonts w:hint="default" w:ascii="Times New Roman" w:hAnsi="Times New Roman" w:cs="Times New Roman"/>
          <w:b/>
          <w:sz w:val="44"/>
          <w:szCs w:val="44"/>
          <w:highlight w:val="none"/>
        </w:rPr>
        <w:t>201</w:t>
      </w:r>
      <w:r>
        <w:rPr>
          <w:rFonts w:hint="eastAsia" w:cs="Times New Roman"/>
          <w:b/>
          <w:sz w:val="44"/>
          <w:szCs w:val="44"/>
          <w:highlight w:val="none"/>
          <w:lang w:val="en-US" w:eastAsia="zh-CN"/>
        </w:rPr>
        <w:t>9</w:t>
      </w:r>
      <w:r>
        <w:rPr>
          <w:rFonts w:hint="default" w:ascii="Times New Roman" w:hAnsi="Times New Roman" w:cs="Times New Roman"/>
          <w:b/>
          <w:sz w:val="44"/>
          <w:szCs w:val="44"/>
          <w:highlight w:val="none"/>
        </w:rPr>
        <w:t>年</w:t>
      </w:r>
      <w:r>
        <w:rPr>
          <w:rFonts w:hint="eastAsia" w:cs="Times New Roman"/>
          <w:b/>
          <w:sz w:val="44"/>
          <w:szCs w:val="44"/>
          <w:highlight w:val="none"/>
          <w:lang w:val="en-US" w:eastAsia="zh-CN"/>
        </w:rPr>
        <w:t>6</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eastAsia"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根据《工业和信息化部办公厅关于印发2018年第二批行业标准制修订和外文版项目计划的通知》（工信厅科[2018]31号）及全国有色金属标准化技术委员会《关于转发2018年第一批有色金属行业标准、协会标准制（修）订项目计划的通知》有色标委[2018]33号的文件精神，由浙江华友钴业股份有限公司负责起草《</w:t>
      </w:r>
      <w:r>
        <w:rPr>
          <w:rFonts w:hint="eastAsia" w:cs="Times New Roman"/>
          <w:kern w:val="0"/>
          <w:szCs w:val="21"/>
          <w:lang w:eastAsia="zh-CN"/>
        </w:rPr>
        <w:t>镍钴二元素复合氧化物</w:t>
      </w:r>
      <w:r>
        <w:rPr>
          <w:rFonts w:hint="default" w:ascii="Times New Roman" w:hAnsi="Times New Roman" w:cs="Times New Roman"/>
          <w:kern w:val="0"/>
          <w:szCs w:val="21"/>
        </w:rPr>
        <w:t>》行业标准，项目计划编号2018-0514T-Y</w:t>
      </w:r>
      <w:r>
        <w:rPr>
          <w:rFonts w:hint="default" w:ascii="Times New Roman" w:hAnsi="Times New Roman" w:cs="Times New Roman"/>
          <w:color w:val="auto"/>
          <w:kern w:val="0"/>
          <w:szCs w:val="21"/>
        </w:rPr>
        <w:t>S，计划于2020年完成。</w:t>
      </w:r>
    </w:p>
    <w:p>
      <w:pPr>
        <w:spacing w:line="360" w:lineRule="auto"/>
        <w:rPr>
          <w:rFonts w:hint="default" w:ascii="Times New Roman" w:hAnsi="Times New Roman" w:cs="Times New Roman"/>
          <w:b/>
          <w:bCs/>
          <w:szCs w:val="28"/>
        </w:rPr>
      </w:pPr>
      <w:r>
        <w:rPr>
          <w:rFonts w:hint="eastAsia" w:cs="Times New Roman"/>
          <w:b/>
          <w:bCs/>
          <w:szCs w:val="28"/>
          <w:lang w:val="en-US" w:eastAsia="zh-CN"/>
        </w:rPr>
        <w:t>1.2</w:t>
      </w:r>
      <w:r>
        <w:rPr>
          <w:rFonts w:hint="default" w:ascii="Times New Roman" w:hAnsi="Times New Roman" w:cs="Times New Roman"/>
          <w:b/>
          <w:bCs/>
          <w:szCs w:val="28"/>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kern w:val="0"/>
          <w:szCs w:val="21"/>
          <w:lang w:eastAsia="zh-TW"/>
        </w:rPr>
      </w:pPr>
      <w:r>
        <w:rPr>
          <w:rFonts w:hint="default" w:ascii="Times New Roman" w:hAnsi="Times New Roman" w:cs="Times New Roman"/>
          <w:kern w:val="0"/>
          <w:szCs w:val="21"/>
          <w:lang w:eastAsia="zh-TW"/>
        </w:rPr>
        <w:t xml:space="preserve"> </w:t>
      </w:r>
      <w:r>
        <w:rPr>
          <w:rFonts w:hint="eastAsia" w:ascii="Times New Roman" w:hAnsi="Times New Roman" w:cs="Times New Roman"/>
          <w:kern w:val="0"/>
          <w:szCs w:val="21"/>
          <w:lang w:eastAsia="zh-TW"/>
        </w:rPr>
        <w:t>新能源汽车已经成为节能环保大战略的重要组成部分。《中国制造2025》明确了动力电池发展规划：2020年，电池能量密度达到300Wh/kg；2025年，电池能量密度达到400Wh/kg</w:t>
      </w:r>
      <w:r>
        <w:rPr>
          <w:rFonts w:hint="default" w:ascii="Times New Roman" w:hAnsi="Times New Roman" w:cs="Times New Roman"/>
          <w:kern w:val="0"/>
          <w:szCs w:val="21"/>
          <w:lang w:eastAsia="zh-TW"/>
        </w:rPr>
        <w:t>。正极材料的好坏，直接决定了电池的最终性能，而且正极材料在电池成本中所占比例高达40%左右。目前常</w:t>
      </w:r>
      <w:r>
        <w:rPr>
          <w:rFonts w:hint="eastAsia" w:ascii="Times New Roman" w:hAnsi="Times New Roman" w:cs="Times New Roman"/>
          <w:kern w:val="0"/>
          <w:szCs w:val="21"/>
          <w:lang w:val="en-US" w:eastAsia="zh-CN"/>
        </w:rPr>
        <w:t>见</w:t>
      </w:r>
      <w:r>
        <w:rPr>
          <w:rFonts w:hint="default" w:ascii="Times New Roman" w:hAnsi="Times New Roman" w:cs="Times New Roman"/>
          <w:kern w:val="0"/>
          <w:szCs w:val="21"/>
          <w:lang w:eastAsia="zh-TW"/>
        </w:rPr>
        <w:t>的</w:t>
      </w:r>
      <w:r>
        <w:rPr>
          <w:rFonts w:hint="eastAsia" w:ascii="Times New Roman" w:hAnsi="Times New Roman" w:cs="Times New Roman"/>
          <w:kern w:val="0"/>
          <w:szCs w:val="21"/>
          <w:lang w:val="en-US" w:eastAsia="zh-CN"/>
        </w:rPr>
        <w:t>动力电池</w:t>
      </w:r>
      <w:r>
        <w:rPr>
          <w:rFonts w:hint="default" w:ascii="Times New Roman" w:hAnsi="Times New Roman" w:cs="Times New Roman"/>
          <w:kern w:val="0"/>
          <w:szCs w:val="21"/>
          <w:lang w:eastAsia="zh-TW"/>
        </w:rPr>
        <w:t>锂离子正极材料有</w:t>
      </w:r>
      <w:r>
        <w:rPr>
          <w:rFonts w:hint="eastAsia" w:ascii="Times New Roman" w:hAnsi="Times New Roman" w:cs="Times New Roman"/>
          <w:kern w:val="0"/>
          <w:szCs w:val="21"/>
          <w:lang w:val="en-US" w:eastAsia="zh-CN"/>
        </w:rPr>
        <w:t>LiNi</w:t>
      </w:r>
      <w:r>
        <w:rPr>
          <w:rFonts w:hint="eastAsia" w:ascii="Times New Roman" w:hAnsi="Times New Roman" w:cs="Times New Roman"/>
          <w:kern w:val="0"/>
          <w:szCs w:val="21"/>
          <w:vertAlign w:val="subscript"/>
          <w:lang w:val="en-US" w:eastAsia="zh-CN"/>
        </w:rPr>
        <w:t>x</w:t>
      </w:r>
      <w:r>
        <w:rPr>
          <w:rFonts w:hint="eastAsia" w:ascii="Times New Roman" w:hAnsi="Times New Roman" w:cs="Times New Roman"/>
          <w:kern w:val="0"/>
          <w:szCs w:val="21"/>
          <w:lang w:val="en-US" w:eastAsia="zh-CN"/>
        </w:rPr>
        <w:t>Co</w:t>
      </w:r>
      <w:r>
        <w:rPr>
          <w:rFonts w:hint="eastAsia" w:ascii="Times New Roman" w:hAnsi="Times New Roman" w:cs="Times New Roman"/>
          <w:kern w:val="0"/>
          <w:szCs w:val="21"/>
          <w:vertAlign w:val="subscript"/>
          <w:lang w:val="en-US" w:eastAsia="zh-CN"/>
        </w:rPr>
        <w:t>y</w:t>
      </w:r>
      <w:r>
        <w:rPr>
          <w:rFonts w:hint="eastAsia" w:ascii="Times New Roman" w:hAnsi="Times New Roman" w:cs="Times New Roman"/>
          <w:kern w:val="0"/>
          <w:szCs w:val="21"/>
          <w:lang w:val="en-US" w:eastAsia="zh-CN"/>
        </w:rPr>
        <w:t>Mn</w:t>
      </w:r>
      <w:r>
        <w:rPr>
          <w:rFonts w:hint="eastAsia" w:ascii="Times New Roman" w:hAnsi="Times New Roman" w:cs="Times New Roman"/>
          <w:kern w:val="0"/>
          <w:szCs w:val="21"/>
          <w:vertAlign w:val="subscript"/>
          <w:lang w:val="en-US" w:eastAsia="zh-CN"/>
        </w:rPr>
        <w:t>z</w:t>
      </w:r>
      <w:r>
        <w:rPr>
          <w:rFonts w:hint="eastAsia" w:ascii="Times New Roman" w:hAnsi="Times New Roman" w:cs="Times New Roman"/>
          <w:kern w:val="0"/>
          <w:szCs w:val="21"/>
          <w:lang w:val="en-US" w:eastAsia="zh-CN"/>
        </w:rPr>
        <w:t>O</w:t>
      </w:r>
      <w:r>
        <w:rPr>
          <w:rFonts w:hint="eastAsia" w:ascii="Times New Roman" w:hAnsi="Times New Roman" w:cs="Times New Roman"/>
          <w:kern w:val="0"/>
          <w:szCs w:val="21"/>
          <w:vertAlign w:val="subscript"/>
          <w:lang w:val="en-US" w:eastAsia="zh-CN"/>
        </w:rPr>
        <w:t>2</w:t>
      </w:r>
      <w:r>
        <w:rPr>
          <w:rFonts w:hint="default" w:ascii="Times New Roman" w:hAnsi="Times New Roman" w:cs="Times New Roman"/>
          <w:kern w:val="0"/>
          <w:szCs w:val="21"/>
          <w:lang w:eastAsia="zh-TW"/>
        </w:rPr>
        <w:t>，</w:t>
      </w:r>
      <w:r>
        <w:rPr>
          <w:rFonts w:hint="eastAsia" w:ascii="Times New Roman" w:hAnsi="Times New Roman" w:cs="Times New Roman"/>
          <w:kern w:val="0"/>
          <w:szCs w:val="21"/>
          <w:lang w:val="en-US" w:eastAsia="zh-CN"/>
        </w:rPr>
        <w:t>LiFePO</w:t>
      </w:r>
      <w:r>
        <w:rPr>
          <w:rFonts w:hint="eastAsia" w:ascii="Times New Roman" w:hAnsi="Times New Roman" w:cs="Times New Roman"/>
          <w:kern w:val="0"/>
          <w:szCs w:val="21"/>
          <w:vertAlign w:val="subscript"/>
          <w:lang w:val="en-US" w:eastAsia="zh-CN"/>
        </w:rPr>
        <w:t>4</w:t>
      </w:r>
      <w:r>
        <w:rPr>
          <w:rFonts w:hint="default" w:ascii="Times New Roman" w:hAnsi="Times New Roman" w:cs="Times New Roman"/>
          <w:kern w:val="0"/>
          <w:szCs w:val="21"/>
          <w:lang w:val="en-US" w:eastAsia="zh-TW"/>
        </w:rPr>
        <w:t>，</w:t>
      </w:r>
      <w:r>
        <w:rPr>
          <w:rFonts w:hint="eastAsia" w:ascii="Times New Roman" w:hAnsi="Times New Roman" w:cs="Times New Roman"/>
          <w:kern w:val="0"/>
          <w:szCs w:val="21"/>
          <w:lang w:val="en-US" w:eastAsia="zh-CN"/>
        </w:rPr>
        <w:t>LiNi</w:t>
      </w:r>
      <w:r>
        <w:rPr>
          <w:rFonts w:hint="eastAsia" w:ascii="Times New Roman" w:hAnsi="Times New Roman" w:cs="Times New Roman"/>
          <w:kern w:val="0"/>
          <w:szCs w:val="21"/>
          <w:vertAlign w:val="subscript"/>
          <w:lang w:val="en-US" w:eastAsia="zh-CN"/>
        </w:rPr>
        <w:t>x</w:t>
      </w:r>
      <w:r>
        <w:rPr>
          <w:rFonts w:hint="eastAsia" w:ascii="Times New Roman" w:hAnsi="Times New Roman" w:cs="Times New Roman"/>
          <w:kern w:val="0"/>
          <w:szCs w:val="21"/>
          <w:lang w:val="en-US" w:eastAsia="zh-CN"/>
        </w:rPr>
        <w:t>Co</w:t>
      </w:r>
      <w:r>
        <w:rPr>
          <w:rFonts w:hint="eastAsia" w:ascii="Times New Roman" w:hAnsi="Times New Roman" w:cs="Times New Roman"/>
          <w:kern w:val="0"/>
          <w:szCs w:val="21"/>
          <w:vertAlign w:val="subscript"/>
          <w:lang w:val="en-US" w:eastAsia="zh-CN"/>
        </w:rPr>
        <w:t>y</w:t>
      </w:r>
      <w:r>
        <w:rPr>
          <w:rFonts w:hint="eastAsia" w:ascii="Times New Roman" w:hAnsi="Times New Roman" w:cs="Times New Roman"/>
          <w:kern w:val="0"/>
          <w:szCs w:val="21"/>
          <w:lang w:val="en-US" w:eastAsia="zh-CN"/>
        </w:rPr>
        <w:t>Al</w:t>
      </w:r>
      <w:r>
        <w:rPr>
          <w:rFonts w:hint="eastAsia" w:ascii="Times New Roman" w:hAnsi="Times New Roman" w:cs="Times New Roman"/>
          <w:kern w:val="0"/>
          <w:szCs w:val="21"/>
          <w:vertAlign w:val="subscript"/>
          <w:lang w:val="en-US" w:eastAsia="zh-CN"/>
        </w:rPr>
        <w:t>z</w:t>
      </w:r>
      <w:r>
        <w:rPr>
          <w:rFonts w:hint="eastAsia" w:ascii="Times New Roman" w:hAnsi="Times New Roman" w:cs="Times New Roman"/>
          <w:kern w:val="0"/>
          <w:szCs w:val="21"/>
          <w:lang w:val="en-US" w:eastAsia="zh-CN"/>
        </w:rPr>
        <w:t>O</w:t>
      </w:r>
      <w:r>
        <w:rPr>
          <w:rFonts w:hint="eastAsia" w:ascii="Times New Roman" w:hAnsi="Times New Roman" w:cs="Times New Roman"/>
          <w:kern w:val="0"/>
          <w:szCs w:val="21"/>
          <w:vertAlign w:val="subscript"/>
          <w:lang w:val="en-US" w:eastAsia="zh-CN"/>
        </w:rPr>
        <w:t>2</w:t>
      </w:r>
      <w:r>
        <w:rPr>
          <w:rFonts w:hint="default" w:ascii="Times New Roman" w:hAnsi="Times New Roman" w:cs="Times New Roman"/>
          <w:kern w:val="0"/>
          <w:szCs w:val="21"/>
          <w:lang w:eastAsia="zh-TW"/>
        </w:rPr>
        <w:t>等</w:t>
      </w:r>
      <w:r>
        <w:rPr>
          <w:rFonts w:hint="eastAsia" w:ascii="Times New Roman" w:hAnsi="Times New Roman" w:cs="Times New Roman"/>
          <w:kern w:val="0"/>
          <w:szCs w:val="21"/>
          <w:lang w:eastAsia="zh-CN"/>
        </w:rPr>
        <w:t>，</w:t>
      </w:r>
      <w:r>
        <w:rPr>
          <w:rFonts w:hint="eastAsia" w:ascii="Times New Roman" w:hAnsi="Times New Roman" w:cs="Times New Roman"/>
          <w:kern w:val="0"/>
          <w:szCs w:val="21"/>
          <w:lang w:val="en-US" w:eastAsia="zh-CN"/>
        </w:rPr>
        <w:t>其中以</w:t>
      </w:r>
      <w:r>
        <w:rPr>
          <w:rFonts w:hint="default" w:ascii="Times New Roman" w:hAnsi="Times New Roman" w:cs="Times New Roman"/>
          <w:kern w:val="0"/>
          <w:szCs w:val="21"/>
          <w:lang w:eastAsia="zh-TW"/>
        </w:rPr>
        <w:t>镍钴锰三元锂电高镍型811与NCA最有可能满足这一指标。</w:t>
      </w:r>
    </w:p>
    <w:p>
      <w:pPr>
        <w:spacing w:line="360" w:lineRule="auto"/>
        <w:ind w:firstLine="420" w:firstLineChars="200"/>
        <w:rPr>
          <w:rFonts w:ascii="Helvetica" w:hAnsi="Helvetica" w:eastAsia="Helvetica" w:cs="Helvetica"/>
          <w:color w:val="FF0000"/>
          <w:szCs w:val="21"/>
        </w:rPr>
      </w:pPr>
      <w:r>
        <w:rPr>
          <w:color w:val="auto"/>
          <w:highlight w:val="none"/>
        </w:rPr>
        <w:t>硫酸镍、硫酸钴与氢氧化钠溶液、氨水经湿法共沉淀得到镍钴二元复合氢氧化物，镍钴二元复合氢氧化物</w:t>
      </w:r>
      <w:r>
        <w:rPr>
          <w:rFonts w:hint="eastAsia"/>
          <w:color w:val="auto"/>
          <w:highlight w:val="none"/>
        </w:rPr>
        <w:t>经过焙烧后制得</w:t>
      </w:r>
      <w:r>
        <w:rPr>
          <w:color w:val="auto"/>
          <w:highlight w:val="none"/>
        </w:rPr>
        <w:t>镍钴二元</w:t>
      </w:r>
      <w:r>
        <w:rPr>
          <w:rFonts w:hint="eastAsia"/>
          <w:color w:val="auto"/>
          <w:highlight w:val="none"/>
          <w:lang w:val="en-US" w:eastAsia="zh-CN"/>
        </w:rPr>
        <w:t>素</w:t>
      </w:r>
      <w:r>
        <w:rPr>
          <w:color w:val="auto"/>
          <w:highlight w:val="none"/>
        </w:rPr>
        <w:t>复合氧化物</w:t>
      </w:r>
      <w:r>
        <w:rPr>
          <w:rFonts w:hint="eastAsia"/>
          <w:color w:val="auto"/>
          <w:highlight w:val="none"/>
        </w:rPr>
        <w:t>，其</w:t>
      </w:r>
      <w:r>
        <w:rPr>
          <w:color w:val="auto"/>
          <w:highlight w:val="none"/>
        </w:rPr>
        <w:t>具有振实密度高、杂质含量低</w:t>
      </w:r>
      <w:r>
        <w:rPr>
          <w:rFonts w:hint="eastAsia"/>
          <w:color w:val="auto"/>
          <w:highlight w:val="none"/>
        </w:rPr>
        <w:t>、能量密度高</w:t>
      </w:r>
      <w:r>
        <w:rPr>
          <w:color w:val="auto"/>
          <w:highlight w:val="none"/>
        </w:rPr>
        <w:t>等优点</w:t>
      </w:r>
      <w:r>
        <w:rPr>
          <w:rFonts w:hint="eastAsia"/>
          <w:color w:val="auto"/>
          <w:highlight w:val="none"/>
        </w:rPr>
        <w:t>，</w:t>
      </w:r>
      <w:r>
        <w:rPr>
          <w:color w:val="auto"/>
          <w:highlight w:val="none"/>
        </w:rPr>
        <w:t>是用于制备镍钴酸锂和镍钴铝酸锂等正极材料的重要原材料</w:t>
      </w:r>
      <w:r>
        <w:rPr>
          <w:rFonts w:hint="default" w:ascii="Times New Roman" w:hAnsi="Times New Roman" w:cs="Times New Roman"/>
          <w:color w:val="auto"/>
          <w:kern w:val="0"/>
          <w:szCs w:val="21"/>
          <w:highlight w:val="none"/>
        </w:rPr>
        <w:t>。</w:t>
      </w:r>
      <w:r>
        <w:rPr>
          <w:rFonts w:hint="default" w:ascii="Times New Roman" w:hAnsi="Times New Roman" w:cs="Times New Roman"/>
          <w:color w:val="auto"/>
          <w:kern w:val="0"/>
          <w:szCs w:val="21"/>
          <w:highlight w:val="none"/>
          <w:lang w:eastAsia="zh-TW"/>
        </w:rPr>
        <w:t>以镍</w:t>
      </w:r>
      <w:r>
        <w:rPr>
          <w:rFonts w:hint="default" w:ascii="Times New Roman" w:hAnsi="Times New Roman" w:cs="Times New Roman"/>
          <w:kern w:val="0"/>
          <w:szCs w:val="21"/>
          <w:lang w:eastAsia="zh-TW"/>
        </w:rPr>
        <w:t>钴酸锂和镍钴铝酸锂为正极材料的锂电池，具有比容量高、热稳定性和循环稳定性好、倍率性能</w:t>
      </w:r>
      <w:r>
        <w:rPr>
          <w:rFonts w:hint="default" w:ascii="Times New Roman" w:hAnsi="Times New Roman" w:cs="Times New Roman"/>
          <w:color w:val="auto"/>
          <w:kern w:val="0"/>
          <w:szCs w:val="21"/>
          <w:lang w:eastAsia="zh-TW"/>
        </w:rPr>
        <w:t>优良等突出优点，在电子设备、通讯和</w:t>
      </w:r>
      <w:r>
        <w:rPr>
          <w:rFonts w:hint="eastAsia" w:ascii="Times New Roman" w:hAnsi="Times New Roman" w:cs="Times New Roman"/>
          <w:color w:val="auto"/>
          <w:kern w:val="0"/>
          <w:szCs w:val="21"/>
          <w:lang w:val="en-US" w:eastAsia="zh-CN"/>
        </w:rPr>
        <w:t>新能源汽车</w:t>
      </w:r>
      <w:r>
        <w:rPr>
          <w:rFonts w:hint="default" w:ascii="Times New Roman" w:hAnsi="Times New Roman" w:cs="Times New Roman"/>
          <w:color w:val="auto"/>
          <w:kern w:val="0"/>
          <w:szCs w:val="21"/>
          <w:lang w:eastAsia="zh-TW"/>
        </w:rPr>
        <w:t>等领域具有广阔的应用前景。</w:t>
      </w:r>
      <w:r>
        <w:rPr>
          <w:rFonts w:hint="default" w:ascii="Times New Roman" w:hAnsi="Times New Roman" w:cs="Times New Roman"/>
          <w:color w:val="auto"/>
          <w:kern w:val="0"/>
          <w:szCs w:val="21"/>
        </w:rPr>
        <w:t>国内三元锂电材料产能正在经历扩张高峰，对前驱体材料的需求量很大，势必带动其产能快速扩张。</w:t>
      </w:r>
      <w:r>
        <w:rPr>
          <w:rFonts w:ascii="Helvetica" w:hAnsi="Helvetica" w:eastAsia="Helvetica" w:cs="Helvetica"/>
          <w:color w:val="auto"/>
          <w:szCs w:val="21"/>
        </w:rPr>
        <w:t>同时，国家通过实施新的补贴政策和“双积分”政策，引导和鼓励新能源汽车企业使用能量密度更高、续航里程更远的动力电池，未来市场对于高镍多元材料的需求量将进一步增加</w:t>
      </w:r>
      <w:r>
        <w:rPr>
          <w:rFonts w:hint="eastAsia" w:ascii="Helvetica" w:hAnsi="Helvetica" w:cs="Helvetica"/>
          <w:color w:val="auto"/>
          <w:szCs w:val="21"/>
          <w:lang w:eastAsia="zh-CN"/>
        </w:rPr>
        <w:t>，</w:t>
      </w:r>
      <w:r>
        <w:rPr>
          <w:rFonts w:hint="eastAsia"/>
          <w:color w:val="auto"/>
        </w:rPr>
        <w:t>对镍钴二元素复合氢氧化物的需求量也在持续增加。</w:t>
      </w:r>
    </w:p>
    <w:p>
      <w:pPr>
        <w:spacing w:line="360" w:lineRule="auto"/>
        <w:ind w:firstLine="420" w:firstLineChars="200"/>
        <w:rPr>
          <w:rFonts w:hint="default" w:ascii="Times New Roman" w:hAnsi="Times New Roman" w:cs="Times New Roman"/>
          <w:kern w:val="0"/>
          <w:szCs w:val="21"/>
        </w:rPr>
      </w:pPr>
      <w:r>
        <w:rPr>
          <w:rFonts w:hint="eastAsia" w:ascii="Times New Roman" w:hAnsi="Times New Roman" w:cs="Times New Roman"/>
          <w:kern w:val="0"/>
          <w:szCs w:val="21"/>
          <w:lang w:val="en-US" w:eastAsia="zh-CN"/>
        </w:rPr>
        <w:t>2018年标准化工作要点中也明确提出，要</w:t>
      </w:r>
      <w:r>
        <w:rPr>
          <w:rFonts w:hint="default" w:ascii="Times New Roman" w:hAnsi="Times New Roman" w:cs="Times New Roman"/>
          <w:kern w:val="0"/>
          <w:szCs w:val="21"/>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eastAsia" w:ascii="宋体" w:hAnsi="宋体" w:cs="宋体"/>
          <w:kern w:val="0"/>
          <w:szCs w:val="21"/>
          <w:lang w:val="en-US" w:eastAsia="zh-CN"/>
        </w:rPr>
        <w:t>，</w:t>
      </w:r>
      <w:r>
        <w:rPr>
          <w:rFonts w:hint="default" w:ascii="Times New Roman" w:hAnsi="Times New Roman" w:cs="Times New Roman"/>
          <w:kern w:val="0"/>
          <w:szCs w:val="21"/>
        </w:rPr>
        <w:t>镍钴二元复合氧化物行业标准的制定十分必要，且迫在眉睫。</w:t>
      </w:r>
    </w:p>
    <w:p>
      <w:pPr>
        <w:spacing w:line="360" w:lineRule="auto"/>
        <w:rPr>
          <w:rFonts w:hint="eastAsia" w:cs="Times New Roman"/>
          <w:b/>
          <w:bCs/>
          <w:kern w:val="0"/>
          <w:szCs w:val="21"/>
          <w:lang w:val="en-US" w:eastAsia="zh-CN"/>
        </w:rPr>
      </w:pPr>
      <w:r>
        <w:rPr>
          <w:rFonts w:hint="eastAsia" w:cs="Times New Roman"/>
          <w:b/>
          <w:bCs/>
          <w:kern w:val="0"/>
          <w:szCs w:val="21"/>
          <w:lang w:val="en-US" w:eastAsia="zh-CN"/>
        </w:rPr>
        <w:t>1.3适用范围</w:t>
      </w:r>
    </w:p>
    <w:p>
      <w:pPr>
        <w:pStyle w:val="28"/>
        <w:spacing w:line="360" w:lineRule="auto"/>
        <w:ind w:firstLine="420"/>
        <w:rPr>
          <w:rFonts w:hint="default" w:ascii="Times New Roman" w:hAnsi="Times New Roman" w:eastAsia="宋体" w:cs="Times New Roman"/>
          <w:szCs w:val="21"/>
          <w:lang w:val="en-US" w:eastAsia="zh-CN"/>
        </w:rPr>
      </w:pPr>
      <w:r>
        <w:rPr>
          <w:rFonts w:hint="default" w:ascii="Times New Roman" w:hAnsi="Times New Roman" w:cs="Times New Roman"/>
          <w:szCs w:val="21"/>
        </w:rPr>
        <w:t>本标准规定了</w:t>
      </w:r>
      <w:r>
        <w:rPr>
          <w:rFonts w:hint="eastAsia" w:ascii="Times New Roman" w:cs="Times New Roman"/>
          <w:szCs w:val="21"/>
          <w:lang w:eastAsia="zh-CN"/>
        </w:rPr>
        <w:t>镍钴二元素复合氧化物</w:t>
      </w:r>
      <w:r>
        <w:rPr>
          <w:rFonts w:hint="default" w:ascii="Times New Roman" w:hAnsi="Times New Roman" w:cs="Times New Roman"/>
          <w:szCs w:val="21"/>
        </w:rPr>
        <w:t>的技术要求、试验方法、检验规则和包装、标志、运输、贮存</w:t>
      </w:r>
      <w:r>
        <w:rPr>
          <w:rFonts w:hint="default" w:ascii="Times New Roman" w:hAnsi="Times New Roman" w:cs="Times New Roman"/>
          <w:szCs w:val="21"/>
          <w:lang w:eastAsia="zh-CN"/>
        </w:rPr>
        <w:t>、</w:t>
      </w:r>
      <w:r>
        <w:rPr>
          <w:rFonts w:hint="eastAsia" w:ascii="Times New Roman" w:cs="Times New Roman"/>
          <w:szCs w:val="21"/>
          <w:lang w:eastAsia="zh-CN"/>
        </w:rPr>
        <w:t>质量预报单</w:t>
      </w:r>
      <w:r>
        <w:rPr>
          <w:rFonts w:hint="default" w:ascii="Times New Roman" w:hAnsi="Times New Roman" w:cs="Times New Roman"/>
          <w:szCs w:val="21"/>
          <w:lang w:eastAsia="zh-CN"/>
        </w:rPr>
        <w:t>、</w:t>
      </w:r>
      <w:r>
        <w:rPr>
          <w:rFonts w:hint="eastAsia" w:ascii="Times New Roman" w:cs="Times New Roman"/>
          <w:szCs w:val="21"/>
          <w:lang w:eastAsia="zh-CN"/>
        </w:rPr>
        <w:t>订货单（或合同）</w:t>
      </w:r>
      <w:r>
        <w:rPr>
          <w:rFonts w:hint="eastAsia" w:ascii="Times New Roman" w:cs="Times New Roman"/>
          <w:szCs w:val="21"/>
          <w:lang w:val="en-US" w:eastAsia="zh-CN"/>
        </w:rPr>
        <w:t>等内容。</w:t>
      </w:r>
    </w:p>
    <w:p>
      <w:pPr>
        <w:pStyle w:val="28"/>
        <w:spacing w:line="360" w:lineRule="auto"/>
        <w:ind w:firstLine="420"/>
        <w:rPr>
          <w:rFonts w:hint="default" w:ascii="Times New Roman" w:hAnsi="Times New Roman" w:cs="Times New Roman"/>
          <w:color w:val="000000"/>
          <w:kern w:val="2"/>
          <w:szCs w:val="21"/>
          <w:lang w:val="en-US" w:eastAsia="zh-CN"/>
        </w:rPr>
      </w:pPr>
      <w:r>
        <w:rPr>
          <w:rFonts w:hint="default" w:ascii="Times New Roman" w:hAnsi="Times New Roman" w:cs="Times New Roman"/>
          <w:szCs w:val="21"/>
        </w:rPr>
        <w:t>本标准适用于</w:t>
      </w:r>
      <w:r>
        <w:rPr>
          <w:rFonts w:hint="default" w:ascii="Times New Roman" w:hAnsi="Times New Roman" w:cs="Times New Roman"/>
          <w:szCs w:val="21"/>
          <w:lang w:eastAsia="zh-CN"/>
        </w:rPr>
        <w:t>湿法共沉</w:t>
      </w:r>
      <w:r>
        <w:rPr>
          <w:rFonts w:hint="eastAsia" w:ascii="Times New Roman" w:cs="Times New Roman"/>
          <w:szCs w:val="21"/>
          <w:lang w:val="en-US" w:eastAsia="zh-CN"/>
        </w:rPr>
        <w:t>淀法</w:t>
      </w:r>
      <w:r>
        <w:rPr>
          <w:rFonts w:hint="default" w:ascii="Times New Roman" w:hAnsi="Times New Roman" w:cs="Times New Roman"/>
          <w:szCs w:val="21"/>
          <w:lang w:eastAsia="zh-CN"/>
        </w:rPr>
        <w:t>生产的</w:t>
      </w:r>
      <w:r>
        <w:rPr>
          <w:rFonts w:hint="eastAsia" w:ascii="Times New Roman" w:cs="Times New Roman"/>
          <w:szCs w:val="21"/>
          <w:lang w:eastAsia="zh-CN"/>
        </w:rPr>
        <w:t>镍钴二元素复合氧化物</w:t>
      </w:r>
      <w:r>
        <w:rPr>
          <w:rFonts w:hint="default" w:ascii="Times New Roman" w:hAnsi="Times New Roman" w:cs="Times New Roman"/>
          <w:szCs w:val="21"/>
          <w:lang w:eastAsia="zh-CN"/>
        </w:rPr>
        <w:t>，</w:t>
      </w:r>
      <w:r>
        <w:rPr>
          <w:rFonts w:hint="default" w:ascii="Times New Roman" w:hAnsi="Times New Roman" w:cs="Times New Roman"/>
          <w:szCs w:val="21"/>
        </w:rPr>
        <w:t>是</w:t>
      </w:r>
      <w:r>
        <w:rPr>
          <w:rFonts w:hint="default" w:ascii="Times New Roman" w:hAnsi="Times New Roman" w:cs="Times New Roman"/>
        </w:rPr>
        <w:t>用于制备镍钴酸锂和镍钴铝酸锂等正极材料的重要原材料</w:t>
      </w:r>
      <w:r>
        <w:rPr>
          <w:rFonts w:hint="default" w:ascii="Times New Roman" w:hAnsi="Times New Roman" w:cs="Times New Roman"/>
          <w:color w:val="000000"/>
          <w:kern w:val="2"/>
          <w:szCs w:val="21"/>
          <w:lang w:val="en-US" w:eastAsia="zh-CN"/>
        </w:rPr>
        <w:t>。</w:t>
      </w:r>
    </w:p>
    <w:p>
      <w:pPr>
        <w:spacing w:line="360" w:lineRule="auto"/>
        <w:rPr>
          <w:rFonts w:hint="eastAsia" w:cs="Times New Roman"/>
          <w:b/>
          <w:bCs/>
          <w:kern w:val="0"/>
          <w:szCs w:val="21"/>
          <w:lang w:val="en-US" w:eastAsia="zh-CN"/>
        </w:rPr>
      </w:pPr>
      <w:r>
        <w:rPr>
          <w:rFonts w:hint="eastAsia"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随着电动汽车市场的兴起，中国市场新能源汽车爆发式增长，国内各大电池材料商家都在扩产布局。目前国内做正极材料前驱体的企业主要包</w:t>
      </w:r>
      <w:r>
        <w:rPr>
          <w:rFonts w:hint="default" w:ascii="Times New Roman" w:hAnsi="Times New Roman" w:cs="Times New Roman"/>
          <w:color w:val="auto"/>
          <w:szCs w:val="28"/>
        </w:rPr>
        <w:t>括</w:t>
      </w:r>
      <w:r>
        <w:rPr>
          <w:rFonts w:hint="eastAsia" w:cs="Times New Roman"/>
          <w:color w:val="auto"/>
          <w:szCs w:val="28"/>
          <w:lang w:val="en-US" w:eastAsia="zh-CN"/>
        </w:rPr>
        <w:t>浙江</w:t>
      </w:r>
      <w:r>
        <w:rPr>
          <w:rFonts w:hint="default" w:ascii="Times New Roman" w:hAnsi="Times New Roman" w:cs="Times New Roman"/>
          <w:color w:val="auto"/>
          <w:szCs w:val="28"/>
        </w:rPr>
        <w:t>华友钴业</w:t>
      </w:r>
      <w:r>
        <w:rPr>
          <w:rFonts w:hint="eastAsia" w:cs="Times New Roman"/>
          <w:color w:val="auto"/>
          <w:szCs w:val="28"/>
          <w:lang w:val="en-US" w:eastAsia="zh-CN"/>
        </w:rPr>
        <w:t>股份有限公司</w:t>
      </w:r>
      <w:r>
        <w:rPr>
          <w:rFonts w:hint="default" w:ascii="Times New Roman" w:hAnsi="Times New Roman" w:cs="Times New Roman"/>
          <w:color w:val="auto"/>
          <w:szCs w:val="28"/>
        </w:rPr>
        <w:t>、</w:t>
      </w:r>
      <w:r>
        <w:rPr>
          <w:rFonts w:hint="eastAsia" w:cs="Times New Roman"/>
          <w:color w:val="auto"/>
          <w:szCs w:val="28"/>
          <w:lang w:val="en-US" w:eastAsia="zh-CN"/>
        </w:rPr>
        <w:t>华友新能源科技（衢州）有限公司、</w:t>
      </w:r>
      <w:r>
        <w:rPr>
          <w:rFonts w:hint="default" w:ascii="Times New Roman" w:hAnsi="Times New Roman" w:cs="Times New Roman"/>
          <w:color w:val="auto"/>
          <w:szCs w:val="28"/>
        </w:rPr>
        <w:t>格林美</w:t>
      </w:r>
      <w:r>
        <w:rPr>
          <w:rFonts w:hint="eastAsia" w:cs="Times New Roman"/>
          <w:color w:val="auto"/>
          <w:szCs w:val="28"/>
          <w:lang w:val="en-US" w:eastAsia="zh-CN"/>
        </w:rPr>
        <w:t>股份有限公司</w:t>
      </w:r>
      <w:r>
        <w:rPr>
          <w:rFonts w:hint="default" w:ascii="Times New Roman" w:hAnsi="Times New Roman" w:cs="Times New Roman"/>
          <w:color w:val="auto"/>
          <w:szCs w:val="28"/>
        </w:rPr>
        <w:t>、湖南邦普</w:t>
      </w:r>
      <w:r>
        <w:rPr>
          <w:rFonts w:hint="eastAsia" w:cs="Times New Roman"/>
          <w:color w:val="auto"/>
          <w:szCs w:val="28"/>
          <w:lang w:val="en-US" w:eastAsia="zh-CN"/>
        </w:rPr>
        <w:t>循环科技有限公司</w:t>
      </w:r>
      <w:r>
        <w:rPr>
          <w:rFonts w:hint="default" w:ascii="Times New Roman" w:hAnsi="Times New Roman" w:cs="Times New Roman"/>
          <w:color w:val="auto"/>
          <w:szCs w:val="28"/>
        </w:rPr>
        <w:t>、</w:t>
      </w:r>
      <w:r>
        <w:rPr>
          <w:rFonts w:hint="eastAsia"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eastAsia" w:cs="Times New Roman"/>
          <w:color w:val="auto"/>
          <w:szCs w:val="28"/>
          <w:lang w:val="en-US" w:eastAsia="zh-CN"/>
        </w:rPr>
        <w:t>新材料有限公司</w:t>
      </w:r>
      <w:r>
        <w:rPr>
          <w:rFonts w:hint="default" w:ascii="Times New Roman" w:hAnsi="Times New Roman" w:cs="Times New Roman"/>
          <w:color w:val="auto"/>
          <w:szCs w:val="28"/>
        </w:rPr>
        <w:t>、</w:t>
      </w:r>
      <w:r>
        <w:rPr>
          <w:rFonts w:hint="eastAsia" w:cs="Times New Roman"/>
          <w:color w:val="auto"/>
          <w:szCs w:val="28"/>
          <w:lang w:val="en-US" w:eastAsia="zh-CN"/>
        </w:rPr>
        <w:t>广东</w:t>
      </w:r>
      <w:r>
        <w:rPr>
          <w:rFonts w:hint="default" w:ascii="Times New Roman" w:hAnsi="Times New Roman" w:cs="Times New Roman"/>
          <w:color w:val="auto"/>
          <w:szCs w:val="28"/>
        </w:rPr>
        <w:t>佳纳</w:t>
      </w:r>
      <w:r>
        <w:rPr>
          <w:rFonts w:hint="eastAsia" w:cs="Times New Roman"/>
          <w:color w:val="auto"/>
          <w:szCs w:val="28"/>
          <w:lang w:val="en-US" w:eastAsia="zh-CN"/>
        </w:rPr>
        <w:t>能源科技有限公司</w:t>
      </w:r>
      <w:r>
        <w:rPr>
          <w:rFonts w:hint="default" w:ascii="Times New Roman" w:hAnsi="Times New Roman" w:cs="Times New Roman"/>
          <w:color w:val="auto"/>
          <w:szCs w:val="28"/>
        </w:rPr>
        <w:t>、金驰</w:t>
      </w:r>
      <w:r>
        <w:rPr>
          <w:rFonts w:hint="eastAsia" w:cs="Times New Roman"/>
          <w:color w:val="auto"/>
          <w:szCs w:val="28"/>
          <w:lang w:val="en-US" w:eastAsia="zh-CN"/>
        </w:rPr>
        <w:t>能源材料有限公司</w:t>
      </w:r>
      <w:r>
        <w:rPr>
          <w:rFonts w:hint="default" w:ascii="Times New Roman" w:hAnsi="Times New Roman" w:cs="Times New Roman"/>
          <w:color w:val="auto"/>
          <w:szCs w:val="28"/>
        </w:rPr>
        <w:t>、</w:t>
      </w:r>
      <w:r>
        <w:rPr>
          <w:rFonts w:hint="eastAsia" w:cs="Times New Roman"/>
          <w:color w:val="auto"/>
          <w:szCs w:val="28"/>
          <w:lang w:val="en-US" w:eastAsia="zh-CN"/>
        </w:rPr>
        <w:t>浙江帕瓦新能源股份有限公司</w:t>
      </w:r>
      <w:r>
        <w:rPr>
          <w:rFonts w:hint="default" w:ascii="Times New Roman" w:hAnsi="Times New Roman" w:cs="Times New Roman"/>
          <w:color w:val="auto"/>
          <w:szCs w:val="28"/>
        </w:rPr>
        <w:t>等，预计未来随着新能源汽车产量的</w:t>
      </w:r>
      <w:r>
        <w:rPr>
          <w:rFonts w:hint="eastAsia" w:cs="Times New Roman"/>
          <w:color w:val="auto"/>
          <w:szCs w:val="28"/>
          <w:lang w:val="en-US" w:eastAsia="zh-CN"/>
        </w:rPr>
        <w:t>迅</w:t>
      </w:r>
      <w:r>
        <w:rPr>
          <w:rFonts w:hint="default" w:ascii="Times New Roman" w:hAnsi="Times New Roman" w:cs="Times New Roman"/>
          <w:color w:val="auto"/>
          <w:szCs w:val="28"/>
        </w:rPr>
        <w:t>速增加，会进一步拉动锂电池正极材</w:t>
      </w:r>
      <w:r>
        <w:rPr>
          <w:rFonts w:hint="default" w:ascii="Times New Roman" w:hAnsi="Times New Roman" w:cs="Times New Roman"/>
          <w:szCs w:val="28"/>
        </w:rPr>
        <w:t>料及其前驱体的需求增长。</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eastAsia" w:cs="Times New Roman"/>
          <w:szCs w:val="28"/>
          <w:lang w:eastAsia="zh-CN"/>
        </w:rPr>
        <w:t>，</w:t>
      </w:r>
      <w:r>
        <w:rPr>
          <w:rFonts w:hint="default" w:ascii="Times New Roman" w:hAnsi="Times New Roman" w:cs="Times New Roman"/>
          <w:szCs w:val="21"/>
        </w:rPr>
        <w:t>镍钴二元材料与锰酸锂、三元材料、磷酸铁锂等传统正极材料相比，具有电压平台高</w:t>
      </w:r>
      <w:r>
        <w:rPr>
          <w:rFonts w:hint="eastAsia" w:cs="Times New Roman"/>
          <w:szCs w:val="21"/>
          <w:highlight w:val="none"/>
          <w:lang w:eastAsia="zh-CN"/>
        </w:rPr>
        <w:t>、</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比容量高</w:t>
      </w:r>
      <w:r>
        <w:rPr>
          <w:rFonts w:hint="eastAsia" w:cs="Times New Roman" w:eastAsiaTheme="minorEastAsia"/>
          <w:color w:val="000000" w:themeColor="text1"/>
          <w:szCs w:val="21"/>
          <w:highlight w:val="none"/>
          <w:lang w:eastAsia="zh-CN"/>
          <w14:textFill>
            <w14:solidFill>
              <w14:schemeClr w14:val="tx1"/>
            </w14:solidFill>
          </w14:textFill>
        </w:rPr>
        <w:t>、</w:t>
      </w:r>
      <w:r>
        <w:rPr>
          <w:rFonts w:hint="default" w:ascii="Times New Roman" w:hAnsi="Times New Roman" w:cs="Times New Roman"/>
          <w:szCs w:val="21"/>
          <w:highlight w:val="none"/>
        </w:rPr>
        <w:t>安全性能好，</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热稳定性和</w:t>
      </w:r>
      <w:r>
        <w:rPr>
          <w:rFonts w:hint="default" w:ascii="Times New Roman" w:hAnsi="Times New Roman" w:cs="Times New Roman"/>
          <w:szCs w:val="21"/>
          <w:highlight w:val="none"/>
        </w:rPr>
        <w:t>循环性能</w:t>
      </w:r>
      <w:r>
        <w:rPr>
          <w:rFonts w:hint="eastAsia" w:cs="Times New Roman"/>
          <w:szCs w:val="21"/>
          <w:highlight w:val="none"/>
          <w:lang w:val="en-US" w:eastAsia="zh-CN"/>
        </w:rPr>
        <w:t>好</w:t>
      </w:r>
      <w:r>
        <w:rPr>
          <w:rFonts w:hint="default" w:ascii="Times New Roman" w:hAnsi="Times New Roman" w:cs="Times New Roman"/>
          <w:szCs w:val="21"/>
          <w:highlight w:val="none"/>
        </w:rPr>
        <w:t>、倍率性能优</w:t>
      </w:r>
      <w:r>
        <w:rPr>
          <w:rFonts w:hint="default" w:ascii="Times New Roman" w:hAnsi="Times New Roman" w:cs="Times New Roman"/>
          <w:szCs w:val="21"/>
        </w:rPr>
        <w:t>越，高电压电池配组容易等优势，在动力电池领域有广阔的应用前景</w:t>
      </w:r>
      <w:r>
        <w:rPr>
          <w:rFonts w:hint="eastAsia" w:cs="Times New Roman"/>
          <w:szCs w:val="21"/>
          <w:lang w:eastAsia="zh-CN"/>
        </w:rPr>
        <w:t>，</w:t>
      </w:r>
      <w:r>
        <w:rPr>
          <w:rFonts w:hint="eastAsia" w:cs="Times New Roman"/>
          <w:szCs w:val="21"/>
          <w:lang w:val="en-US" w:eastAsia="zh-CN"/>
        </w:rPr>
        <w:t>是</w:t>
      </w:r>
      <w:r>
        <w:rPr>
          <w:rFonts w:hint="default" w:ascii="Times New Roman" w:hAnsi="Times New Roman" w:cs="Times New Roman"/>
          <w:szCs w:val="28"/>
        </w:rPr>
        <w:t>最有可能满足这一指标</w:t>
      </w:r>
      <w:r>
        <w:rPr>
          <w:rFonts w:hint="eastAsia" w:cs="Times New Roman"/>
          <w:szCs w:val="28"/>
          <w:lang w:val="en-US" w:eastAsia="zh-CN"/>
        </w:rPr>
        <w:t>的前驱体材料之一</w:t>
      </w:r>
      <w:r>
        <w:rPr>
          <w:rFonts w:hint="default" w:ascii="Times New Roman" w:hAnsi="Times New Roman" w:cs="Times New Roman"/>
          <w:szCs w:val="28"/>
        </w:rPr>
        <w:t>。</w:t>
      </w:r>
    </w:p>
    <w:p>
      <w:pPr>
        <w:spacing w:line="360" w:lineRule="auto"/>
        <w:ind w:firstLine="420" w:firstLineChars="200"/>
        <w:rPr>
          <w:rFonts w:hint="default" w:ascii="Times New Roman" w:hAnsi="Times New Roman" w:eastAsia="宋体" w:cs="Times New Roman"/>
          <w:color w:val="auto"/>
          <w:kern w:val="0"/>
          <w:sz w:val="21"/>
          <w:szCs w:val="21"/>
          <w:lang w:val="zh-TW" w:eastAsia="zh-TW" w:bidi="ar-SA"/>
        </w:rPr>
      </w:pPr>
      <w:r>
        <w:rPr>
          <w:rFonts w:hint="eastAsia"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eastAsia"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尚无相应的国家标准或行业标准</w:t>
      </w:r>
      <w:r>
        <w:rPr>
          <w:rFonts w:hint="eastAsia" w:cs="Times New Roman"/>
          <w:color w:val="000000" w:themeColor="text1"/>
          <w:kern w:val="0"/>
          <w:sz w:val="21"/>
          <w:szCs w:val="21"/>
          <w:lang w:val="zh-TW" w:eastAsia="zh-CN" w:bidi="ar-SA"/>
          <w14:textFill>
            <w14:solidFill>
              <w14:schemeClr w14:val="tx1"/>
            </w14:solidFill>
          </w14:textFill>
        </w:rPr>
        <w:t>，</w:t>
      </w:r>
      <w:r>
        <w:rPr>
          <w:rFonts w:hint="eastAsia"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eastAsia" w:cs="Times New Roman"/>
          <w:color w:val="000000" w:themeColor="text1"/>
          <w:kern w:val="0"/>
          <w:sz w:val="21"/>
          <w:szCs w:val="21"/>
          <w:lang w:val="zh-TW" w:eastAsia="zh-CN" w:bidi="ar-SA"/>
          <w14:textFill>
            <w14:solidFill>
              <w14:schemeClr w14:val="tx1"/>
            </w14:solidFill>
          </w14:textFill>
        </w:rPr>
        <w:t>，</w:t>
      </w:r>
      <w:r>
        <w:rPr>
          <w:rFonts w:hint="eastAsia" w:cs="Times New Roman"/>
          <w:color w:val="000000" w:themeColor="text1"/>
          <w:kern w:val="0"/>
          <w:sz w:val="21"/>
          <w:szCs w:val="21"/>
          <w:lang w:val="en-US" w:eastAsia="zh-CN" w:bidi="ar-SA"/>
          <w14:textFill>
            <w14:solidFill>
              <w14:schemeClr w14:val="tx1"/>
            </w14:solidFill>
          </w14:textFill>
        </w:rPr>
        <w:t>对镍钴二元素复合氧化物的性能指标、检测方法等关键技术内容进行规定，能够促进国内企业生产工艺装备、技术水平、试验检测的升级发展，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w:t>
      </w:r>
      <w:r>
        <w:rPr>
          <w:rFonts w:hint="default" w:ascii="Times New Roman" w:hAnsi="Times New Roman" w:eastAsia="宋体" w:cs="Times New Roman"/>
          <w:color w:val="auto"/>
          <w:kern w:val="0"/>
          <w:sz w:val="21"/>
          <w:szCs w:val="21"/>
          <w:lang w:val="zh-TW" w:eastAsia="zh-TW" w:bidi="ar-SA"/>
        </w:rPr>
        <w:t>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color w:val="auto"/>
          <w:szCs w:val="28"/>
        </w:rPr>
        <w:t>1.</w:t>
      </w:r>
      <w:r>
        <w:rPr>
          <w:rFonts w:hint="eastAsia" w:cs="Times New Roman"/>
          <w:b/>
          <w:color w:val="auto"/>
          <w:szCs w:val="28"/>
          <w:lang w:val="en-US" w:eastAsia="zh-CN"/>
        </w:rPr>
        <w:t>5</w:t>
      </w:r>
      <w:r>
        <w:rPr>
          <w:rFonts w:hint="default" w:ascii="Times New Roman" w:hAnsi="Times New Roman" w:cs="Times New Roman"/>
          <w:b/>
          <w:color w:val="auto"/>
          <w:szCs w:val="28"/>
        </w:rPr>
        <w:t xml:space="preserve"> </w:t>
      </w:r>
      <w:r>
        <w:rPr>
          <w:rFonts w:hint="eastAsia" w:cs="Times New Roman"/>
          <w:b/>
          <w:color w:val="auto"/>
          <w:szCs w:val="28"/>
          <w:lang w:val="en-US" w:eastAsia="zh-CN"/>
        </w:rPr>
        <w:t>承担单位情况及</w:t>
      </w:r>
      <w:r>
        <w:rPr>
          <w:rFonts w:hint="default" w:ascii="Times New Roman" w:hAnsi="Times New Roman" w:cs="Times New Roman"/>
          <w:b/>
          <w:color w:val="auto"/>
          <w:szCs w:val="28"/>
        </w:rPr>
        <w:t>主要工作过</w:t>
      </w:r>
      <w:r>
        <w:rPr>
          <w:rFonts w:hint="default" w:ascii="Times New Roman" w:hAnsi="Times New Roman" w:cs="Times New Roman"/>
          <w:b/>
          <w:szCs w:val="28"/>
        </w:rPr>
        <w:t>程</w:t>
      </w:r>
    </w:p>
    <w:p>
      <w:pPr>
        <w:spacing w:line="360" w:lineRule="auto"/>
        <w:rPr>
          <w:rFonts w:hint="eastAsia" w:cs="Times New Roman"/>
          <w:b/>
          <w:szCs w:val="28"/>
          <w:lang w:val="en-US" w:eastAsia="zh-CN"/>
        </w:rPr>
      </w:pPr>
      <w:r>
        <w:rPr>
          <w:rFonts w:hint="eastAsia" w:cs="Times New Roman"/>
          <w:b/>
          <w:szCs w:val="28"/>
          <w:lang w:val="en-US" w:eastAsia="zh-CN"/>
        </w:rPr>
        <w:t>1.5.1承担单位情况</w:t>
      </w:r>
    </w:p>
    <w:p>
      <w:pPr>
        <w:pStyle w:val="8"/>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浙江华友钴业股份有限公司成立于2002年，是一家专注于锂电新能源材料制造、钴新材料深加工以及钴、铜有色金属采、选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中国25%，全球15%。</w:t>
      </w:r>
    </w:p>
    <w:p>
      <w:pPr>
        <w:spacing w:line="360" w:lineRule="auto"/>
        <w:ind w:firstLine="420" w:firstLineChars="200"/>
        <w:rPr>
          <w:rFonts w:hint="default" w:ascii="Times New Roman" w:hAnsi="Times New Roman" w:cs="Times New Roman" w:eastAsiaTheme="minorEastAsia"/>
          <w:color w:val="000000" w:themeColor="text1"/>
          <w:szCs w:val="21"/>
          <w:highlight w:val="none"/>
          <w14:textFill>
            <w14:solidFill>
              <w14:schemeClr w14:val="tx1"/>
            </w14:solidFill>
          </w14:textFill>
        </w:rPr>
      </w:pPr>
      <w:r>
        <w:rPr>
          <w:rFonts w:hint="default" w:ascii="Times New Roman" w:hAnsi="Times New Roman" w:cs="Times New Roman" w:eastAsiaTheme="minorEastAsia"/>
          <w:color w:val="000000" w:themeColor="text1"/>
          <w:szCs w:val="21"/>
          <w:highlight w:val="none"/>
          <w14:textFill>
            <w14:solidFill>
              <w14:schemeClr w14:val="tx1"/>
            </w14:solidFill>
          </w14:textFill>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w:t>
      </w:r>
      <w:r>
        <w:rPr>
          <w:rFonts w:hint="eastAsia" w:cs="Times New Roman" w:eastAsiaTheme="minorEastAsia"/>
          <w:color w:val="000000" w:themeColor="text1"/>
          <w:szCs w:val="21"/>
          <w:highlight w:val="none"/>
          <w:lang w:val="en-US" w:eastAsia="zh-CN"/>
          <w14:textFill>
            <w14:solidFill>
              <w14:schemeClr w14:val="tx1"/>
            </w14:solidFill>
          </w14:textFill>
        </w:rPr>
        <w:t>72</w:t>
      </w:r>
      <w:r>
        <w:rPr>
          <w:rFonts w:hint="default" w:ascii="Times New Roman" w:hAnsi="Times New Roman" w:cs="Times New Roman" w:eastAsiaTheme="minorEastAsia"/>
          <w:color w:val="000000" w:themeColor="text1"/>
          <w:szCs w:val="21"/>
          <w:highlight w:val="none"/>
          <w14:textFill>
            <w14:solidFill>
              <w14:schemeClr w14:val="tx1"/>
            </w14:solidFill>
          </w14:textFill>
        </w:rPr>
        <w:t>项，其中发明专利4</w:t>
      </w:r>
      <w:r>
        <w:rPr>
          <w:rFonts w:hint="eastAsia" w:cs="Times New Roman" w:eastAsiaTheme="minorEastAsia"/>
          <w:color w:val="000000" w:themeColor="text1"/>
          <w:szCs w:val="21"/>
          <w:highlight w:val="none"/>
          <w:lang w:val="en-US" w:eastAsia="zh-CN"/>
          <w14:textFill>
            <w14:solidFill>
              <w14:schemeClr w14:val="tx1"/>
            </w14:solidFill>
          </w14:textFill>
        </w:rPr>
        <w:t>6</w:t>
      </w:r>
      <w:r>
        <w:rPr>
          <w:rFonts w:hint="default" w:ascii="Times New Roman" w:hAnsi="Times New Roman" w:cs="Times New Roman" w:eastAsiaTheme="minorEastAsia"/>
          <w:color w:val="000000" w:themeColor="text1"/>
          <w:szCs w:val="21"/>
          <w:highlight w:val="none"/>
          <w14:textFill>
            <w14:solidFill>
              <w14:schemeClr w14:val="tx1"/>
            </w14:solidFill>
          </w14:textFill>
        </w:rPr>
        <w:t>项，实用新型专利2</w:t>
      </w:r>
      <w:r>
        <w:rPr>
          <w:rFonts w:hint="eastAsia" w:cs="Times New Roman" w:eastAsiaTheme="minorEastAsia"/>
          <w:color w:val="000000" w:themeColor="text1"/>
          <w:szCs w:val="21"/>
          <w:highlight w:val="none"/>
          <w:lang w:val="en-US" w:eastAsia="zh-CN"/>
          <w14:textFill>
            <w14:solidFill>
              <w14:schemeClr w14:val="tx1"/>
            </w14:solidFill>
          </w14:textFill>
        </w:rPr>
        <w:t>4</w:t>
      </w:r>
      <w:r>
        <w:rPr>
          <w:rFonts w:hint="default" w:ascii="Times New Roman" w:hAnsi="Times New Roman" w:cs="Times New Roman" w:eastAsiaTheme="minorEastAsia"/>
          <w:color w:val="000000" w:themeColor="text1"/>
          <w:szCs w:val="21"/>
          <w:highlight w:val="none"/>
          <w14:textFill>
            <w14:solidFill>
              <w14:schemeClr w14:val="tx1"/>
            </w14:solidFill>
          </w14:textFill>
        </w:rPr>
        <w:t>项，通过知识产权贯标，为浙江省专利示范企业；公司牵头和参与起草的国家标准、行业标准共计</w:t>
      </w:r>
      <w:r>
        <w:rPr>
          <w:rFonts w:hint="eastAsia" w:cs="Times New Roman" w:eastAsiaTheme="minorEastAsia"/>
          <w:color w:val="000000" w:themeColor="text1"/>
          <w:szCs w:val="21"/>
          <w:highlight w:val="none"/>
          <w:lang w:val="en-US" w:eastAsia="zh-CN"/>
          <w14:textFill>
            <w14:solidFill>
              <w14:schemeClr w14:val="tx1"/>
            </w14:solidFill>
          </w14:textFill>
        </w:rPr>
        <w:t>80多</w:t>
      </w:r>
      <w:r>
        <w:rPr>
          <w:rFonts w:hint="default" w:ascii="Times New Roman" w:hAnsi="Times New Roman" w:cs="Times New Roman" w:eastAsiaTheme="minorEastAsia"/>
          <w:color w:val="000000" w:themeColor="text1"/>
          <w:szCs w:val="21"/>
          <w:highlight w:val="none"/>
          <w14:textFill>
            <w14:solidFill>
              <w14:schemeClr w14:val="tx1"/>
            </w14:solidFill>
          </w14:textFill>
        </w:rPr>
        <w:t>项，是行业标准的重要制定者。</w:t>
      </w:r>
    </w:p>
    <w:p>
      <w:pPr>
        <w:spacing w:line="360" w:lineRule="auto"/>
        <w:ind w:firstLine="420" w:firstLineChars="200"/>
        <w:rPr>
          <w:rFonts w:hint="default" w:cs="Times New Roman"/>
          <w:b/>
          <w:color w:val="auto"/>
          <w:szCs w:val="28"/>
          <w:lang w:val="en-US" w:eastAsia="zh-CN"/>
        </w:rPr>
      </w:pPr>
      <w:r>
        <w:rPr>
          <w:rFonts w:hint="default" w:ascii="Times New Roman" w:hAnsi="Times New Roman" w:cs="Times New Roman" w:eastAsiaTheme="minorEastAsia"/>
          <w:color w:val="000000" w:themeColor="text1"/>
          <w:szCs w:val="21"/>
          <w14:textFill>
            <w14:solidFill>
              <w14:schemeClr w14:val="tx1"/>
            </w14:solidFill>
          </w14:textFill>
        </w:rPr>
        <w:t>华友钴业始终坚持科技创新和科学管理，在锂电正极材料前驱体、钴铜湿法工艺、钴新材料、环境保护领域拥有了国内一流的自主核心技术，公司通过了ISO9001、ISO14001、OHSAS18001、GB/T19022、GB/T15496和AQ/T9006六合一管理体系的认证，</w:t>
      </w:r>
      <w:r>
        <w:rPr>
          <w:rFonts w:hint="eastAsia" w:cs="Times New Roman" w:eastAsiaTheme="minorEastAsia"/>
          <w:color w:val="000000" w:themeColor="text1"/>
          <w:szCs w:val="21"/>
          <w:lang w:val="en-US" w:eastAsia="zh-CN"/>
          <w14:textFill>
            <w14:solidFill>
              <w14:schemeClr w14:val="tx1"/>
            </w14:solidFill>
          </w14:textFill>
        </w:rPr>
        <w:t>公司</w:t>
      </w:r>
      <w:r>
        <w:rPr>
          <w:rFonts w:hint="default" w:ascii="Times New Roman" w:hAnsi="Times New Roman" w:cs="Times New Roman" w:eastAsiaTheme="minorEastAsia"/>
          <w:color w:val="000000" w:themeColor="text1"/>
          <w:szCs w:val="21"/>
          <w14:textFill>
            <w14:solidFill>
              <w14:schemeClr w14:val="tx1"/>
            </w14:solidFill>
          </w14:textFill>
        </w:rPr>
        <w:t>的精细化管理水平处于行业领先地位；公司是浙江省绿色企业、浙江省工业经济循环示范企业、浙江省清洁生产企业、国家安全生产标准化二级企业，为公司做强做大</w:t>
      </w:r>
      <w:r>
        <w:rPr>
          <w:rFonts w:hint="default" w:ascii="Times New Roman" w:hAnsi="Times New Roman" w:cs="Times New Roman" w:eastAsiaTheme="minorEastAsia"/>
          <w:color w:val="auto"/>
          <w:szCs w:val="21"/>
        </w:rPr>
        <w:t>钴产业提供了坚实保障。</w:t>
      </w:r>
    </w:p>
    <w:p>
      <w:pPr>
        <w:pStyle w:val="8"/>
        <w:shd w:val="clear" w:color="auto" w:fill="FFFFFF"/>
        <w:spacing w:before="0" w:beforeAutospacing="0" w:after="0" w:afterAutospacing="0" w:line="360" w:lineRule="auto"/>
        <w:rPr>
          <w:rFonts w:hint="default" w:ascii="Times New Roman" w:hAnsi="Times New Roman" w:eastAsia="宋体"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1.5.2主要工作过程</w:t>
      </w:r>
    </w:p>
    <w:p>
      <w:pPr>
        <w:spacing w:line="360" w:lineRule="auto"/>
        <w:ind w:firstLine="420" w:firstLineChars="200"/>
        <w:rPr>
          <w:rFonts w:hint="default" w:ascii="Times New Roman" w:hAnsi="Times New Roman" w:cs="Times New Roman"/>
          <w:color w:val="auto"/>
          <w:sz w:val="21"/>
          <w:szCs w:val="21"/>
          <w:highlight w:val="none"/>
          <w:lang w:val="en-US"/>
        </w:rPr>
      </w:pPr>
      <w:r>
        <w:rPr>
          <w:rFonts w:hint="default" w:ascii="Times New Roman" w:hAnsi="Times New Roman" w:cs="Times New Roman"/>
          <w:sz w:val="21"/>
          <w:szCs w:val="21"/>
        </w:rPr>
        <w:t>2018年7月</w:t>
      </w:r>
      <w:r>
        <w:rPr>
          <w:rFonts w:hint="eastAsia" w:ascii="Times New Roman" w:hAnsi="Times New Roman" w:cs="Times New Roman"/>
          <w:sz w:val="21"/>
          <w:szCs w:val="21"/>
          <w:lang w:eastAsia="zh-CN"/>
        </w:rPr>
        <w:t>，</w:t>
      </w:r>
      <w:r>
        <w:rPr>
          <w:rFonts w:hint="eastAsia" w:ascii="Times New Roman" w:hAnsi="Times New Roman" w:cs="Times New Roman"/>
          <w:sz w:val="21"/>
          <w:szCs w:val="21"/>
          <w:lang w:val="en-US" w:eastAsia="zh-CN"/>
        </w:rPr>
        <w:t>浙江华友钴业股份有限公司</w:t>
      </w:r>
      <w:r>
        <w:rPr>
          <w:rFonts w:hint="default" w:ascii="Times New Roman" w:hAnsi="Times New Roman" w:cs="Times New Roman"/>
          <w:sz w:val="21"/>
          <w:szCs w:val="21"/>
        </w:rPr>
        <w:t>接</w:t>
      </w:r>
      <w:r>
        <w:rPr>
          <w:rFonts w:hint="eastAsia" w:ascii="Times New Roman" w:hAnsi="Times New Roman" w:cs="Times New Roman"/>
          <w:sz w:val="21"/>
          <w:szCs w:val="21"/>
          <w:lang w:val="en-US" w:eastAsia="zh-CN"/>
        </w:rPr>
        <w:t>受</w:t>
      </w:r>
      <w:r>
        <w:rPr>
          <w:rFonts w:hint="default" w:ascii="Times New Roman" w:hAnsi="Times New Roman" w:cs="Times New Roman"/>
          <w:sz w:val="21"/>
          <w:szCs w:val="21"/>
        </w:rPr>
        <w:t>《</w:t>
      </w:r>
      <w:r>
        <w:rPr>
          <w:rFonts w:hint="eastAsia" w:cs="Times New Roman"/>
          <w:sz w:val="21"/>
          <w:szCs w:val="21"/>
          <w:lang w:eastAsia="zh-CN"/>
        </w:rPr>
        <w:t>镍钴二元素复合氧化物</w:t>
      </w:r>
      <w:r>
        <w:rPr>
          <w:rFonts w:hint="default" w:ascii="Times New Roman" w:hAnsi="Times New Roman" w:cs="Times New Roman"/>
          <w:sz w:val="21"/>
          <w:szCs w:val="21"/>
        </w:rPr>
        <w:t>》行业标准编制</w:t>
      </w:r>
      <w:r>
        <w:rPr>
          <w:rFonts w:hint="default" w:ascii="Times New Roman" w:hAnsi="Times New Roman" w:cs="Times New Roman"/>
          <w:sz w:val="21"/>
          <w:szCs w:val="21"/>
          <w:highlight w:val="none"/>
        </w:rPr>
        <w:t>任务后，成立了《</w:t>
      </w:r>
      <w:r>
        <w:rPr>
          <w:rFonts w:hint="eastAsia" w:cs="Times New Roman"/>
          <w:sz w:val="21"/>
          <w:szCs w:val="21"/>
          <w:highlight w:val="none"/>
          <w:lang w:eastAsia="zh-CN"/>
        </w:rPr>
        <w:t>镍钴二元素复合氧化物</w:t>
      </w:r>
      <w:r>
        <w:rPr>
          <w:rFonts w:hint="default" w:ascii="Times New Roman" w:hAnsi="Times New Roman" w:cs="Times New Roman"/>
          <w:sz w:val="21"/>
          <w:szCs w:val="21"/>
          <w:highlight w:val="none"/>
        </w:rPr>
        <w:t>》行业标准编制组，</w:t>
      </w:r>
      <w:r>
        <w:rPr>
          <w:rFonts w:hint="eastAsia" w:ascii="Times New Roman" w:hAnsi="Times New Roman" w:cs="Times New Roman"/>
          <w:sz w:val="21"/>
          <w:szCs w:val="21"/>
          <w:highlight w:val="none"/>
          <w:lang w:val="en-US" w:eastAsia="zh-CN"/>
        </w:rPr>
        <w:t>标准编制工作组成员查阅了大量的资料，收集、整理、对比分析了</w:t>
      </w:r>
      <w:r>
        <w:rPr>
          <w:rFonts w:hint="default" w:ascii="Times New Roman" w:hAnsi="Times New Roman" w:cs="Times New Roman"/>
          <w:sz w:val="21"/>
          <w:szCs w:val="21"/>
          <w:highlight w:val="none"/>
        </w:rPr>
        <w:t>了国内</w:t>
      </w:r>
      <w:r>
        <w:rPr>
          <w:rFonts w:hint="eastAsia" w:cs="Times New Roman"/>
          <w:sz w:val="21"/>
          <w:szCs w:val="21"/>
          <w:highlight w:val="none"/>
          <w:lang w:eastAsia="zh-CN"/>
        </w:rPr>
        <w:t>镍钴二元素复合氧化物</w:t>
      </w:r>
      <w:r>
        <w:rPr>
          <w:rFonts w:hint="default" w:ascii="Times New Roman" w:hAnsi="Times New Roman" w:cs="Times New Roman"/>
          <w:sz w:val="21"/>
          <w:szCs w:val="21"/>
          <w:highlight w:val="none"/>
        </w:rPr>
        <w:t>的技术资料</w:t>
      </w:r>
      <w:r>
        <w:rPr>
          <w:rFonts w:hint="eastAsia" w:ascii="Times New Roman" w:hAnsi="Times New Roman" w:cs="Times New Roman"/>
          <w:sz w:val="21"/>
          <w:szCs w:val="21"/>
          <w:highlight w:val="none"/>
          <w:lang w:eastAsia="zh-CN"/>
        </w:rPr>
        <w:t>，</w:t>
      </w:r>
      <w:r>
        <w:rPr>
          <w:rFonts w:hint="eastAsia" w:ascii="Times New Roman" w:hAnsi="Times New Roman" w:cs="Times New Roman"/>
          <w:sz w:val="21"/>
          <w:szCs w:val="21"/>
          <w:highlight w:val="none"/>
          <w:lang w:val="en-US" w:eastAsia="zh-CN"/>
        </w:rPr>
        <w:t>结合</w:t>
      </w:r>
      <w:r>
        <w:rPr>
          <w:rFonts w:hint="default" w:ascii="Times New Roman" w:hAnsi="Times New Roman" w:cs="Times New Roman"/>
          <w:sz w:val="21"/>
          <w:szCs w:val="21"/>
          <w:highlight w:val="none"/>
        </w:rPr>
        <w:t>浙江华友</w:t>
      </w:r>
      <w:r>
        <w:rPr>
          <w:rFonts w:hint="default" w:ascii="Times New Roman" w:hAnsi="Times New Roman" w:cs="Times New Roman"/>
          <w:color w:val="auto"/>
          <w:sz w:val="21"/>
          <w:szCs w:val="21"/>
          <w:highlight w:val="none"/>
        </w:rPr>
        <w:t>钴业股份有限公司多年对</w:t>
      </w:r>
      <w:r>
        <w:rPr>
          <w:rFonts w:hint="eastAsia" w:cs="Times New Roman"/>
          <w:color w:val="auto"/>
          <w:sz w:val="21"/>
          <w:szCs w:val="21"/>
          <w:highlight w:val="none"/>
          <w:lang w:eastAsia="zh-CN"/>
        </w:rPr>
        <w:t>镍钴二元素复合氧化物</w:t>
      </w:r>
      <w:r>
        <w:rPr>
          <w:rFonts w:hint="default" w:ascii="Times New Roman" w:hAnsi="Times New Roman" w:cs="Times New Roman"/>
          <w:color w:val="auto"/>
          <w:sz w:val="21"/>
          <w:szCs w:val="21"/>
          <w:highlight w:val="none"/>
        </w:rPr>
        <w:t>的使用情况</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w:t>
      </w:r>
      <w:r>
        <w:rPr>
          <w:rFonts w:hint="eastAsia" w:cs="Times New Roman"/>
          <w:color w:val="auto"/>
          <w:sz w:val="21"/>
          <w:szCs w:val="21"/>
          <w:highlight w:val="none"/>
          <w:lang w:eastAsia="zh-CN"/>
        </w:rPr>
        <w:t>镍钴二元素复合氧化物</w:t>
      </w:r>
      <w:r>
        <w:rPr>
          <w:rFonts w:hint="default" w:ascii="Times New Roman" w:hAnsi="Times New Roman" w:cs="Times New Roman"/>
          <w:color w:val="auto"/>
          <w:sz w:val="21"/>
          <w:szCs w:val="21"/>
          <w:highlight w:val="none"/>
        </w:rPr>
        <w:t>》的主要技术指标</w:t>
      </w:r>
      <w:r>
        <w:rPr>
          <w:rFonts w:hint="eastAsia"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eastAsia" w:cs="Times New Roman"/>
          <w:color w:val="auto"/>
          <w:sz w:val="21"/>
          <w:szCs w:val="21"/>
          <w:highlight w:val="none"/>
          <w:lang w:val="en-US" w:eastAsia="zh-CN"/>
        </w:rPr>
        <w:t>标准的征求意见稿。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color w:val="auto"/>
          <w:szCs w:val="28"/>
          <w:highlight w:val="none"/>
        </w:rPr>
      </w:pPr>
      <w:r>
        <w:rPr>
          <w:rFonts w:hint="eastAsia" w:cs="Times New Roman"/>
          <w:b/>
          <w:bCs/>
          <w:color w:val="auto"/>
          <w:szCs w:val="28"/>
          <w:highlight w:val="none"/>
          <w:lang w:val="en-US" w:eastAsia="zh-CN"/>
        </w:rPr>
        <w:t>标准</w:t>
      </w:r>
      <w:r>
        <w:rPr>
          <w:rFonts w:hint="default" w:ascii="Times New Roman" w:hAnsi="Times New Roman" w:cs="Times New Roman"/>
          <w:b/>
          <w:bCs/>
          <w:color w:val="auto"/>
          <w:szCs w:val="28"/>
          <w:highlight w:val="none"/>
        </w:rPr>
        <w:t>编制原则</w:t>
      </w:r>
    </w:p>
    <w:p>
      <w:pPr>
        <w:widowControl w:val="0"/>
        <w:numPr>
          <w:ilvl w:val="0"/>
          <w:numId w:val="2"/>
        </w:numPr>
        <w:spacing w:line="360" w:lineRule="auto"/>
        <w:ind w:firstLine="420"/>
        <w:jc w:val="both"/>
        <w:rPr>
          <w:rFonts w:hint="eastAsia"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以满足国内镍钴二元素复合氧化物的实际生产和使用的需要为原则，提高标准的适用性。</w:t>
      </w:r>
    </w:p>
    <w:p>
      <w:pPr>
        <w:widowControl w:val="0"/>
        <w:numPr>
          <w:ilvl w:val="0"/>
          <w:numId w:val="2"/>
        </w:numPr>
        <w:spacing w:line="360" w:lineRule="auto"/>
        <w:ind w:firstLine="420"/>
        <w:jc w:val="both"/>
        <w:rPr>
          <w:rFonts w:hint="default"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完全按照GB/T1.1-2009《标准化工作导则 第一部分：标准的结构和编写》的要求编写。</w:t>
      </w:r>
    </w:p>
    <w:p>
      <w:pPr>
        <w:widowControl w:val="0"/>
        <w:numPr>
          <w:ilvl w:val="0"/>
          <w:numId w:val="2"/>
        </w:numPr>
        <w:spacing w:line="360" w:lineRule="auto"/>
        <w:ind w:firstLine="420"/>
        <w:jc w:val="both"/>
        <w:rPr>
          <w:rFonts w:hint="default" w:cs="Times New Roman"/>
          <w:b w:val="0"/>
          <w:bCs w:val="0"/>
          <w:color w:val="auto"/>
          <w:szCs w:val="28"/>
          <w:highlight w:val="none"/>
          <w:lang w:val="en-US" w:eastAsia="zh-CN"/>
        </w:rPr>
      </w:pPr>
      <w:r>
        <w:rPr>
          <w:rFonts w:hint="eastAsia" w:cs="Times New Roman"/>
          <w:b w:val="0"/>
          <w:bCs w:val="0"/>
          <w:color w:val="auto"/>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color w:val="auto"/>
          <w:szCs w:val="21"/>
          <w:highlight w:val="none"/>
          <w:lang w:val="en-US" w:eastAsia="zh-CN"/>
        </w:rPr>
      </w:pPr>
      <w:r>
        <w:rPr>
          <w:rFonts w:hint="eastAsia" w:cs="Times New Roman"/>
          <w:b/>
          <w:bCs/>
          <w:color w:val="auto"/>
          <w:szCs w:val="21"/>
          <w:highlight w:val="none"/>
          <w:lang w:val="en-US" w:eastAsia="zh-CN"/>
        </w:rPr>
        <w:t>三、标准主要内容的依据</w:t>
      </w:r>
    </w:p>
    <w:p>
      <w:pPr>
        <w:spacing w:line="360" w:lineRule="auto"/>
        <w:rPr>
          <w:rFonts w:hint="eastAsia" w:cs="Times New Roman"/>
          <w:b/>
          <w:szCs w:val="21"/>
          <w:highlight w:val="none"/>
          <w:lang w:val="en-US" w:eastAsia="zh-CN"/>
        </w:rPr>
      </w:pPr>
      <w:r>
        <w:rPr>
          <w:rFonts w:hint="eastAsia" w:cs="Times New Roman"/>
          <w:b/>
          <w:szCs w:val="21"/>
          <w:highlight w:val="none"/>
          <w:lang w:val="en-US" w:eastAsia="zh-CN"/>
        </w:rPr>
        <w:t>3.1企业生产和使用情况</w:t>
      </w:r>
    </w:p>
    <w:p>
      <w:pPr>
        <w:spacing w:line="360" w:lineRule="auto"/>
        <w:rPr>
          <w:rFonts w:hint="eastAsia" w:cs="Times New Roman"/>
          <w:b/>
          <w:szCs w:val="21"/>
          <w:lang w:val="en-US" w:eastAsia="zh-CN"/>
        </w:rPr>
      </w:pPr>
      <w:r>
        <w:rPr>
          <w:rFonts w:hint="eastAsia" w:cs="Times New Roman"/>
          <w:b/>
          <w:szCs w:val="21"/>
          <w:lang w:val="en-US" w:eastAsia="zh-CN"/>
        </w:rPr>
        <w:t>3.1.1国内外主要使用的企业</w:t>
      </w:r>
    </w:p>
    <w:p>
      <w:pPr>
        <w:spacing w:line="360" w:lineRule="auto"/>
        <w:ind w:firstLine="420" w:firstLineChars="200"/>
        <w:rPr>
          <w:rFonts w:hint="default" w:ascii="Times New Roman" w:hAnsi="Times New Roman" w:eastAsia="宋体" w:cs="Times New Roman"/>
          <w:szCs w:val="28"/>
          <w:lang w:val="en-US" w:eastAsia="zh-CN"/>
        </w:rPr>
      </w:pPr>
      <w:r>
        <w:rPr>
          <w:rFonts w:hint="eastAsia" w:cs="Times New Roman"/>
          <w:szCs w:val="28"/>
          <w:lang w:val="en-US" w:eastAsia="zh-CN"/>
        </w:rPr>
        <w:t>镍钴二元素氢氧化物的主要使用客户为国内外一些电池正极材料供应商，如：</w:t>
      </w:r>
      <w:r>
        <w:rPr>
          <w:rFonts w:hint="default" w:ascii="Times New Roman" w:hAnsi="Times New Roman" w:cs="Times New Roman"/>
          <w:szCs w:val="28"/>
        </w:rPr>
        <w:t>日本化学</w:t>
      </w:r>
      <w:r>
        <w:rPr>
          <w:rFonts w:hint="eastAsia" w:cs="Times New Roman"/>
          <w:szCs w:val="28"/>
          <w:lang w:val="en-US" w:eastAsia="zh-CN"/>
        </w:rPr>
        <w:t>工业株式会社</w:t>
      </w:r>
      <w:r>
        <w:rPr>
          <w:rFonts w:hint="default" w:ascii="Times New Roman" w:hAnsi="Times New Roman" w:cs="Times New Roman"/>
          <w:szCs w:val="28"/>
        </w:rPr>
        <w:t>、户田</w:t>
      </w:r>
      <w:r>
        <w:rPr>
          <w:rFonts w:hint="eastAsia" w:cs="Times New Roman"/>
          <w:szCs w:val="28"/>
          <w:lang w:val="en-US" w:eastAsia="zh-CN"/>
        </w:rPr>
        <w:t>工业株式会社</w:t>
      </w:r>
      <w:r>
        <w:rPr>
          <w:rFonts w:hint="default" w:ascii="Times New Roman" w:hAnsi="Times New Roman" w:cs="Times New Roman"/>
          <w:szCs w:val="28"/>
        </w:rPr>
        <w:t>和住友金属</w:t>
      </w:r>
      <w:r>
        <w:rPr>
          <w:rFonts w:hint="eastAsia" w:cs="Times New Roman"/>
          <w:szCs w:val="28"/>
          <w:lang w:val="en-US" w:eastAsia="zh-CN"/>
        </w:rPr>
        <w:t>工业株式会社；</w:t>
      </w:r>
      <w:r>
        <w:rPr>
          <w:rFonts w:hint="default" w:ascii="Times New Roman" w:hAnsi="Times New Roman" w:cs="Times New Roman"/>
          <w:szCs w:val="28"/>
        </w:rPr>
        <w:t>国内</w:t>
      </w:r>
      <w:r>
        <w:rPr>
          <w:rFonts w:hint="eastAsia" w:cs="Times New Roman"/>
          <w:szCs w:val="28"/>
          <w:lang w:val="en-US" w:eastAsia="zh-CN"/>
        </w:rPr>
        <w:t>广东</w:t>
      </w:r>
      <w:r>
        <w:rPr>
          <w:rFonts w:hint="default" w:ascii="Times New Roman" w:hAnsi="Times New Roman" w:cs="Times New Roman"/>
          <w:szCs w:val="28"/>
        </w:rPr>
        <w:t>芳源环保</w:t>
      </w:r>
      <w:r>
        <w:rPr>
          <w:rFonts w:hint="eastAsia" w:cs="Times New Roman"/>
          <w:szCs w:val="28"/>
          <w:lang w:val="en-US" w:eastAsia="zh-CN"/>
        </w:rPr>
        <w:t>股份有限公司、</w:t>
      </w:r>
      <w:r>
        <w:rPr>
          <w:rFonts w:hint="default" w:ascii="Times New Roman" w:hAnsi="Times New Roman" w:cs="Times New Roman"/>
          <w:szCs w:val="28"/>
        </w:rPr>
        <w:t>荆门格林美</w:t>
      </w:r>
      <w:r>
        <w:rPr>
          <w:rFonts w:hint="eastAsia" w:cs="Times New Roman"/>
          <w:szCs w:val="28"/>
          <w:lang w:val="en-US" w:eastAsia="zh-CN"/>
        </w:rPr>
        <w:t>新材料有限公司</w:t>
      </w:r>
      <w:r>
        <w:rPr>
          <w:rFonts w:hint="eastAsia" w:cs="Times New Roman"/>
          <w:szCs w:val="28"/>
          <w:lang w:eastAsia="zh-CN"/>
        </w:rPr>
        <w:t>、</w:t>
      </w:r>
      <w:r>
        <w:rPr>
          <w:rFonts w:hint="default" w:ascii="Times New Roman" w:hAnsi="Times New Roman" w:cs="Times New Roman"/>
          <w:szCs w:val="28"/>
        </w:rPr>
        <w:t>深圳</w:t>
      </w:r>
      <w:r>
        <w:rPr>
          <w:rFonts w:hint="eastAsia" w:cs="Times New Roman"/>
          <w:szCs w:val="28"/>
          <w:lang w:val="en-US" w:eastAsia="zh-CN"/>
        </w:rPr>
        <w:t>市</w:t>
      </w:r>
      <w:r>
        <w:rPr>
          <w:rFonts w:hint="default" w:ascii="Times New Roman" w:hAnsi="Times New Roman" w:cs="Times New Roman"/>
          <w:szCs w:val="28"/>
        </w:rPr>
        <w:t>贝特瑞</w:t>
      </w:r>
      <w:r>
        <w:rPr>
          <w:rFonts w:hint="eastAsia" w:cs="Times New Roman"/>
          <w:szCs w:val="28"/>
          <w:lang w:val="en-US" w:eastAsia="zh-CN"/>
        </w:rPr>
        <w:t>新能源材料有限公司</w:t>
      </w:r>
      <w:r>
        <w:rPr>
          <w:rFonts w:hint="default" w:ascii="Times New Roman" w:hAnsi="Times New Roman" w:cs="Times New Roman"/>
          <w:szCs w:val="28"/>
        </w:rPr>
        <w:t>、桑顿新能源</w:t>
      </w:r>
      <w:r>
        <w:rPr>
          <w:rFonts w:hint="eastAsia" w:cs="Times New Roman"/>
          <w:szCs w:val="28"/>
          <w:lang w:val="en-US" w:eastAsia="zh-CN"/>
        </w:rPr>
        <w:t>科技有限公司</w:t>
      </w:r>
      <w:r>
        <w:rPr>
          <w:rFonts w:hint="default" w:ascii="Times New Roman" w:hAnsi="Times New Roman" w:cs="Times New Roman"/>
          <w:szCs w:val="28"/>
        </w:rPr>
        <w:t>、北京当升</w:t>
      </w:r>
      <w:r>
        <w:rPr>
          <w:rFonts w:hint="eastAsia" w:cs="Times New Roman"/>
          <w:szCs w:val="28"/>
          <w:lang w:val="en-US" w:eastAsia="zh-CN"/>
        </w:rPr>
        <w:t>材料</w:t>
      </w:r>
      <w:r>
        <w:rPr>
          <w:rFonts w:hint="default" w:ascii="Times New Roman" w:hAnsi="Times New Roman" w:cs="Times New Roman"/>
          <w:szCs w:val="28"/>
        </w:rPr>
        <w:t>科技</w:t>
      </w:r>
      <w:r>
        <w:rPr>
          <w:rFonts w:hint="eastAsia" w:cs="Times New Roman"/>
          <w:szCs w:val="28"/>
          <w:lang w:val="en-US" w:eastAsia="zh-CN"/>
        </w:rPr>
        <w:t>有限公司</w:t>
      </w:r>
      <w:r>
        <w:rPr>
          <w:rFonts w:hint="default" w:ascii="Times New Roman" w:hAnsi="Times New Roman" w:cs="Times New Roman"/>
          <w:szCs w:val="28"/>
        </w:rPr>
        <w:t>、</w:t>
      </w:r>
      <w:r>
        <w:rPr>
          <w:rFonts w:hint="eastAsia" w:cs="Times New Roman"/>
          <w:szCs w:val="28"/>
          <w:lang w:val="en-US" w:eastAsia="zh-CN"/>
        </w:rPr>
        <w:t>深圳市</w:t>
      </w:r>
      <w:r>
        <w:rPr>
          <w:rFonts w:hint="default" w:ascii="Times New Roman" w:hAnsi="Times New Roman" w:cs="Times New Roman"/>
          <w:szCs w:val="28"/>
        </w:rPr>
        <w:t>比克电池</w:t>
      </w:r>
      <w:r>
        <w:rPr>
          <w:rFonts w:hint="eastAsia" w:cs="Times New Roman"/>
          <w:szCs w:val="28"/>
          <w:lang w:val="en-US" w:eastAsia="zh-CN"/>
        </w:rPr>
        <w:t>有限公司</w:t>
      </w:r>
      <w:r>
        <w:rPr>
          <w:rFonts w:hint="default" w:ascii="Times New Roman" w:hAnsi="Times New Roman" w:cs="Times New Roman"/>
          <w:szCs w:val="28"/>
        </w:rPr>
        <w:t>等</w:t>
      </w:r>
      <w:r>
        <w:rPr>
          <w:rFonts w:hint="eastAsia" w:cs="Times New Roman"/>
          <w:szCs w:val="28"/>
          <w:lang w:eastAsia="zh-CN"/>
        </w:rPr>
        <w:t>，</w:t>
      </w:r>
      <w:r>
        <w:rPr>
          <w:rFonts w:hint="eastAsia" w:cs="Times New Roman"/>
          <w:szCs w:val="28"/>
          <w:lang w:val="en-US" w:eastAsia="zh-CN"/>
        </w:rPr>
        <w:t>使用企业根据使用需求对生产企业的主要产品指标提出要求。</w:t>
      </w:r>
    </w:p>
    <w:p>
      <w:pPr>
        <w:spacing w:line="360" w:lineRule="auto"/>
        <w:rPr>
          <w:rFonts w:hint="eastAsia" w:cs="Times New Roman"/>
          <w:b/>
          <w:szCs w:val="28"/>
          <w:highlight w:val="none"/>
          <w:lang w:val="en-US" w:eastAsia="zh-CN"/>
        </w:rPr>
      </w:pPr>
      <w:r>
        <w:rPr>
          <w:rFonts w:hint="eastAsia" w:cs="Times New Roman"/>
          <w:b/>
          <w:szCs w:val="28"/>
          <w:highlight w:val="none"/>
          <w:lang w:val="en-US" w:eastAsia="zh-CN"/>
        </w:rPr>
        <w:t>3.2 批次验证情况</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本标准所规定的检验项目符合</w:t>
      </w:r>
      <w:r>
        <w:rPr>
          <w:rFonts w:hint="eastAsia" w:cs="Times New Roman"/>
          <w:szCs w:val="21"/>
          <w:lang w:eastAsia="zh-CN"/>
        </w:rPr>
        <w:t>镍钴二元素复合氧化物</w:t>
      </w:r>
      <w:r>
        <w:rPr>
          <w:rFonts w:hint="default" w:ascii="Times New Roman" w:hAnsi="Times New Roman" w:cs="Times New Roman"/>
          <w:szCs w:val="21"/>
        </w:rPr>
        <w:t>生产制作工艺要求，各项指标满足锂离子电池</w:t>
      </w:r>
      <w:r>
        <w:rPr>
          <w:rFonts w:hint="eastAsia" w:cs="Times New Roman"/>
          <w:szCs w:val="21"/>
          <w:lang w:val="en-US" w:eastAsia="zh-CN"/>
        </w:rPr>
        <w:t>生产</w:t>
      </w:r>
      <w:r>
        <w:rPr>
          <w:rFonts w:hint="default" w:ascii="Times New Roman" w:hAnsi="Times New Roman" w:cs="Times New Roman"/>
          <w:szCs w:val="21"/>
        </w:rPr>
        <w:t>设备的设计要求，同时适用于工业化生产</w:t>
      </w:r>
      <w:r>
        <w:rPr>
          <w:rFonts w:hint="eastAsia" w:cs="Times New Roman"/>
          <w:szCs w:val="21"/>
          <w:lang w:eastAsia="zh-CN"/>
        </w:rPr>
        <w:t>镍钴二元素复合氧化物</w:t>
      </w:r>
      <w:r>
        <w:rPr>
          <w:rFonts w:hint="default" w:ascii="Times New Roman" w:hAnsi="Times New Roman" w:cs="Times New Roman"/>
          <w:szCs w:val="21"/>
        </w:rPr>
        <w:t>材料的实际水平。产品经过3个批次的验证，具体数据如下：</w:t>
      </w:r>
    </w:p>
    <w:p>
      <w:pPr>
        <w:spacing w:line="360" w:lineRule="auto"/>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1）</w:t>
      </w:r>
      <w:r>
        <w:rPr>
          <w:rFonts w:hint="default" w:ascii="Times New Roman" w:hAnsi="Times New Roman" w:cs="Times New Roman"/>
          <w:b w:val="0"/>
          <w:bCs w:val="0"/>
          <w:szCs w:val="21"/>
        </w:rPr>
        <w:t>化学成分见</w:t>
      </w:r>
      <w:r>
        <w:rPr>
          <w:rFonts w:hint="eastAsia" w:cs="Times New Roman"/>
          <w:b w:val="0"/>
          <w:bCs w:val="0"/>
          <w:szCs w:val="21"/>
          <w:lang w:val="en-US" w:eastAsia="zh-CN"/>
        </w:rPr>
        <w:t xml:space="preserve"> </w:t>
      </w:r>
      <w:r>
        <w:rPr>
          <w:rFonts w:hint="default" w:ascii="Times New Roman" w:hAnsi="Times New Roman" w:cs="Times New Roman"/>
          <w:b w:val="0"/>
          <w:bCs w:val="0"/>
          <w:szCs w:val="21"/>
        </w:rPr>
        <w:t>表2</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ascii="Times New Roman" w:hAnsi="Times New Roman" w:cs="Times New Roman"/>
          <w:szCs w:val="21"/>
          <w:lang w:val="en-US" w:eastAsia="zh-CN"/>
        </w:rPr>
        <w:t>1</w:t>
      </w:r>
      <w:r>
        <w:rPr>
          <w:rFonts w:hint="default" w:ascii="Times New Roman" w:hAnsi="Times New Roman" w:cs="Times New Roman"/>
          <w:szCs w:val="21"/>
        </w:rPr>
        <w:t xml:space="preserve"> 化学成分测试结果</w:t>
      </w:r>
    </w:p>
    <w:tbl>
      <w:tblPr>
        <w:tblStyle w:val="10"/>
        <w:tblW w:w="9071"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97"/>
        <w:gridCol w:w="697"/>
        <w:gridCol w:w="697"/>
        <w:gridCol w:w="697"/>
        <w:gridCol w:w="697"/>
        <w:gridCol w:w="697"/>
        <w:gridCol w:w="697"/>
        <w:gridCol w:w="697"/>
        <w:gridCol w:w="697"/>
        <w:gridCol w:w="697"/>
        <w:gridCol w:w="69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697" w:type="dxa"/>
            <w:vMerge w:val="restart"/>
            <w:vAlign w:val="center"/>
          </w:tcPr>
          <w:p>
            <w:pPr>
              <w:pStyle w:val="4"/>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生产批号</w:t>
            </w:r>
          </w:p>
        </w:tc>
        <w:tc>
          <w:tcPr>
            <w:tcW w:w="1394" w:type="dxa"/>
            <w:gridSpan w:val="2"/>
            <w:vAlign w:val="center"/>
          </w:tcPr>
          <w:p>
            <w:pPr>
              <w:pStyle w:val="4"/>
              <w:spacing w:line="360" w:lineRule="auto"/>
              <w:ind w:firstLine="0" w:firstLineChars="0"/>
              <w:jc w:val="center"/>
              <w:rPr>
                <w:rFonts w:hint="default" w:ascii="Times New Roman" w:hAnsi="Times New Roman" w:cs="Times New Roman"/>
                <w:color w:val="auto"/>
                <w:sz w:val="18"/>
                <w:szCs w:val="18"/>
              </w:rPr>
            </w:pPr>
            <w:r>
              <w:rPr>
                <w:rFonts w:hint="eastAsia" w:ascii="Times New Roman" w:cs="Times New Roman"/>
                <w:color w:val="auto"/>
                <w:sz w:val="18"/>
                <w:szCs w:val="18"/>
                <w:lang w:val="en-US" w:eastAsia="zh-CN"/>
              </w:rPr>
              <w:t>主</w:t>
            </w:r>
            <w:r>
              <w:rPr>
                <w:rFonts w:hint="default" w:ascii="Times New Roman" w:hAnsi="Times New Roman" w:cs="Times New Roman"/>
                <w:color w:val="auto"/>
                <w:sz w:val="18"/>
                <w:szCs w:val="18"/>
              </w:rPr>
              <w:t>含量</w:t>
            </w:r>
            <w:r>
              <w:rPr>
                <w:rFonts w:hint="eastAsia" w:ascii="Times New Roman" w:cs="Times New Roman"/>
                <w:color w:val="auto"/>
                <w:sz w:val="18"/>
                <w:szCs w:val="18"/>
                <w:lang w:val="en-US" w:eastAsia="zh-CN"/>
              </w:rPr>
              <w:t>/wt</w:t>
            </w:r>
            <w:r>
              <w:rPr>
                <w:rFonts w:hint="default" w:ascii="Times New Roman" w:hAnsi="Times New Roman" w:cs="Times New Roman"/>
                <w:color w:val="auto"/>
                <w:sz w:val="18"/>
                <w:szCs w:val="18"/>
              </w:rPr>
              <w:t xml:space="preserve">/% </w:t>
            </w:r>
          </w:p>
        </w:tc>
        <w:tc>
          <w:tcPr>
            <w:tcW w:w="6980" w:type="dxa"/>
            <w:gridSpan w:val="10"/>
            <w:vAlign w:val="center"/>
          </w:tcPr>
          <w:p>
            <w:pPr>
              <w:pStyle w:val="4"/>
              <w:spacing w:line="360" w:lineRule="auto"/>
              <w:ind w:firstLine="0" w:firstLineChars="0"/>
              <w:jc w:val="center"/>
              <w:rPr>
                <w:rFonts w:hint="default" w:ascii="Times New Roman" w:hAnsi="Times New Roman" w:eastAsia="宋体" w:cs="Times New Roman"/>
                <w:color w:val="auto"/>
                <w:sz w:val="18"/>
                <w:szCs w:val="18"/>
                <w:lang w:val="en-US" w:eastAsia="zh-CN"/>
              </w:rPr>
            </w:pPr>
            <w:r>
              <w:rPr>
                <w:rFonts w:hint="eastAsia" w:ascii="Times New Roman" w:cs="Times New Roman"/>
                <w:color w:val="auto"/>
                <w:sz w:val="18"/>
                <w:szCs w:val="18"/>
                <w:lang w:val="en-US" w:eastAsia="zh-CN"/>
              </w:rPr>
              <w:t>杂质含量ppm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97" w:type="dxa"/>
            <w:vMerge w:val="continue"/>
            <w:vAlign w:val="center"/>
          </w:tcPr>
          <w:p>
            <w:pPr>
              <w:pStyle w:val="4"/>
              <w:spacing w:line="360" w:lineRule="auto"/>
              <w:ind w:firstLine="0" w:firstLineChars="0"/>
              <w:jc w:val="center"/>
              <w:rPr>
                <w:rFonts w:hint="default" w:ascii="Times New Roman" w:hAnsi="Times New Roman" w:cs="Times New Roman"/>
                <w:sz w:val="18"/>
                <w:szCs w:val="18"/>
              </w:rPr>
            </w:pP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Ni</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Cu</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Fe</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Zn</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Ca</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Mg</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Al</w:t>
            </w:r>
          </w:p>
        </w:tc>
        <w:tc>
          <w:tcPr>
            <w:tcW w:w="697" w:type="dxa"/>
            <w:vAlign w:val="center"/>
          </w:tcPr>
          <w:p>
            <w:pPr>
              <w:pStyle w:val="4"/>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Mn</w:t>
            </w:r>
          </w:p>
        </w:tc>
        <w:tc>
          <w:tcPr>
            <w:tcW w:w="69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eastAsia="黑体" w:cs="Times New Roman"/>
                <w:color w:val="auto"/>
                <w:sz w:val="18"/>
                <w:szCs w:val="18"/>
              </w:rPr>
              <w:t>S</w:t>
            </w:r>
          </w:p>
        </w:tc>
        <w:tc>
          <w:tcPr>
            <w:tcW w:w="697" w:type="dxa"/>
            <w:vAlign w:val="center"/>
          </w:tcPr>
          <w:p>
            <w:pPr>
              <w:pStyle w:val="28"/>
              <w:spacing w:line="360" w:lineRule="auto"/>
              <w:ind w:firstLine="0" w:firstLineChars="0"/>
              <w:jc w:val="center"/>
              <w:rPr>
                <w:rFonts w:hint="default" w:ascii="Times New Roman" w:hAnsi="Times New Roman" w:eastAsia="宋体" w:cs="Times New Roman"/>
                <w:color w:val="auto"/>
                <w:sz w:val="18"/>
                <w:szCs w:val="18"/>
                <w:lang w:val="en-US" w:eastAsia="zh-CN"/>
              </w:rPr>
            </w:pPr>
            <w:r>
              <w:rPr>
                <w:rFonts w:hint="eastAsia" w:ascii="Times New Roman" w:eastAsia="黑体" w:cs="Times New Roman"/>
                <w:color w:val="auto"/>
                <w:sz w:val="18"/>
                <w:szCs w:val="18"/>
                <w:lang w:val="en-US" w:eastAsia="zh-CN"/>
              </w:rPr>
              <w:t>Si</w:t>
            </w:r>
          </w:p>
        </w:tc>
        <w:tc>
          <w:tcPr>
            <w:tcW w:w="707" w:type="dxa"/>
            <w:vAlign w:val="center"/>
          </w:tcPr>
          <w:p>
            <w:pPr>
              <w:pStyle w:val="28"/>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H</w:t>
            </w:r>
            <w:r>
              <w:rPr>
                <w:rFonts w:hint="default" w:ascii="Times New Roman" w:hAnsi="Times New Roman" w:cs="Times New Roman"/>
                <w:color w:val="auto"/>
                <w:sz w:val="18"/>
                <w:szCs w:val="18"/>
                <w:vertAlign w:val="subscript"/>
              </w:rPr>
              <w:t>2</w:t>
            </w:r>
            <w:r>
              <w:rPr>
                <w:rFonts w:hint="default" w:ascii="Times New Roman" w:hAnsi="Times New Roman" w:cs="Times New Roman"/>
                <w:color w:val="auto"/>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cs="Times New Roman"/>
                <w:sz w:val="18"/>
                <w:szCs w:val="18"/>
                <w:lang w:val="en-US" w:eastAsia="zh-CN"/>
              </w:rPr>
              <w:t>镍85</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64.28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11.79</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11</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22</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1149</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17</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cs="Times New Roman"/>
                <w:sz w:val="18"/>
                <w:szCs w:val="18"/>
                <w:lang w:val="en-US" w:eastAsia="zh-CN"/>
              </w:rPr>
              <w:t>镍90</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68.34</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7.62</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8</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33.4</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1232</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22</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697" w:type="dxa"/>
            <w:vAlign w:val="center"/>
          </w:tcPr>
          <w:p>
            <w:pPr>
              <w:pStyle w:val="4"/>
              <w:spacing w:line="36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cs="Times New Roman"/>
                <w:sz w:val="18"/>
                <w:szCs w:val="18"/>
                <w:lang w:val="en-US" w:eastAsia="zh-CN"/>
              </w:rPr>
              <w:t>镍92</w:t>
            </w:r>
          </w:p>
        </w:tc>
        <w:tc>
          <w:tcPr>
            <w:tcW w:w="697" w:type="dxa"/>
            <w:vAlign w:val="center"/>
          </w:tcPr>
          <w:p>
            <w:pPr>
              <w:pStyle w:val="4"/>
              <w:spacing w:line="360" w:lineRule="auto"/>
              <w:ind w:firstLine="0" w:firstLineChars="0"/>
              <w:jc w:val="center"/>
              <w:rPr>
                <w:rFonts w:hint="default" w:ascii="Times New Roman"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70.94</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5.63</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ND</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5.3</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10</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37</w:t>
            </w:r>
          </w:p>
        </w:tc>
        <w:tc>
          <w:tcPr>
            <w:tcW w:w="697" w:type="dxa"/>
            <w:vAlign w:val="center"/>
          </w:tcPr>
          <w:p>
            <w:pPr>
              <w:pStyle w:val="4"/>
              <w:spacing w:line="360" w:lineRule="auto"/>
              <w:ind w:firstLine="0" w:firstLineChars="0"/>
              <w:jc w:val="center"/>
              <w:rPr>
                <w:rFonts w:hint="eastAsia"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35.4</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1125</w:t>
            </w:r>
          </w:p>
        </w:tc>
        <w:tc>
          <w:tcPr>
            <w:tcW w:w="69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20</w:t>
            </w:r>
          </w:p>
        </w:tc>
        <w:tc>
          <w:tcPr>
            <w:tcW w:w="707" w:type="dxa"/>
            <w:vAlign w:val="center"/>
          </w:tcPr>
          <w:p>
            <w:pPr>
              <w:pStyle w:val="4"/>
              <w:spacing w:line="360" w:lineRule="auto"/>
              <w:ind w:firstLine="0" w:firstLineChars="0"/>
              <w:jc w:val="center"/>
              <w:rPr>
                <w:rFonts w:hint="default" w:ascii="Times New Roman" w:hAnsi="Times New Roman" w:eastAsia="宋体" w:cs="Times New Roman"/>
                <w:color w:val="auto"/>
                <w:sz w:val="18"/>
                <w:szCs w:val="18"/>
                <w:highlight w:val="none"/>
                <w:lang w:val="en-US" w:eastAsia="zh-CN"/>
              </w:rPr>
            </w:pPr>
            <w:r>
              <w:rPr>
                <w:rFonts w:hint="eastAsia" w:ascii="Times New Roman" w:cs="Times New Roman"/>
                <w:color w:val="auto"/>
                <w:sz w:val="18"/>
                <w:szCs w:val="18"/>
                <w:highlight w:val="none"/>
                <w:lang w:val="en-US" w:eastAsia="zh-CN"/>
              </w:rPr>
              <w:t>4500</w:t>
            </w:r>
          </w:p>
        </w:tc>
      </w:tr>
    </w:tbl>
    <w:p>
      <w:pPr>
        <w:spacing w:line="360" w:lineRule="auto"/>
        <w:ind w:firstLine="420" w:firstLineChars="200"/>
        <w:rPr>
          <w:rFonts w:hint="default" w:ascii="Times New Roman" w:hAnsi="Times New Roman" w:cs="Times New Roman"/>
          <w:b w:val="0"/>
          <w:bCs w:val="0"/>
          <w:szCs w:val="21"/>
        </w:rPr>
      </w:pPr>
      <w:r>
        <w:rPr>
          <w:rFonts w:hint="eastAsia" w:cs="Times New Roman"/>
          <w:b w:val="0"/>
          <w:bCs w:val="0"/>
          <w:szCs w:val="21"/>
          <w:lang w:val="en-US" w:eastAsia="zh-CN"/>
        </w:rPr>
        <w:t>2）</w:t>
      </w:r>
      <w:r>
        <w:rPr>
          <w:rFonts w:hint="default" w:ascii="Times New Roman" w:hAnsi="Times New Roman" w:cs="Times New Roman"/>
          <w:b w:val="0"/>
          <w:bCs w:val="0"/>
          <w:szCs w:val="21"/>
        </w:rPr>
        <w:t xml:space="preserve"> 物理性能见</w:t>
      </w:r>
      <w:r>
        <w:rPr>
          <w:rFonts w:hint="eastAsia" w:cs="Times New Roman"/>
          <w:b w:val="0"/>
          <w:bCs w:val="0"/>
          <w:szCs w:val="21"/>
          <w:lang w:val="en-US" w:eastAsia="zh-CN"/>
        </w:rPr>
        <w:t xml:space="preserve"> </w:t>
      </w:r>
      <w:r>
        <w:rPr>
          <w:rFonts w:hint="default" w:ascii="Times New Roman" w:hAnsi="Times New Roman" w:cs="Times New Roman"/>
          <w:b w:val="0"/>
          <w:bCs w:val="0"/>
          <w:szCs w:val="21"/>
        </w:rPr>
        <w:t>表3</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ascii="Times New Roman" w:hAnsi="Times New Roman" w:cs="Times New Roman"/>
          <w:szCs w:val="21"/>
          <w:lang w:val="en-US" w:eastAsia="zh-CN"/>
        </w:rPr>
        <w:t>2</w:t>
      </w:r>
      <w:r>
        <w:rPr>
          <w:rFonts w:hint="default" w:ascii="Times New Roman" w:hAnsi="Times New Roman" w:cs="Times New Roman"/>
          <w:szCs w:val="21"/>
        </w:rPr>
        <w:t xml:space="preserve"> 物理性能测试结果</w:t>
      </w:r>
    </w:p>
    <w:tbl>
      <w:tblPr>
        <w:tblStyle w:val="1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9"/>
        <w:gridCol w:w="1744"/>
        <w:gridCol w:w="1745"/>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3139" w:type="dxa"/>
            <w:vAlign w:val="center"/>
          </w:tcPr>
          <w:p>
            <w:pPr>
              <w:spacing w:line="36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物理性能</w:t>
            </w:r>
          </w:p>
        </w:tc>
        <w:tc>
          <w:tcPr>
            <w:tcW w:w="5932" w:type="dxa"/>
            <w:gridSpan w:val="3"/>
            <w:vAlign w:val="center"/>
          </w:tcPr>
          <w:p>
            <w:pPr>
              <w:pStyle w:val="28"/>
              <w:spacing w:line="360" w:lineRule="auto"/>
              <w:ind w:firstLine="0" w:firstLineChars="0"/>
              <w:jc w:val="center"/>
              <w:rPr>
                <w:rFonts w:hint="default" w:ascii="Times New Roman" w:hAnsi="Times New Roman" w:cs="Times New Roman"/>
                <w:kern w:val="2"/>
                <w:sz w:val="18"/>
                <w:szCs w:val="18"/>
                <w:highlight w:val="none"/>
              </w:rPr>
            </w:pPr>
            <w:r>
              <w:rPr>
                <w:rFonts w:hint="default" w:ascii="Times New Roman" w:hAnsi="Times New Roman" w:cs="Times New Roman"/>
                <w:kern w:val="2"/>
                <w:sz w:val="18"/>
                <w:szCs w:val="18"/>
                <w:highlight w:val="none"/>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3139" w:type="dxa"/>
            <w:vAlign w:val="center"/>
          </w:tcPr>
          <w:p>
            <w:pPr>
              <w:spacing w:line="36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批号</w:t>
            </w:r>
          </w:p>
        </w:tc>
        <w:tc>
          <w:tcPr>
            <w:tcW w:w="1744" w:type="dxa"/>
            <w:vAlign w:val="center"/>
          </w:tcPr>
          <w:p>
            <w:pPr>
              <w:pStyle w:val="28"/>
              <w:spacing w:line="360" w:lineRule="auto"/>
              <w:ind w:firstLine="0" w:firstLineChars="0"/>
              <w:jc w:val="center"/>
              <w:rPr>
                <w:rFonts w:hint="default" w:ascii="Times New Roman" w:hAnsi="Times New Roman" w:eastAsia="宋体" w:cs="Times New Roman"/>
                <w:kern w:val="2"/>
                <w:sz w:val="18"/>
                <w:szCs w:val="18"/>
                <w:highlight w:val="none"/>
                <w:lang w:val="en-US" w:eastAsia="zh-CN"/>
              </w:rPr>
            </w:pPr>
            <w:r>
              <w:rPr>
                <w:rFonts w:hint="eastAsia" w:ascii="Times New Roman" w:cs="Times New Roman"/>
                <w:kern w:val="2"/>
                <w:sz w:val="18"/>
                <w:szCs w:val="18"/>
                <w:highlight w:val="none"/>
                <w:lang w:val="en-US" w:eastAsia="zh-CN"/>
              </w:rPr>
              <w:t>镍85</w:t>
            </w:r>
          </w:p>
        </w:tc>
        <w:tc>
          <w:tcPr>
            <w:tcW w:w="1745" w:type="dxa"/>
            <w:vAlign w:val="center"/>
          </w:tcPr>
          <w:p>
            <w:pPr>
              <w:pStyle w:val="28"/>
              <w:spacing w:line="360" w:lineRule="auto"/>
              <w:ind w:firstLine="0" w:firstLineChars="0"/>
              <w:jc w:val="center"/>
              <w:rPr>
                <w:rFonts w:hint="default" w:ascii="Times New Roman" w:hAnsi="Times New Roman" w:cs="Times New Roman"/>
                <w:kern w:val="2"/>
                <w:sz w:val="18"/>
                <w:szCs w:val="18"/>
                <w:highlight w:val="none"/>
                <w:lang w:val="en-US"/>
              </w:rPr>
            </w:pPr>
            <w:r>
              <w:rPr>
                <w:rFonts w:hint="eastAsia" w:ascii="Times New Roman" w:cs="Times New Roman"/>
                <w:kern w:val="2"/>
                <w:sz w:val="18"/>
                <w:szCs w:val="18"/>
                <w:highlight w:val="none"/>
                <w:lang w:val="en-US" w:eastAsia="zh-CN"/>
              </w:rPr>
              <w:t>镍90</w:t>
            </w:r>
          </w:p>
        </w:tc>
        <w:tc>
          <w:tcPr>
            <w:tcW w:w="2443" w:type="dxa"/>
            <w:vAlign w:val="center"/>
          </w:tcPr>
          <w:p>
            <w:pPr>
              <w:pStyle w:val="28"/>
              <w:spacing w:line="360" w:lineRule="auto"/>
              <w:ind w:firstLine="0" w:firstLineChars="0"/>
              <w:jc w:val="center"/>
              <w:rPr>
                <w:rFonts w:hint="default" w:ascii="Times New Roman" w:hAnsi="Times New Roman" w:cs="Times New Roman"/>
                <w:kern w:val="2"/>
                <w:sz w:val="18"/>
                <w:szCs w:val="18"/>
                <w:highlight w:val="none"/>
                <w:lang w:val="en-US"/>
              </w:rPr>
            </w:pPr>
            <w:r>
              <w:rPr>
                <w:rFonts w:hint="eastAsia" w:ascii="Times New Roman" w:cs="Times New Roman"/>
                <w:kern w:val="2"/>
                <w:sz w:val="18"/>
                <w:szCs w:val="18"/>
                <w:highlight w:val="none"/>
                <w:lang w:val="en-US" w:eastAsia="zh-CN"/>
              </w:rPr>
              <w:t>镍92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松装密度（g/cm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1744" w:type="dxa"/>
            <w:vAlign w:val="center"/>
          </w:tcPr>
          <w:p>
            <w:pPr>
              <w:pStyle w:val="28"/>
              <w:spacing w:line="360" w:lineRule="auto"/>
              <w:ind w:firstLine="0" w:firstLineChars="0"/>
              <w:jc w:val="center"/>
              <w:rPr>
                <w:rFonts w:hint="eastAsia"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w:t>
            </w:r>
          </w:p>
        </w:tc>
        <w:tc>
          <w:tcPr>
            <w:tcW w:w="1745" w:type="dxa"/>
            <w:vAlign w:val="center"/>
          </w:tcPr>
          <w:p>
            <w:pPr>
              <w:pStyle w:val="28"/>
              <w:spacing w:line="360" w:lineRule="auto"/>
              <w:ind w:firstLine="0" w:firstLineChars="0"/>
              <w:jc w:val="center"/>
              <w:rPr>
                <w:rFonts w:hint="eastAsia"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w:t>
            </w:r>
          </w:p>
        </w:tc>
        <w:tc>
          <w:tcPr>
            <w:tcW w:w="2443" w:type="dxa"/>
            <w:vAlign w:val="center"/>
          </w:tcPr>
          <w:p>
            <w:pPr>
              <w:pStyle w:val="28"/>
              <w:spacing w:line="360" w:lineRule="auto"/>
              <w:ind w:firstLine="0" w:firstLineChars="0"/>
              <w:jc w:val="center"/>
              <w:rPr>
                <w:rFonts w:hint="eastAsia"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振实密度（g/cm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1744"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1.87</w:t>
            </w:r>
          </w:p>
        </w:tc>
        <w:tc>
          <w:tcPr>
            <w:tcW w:w="1745"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1.73</w:t>
            </w:r>
          </w:p>
        </w:tc>
        <w:tc>
          <w:tcPr>
            <w:tcW w:w="2443"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10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1744"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3.33</w:t>
            </w:r>
          </w:p>
        </w:tc>
        <w:tc>
          <w:tcPr>
            <w:tcW w:w="1745"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2.64</w:t>
            </w:r>
          </w:p>
        </w:tc>
        <w:tc>
          <w:tcPr>
            <w:tcW w:w="2443"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50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1744"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4.98</w:t>
            </w:r>
          </w:p>
        </w:tc>
        <w:tc>
          <w:tcPr>
            <w:tcW w:w="1745"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3.50</w:t>
            </w:r>
          </w:p>
        </w:tc>
        <w:tc>
          <w:tcPr>
            <w:tcW w:w="2443"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D</w:t>
            </w:r>
            <w:r>
              <w:rPr>
                <w:rFonts w:hint="default" w:ascii="Times New Roman" w:hAnsi="Times New Roman" w:cs="Times New Roman"/>
                <w:sz w:val="18"/>
                <w:szCs w:val="18"/>
                <w:highlight w:val="none"/>
                <w:vertAlign w:val="subscript"/>
              </w:rPr>
              <w:t>90</w:t>
            </w:r>
            <w:r>
              <w:rPr>
                <w:rFonts w:hint="default" w:ascii="Times New Roman" w:hAnsi="Times New Roman" w:cs="Times New Roman"/>
                <w:sz w:val="18"/>
                <w:szCs w:val="18"/>
                <w:highlight w:val="none"/>
              </w:rPr>
              <w:t>(</w:t>
            </w:r>
            <w:r>
              <w:rPr>
                <w:rFonts w:hint="default" w:ascii="Times New Roman" w:hAnsi="Times New Roman" w:cs="Times New Roman"/>
                <w:highlight w:val="none"/>
              </w:rPr>
              <w:t>μm</w:t>
            </w:r>
            <w:r>
              <w:rPr>
                <w:rFonts w:hint="default" w:ascii="Times New Roman" w:hAnsi="Times New Roman" w:cs="Times New Roman"/>
                <w:sz w:val="18"/>
                <w:szCs w:val="18"/>
                <w:highlight w:val="none"/>
              </w:rPr>
              <w:t>)</w:t>
            </w:r>
          </w:p>
        </w:tc>
        <w:tc>
          <w:tcPr>
            <w:tcW w:w="1744"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7.45</w:t>
            </w:r>
          </w:p>
        </w:tc>
        <w:tc>
          <w:tcPr>
            <w:tcW w:w="1745"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4.58</w:t>
            </w:r>
          </w:p>
        </w:tc>
        <w:tc>
          <w:tcPr>
            <w:tcW w:w="2443"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139" w:type="dxa"/>
            <w:vAlign w:val="center"/>
          </w:tcPr>
          <w:p>
            <w:pPr>
              <w:pStyle w:val="28"/>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比表面积（m</w:t>
            </w:r>
            <w:r>
              <w:rPr>
                <w:rFonts w:hint="default" w:ascii="Times New Roman" w:hAnsi="Times New Roman" w:cs="Times New Roman"/>
                <w:sz w:val="18"/>
                <w:szCs w:val="18"/>
                <w:highlight w:val="none"/>
                <w:vertAlign w:val="superscript"/>
              </w:rPr>
              <w:t>2</w:t>
            </w:r>
            <w:r>
              <w:rPr>
                <w:rFonts w:hint="default" w:ascii="Times New Roman" w:hAnsi="Times New Roman" w:cs="Times New Roman"/>
                <w:sz w:val="18"/>
                <w:szCs w:val="18"/>
                <w:highlight w:val="none"/>
              </w:rPr>
              <w:t>/g）</w:t>
            </w:r>
          </w:p>
        </w:tc>
        <w:tc>
          <w:tcPr>
            <w:tcW w:w="1744"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74.79</w:t>
            </w:r>
          </w:p>
        </w:tc>
        <w:tc>
          <w:tcPr>
            <w:tcW w:w="1745" w:type="dxa"/>
            <w:vAlign w:val="center"/>
          </w:tcPr>
          <w:p>
            <w:pPr>
              <w:pStyle w:val="28"/>
              <w:spacing w:line="360" w:lineRule="auto"/>
              <w:ind w:right="-36" w:rightChars="-17"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71.86</w:t>
            </w:r>
          </w:p>
        </w:tc>
        <w:tc>
          <w:tcPr>
            <w:tcW w:w="2443" w:type="dxa"/>
            <w:vAlign w:val="center"/>
          </w:tcPr>
          <w:p>
            <w:pPr>
              <w:pStyle w:val="28"/>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cs="Times New Roman"/>
                <w:sz w:val="18"/>
                <w:szCs w:val="18"/>
                <w:highlight w:val="none"/>
                <w:lang w:val="en-US" w:eastAsia="zh-CN"/>
              </w:rPr>
              <w:t>50..65</w:t>
            </w:r>
          </w:p>
        </w:tc>
      </w:tr>
    </w:tbl>
    <w:p>
      <w:pPr>
        <w:spacing w:line="360" w:lineRule="auto"/>
        <w:rPr>
          <w:rFonts w:hint="eastAsia" w:cs="Times New Roman"/>
          <w:b/>
          <w:szCs w:val="28"/>
          <w:highlight w:val="yellow"/>
          <w:lang w:val="en-US" w:eastAsia="zh-CN"/>
        </w:rPr>
      </w:pPr>
      <w:r>
        <w:rPr>
          <w:rFonts w:hint="eastAsia" w:cs="Times New Roman"/>
          <w:b/>
          <w:szCs w:val="28"/>
          <w:highlight w:val="none"/>
          <w:lang w:val="en-US" w:eastAsia="zh-CN"/>
        </w:rPr>
        <w:t>3</w:t>
      </w:r>
      <w:r>
        <w:rPr>
          <w:rFonts w:hint="default" w:ascii="Times New Roman" w:hAnsi="Times New Roman" w:cs="Times New Roman"/>
          <w:b/>
          <w:szCs w:val="28"/>
          <w:highlight w:val="none"/>
        </w:rPr>
        <w:t>.</w:t>
      </w:r>
      <w:r>
        <w:rPr>
          <w:rFonts w:hint="eastAsia" w:cs="Times New Roman"/>
          <w:b/>
          <w:szCs w:val="28"/>
          <w:highlight w:val="none"/>
          <w:lang w:val="en-US" w:eastAsia="zh-CN"/>
        </w:rPr>
        <w:t>3</w:t>
      </w:r>
      <w:r>
        <w:rPr>
          <w:rFonts w:hint="default" w:ascii="Times New Roman" w:hAnsi="Times New Roman" w:cs="Times New Roman"/>
          <w:b/>
          <w:szCs w:val="28"/>
          <w:highlight w:val="none"/>
        </w:rPr>
        <w:t xml:space="preserve"> </w:t>
      </w:r>
      <w:r>
        <w:rPr>
          <w:rFonts w:hint="eastAsia" w:cs="Times New Roman"/>
          <w:b/>
          <w:szCs w:val="28"/>
          <w:highlight w:val="none"/>
          <w:lang w:val="en-US" w:eastAsia="zh-CN"/>
        </w:rPr>
        <w:t>产品的主要指标及确定依据</w:t>
      </w:r>
    </w:p>
    <w:p>
      <w:pPr>
        <w:spacing w:line="360" w:lineRule="auto"/>
        <w:rPr>
          <w:rFonts w:hint="default" w:cs="Times New Roman"/>
          <w:b/>
          <w:szCs w:val="28"/>
          <w:highlight w:val="yellow"/>
          <w:lang w:val="en-US" w:eastAsia="zh-CN"/>
        </w:rPr>
      </w:pPr>
      <w:r>
        <w:rPr>
          <w:rFonts w:hint="eastAsia" w:cs="Times New Roman"/>
          <w:b/>
          <w:szCs w:val="28"/>
          <w:highlight w:val="none"/>
          <w:lang w:val="en-US" w:eastAsia="zh-CN"/>
        </w:rPr>
        <w:t>3.3.1化学成分</w:t>
      </w:r>
    </w:p>
    <w:p>
      <w:pPr>
        <w:spacing w:line="360" w:lineRule="auto"/>
        <w:ind w:firstLine="420" w:firstLineChars="200"/>
        <w:rPr>
          <w:rFonts w:hint="default" w:ascii="Times New Roman" w:hAnsi="Times New Roman" w:cs="Times New Roman"/>
          <w:szCs w:val="21"/>
        </w:rPr>
      </w:pPr>
      <w:r>
        <w:rPr>
          <w:rFonts w:hint="eastAsia" w:cs="Times New Roman"/>
          <w:szCs w:val="21"/>
          <w:lang w:eastAsia="zh-CN"/>
        </w:rPr>
        <w:t>镍钴二元素复合氧化物</w:t>
      </w:r>
      <w:r>
        <w:rPr>
          <w:rFonts w:hint="default" w:ascii="Times New Roman" w:hAnsi="Times New Roman" w:cs="Times New Roman"/>
          <w:szCs w:val="21"/>
        </w:rPr>
        <w:t>所含元素中Ni、Co二个元素为主</w:t>
      </w:r>
      <w:r>
        <w:rPr>
          <w:rFonts w:hint="eastAsia" w:cs="Times New Roman"/>
          <w:szCs w:val="21"/>
          <w:lang w:val="en-US" w:eastAsia="zh-CN"/>
        </w:rPr>
        <w:t>元素</w:t>
      </w:r>
      <w:r>
        <w:rPr>
          <w:rFonts w:hint="default" w:ascii="Times New Roman" w:hAnsi="Times New Roman" w:cs="Times New Roman"/>
          <w:szCs w:val="21"/>
        </w:rPr>
        <w:t>，依据常规要求，其标准范围的制定是根</w:t>
      </w:r>
      <w:r>
        <w:rPr>
          <w:rFonts w:hint="eastAsia" w:cs="Times New Roman"/>
          <w:szCs w:val="21"/>
          <w:lang w:val="en-US" w:eastAsia="zh-CN"/>
        </w:rPr>
        <w:t>据</w:t>
      </w:r>
      <w:r>
        <w:rPr>
          <w:rFonts w:hint="eastAsia" w:cs="Times New Roman"/>
          <w:szCs w:val="21"/>
          <w:lang w:eastAsia="zh-CN"/>
        </w:rPr>
        <w:t>镍钴二元素复合氧化物</w:t>
      </w:r>
      <w:r>
        <w:rPr>
          <w:rFonts w:hint="default" w:ascii="Times New Roman" w:hAnsi="Times New Roman" w:cs="Times New Roman"/>
          <w:szCs w:val="21"/>
        </w:rPr>
        <w:t>的理论分子式及生产工艺和测试结果综合而定的。杂质元素标准范围主要是依据客户的技术规格书、原材料品位及生产工艺的实际水平来制定的，同时参考了YS/T 1125-2016《镍钴</w:t>
      </w:r>
      <w:r>
        <w:rPr>
          <w:rFonts w:hint="default" w:ascii="Times New Roman" w:hAnsi="Times New Roman" w:cs="Times New Roman"/>
          <w:spacing w:val="17"/>
          <w:kern w:val="0"/>
          <w:szCs w:val="21"/>
        </w:rPr>
        <w:t>铝</w:t>
      </w:r>
      <w:r>
        <w:rPr>
          <w:rFonts w:hint="eastAsia" w:cs="Times New Roman"/>
          <w:kern w:val="0"/>
          <w:szCs w:val="21"/>
          <w:lang w:val="en-US" w:eastAsia="zh-CN"/>
        </w:rPr>
        <w:t>酸</w:t>
      </w:r>
      <w:r>
        <w:rPr>
          <w:rFonts w:hint="default" w:ascii="Times New Roman" w:hAnsi="Times New Roman" w:cs="Times New Roman"/>
          <w:szCs w:val="21"/>
        </w:rPr>
        <w:t>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825-2013《钛酸锂》几个同类材料国标行标中杂质元素的种类及标准范围的相关内容。见表1。</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eastAsia" w:cs="Times New Roman"/>
          <w:szCs w:val="21"/>
          <w:lang w:val="en-US" w:eastAsia="zh-CN"/>
        </w:rPr>
        <w:t>3</w:t>
      </w:r>
      <w:r>
        <w:rPr>
          <w:rFonts w:hint="default" w:ascii="Times New Roman" w:hAnsi="Times New Roman" w:cs="Times New Roman"/>
          <w:szCs w:val="21"/>
        </w:rPr>
        <w:t xml:space="preserve"> 化学成分</w:t>
      </w:r>
    </w:p>
    <w:tbl>
      <w:tblPr>
        <w:tblStyle w:val="10"/>
        <w:tblW w:w="909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8"/>
        <w:gridCol w:w="2343"/>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5341" w:type="dxa"/>
            <w:gridSpan w:val="2"/>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sz w:val="18"/>
                <w:szCs w:val="18"/>
              </w:rPr>
              <w:t>化学成分</w:t>
            </w:r>
          </w:p>
        </w:tc>
        <w:tc>
          <w:tcPr>
            <w:tcW w:w="3758" w:type="dxa"/>
            <w:vAlign w:val="center"/>
          </w:tcPr>
          <w:p>
            <w:pPr>
              <w:pStyle w:val="28"/>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sz w:val="18"/>
                <w:szCs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restart"/>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主含量</w:t>
            </w:r>
          </w:p>
        </w:tc>
        <w:tc>
          <w:tcPr>
            <w:tcW w:w="2343"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Ni</w:t>
            </w:r>
          </w:p>
        </w:tc>
        <w:tc>
          <w:tcPr>
            <w:tcW w:w="3758" w:type="dxa"/>
            <w:vAlign w:val="center"/>
          </w:tcPr>
          <w:p>
            <w:pPr>
              <w:spacing w:line="360" w:lineRule="auto"/>
              <w:jc w:val="center"/>
              <w:rPr>
                <w:rFonts w:hint="default" w:ascii="Times New Roman" w:hAnsi="Times New Roman" w:eastAsia="黑体" w:cs="Times New Roman"/>
                <w:szCs w:val="21"/>
                <w:highlight w:val="none"/>
                <w:lang w:val="en-US" w:eastAsia="zh-CN"/>
              </w:rPr>
            </w:pPr>
            <w:r>
              <w:rPr>
                <w:rFonts w:hint="eastAsia" w:eastAsia="黑体" w:cs="Times New Roman"/>
                <w:szCs w:val="21"/>
                <w:highlight w:val="none"/>
                <w:lang w:val="en-US" w:eastAsia="zh-CN"/>
              </w:rPr>
              <w:t>63.5-74.7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pStyle w:val="28"/>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Co</w:t>
            </w:r>
          </w:p>
        </w:tc>
        <w:tc>
          <w:tcPr>
            <w:tcW w:w="3758" w:type="dxa"/>
            <w:vAlign w:val="center"/>
          </w:tcPr>
          <w:p>
            <w:pPr>
              <w:spacing w:line="360" w:lineRule="auto"/>
              <w:jc w:val="center"/>
              <w:rPr>
                <w:rFonts w:hint="default" w:ascii="Times New Roman" w:hAnsi="Times New Roman" w:eastAsia="黑体" w:cs="Times New Roman"/>
                <w:szCs w:val="21"/>
                <w:highlight w:val="none"/>
                <w:lang w:val="en-US" w:eastAsia="zh-CN"/>
              </w:rPr>
            </w:pPr>
            <w:r>
              <w:rPr>
                <w:rFonts w:hint="eastAsia" w:eastAsia="黑体" w:cs="Times New Roman"/>
                <w:szCs w:val="21"/>
                <w:highlight w:val="none"/>
                <w:lang w:val="en-US" w:eastAsia="zh-CN"/>
              </w:rPr>
              <w:t>3.90-15.8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杂质含量</w:t>
            </w: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 xml:space="preserve">Cu </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998" w:type="dxa"/>
            <w:vMerge w:val="continue"/>
            <w:vAlign w:val="center"/>
          </w:tcPr>
          <w:p>
            <w:pPr>
              <w:spacing w:line="360" w:lineRule="auto"/>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Fe</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spacing w:line="360" w:lineRule="auto"/>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Zn</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Ca</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Mg</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Na</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Mn</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Al</w:t>
            </w:r>
          </w:p>
        </w:tc>
        <w:tc>
          <w:tcPr>
            <w:tcW w:w="3758" w:type="dxa"/>
            <w:vAlign w:val="center"/>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S</w:t>
            </w:r>
          </w:p>
        </w:tc>
        <w:tc>
          <w:tcPr>
            <w:tcW w:w="3758" w:type="dxa"/>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Cl</w:t>
            </w:r>
          </w:p>
        </w:tc>
        <w:tc>
          <w:tcPr>
            <w:tcW w:w="3758" w:type="dxa"/>
          </w:tcPr>
          <w:p>
            <w:pPr>
              <w:spacing w:line="360" w:lineRule="auto"/>
              <w:jc w:val="center"/>
              <w:rPr>
                <w:rFonts w:hint="default" w:ascii="Times New Roman" w:hAnsi="Times New Roman" w:eastAsia="黑体" w:cs="Times New Roman"/>
                <w:szCs w:val="21"/>
                <w:highlight w:val="none"/>
              </w:rPr>
            </w:pPr>
            <w:r>
              <w:rPr>
                <w:rFonts w:hint="default" w:ascii="Times New Roman" w:hAnsi="Times New Roman" w:eastAsia="黑体" w:cs="Times New Roman"/>
                <w:szCs w:val="21"/>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lang w:val="en-US" w:eastAsia="zh-CN"/>
              </w:rPr>
            </w:pPr>
            <w:r>
              <w:rPr>
                <w:rFonts w:hint="eastAsia" w:eastAsia="黑体" w:cs="Times New Roman"/>
                <w:szCs w:val="21"/>
                <w:lang w:val="en-US" w:eastAsia="zh-CN"/>
              </w:rPr>
              <w:t>H</w:t>
            </w:r>
            <w:r>
              <w:rPr>
                <w:rFonts w:hint="eastAsia" w:eastAsia="黑体" w:cs="Times New Roman"/>
                <w:szCs w:val="21"/>
                <w:vertAlign w:val="subscript"/>
                <w:lang w:val="en-US" w:eastAsia="zh-CN"/>
              </w:rPr>
              <w:t>2</w:t>
            </w:r>
            <w:r>
              <w:rPr>
                <w:rFonts w:hint="eastAsia" w:eastAsia="黑体" w:cs="Times New Roman"/>
                <w:szCs w:val="21"/>
                <w:lang w:val="en-US" w:eastAsia="zh-CN"/>
              </w:rPr>
              <w:t>O</w:t>
            </w:r>
          </w:p>
        </w:tc>
        <w:tc>
          <w:tcPr>
            <w:tcW w:w="3758" w:type="dxa"/>
          </w:tcPr>
          <w:p>
            <w:pPr>
              <w:spacing w:line="360" w:lineRule="auto"/>
              <w:jc w:val="center"/>
              <w:rPr>
                <w:rFonts w:hint="default" w:ascii="Times New Roman" w:hAnsi="Times New Roman" w:eastAsia="黑体" w:cs="Times New Roman"/>
                <w:szCs w:val="21"/>
                <w:highlight w:val="none"/>
              </w:rPr>
            </w:pPr>
            <w:r>
              <w:rPr>
                <w:rFonts w:hint="eastAsia" w:eastAsia="黑体" w:cs="Times New Roman"/>
                <w:szCs w:val="21"/>
                <w:highlight w:val="none"/>
                <w:lang w:val="en-US" w:eastAsia="zh-CN"/>
              </w:rPr>
              <w:t>≤</w:t>
            </w:r>
            <w:r>
              <w:rPr>
                <w:rFonts w:hint="default" w:ascii="Times New Roman" w:hAnsi="Times New Roman" w:cs="Times New Roman"/>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998" w:type="dxa"/>
            <w:vMerge w:val="continue"/>
            <w:vAlign w:val="center"/>
          </w:tcPr>
          <w:p>
            <w:pPr>
              <w:pStyle w:val="28"/>
              <w:spacing w:line="360" w:lineRule="auto"/>
              <w:ind w:firstLine="0" w:firstLineChars="0"/>
              <w:jc w:val="center"/>
              <w:rPr>
                <w:rFonts w:hint="default" w:ascii="Times New Roman" w:hAnsi="Times New Roman" w:cs="Times New Roman"/>
                <w:sz w:val="18"/>
                <w:szCs w:val="18"/>
              </w:rPr>
            </w:pPr>
          </w:p>
        </w:tc>
        <w:tc>
          <w:tcPr>
            <w:tcW w:w="2343" w:type="dxa"/>
            <w:vAlign w:val="center"/>
          </w:tcPr>
          <w:p>
            <w:pPr>
              <w:spacing w:line="360" w:lineRule="auto"/>
              <w:jc w:val="center"/>
              <w:rPr>
                <w:rFonts w:hint="default" w:ascii="Times New Roman" w:hAnsi="Times New Roman" w:eastAsia="黑体" w:cs="Times New Roman"/>
                <w:szCs w:val="21"/>
                <w:lang w:val="en-US" w:eastAsia="zh-CN"/>
              </w:rPr>
            </w:pPr>
            <w:r>
              <w:rPr>
                <w:rFonts w:hint="eastAsia" w:eastAsia="黑体" w:cs="Times New Roman"/>
                <w:szCs w:val="21"/>
                <w:lang w:val="en-US" w:eastAsia="zh-CN"/>
              </w:rPr>
              <w:t>M.I</w:t>
            </w:r>
          </w:p>
        </w:tc>
        <w:tc>
          <w:tcPr>
            <w:tcW w:w="3758" w:type="dxa"/>
          </w:tcPr>
          <w:p>
            <w:pPr>
              <w:spacing w:line="360" w:lineRule="auto"/>
              <w:jc w:val="center"/>
              <w:rPr>
                <w:rFonts w:hint="default" w:ascii="Times New Roman" w:hAnsi="Times New Roman" w:eastAsia="黑体" w:cs="Times New Roman"/>
                <w:szCs w:val="21"/>
                <w:highlight w:val="none"/>
                <w:lang w:val="en-US" w:eastAsia="zh-CN"/>
              </w:rPr>
            </w:pPr>
            <w:r>
              <w:rPr>
                <w:rFonts w:hint="eastAsia" w:eastAsia="黑体" w:cs="Times New Roman"/>
                <w:szCs w:val="21"/>
                <w:highlight w:val="none"/>
                <w:lang w:val="en-US" w:eastAsia="zh-CN"/>
              </w:rPr>
              <w:t>≤</w:t>
            </w:r>
            <w:r>
              <w:rPr>
                <w:rFonts w:hint="default" w:ascii="Times New Roman" w:hAnsi="Times New Roman" w:cs="Times New Roman"/>
                <w:szCs w:val="21"/>
                <w:highlight w:val="none"/>
              </w:rPr>
              <w:t>0.00002%</w:t>
            </w:r>
          </w:p>
        </w:tc>
      </w:tr>
    </w:tbl>
    <w:p>
      <w:pPr>
        <w:spacing w:line="360" w:lineRule="auto"/>
        <w:rPr>
          <w:rFonts w:hint="default" w:ascii="Times New Roman" w:hAnsi="Times New Roman" w:cs="Times New Roman"/>
          <w:b/>
          <w:bCs/>
          <w:szCs w:val="21"/>
        </w:rPr>
      </w:pPr>
      <w:r>
        <w:rPr>
          <w:rFonts w:hint="eastAsia" w:cs="Times New Roman"/>
          <w:b/>
          <w:bCs/>
          <w:szCs w:val="21"/>
          <w:lang w:val="en-US" w:eastAsia="zh-CN"/>
        </w:rPr>
        <w:t>3.3.2</w:t>
      </w:r>
      <w:r>
        <w:rPr>
          <w:rFonts w:hint="default" w:ascii="Times New Roman" w:hAnsi="Times New Roman" w:cs="Times New Roman"/>
          <w:b/>
          <w:bCs/>
          <w:szCs w:val="21"/>
        </w:rPr>
        <w:t>松装密度和振实密度</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eastAsia" w:cs="Times New Roman"/>
          <w:szCs w:val="21"/>
          <w:lang w:eastAsia="zh-CN"/>
        </w:rPr>
        <w:t>镍钴二元素复合氧化物</w:t>
      </w:r>
      <w:r>
        <w:rPr>
          <w:rFonts w:hint="default" w:ascii="Times New Roman" w:hAnsi="Times New Roman" w:cs="Times New Roman"/>
          <w:szCs w:val="21"/>
        </w:rPr>
        <w:t>的松装密度定应</w:t>
      </w:r>
      <w:r>
        <w:rPr>
          <w:rFonts w:hint="eastAsia" w:cs="Times New Roman"/>
          <w:szCs w:val="21"/>
          <w:lang w:val="en-US" w:eastAsia="zh-CN"/>
        </w:rPr>
        <w:t>在</w:t>
      </w:r>
      <w:r>
        <w:rPr>
          <w:rFonts w:hint="default" w:ascii="Times New Roman" w:hAnsi="Times New Roman" w:cs="Times New Roman"/>
        </w:rPr>
        <w:t>0.4g/cm</w:t>
      </w:r>
      <w:r>
        <w:rPr>
          <w:rFonts w:hint="default" w:ascii="Times New Roman" w:hAnsi="Times New Roman" w:cs="Times New Roman"/>
          <w:sz w:val="21"/>
          <w:szCs w:val="24"/>
          <w:vertAlign w:val="superscript"/>
        </w:rPr>
        <w:t>3</w:t>
      </w:r>
      <w:r>
        <w:rPr>
          <w:rFonts w:hint="default" w:ascii="Times New Roman" w:hAnsi="Times New Roman" w:cs="Times New Roman"/>
        </w:rPr>
        <w:t>~1.2g/cm</w:t>
      </w:r>
      <w:r>
        <w:rPr>
          <w:rFonts w:hint="default" w:ascii="Times New Roman" w:hAnsi="Times New Roman" w:cs="Times New Roman"/>
          <w:vertAlign w:val="superscript"/>
        </w:rPr>
        <w:t>3</w:t>
      </w:r>
      <w:r>
        <w:rPr>
          <w:rFonts w:hint="default" w:ascii="Times New Roman" w:hAnsi="Times New Roman" w:cs="Times New Roman"/>
        </w:rPr>
        <w:t>范围内</w:t>
      </w:r>
      <w:r>
        <w:rPr>
          <w:rFonts w:hint="default" w:ascii="Times New Roman" w:hAnsi="Times New Roman" w:cs="Times New Roman"/>
          <w:szCs w:val="21"/>
        </w:rPr>
        <w:t>，振实密度应不小于1.</w:t>
      </w:r>
      <w:r>
        <w:rPr>
          <w:rFonts w:hint="eastAsia" w:cs="Times New Roman"/>
          <w:szCs w:val="21"/>
          <w:lang w:val="en-US" w:eastAsia="zh-CN"/>
        </w:rPr>
        <w:t>2</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cs="Times New Roman"/>
          <w:b/>
          <w:bCs/>
          <w:szCs w:val="21"/>
        </w:rPr>
      </w:pPr>
      <w:r>
        <w:rPr>
          <w:rFonts w:hint="eastAsia" w:cs="Times New Roman"/>
          <w:b/>
          <w:bCs/>
          <w:szCs w:val="21"/>
          <w:lang w:val="en-US" w:eastAsia="zh-CN"/>
        </w:rPr>
        <w:t>3.3.3</w:t>
      </w:r>
      <w:r>
        <w:rPr>
          <w:rFonts w:hint="default" w:ascii="Times New Roman" w:hAnsi="Times New Roman" w:cs="Times New Roman"/>
          <w:b/>
          <w:bCs/>
          <w:szCs w:val="21"/>
        </w:rPr>
        <w:t xml:space="preserve"> 粒度分布</w:t>
      </w:r>
    </w:p>
    <w:p>
      <w:pPr>
        <w:spacing w:line="360" w:lineRule="auto"/>
        <w:ind w:firstLine="420" w:firstLineChars="200"/>
        <w:rPr>
          <w:rFonts w:hint="default" w:ascii="Times New Roman" w:hAnsi="Times New Roman" w:cs="Times New Roman"/>
          <w:szCs w:val="21"/>
        </w:rPr>
      </w:pPr>
      <w:r>
        <w:rPr>
          <w:rFonts w:hint="eastAsia" w:cs="Times New Roman"/>
          <w:szCs w:val="21"/>
          <w:lang w:eastAsia="zh-CN"/>
        </w:rPr>
        <w:t>镍钴二元素复合氧化物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eastAsia" w:cs="Times New Roman"/>
          <w:szCs w:val="21"/>
          <w:lang w:eastAsia="zh-CN"/>
        </w:rPr>
        <w:t>镍钴二元素复合氧化物</w:t>
      </w:r>
      <w:r>
        <w:rPr>
          <w:rFonts w:hint="default" w:ascii="Times New Roman" w:hAnsi="Times New Roman" w:cs="Times New Roman"/>
          <w:szCs w:val="21"/>
        </w:rPr>
        <w:t>自身特点，标准规定了</w:t>
      </w:r>
      <w:r>
        <w:rPr>
          <w:rFonts w:hint="eastAsia" w:cs="Times New Roman"/>
          <w:szCs w:val="21"/>
          <w:lang w:eastAsia="zh-CN"/>
        </w:rPr>
        <w:t>镍钴二元素复合氧化物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应在3.0-18.0μm。</w:t>
      </w:r>
    </w:p>
    <w:p>
      <w:pPr>
        <w:spacing w:line="360" w:lineRule="auto"/>
        <w:rPr>
          <w:rFonts w:hint="default" w:ascii="Times New Roman" w:hAnsi="Times New Roman" w:cs="Times New Roman"/>
          <w:b/>
          <w:bCs/>
          <w:szCs w:val="21"/>
        </w:rPr>
      </w:pPr>
      <w:r>
        <w:rPr>
          <w:rFonts w:hint="eastAsia" w:cs="Times New Roman"/>
          <w:b/>
          <w:bCs/>
          <w:szCs w:val="21"/>
          <w:lang w:val="en-US" w:eastAsia="zh-CN"/>
        </w:rPr>
        <w:t>3.3.4</w:t>
      </w:r>
      <w:r>
        <w:rPr>
          <w:rFonts w:hint="default" w:ascii="Times New Roman" w:hAnsi="Times New Roman" w:cs="Times New Roman"/>
          <w:b/>
          <w:bCs/>
          <w:szCs w:val="21"/>
        </w:rPr>
        <w:t xml:space="preserve"> 比表面积</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eastAsia" w:cs="Times New Roman"/>
          <w:szCs w:val="21"/>
          <w:lang w:eastAsia="zh-CN"/>
        </w:rPr>
        <w:t>镍钴二元素复合氧化物</w:t>
      </w:r>
      <w:r>
        <w:rPr>
          <w:rFonts w:hint="default" w:ascii="Times New Roman" w:hAnsi="Times New Roman" w:cs="Times New Roman"/>
          <w:szCs w:val="21"/>
        </w:rPr>
        <w:t>的比表面积应不大于35 m</w:t>
      </w:r>
      <w:r>
        <w:rPr>
          <w:rFonts w:hint="default" w:ascii="Times New Roman" w:hAnsi="Times New Roman" w:cs="Times New Roman"/>
          <w:szCs w:val="21"/>
          <w:vertAlign w:val="superscript"/>
        </w:rPr>
        <w:t>2</w:t>
      </w:r>
      <w:r>
        <w:rPr>
          <w:rFonts w:hint="default" w:ascii="Times New Roman" w:hAnsi="Times New Roman" w:cs="Times New Roman"/>
          <w:szCs w:val="21"/>
        </w:rPr>
        <w:t>/g</w:t>
      </w:r>
    </w:p>
    <w:p>
      <w:pPr>
        <w:spacing w:line="360" w:lineRule="auto"/>
        <w:rPr>
          <w:rFonts w:hint="default" w:ascii="Times New Roman" w:hAnsi="Times New Roman" w:cs="Times New Roman"/>
          <w:b/>
          <w:bCs/>
          <w:szCs w:val="21"/>
        </w:rPr>
      </w:pPr>
      <w:r>
        <w:rPr>
          <w:rFonts w:hint="eastAsia" w:cs="Times New Roman"/>
          <w:b/>
          <w:bCs/>
          <w:szCs w:val="21"/>
          <w:lang w:val="en-US" w:eastAsia="zh-CN"/>
        </w:rPr>
        <w:t>3.3.5</w:t>
      </w:r>
      <w:r>
        <w:rPr>
          <w:rFonts w:hint="default" w:ascii="Times New Roman" w:hAnsi="Times New Roman" w:cs="Times New Roman"/>
          <w:b/>
          <w:bCs/>
          <w:szCs w:val="21"/>
        </w:rPr>
        <w:t xml:space="preserve"> 微观形貌</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eastAsia" w:cs="Times New Roman"/>
          <w:szCs w:val="21"/>
          <w:lang w:eastAsia="zh-CN"/>
        </w:rPr>
        <w:t>镍钴二元素复合氧化物</w:t>
      </w:r>
      <w:r>
        <w:rPr>
          <w:rFonts w:hint="default" w:ascii="Times New Roman" w:hAnsi="Times New Roman" w:cs="Times New Roman"/>
          <w:szCs w:val="21"/>
        </w:rPr>
        <w:t>的微观形貌中，球形和类球形颗粒的压实密度是最高的，也是层状结构和均一性最好的，标准规定了</w:t>
      </w:r>
      <w:r>
        <w:rPr>
          <w:rFonts w:hint="eastAsia" w:cs="Times New Roman"/>
          <w:szCs w:val="21"/>
          <w:lang w:eastAsia="zh-CN"/>
        </w:rPr>
        <w:t>镍钴二元素复合氧化物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eastAsia" w:cs="Times New Roman"/>
          <w:b/>
          <w:bCs/>
          <w:szCs w:val="21"/>
          <w:lang w:val="en-US" w:eastAsia="zh-CN"/>
        </w:rPr>
        <w:t>3.3.6</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eastAsia" w:cs="Times New Roman"/>
          <w:szCs w:val="21"/>
          <w:lang w:eastAsia="zh-CN"/>
        </w:rPr>
        <w:t>镍钴二元素复合氧化物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eastAsia"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cs="Times New Roman"/>
          <w:b/>
          <w:bCs/>
          <w:szCs w:val="21"/>
          <w:lang w:val="en-US" w:eastAsia="zh-CN"/>
        </w:rPr>
      </w:pPr>
      <w:r>
        <w:rPr>
          <w:rFonts w:hint="eastAsia" w:cs="Times New Roman"/>
          <w:b/>
          <w:bCs/>
          <w:szCs w:val="21"/>
          <w:lang w:val="en-US" w:eastAsia="zh-CN"/>
        </w:rPr>
        <w:t>3.4.1 化学成分</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产品化学成分的测定按供需双方协商认可的方法进行。</w:t>
      </w:r>
    </w:p>
    <w:p>
      <w:pPr>
        <w:spacing w:line="360" w:lineRule="auto"/>
        <w:rPr>
          <w:rFonts w:hint="default" w:cs="Times New Roman"/>
          <w:b/>
          <w:bCs/>
          <w:szCs w:val="21"/>
          <w:lang w:val="en-US" w:eastAsia="zh-CN"/>
        </w:rPr>
      </w:pPr>
      <w:r>
        <w:rPr>
          <w:rFonts w:hint="eastAsia"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6283的规定进行。</w:t>
      </w:r>
    </w:p>
    <w:p>
      <w:pPr>
        <w:spacing w:line="360" w:lineRule="auto"/>
        <w:rPr>
          <w:rFonts w:hint="default" w:cs="Times New Roman"/>
          <w:b/>
          <w:bCs/>
          <w:szCs w:val="21"/>
          <w:lang w:val="en-US" w:eastAsia="zh-CN"/>
        </w:rPr>
      </w:pPr>
      <w:r>
        <w:rPr>
          <w:rFonts w:hint="eastAsia"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szCs w:val="21"/>
        </w:rPr>
        <w:t>–</w:t>
      </w:r>
      <w:r>
        <w:rPr>
          <w:rFonts w:hint="default" w:ascii="Times New Roman" w:hAnsi="Times New Roman" w:cs="Times New Roman"/>
          <w:color w:val="000000"/>
        </w:rPr>
        <w:t>2009中附录K的规定进行。</w:t>
      </w:r>
    </w:p>
    <w:p>
      <w:pPr>
        <w:spacing w:line="360" w:lineRule="auto"/>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t>3.</w:t>
      </w:r>
      <w:r>
        <w:rPr>
          <w:rFonts w:hint="eastAsia" w:cs="Times New Roman"/>
          <w:b/>
          <w:bCs/>
          <w:szCs w:val="21"/>
          <w:lang w:val="en-US" w:eastAsia="zh-CN"/>
        </w:rPr>
        <w:t>4</w:t>
      </w:r>
      <w:r>
        <w:rPr>
          <w:rFonts w:hint="eastAsia" w:ascii="Times New Roman" w:hAnsi="Times New Roman" w:cs="Times New Roman"/>
          <w:b/>
          <w:bCs/>
          <w:szCs w:val="21"/>
          <w:lang w:val="en-US" w:eastAsia="zh-CN"/>
        </w:rPr>
        <w:t>.4 物理性能</w:t>
      </w:r>
    </w:p>
    <w:p>
      <w:pPr>
        <w:spacing w:line="360" w:lineRule="auto"/>
        <w:ind w:firstLine="420"/>
        <w:rPr>
          <w:rFonts w:hint="default" w:ascii="Times New Roman" w:hAnsi="Times New Roman" w:cs="Times New Roman"/>
        </w:rPr>
      </w:pPr>
      <w:r>
        <w:rPr>
          <w:rFonts w:hint="eastAsia"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 xml:space="preserve">GB/T </w:t>
      </w:r>
      <w:r>
        <w:rPr>
          <w:rFonts w:hint="eastAsia" w:cs="Times New Roman"/>
          <w:lang w:eastAsia="zh-CN"/>
        </w:rPr>
        <w:t>19077</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rPr>
      </w:pPr>
      <w:r>
        <w:rPr>
          <w:rFonts w:hint="eastAsia"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eastAsia" w:ascii="Times New Roman" w:hAnsi="Times New Roman" w:cs="Times New Roman"/>
          <w:szCs w:val="21"/>
          <w:lang w:val="en-US" w:eastAsia="zh-CN"/>
        </w:rPr>
        <w:t>的测定方法，规定本标准中产品的振实密度测定按照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lang w:val="en-US" w:eastAsia="zh-CN"/>
        </w:rPr>
      </w:pPr>
      <w:r>
        <w:rPr>
          <w:rFonts w:hint="eastAsia" w:ascii="Times New Roman" w:hAnsi="Times New Roman" w:cs="Times New Roman"/>
          <w:szCs w:val="21"/>
          <w:lang w:val="en-US" w:eastAsia="zh-CN"/>
        </w:rPr>
        <w:t>参照其他前驱体如镍钴锰氢氧化物和镍钴铝氢氧化物中产品</w:t>
      </w:r>
      <w:r>
        <w:rPr>
          <w:rFonts w:hint="eastAsia" w:ascii="Times New Roman" w:hAnsi="Times New Roman" w:cs="Times New Roman"/>
          <w:lang w:val="en-US" w:eastAsia="zh-CN"/>
        </w:rPr>
        <w:t>外观质量</w:t>
      </w:r>
      <w:r>
        <w:rPr>
          <w:rFonts w:hint="eastAsia"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eastAsia"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eastAsia" w:cs="Times New Roman"/>
          <w:b/>
          <w:bCs/>
          <w:szCs w:val="21"/>
          <w:lang w:val="en-US" w:eastAsia="zh-CN"/>
        </w:rPr>
      </w:pPr>
      <w:r>
        <w:rPr>
          <w:rFonts w:hint="eastAsia" w:cs="Times New Roman"/>
          <w:b/>
          <w:bCs/>
          <w:szCs w:val="21"/>
          <w:lang w:val="en-US" w:eastAsia="zh-CN"/>
        </w:rPr>
        <w:t>3.5</w:t>
      </w:r>
      <w:r>
        <w:rPr>
          <w:rFonts w:hint="default" w:ascii="Times New Roman" w:hAnsi="Times New Roman" w:cs="Times New Roman"/>
          <w:b/>
          <w:bCs/>
          <w:szCs w:val="21"/>
        </w:rPr>
        <w:t xml:space="preserve"> </w:t>
      </w:r>
      <w:r>
        <w:rPr>
          <w:rFonts w:hint="eastAsia" w:cs="Times New Roman"/>
          <w:b/>
          <w:bCs/>
          <w:szCs w:val="21"/>
          <w:lang w:val="en-US" w:eastAsia="zh-CN"/>
        </w:rPr>
        <w:t>产品</w:t>
      </w:r>
      <w:r>
        <w:rPr>
          <w:rFonts w:hint="default" w:ascii="Times New Roman" w:hAnsi="Times New Roman" w:cs="Times New Roman"/>
          <w:b/>
          <w:bCs/>
          <w:szCs w:val="21"/>
        </w:rPr>
        <w:t>检验</w:t>
      </w:r>
      <w:r>
        <w:rPr>
          <w:rFonts w:hint="eastAsia"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3.5.1</w:t>
      </w:r>
      <w:r>
        <w:rPr>
          <w:rFonts w:hint="default" w:ascii="Times New Roman" w:hAnsi="Times New Roman" w:cs="Times New Roman"/>
          <w:szCs w:val="21"/>
          <w:lang w:val="en-US" w:eastAsia="zh-CN"/>
        </w:rPr>
        <w:t>每批产品的检验项目及取样数量</w:t>
      </w:r>
      <w:r>
        <w:rPr>
          <w:rFonts w:hint="eastAsia" w:ascii="Times New Roman" w:hAnsi="Times New Roman" w:cs="Times New Roman"/>
          <w:szCs w:val="21"/>
          <w:lang w:val="en-US" w:eastAsia="zh-CN"/>
        </w:rPr>
        <w:t>见表4</w:t>
      </w:r>
    </w:p>
    <w:tbl>
      <w:tblPr>
        <w:tblStyle w:val="10"/>
        <w:tblpPr w:leftFromText="180" w:rightFromText="180" w:vertAnchor="text" w:horzAnchor="page" w:tblpX="1433" w:tblpY="452"/>
        <w:tblOverlap w:val="never"/>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1767"/>
        <w:gridCol w:w="2415"/>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67" w:type="dxa"/>
            <w:noWrap w:val="0"/>
            <w:vAlign w:val="center"/>
          </w:tcPr>
          <w:p>
            <w:pPr>
              <w:spacing w:line="360" w:lineRule="auto"/>
              <w:jc w:val="center"/>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6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245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67" w:type="dxa"/>
            <w:noWrap w:val="0"/>
            <w:vAlign w:val="center"/>
          </w:tcPr>
          <w:p>
            <w:pPr>
              <w:spacing w:line="360" w:lineRule="auto"/>
              <w:jc w:val="center"/>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1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58"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spacing w:line="360" w:lineRule="auto"/>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highlight w:val="none"/>
        </w:rPr>
        <w:t>表</w:t>
      </w:r>
      <w:r>
        <w:rPr>
          <w:rFonts w:hint="eastAsia" w:eastAsia="黑体" w:cs="Times New Roman"/>
          <w:color w:val="auto"/>
          <w:szCs w:val="21"/>
          <w:highlight w:val="none"/>
          <w:lang w:val="en-US" w:eastAsia="zh-CN"/>
        </w:rPr>
        <w:t>4</w:t>
      </w:r>
      <w:r>
        <w:rPr>
          <w:rFonts w:hint="default" w:ascii="Times New Roman" w:hAnsi="Times New Roman" w:eastAsia="黑体" w:cs="Times New Roman"/>
          <w:color w:val="auto"/>
          <w:szCs w:val="21"/>
        </w:rPr>
        <w:t xml:space="preserve"> 每批产品的检验项目及取样数量</w:t>
      </w:r>
    </w:p>
    <w:p>
      <w:pPr>
        <w:pStyle w:val="26"/>
        <w:numPr>
          <w:ilvl w:val="2"/>
          <w:numId w:val="0"/>
        </w:numPr>
        <w:spacing w:line="360" w:lineRule="auto"/>
        <w:rPr>
          <w:rFonts w:hint="eastAsia" w:ascii="Times New Roman" w:cs="Times New Roman"/>
          <w:b/>
          <w:bCs/>
          <w:sz w:val="22"/>
          <w:szCs w:val="24"/>
          <w:lang w:val="en-US" w:eastAsia="zh-CN"/>
        </w:rPr>
      </w:pPr>
      <w:r>
        <w:rPr>
          <w:rFonts w:hint="eastAsia" w:ascii="Times New Roman" w:cs="Times New Roman"/>
          <w:b/>
          <w:bCs/>
          <w:sz w:val="21"/>
          <w:szCs w:val="22"/>
          <w:lang w:val="en-US" w:eastAsia="zh-CN"/>
        </w:rPr>
        <w:t>3.5.2</w:t>
      </w:r>
      <w:r>
        <w:rPr>
          <w:rFonts w:hint="default" w:ascii="Times New Roman" w:cs="Times New Roman"/>
          <w:b/>
          <w:bCs/>
          <w:sz w:val="22"/>
          <w:szCs w:val="24"/>
          <w:lang w:val="en-US" w:eastAsia="zh-CN"/>
        </w:rPr>
        <w:t xml:space="preserve"> </w:t>
      </w:r>
      <w:r>
        <w:rPr>
          <w:rFonts w:hint="eastAsia" w:ascii="宋体" w:hAnsi="宋体" w:eastAsia="宋体" w:cs="宋体"/>
          <w:b/>
          <w:bCs/>
          <w:sz w:val="21"/>
          <w:szCs w:val="22"/>
          <w:lang w:val="en-US" w:eastAsia="zh-CN"/>
        </w:rPr>
        <w:t>取样</w:t>
      </w:r>
    </w:p>
    <w:p>
      <w:pPr>
        <w:pStyle w:val="9"/>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不少于5kg。</w:t>
      </w:r>
    </w:p>
    <w:p>
      <w:pPr>
        <w:pStyle w:val="26"/>
        <w:numPr>
          <w:ilvl w:val="2"/>
          <w:numId w:val="0"/>
        </w:numPr>
        <w:spacing w:line="360" w:lineRule="auto"/>
        <w:rPr>
          <w:rFonts w:hint="default" w:ascii="Times New Roman" w:hAnsi="Times New Roman" w:cs="Times New Roman"/>
          <w:b/>
          <w:bCs/>
        </w:rPr>
      </w:pPr>
      <w:r>
        <w:rPr>
          <w:rFonts w:hint="eastAsia" w:asci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cs="Times New Roman"/>
          <w:b w:val="0"/>
          <w:bCs w:val="0"/>
          <w:szCs w:val="21"/>
          <w:lang w:val="en-US" w:eastAsia="zh-CN"/>
        </w:rPr>
      </w:pPr>
      <w:r>
        <w:rPr>
          <w:rFonts w:hint="eastAsia" w:cs="Times New Roman"/>
          <w:b w:val="0"/>
          <w:bCs w:val="0"/>
          <w:szCs w:val="21"/>
          <w:lang w:val="en-US" w:eastAsia="zh-CN"/>
        </w:rPr>
        <w:t>产品检验结果的判定按6.4的规定进行。</w:t>
      </w:r>
    </w:p>
    <w:p>
      <w:pPr>
        <w:spacing w:line="360" w:lineRule="auto"/>
        <w:rPr>
          <w:rFonts w:hint="eastAsia" w:ascii="Times New Roman" w:hAnsi="Times New Roman" w:eastAsia="宋体" w:cs="Times New Roman"/>
          <w:b/>
          <w:szCs w:val="21"/>
          <w:lang w:eastAsia="zh-CN"/>
        </w:rPr>
      </w:pPr>
      <w:r>
        <w:rPr>
          <w:rFonts w:hint="eastAsia" w:cs="Times New Roman"/>
          <w:b/>
          <w:szCs w:val="21"/>
          <w:lang w:val="en-US" w:eastAsia="zh-CN"/>
        </w:rPr>
        <w:t xml:space="preserve">3.6 </w:t>
      </w:r>
      <w:r>
        <w:rPr>
          <w:rFonts w:hint="default" w:ascii="Times New Roman" w:hAnsi="Times New Roman" w:cs="Times New Roman"/>
          <w:b/>
          <w:szCs w:val="21"/>
        </w:rPr>
        <w:t>包装、标志、运输、贮存和</w:t>
      </w:r>
      <w:r>
        <w:rPr>
          <w:rFonts w:hint="eastAsia" w:cs="Times New Roman"/>
          <w:b/>
          <w:szCs w:val="21"/>
          <w:lang w:eastAsia="zh-CN"/>
        </w:rPr>
        <w:t>质量预报单</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w:t>
      </w:r>
      <w:r>
        <w:rPr>
          <w:rFonts w:hint="eastAsia" w:cs="Times New Roman"/>
          <w:b w:val="0"/>
          <w:bCs/>
          <w:szCs w:val="21"/>
          <w:lang w:eastAsia="zh-CN"/>
        </w:rPr>
        <w:t>质量预报单</w:t>
      </w:r>
      <w:r>
        <w:rPr>
          <w:rFonts w:hint="eastAsia"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eastAsia" w:cs="Times New Roman"/>
          <w:b/>
          <w:bCs/>
          <w:szCs w:val="21"/>
          <w:lang w:val="en-US" w:eastAsia="zh-CN"/>
        </w:rPr>
        <w:t>四、标准水平分析</w:t>
      </w:r>
    </w:p>
    <w:p>
      <w:pPr>
        <w:spacing w:line="360" w:lineRule="auto"/>
        <w:rPr>
          <w:rFonts w:hint="eastAsia" w:cs="Times New Roman"/>
          <w:b/>
          <w:bCs/>
          <w:szCs w:val="21"/>
          <w:lang w:val="en-US" w:eastAsia="zh-CN"/>
        </w:rPr>
      </w:pPr>
      <w:r>
        <w:rPr>
          <w:rFonts w:hint="eastAsia" w:cs="Times New Roman"/>
          <w:b/>
          <w:bCs/>
          <w:szCs w:val="21"/>
          <w:lang w:val="en-US" w:eastAsia="zh-CN"/>
        </w:rPr>
        <w:t>4.1采用国际标准和国外先进标准的程度</w:t>
      </w:r>
    </w:p>
    <w:p>
      <w:pPr>
        <w:spacing w:line="360" w:lineRule="auto"/>
        <w:ind w:firstLine="420" w:firstLineChars="200"/>
        <w:rPr>
          <w:rFonts w:hint="default" w:cs="Times New Roman"/>
          <w:szCs w:val="21"/>
          <w:lang w:val="en-US" w:eastAsia="zh-CN"/>
        </w:rPr>
      </w:pPr>
      <w:r>
        <w:rPr>
          <w:rFonts w:hint="eastAsia"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eastAsia"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eastAsia" w:cs="Times New Roman"/>
          <w:szCs w:val="21"/>
          <w:lang w:val="en-US" w:eastAsia="zh-CN"/>
        </w:rPr>
      </w:pPr>
      <w:r>
        <w:rPr>
          <w:rFonts w:hint="eastAsia" w:cs="Times New Roman"/>
          <w:szCs w:val="21"/>
          <w:lang w:val="en-US" w:eastAsia="zh-CN"/>
        </w:rPr>
        <w:t>经查，国外无相同类型的标准。</w:t>
      </w:r>
    </w:p>
    <w:p>
      <w:pPr>
        <w:spacing w:line="360" w:lineRule="auto"/>
        <w:rPr>
          <w:rFonts w:hint="eastAsia" w:cs="Times New Roman"/>
          <w:b/>
          <w:szCs w:val="21"/>
          <w:lang w:val="en-US" w:eastAsia="zh-CN"/>
        </w:rPr>
      </w:pPr>
      <w:r>
        <w:rPr>
          <w:rFonts w:hint="eastAsia"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本标准不存在与相关法律法规相抵触之处，也不与其他标准相冲突。</w:t>
      </w:r>
    </w:p>
    <w:p>
      <w:pPr>
        <w:numPr>
          <w:ilvl w:val="0"/>
          <w:numId w:val="3"/>
        </w:numPr>
        <w:spacing w:line="360" w:lineRule="auto"/>
        <w:rPr>
          <w:rFonts w:hint="eastAsia" w:cs="Times New Roman"/>
          <w:b/>
          <w:bCs/>
          <w:szCs w:val="28"/>
          <w:lang w:val="en-US" w:eastAsia="zh-CN"/>
        </w:rPr>
      </w:pPr>
      <w:r>
        <w:rPr>
          <w:rFonts w:hint="eastAsia"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cs="Times New Roman"/>
          <w:szCs w:val="28"/>
          <w:lang w:val="en-US" w:eastAsia="zh-CN"/>
        </w:rPr>
      </w:pPr>
      <w:r>
        <w:rPr>
          <w:rFonts w:hint="eastAsia" w:cs="Times New Roman"/>
          <w:szCs w:val="28"/>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eastAsia" w:cs="Times New Roman"/>
          <w:b/>
          <w:szCs w:val="21"/>
          <w:lang w:val="en-US" w:eastAsia="zh-CN"/>
        </w:rPr>
      </w:pPr>
      <w:r>
        <w:rPr>
          <w:rFonts w:hint="eastAsia" w:cs="Times New Roman"/>
          <w:b/>
          <w:szCs w:val="21"/>
          <w:lang w:val="en-US" w:eastAsia="zh-CN"/>
        </w:rPr>
        <w:t>重大分歧意见的处理经过和依据</w:t>
      </w:r>
    </w:p>
    <w:p>
      <w:pPr>
        <w:numPr>
          <w:ilvl w:val="0"/>
          <w:numId w:val="0"/>
        </w:numPr>
        <w:spacing w:line="360" w:lineRule="auto"/>
        <w:ind w:leftChars="0"/>
        <w:rPr>
          <w:rFonts w:hint="eastAsia" w:cs="Times New Roman"/>
          <w:b w:val="0"/>
          <w:bCs/>
          <w:szCs w:val="21"/>
          <w:lang w:val="en-US" w:eastAsia="zh-CN"/>
        </w:rPr>
      </w:pPr>
      <w:r>
        <w:rPr>
          <w:rFonts w:hint="eastAsia" w:cs="Times New Roman"/>
          <w:b/>
          <w:szCs w:val="21"/>
          <w:lang w:val="en-US" w:eastAsia="zh-CN"/>
        </w:rPr>
        <w:t xml:space="preserve">    </w:t>
      </w:r>
      <w:r>
        <w:rPr>
          <w:rFonts w:hint="eastAsia" w:cs="Times New Roman"/>
          <w:b w:val="0"/>
          <w:bCs/>
          <w:szCs w:val="21"/>
          <w:lang w:val="en-US" w:eastAsia="zh-CN"/>
        </w:rPr>
        <w:t>无重大分歧</w:t>
      </w:r>
    </w:p>
    <w:p>
      <w:pPr>
        <w:numPr>
          <w:ilvl w:val="0"/>
          <w:numId w:val="3"/>
        </w:numPr>
        <w:spacing w:line="360" w:lineRule="auto"/>
        <w:ind w:left="0" w:leftChars="0" w:firstLine="0" w:firstLineChars="0"/>
        <w:rPr>
          <w:rFonts w:hint="eastAsia" w:cs="Times New Roman"/>
          <w:b/>
          <w:bCs w:val="0"/>
          <w:szCs w:val="21"/>
          <w:lang w:val="en-US" w:eastAsia="zh-CN"/>
        </w:rPr>
      </w:pPr>
      <w:r>
        <w:rPr>
          <w:rFonts w:hint="eastAsia"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eastAsia" w:cs="Times New Roman"/>
          <w:b w:val="0"/>
          <w:bCs/>
          <w:szCs w:val="21"/>
          <w:lang w:val="en-US" w:eastAsia="zh-CN"/>
        </w:rPr>
      </w:pPr>
      <w:r>
        <w:rPr>
          <w:rFonts w:hint="eastAsia" w:cs="Times New Roman"/>
          <w:b w:val="0"/>
          <w:bCs/>
          <w:szCs w:val="21"/>
          <w:lang w:val="en-US" w:eastAsia="zh-CN"/>
        </w:rPr>
        <w:t>建议作为中国有色金属标准化技术委员会推荐性标准。</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eastAsia" w:cs="Times New Roman"/>
          <w:b w:val="0"/>
          <w:bCs/>
          <w:szCs w:val="21"/>
          <w:lang w:val="en-US" w:eastAsia="zh-CN"/>
        </w:rPr>
      </w:pPr>
      <w:r>
        <w:rPr>
          <w:rFonts w:hint="eastAsia" w:cs="Times New Roman"/>
          <w:b w:val="0"/>
          <w:bCs/>
          <w:szCs w:val="21"/>
          <w:lang w:val="en-US" w:eastAsia="zh-CN"/>
        </w:rPr>
        <w:t>本标准反映了镍钴二元素氢氧化物行业的需求，因此可积极向厂家及国内外用户采用本标准。</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eastAsia" w:cs="Times New Roman"/>
          <w:b w:val="0"/>
          <w:bCs/>
          <w:szCs w:val="21"/>
          <w:lang w:val="en-US" w:eastAsia="zh-CN"/>
        </w:rPr>
      </w:pPr>
      <w:r>
        <w:rPr>
          <w:rFonts w:hint="eastAsia" w:cs="Times New Roman"/>
          <w:b w:val="0"/>
          <w:bCs/>
          <w:szCs w:val="21"/>
          <w:lang w:val="en-US" w:eastAsia="zh-CN"/>
        </w:rPr>
        <w:t>无。</w:t>
      </w:r>
    </w:p>
    <w:p>
      <w:pPr>
        <w:widowControl w:val="0"/>
        <w:numPr>
          <w:ilvl w:val="0"/>
          <w:numId w:val="3"/>
        </w:numPr>
        <w:spacing w:line="360" w:lineRule="auto"/>
        <w:ind w:left="0" w:leftChars="0" w:firstLine="0" w:firstLineChars="0"/>
        <w:jc w:val="both"/>
        <w:rPr>
          <w:rFonts w:hint="eastAsia" w:cs="Times New Roman"/>
          <w:b/>
          <w:bCs w:val="0"/>
          <w:szCs w:val="21"/>
          <w:lang w:val="en-US" w:eastAsia="zh-CN"/>
        </w:rPr>
      </w:pPr>
      <w:r>
        <w:rPr>
          <w:rFonts w:hint="eastAsia"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cs="Times New Roman"/>
          <w:b w:val="0"/>
          <w:bCs/>
          <w:szCs w:val="21"/>
          <w:lang w:val="en-US" w:eastAsia="zh-CN"/>
        </w:rPr>
      </w:pPr>
      <w:r>
        <w:rPr>
          <w:rFonts w:hint="eastAsia"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r>
        <w:rPr>
          <w:rFonts w:hint="default" w:ascii="Times New Roman" w:hAnsi="Times New Roman" w:cs="Times New Roman"/>
          <w:szCs w:val="28"/>
          <w:highlight w:val="none"/>
        </w:rPr>
        <w:t xml:space="preserve"> </w:t>
      </w:r>
      <w:r>
        <w:rPr>
          <w:rFonts w:hint="eastAsia" w:cs="Times New Roman"/>
          <w:szCs w:val="28"/>
          <w:highlight w:val="none"/>
          <w:lang w:val="en-US" w:eastAsia="zh-CN"/>
        </w:rPr>
        <w:t xml:space="preserve"> 二〇一九</w:t>
      </w:r>
      <w:r>
        <w:rPr>
          <w:rFonts w:hint="default" w:ascii="Times New Roman" w:hAnsi="Times New Roman" w:cs="Times New Roman"/>
          <w:szCs w:val="28"/>
          <w:highlight w:val="none"/>
        </w:rPr>
        <w:t>年</w:t>
      </w:r>
      <w:r>
        <w:rPr>
          <w:rFonts w:hint="eastAsia" w:cs="Times New Roman"/>
          <w:szCs w:val="28"/>
          <w:highlight w:val="none"/>
          <w:lang w:val="en-US" w:eastAsia="zh-CN"/>
        </w:rPr>
        <w:t>六</w:t>
      </w:r>
      <w:r>
        <w:rPr>
          <w:rFonts w:hint="default" w:ascii="Times New Roman" w:hAnsi="Times New Roman" w:cs="Times New Roman"/>
          <w:szCs w:val="28"/>
          <w:highlight w:val="none"/>
        </w:rPr>
        <w:t>月</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ABD75E6"/>
    <w:rsid w:val="0ADD6749"/>
    <w:rsid w:val="0B37071D"/>
    <w:rsid w:val="0C45238E"/>
    <w:rsid w:val="0C474AC4"/>
    <w:rsid w:val="0D26429B"/>
    <w:rsid w:val="0E864C45"/>
    <w:rsid w:val="146911A3"/>
    <w:rsid w:val="165E3346"/>
    <w:rsid w:val="1A5D3C04"/>
    <w:rsid w:val="1C92432A"/>
    <w:rsid w:val="1E2C6139"/>
    <w:rsid w:val="1E810F39"/>
    <w:rsid w:val="1EBD7CE5"/>
    <w:rsid w:val="1F541DC9"/>
    <w:rsid w:val="23571C60"/>
    <w:rsid w:val="25A41EC1"/>
    <w:rsid w:val="263409A4"/>
    <w:rsid w:val="2C377800"/>
    <w:rsid w:val="2CCC3188"/>
    <w:rsid w:val="319010C0"/>
    <w:rsid w:val="36B24B95"/>
    <w:rsid w:val="37DD4503"/>
    <w:rsid w:val="3B745B50"/>
    <w:rsid w:val="3BEA1391"/>
    <w:rsid w:val="3DD764E1"/>
    <w:rsid w:val="419C409F"/>
    <w:rsid w:val="42B52317"/>
    <w:rsid w:val="461A0C3A"/>
    <w:rsid w:val="4AAC1CA6"/>
    <w:rsid w:val="4C46037C"/>
    <w:rsid w:val="515D7F64"/>
    <w:rsid w:val="52CE22CD"/>
    <w:rsid w:val="550175A0"/>
    <w:rsid w:val="5C3561A5"/>
    <w:rsid w:val="5DAA68E3"/>
    <w:rsid w:val="5F7B0E74"/>
    <w:rsid w:val="621B3CBA"/>
    <w:rsid w:val="630054C2"/>
    <w:rsid w:val="64534627"/>
    <w:rsid w:val="64C913FB"/>
    <w:rsid w:val="64E7394F"/>
    <w:rsid w:val="68055103"/>
    <w:rsid w:val="6BD07B29"/>
    <w:rsid w:val="6F9157D5"/>
    <w:rsid w:val="70057F6C"/>
    <w:rsid w:val="72C43122"/>
    <w:rsid w:val="73BC4C8C"/>
    <w:rsid w:val="74864ADA"/>
    <w:rsid w:val="77563214"/>
    <w:rsid w:val="790E5998"/>
    <w:rsid w:val="79907FA9"/>
    <w:rsid w:val="7BA8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100" w:leftChars="2500"/>
    </w:pPr>
  </w:style>
  <w:style w:type="paragraph" w:styleId="4">
    <w:name w:val="Body Text Indent 2"/>
    <w:basedOn w:val="1"/>
    <w:qFormat/>
    <w:uiPriority w:val="0"/>
    <w:pPr>
      <w:widowControl/>
      <w:ind w:firstLine="471" w:firstLineChars="200"/>
    </w:pPr>
    <w:rPr>
      <w:rFonts w:ascii="宋体"/>
      <w:color w:val="000000"/>
      <w:sz w:val="24"/>
    </w:rPr>
  </w:style>
  <w:style w:type="paragraph" w:styleId="5">
    <w:name w:val="Balloon Text"/>
    <w:basedOn w:val="1"/>
    <w:link w:val="18"/>
    <w:qFormat/>
    <w:uiPriority w:val="0"/>
    <w:rPr>
      <w:sz w:val="18"/>
    </w:rPr>
  </w:style>
  <w:style w:type="paragraph" w:styleId="6">
    <w:name w:val="footer"/>
    <w:basedOn w:val="1"/>
    <w:link w:val="17"/>
    <w:qFormat/>
    <w:uiPriority w:val="0"/>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2"/>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rPr>
      <w:rFonts w:ascii="Times New Roman" w:hAnsi="Times New Roman" w:eastAsia="宋体"/>
      <w:sz w:val="18"/>
    </w:rPr>
  </w:style>
  <w:style w:type="character" w:styleId="14">
    <w:name w:val="Hyperlink"/>
    <w:basedOn w:val="12"/>
    <w:qFormat/>
    <w:uiPriority w:val="0"/>
    <w:rPr>
      <w:color w:val="0000FF"/>
      <w:u w:val="single"/>
    </w:rPr>
  </w:style>
  <w:style w:type="character" w:customStyle="1" w:styleId="15">
    <w:name w:val="无间隔 Char"/>
    <w:basedOn w:val="12"/>
    <w:link w:val="16"/>
    <w:qFormat/>
    <w:uiPriority w:val="0"/>
    <w:rPr>
      <w:rFonts w:ascii="Calibri" w:hAnsi="Calibri"/>
      <w:sz w:val="22"/>
      <w:lang w:val="en-US" w:eastAsia="zh-CN" w:bidi="ar-SA"/>
    </w:rPr>
  </w:style>
  <w:style w:type="paragraph" w:customStyle="1" w:styleId="16">
    <w:name w:val="无间隔1"/>
    <w:link w:val="15"/>
    <w:qFormat/>
    <w:uiPriority w:val="0"/>
    <w:rPr>
      <w:rFonts w:ascii="Calibri" w:hAnsi="Calibri" w:eastAsia="宋体" w:cs="Times New Roman"/>
      <w:sz w:val="22"/>
      <w:lang w:val="en-US" w:eastAsia="zh-CN" w:bidi="ar-SA"/>
    </w:rPr>
  </w:style>
  <w:style w:type="character" w:customStyle="1" w:styleId="17">
    <w:name w:val="页脚 Char"/>
    <w:basedOn w:val="12"/>
    <w:link w:val="6"/>
    <w:qFormat/>
    <w:uiPriority w:val="0"/>
    <w:rPr>
      <w:kern w:val="2"/>
      <w:sz w:val="18"/>
    </w:rPr>
  </w:style>
  <w:style w:type="character" w:customStyle="1" w:styleId="18">
    <w:name w:val="批注框文本 Char"/>
    <w:basedOn w:val="12"/>
    <w:link w:val="5"/>
    <w:qFormat/>
    <w:uiPriority w:val="0"/>
    <w:rPr>
      <w:kern w:val="2"/>
      <w:sz w:val="18"/>
    </w:rPr>
  </w:style>
  <w:style w:type="character" w:customStyle="1" w:styleId="19">
    <w:name w:val="页眉 Char"/>
    <w:basedOn w:val="12"/>
    <w:link w:val="7"/>
    <w:qFormat/>
    <w:uiPriority w:val="0"/>
    <w:rPr>
      <w:kern w:val="2"/>
      <w:sz w:val="18"/>
    </w:rPr>
  </w:style>
  <w:style w:type="character" w:customStyle="1" w:styleId="20">
    <w:name w:val="yqlink"/>
    <w:basedOn w:val="12"/>
    <w:qFormat/>
    <w:uiPriority w:val="0"/>
  </w:style>
  <w:style w:type="character" w:customStyle="1" w:styleId="21">
    <w:name w:val="标题1"/>
    <w:basedOn w:val="12"/>
    <w:qFormat/>
    <w:uiPriority w:val="0"/>
  </w:style>
  <w:style w:type="character" w:customStyle="1" w:styleId="22">
    <w:name w:val="style21"/>
    <w:basedOn w:val="12"/>
    <w:qFormat/>
    <w:uiPriority w:val="0"/>
    <w:rPr>
      <w:color w:val="0000A0"/>
      <w:sz w:val="33"/>
      <w:szCs w:val="33"/>
    </w:rPr>
  </w:style>
  <w:style w:type="paragraph" w:customStyle="1" w:styleId="2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三级条标题"/>
    <w:basedOn w:val="25"/>
    <w:next w:val="1"/>
    <w:qFormat/>
    <w:uiPriority w:val="0"/>
    <w:pPr>
      <w:outlineLvl w:val="4"/>
    </w:pPr>
  </w:style>
  <w:style w:type="paragraph" w:customStyle="1" w:styleId="25">
    <w:name w:val="二级条标题"/>
    <w:basedOn w:val="26"/>
    <w:next w:val="1"/>
    <w:qFormat/>
    <w:uiPriority w:val="0"/>
    <w:pPr>
      <w:outlineLvl w:val="3"/>
    </w:pPr>
  </w:style>
  <w:style w:type="paragraph" w:customStyle="1" w:styleId="26">
    <w:name w:val="一级条标题"/>
    <w:basedOn w:val="27"/>
    <w:next w:val="28"/>
    <w:qFormat/>
    <w:uiPriority w:val="0"/>
    <w:pPr>
      <w:spacing w:before="0" w:after="0"/>
      <w:outlineLvl w:val="2"/>
    </w:pPr>
  </w:style>
  <w:style w:type="paragraph" w:customStyle="1" w:styleId="27">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8">
    <w:name w:val="段"/>
    <w:link w:val="4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Char"/>
    <w:basedOn w:val="1"/>
    <w:qFormat/>
    <w:uiPriority w:val="0"/>
    <w:pPr>
      <w:widowControl/>
      <w:wordWrap w:val="0"/>
      <w:spacing w:line="440" w:lineRule="exact"/>
      <w:ind w:firstLine="200" w:firstLineChars="200"/>
      <w:jc w:val="left"/>
    </w:pPr>
    <w:rPr>
      <w:sz w:val="24"/>
      <w:szCs w:val="24"/>
    </w:rPr>
  </w:style>
  <w:style w:type="paragraph" w:customStyle="1" w:styleId="30">
    <w:name w:val="默认段落字体 Para Char Char Char Char"/>
    <w:basedOn w:val="1"/>
    <w:qFormat/>
    <w:uiPriority w:val="0"/>
    <w:rPr>
      <w:szCs w:val="24"/>
    </w:rPr>
  </w:style>
  <w:style w:type="paragraph" w:customStyle="1" w:styleId="31">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2">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4">
    <w:name w:val="五级条标题"/>
    <w:basedOn w:val="35"/>
    <w:next w:val="1"/>
    <w:qFormat/>
    <w:uiPriority w:val="0"/>
    <w:pPr>
      <w:outlineLvl w:val="6"/>
    </w:pPr>
  </w:style>
  <w:style w:type="paragraph" w:customStyle="1" w:styleId="35">
    <w:name w:val="四级条标题"/>
    <w:basedOn w:val="24"/>
    <w:next w:val="1"/>
    <w:qFormat/>
    <w:uiPriority w:val="0"/>
    <w:pPr>
      <w:outlineLvl w:val="5"/>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终结线"/>
    <w:basedOn w:val="1"/>
    <w:qFormat/>
    <w:uiPriority w:val="0"/>
  </w:style>
  <w:style w:type="paragraph" w:customStyle="1" w:styleId="3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0">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1">
    <w:name w:val="列出段落1"/>
    <w:basedOn w:val="1"/>
    <w:qFormat/>
    <w:uiPriority w:val="0"/>
    <w:pPr>
      <w:ind w:firstLine="420" w:firstLineChars="200"/>
    </w:pPr>
  </w:style>
  <w:style w:type="paragraph" w:customStyle="1" w:styleId="42">
    <w:name w:val="p0"/>
    <w:basedOn w:val="1"/>
    <w:qFormat/>
    <w:uiPriority w:val="0"/>
    <w:pPr>
      <w:widowControl/>
    </w:pPr>
    <w:rPr>
      <w:kern w:val="0"/>
      <w:szCs w:val="21"/>
    </w:rPr>
  </w:style>
  <w:style w:type="paragraph" w:customStyle="1" w:styleId="43">
    <w:name w:val="标准书眉_偶数页"/>
    <w:basedOn w:val="36"/>
    <w:next w:val="1"/>
    <w:qFormat/>
    <w:uiPriority w:val="0"/>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5">
    <w:name w:val="段 Char Char"/>
    <w:link w:val="28"/>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5</TotalTime>
  <ScaleCrop>false</ScaleCrop>
  <LinksUpToDate>false</LinksUpToDate>
  <CharactersWithSpaces>7076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王欢</cp:lastModifiedBy>
  <cp:lastPrinted>2018-12-03T02:50:00Z</cp:lastPrinted>
  <dcterms:modified xsi:type="dcterms:W3CDTF">2019-07-16T10:45:28Z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