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rPr>
        <w:t>镍钴二元素复合</w:t>
      </w:r>
      <w:r>
        <w:rPr>
          <w:rFonts w:hint="eastAsia" w:cs="Times New Roman" w:eastAsiaTheme="minorEastAsia"/>
          <w:b/>
          <w:sz w:val="52"/>
          <w:szCs w:val="52"/>
          <w:lang w:val="en-US" w:eastAsia="zh-CN"/>
        </w:rPr>
        <w:t>氢</w:t>
      </w:r>
      <w:r>
        <w:rPr>
          <w:rFonts w:hint="default" w:ascii="Times New Roman" w:hAnsi="Times New Roman" w:cs="Times New Roman" w:eastAsiaTheme="minorEastAsia"/>
          <w:b/>
          <w:sz w:val="52"/>
          <w:szCs w:val="52"/>
        </w:rPr>
        <w:t>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eastAsia" w:cs="Times New Roman"/>
          <w:b/>
          <w:sz w:val="32"/>
          <w:lang w:val="en-US" w:eastAsia="zh-CN"/>
        </w:rPr>
        <w:t>征求意见稿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浙江华友钴业股份有限公司</w:t>
      </w:r>
    </w:p>
    <w:p>
      <w:pPr>
        <w:spacing w:line="360" w:lineRule="auto"/>
        <w:jc w:val="center"/>
        <w:rPr>
          <w:rFonts w:hint="default" w:ascii="Times New Roman" w:hAnsi="Times New Roman" w:cs="Times New Roman"/>
          <w:b/>
          <w:sz w:val="32"/>
          <w:highlight w:val="none"/>
        </w:rPr>
      </w:pPr>
      <w:r>
        <w:rPr>
          <w:rFonts w:hint="default" w:ascii="Times New Roman" w:hAnsi="Times New Roman" w:cs="Times New Roman"/>
          <w:b/>
          <w:sz w:val="44"/>
          <w:szCs w:val="44"/>
          <w:highlight w:val="none"/>
        </w:rPr>
        <w:t>201</w:t>
      </w:r>
      <w:r>
        <w:rPr>
          <w:rFonts w:hint="eastAsia" w:cs="Times New Roman"/>
          <w:b/>
          <w:sz w:val="44"/>
          <w:szCs w:val="44"/>
          <w:highlight w:val="none"/>
          <w:lang w:val="en-US" w:eastAsia="zh-CN"/>
        </w:rPr>
        <w:t>9</w:t>
      </w:r>
      <w:r>
        <w:rPr>
          <w:rFonts w:hint="default" w:ascii="Times New Roman" w:hAnsi="Times New Roman" w:cs="Times New Roman"/>
          <w:b/>
          <w:sz w:val="44"/>
          <w:szCs w:val="44"/>
          <w:highlight w:val="none"/>
        </w:rPr>
        <w:t>年</w:t>
      </w:r>
      <w:r>
        <w:rPr>
          <w:rFonts w:hint="eastAsia" w:cs="Times New Roman"/>
          <w:b/>
          <w:sz w:val="44"/>
          <w:szCs w:val="44"/>
          <w:highlight w:val="none"/>
          <w:lang w:val="en-US" w:eastAsia="zh-CN"/>
        </w:rPr>
        <w:t>6</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highlight w:val="none"/>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color w:val="auto"/>
          <w:szCs w:val="28"/>
          <w:highlight w:val="none"/>
        </w:rPr>
      </w:pPr>
      <w:r>
        <w:rPr>
          <w:rFonts w:hint="eastAsia" w:cs="Times New Roman"/>
          <w:b/>
          <w:bCs/>
          <w:color w:val="auto"/>
          <w:szCs w:val="28"/>
          <w:highlight w:val="none"/>
          <w:lang w:val="en-US" w:eastAsia="zh-CN"/>
        </w:rPr>
        <w:t>一、工作简况</w:t>
      </w:r>
    </w:p>
    <w:p>
      <w:pPr>
        <w:spacing w:line="360" w:lineRule="auto"/>
        <w:rPr>
          <w:rFonts w:hint="default" w:ascii="Times New Roman" w:hAnsi="Times New Roman" w:cs="Times New Roman"/>
          <w:b/>
          <w:bCs/>
          <w:color w:val="auto"/>
          <w:szCs w:val="28"/>
          <w:highlight w:val="none"/>
        </w:rPr>
      </w:pPr>
      <w:r>
        <w:rPr>
          <w:rFonts w:hint="default" w:ascii="Times New Roman" w:hAnsi="Times New Roman" w:cs="Times New Roman"/>
          <w:b/>
          <w:bCs/>
          <w:color w:val="auto"/>
          <w:szCs w:val="28"/>
          <w:highlight w:val="none"/>
        </w:rPr>
        <w:t>1.1 任务来源</w:t>
      </w:r>
    </w:p>
    <w:p>
      <w:pPr>
        <w:spacing w:line="360" w:lineRule="auto"/>
        <w:ind w:firstLine="420" w:firstLineChars="200"/>
        <w:rPr>
          <w:color w:val="auto"/>
          <w:kern w:val="0"/>
          <w:szCs w:val="21"/>
          <w:highlight w:val="none"/>
        </w:rPr>
      </w:pPr>
      <w:r>
        <w:rPr>
          <w:color w:val="auto"/>
          <w:kern w:val="0"/>
          <w:szCs w:val="21"/>
          <w:highlight w:val="none"/>
        </w:rPr>
        <w:t>根据《工业和信息化部办公厅关于印发2018年第二批行业标准制修订和外文版项目计划的通知》（工信厅科[2018]31号）及全国有色金属标准化技术委员会《关于转发2018年第一批有色金属行业标准、协会标准制（修）订项目计划的通知》有色标委[2018]33号的文件精神，由浙江华友钴业股份有限公司负责起草《</w:t>
      </w:r>
      <w:r>
        <w:rPr>
          <w:rFonts w:hint="eastAsia"/>
          <w:color w:val="auto"/>
          <w:kern w:val="0"/>
          <w:szCs w:val="21"/>
          <w:highlight w:val="none"/>
          <w:lang w:eastAsia="zh-CN"/>
        </w:rPr>
        <w:t>镍钴二元素复合氢氧化物</w:t>
      </w:r>
      <w:r>
        <w:rPr>
          <w:color w:val="auto"/>
          <w:kern w:val="0"/>
          <w:szCs w:val="21"/>
          <w:highlight w:val="none"/>
        </w:rPr>
        <w:t>》行业标准，项目计划编号2018-051</w:t>
      </w:r>
      <w:r>
        <w:rPr>
          <w:rFonts w:hint="eastAsia"/>
          <w:color w:val="auto"/>
          <w:kern w:val="0"/>
          <w:szCs w:val="21"/>
          <w:highlight w:val="none"/>
        </w:rPr>
        <w:t>5</w:t>
      </w:r>
      <w:r>
        <w:rPr>
          <w:color w:val="auto"/>
          <w:kern w:val="0"/>
          <w:szCs w:val="21"/>
          <w:highlight w:val="none"/>
        </w:rPr>
        <w:t>T-YS，计划</w:t>
      </w:r>
      <w:r>
        <w:rPr>
          <w:rFonts w:hint="eastAsia"/>
          <w:color w:val="auto"/>
          <w:kern w:val="0"/>
          <w:szCs w:val="21"/>
          <w:highlight w:val="none"/>
        </w:rPr>
        <w:t>于</w:t>
      </w:r>
      <w:r>
        <w:rPr>
          <w:color w:val="auto"/>
          <w:kern w:val="0"/>
          <w:szCs w:val="21"/>
          <w:highlight w:val="none"/>
        </w:rPr>
        <w:t>2020年</w:t>
      </w:r>
      <w:r>
        <w:rPr>
          <w:rFonts w:hint="eastAsia"/>
          <w:color w:val="auto"/>
          <w:kern w:val="0"/>
          <w:szCs w:val="21"/>
          <w:highlight w:val="none"/>
        </w:rPr>
        <w:t>完成</w:t>
      </w:r>
      <w:r>
        <w:rPr>
          <w:color w:val="auto"/>
          <w:kern w:val="0"/>
          <w:szCs w:val="21"/>
          <w:highlight w:val="none"/>
        </w:rPr>
        <w:t>。</w:t>
      </w:r>
    </w:p>
    <w:p>
      <w:pPr>
        <w:spacing w:line="360" w:lineRule="auto"/>
        <w:rPr>
          <w:rFonts w:hint="default" w:ascii="Times New Roman" w:hAnsi="Times New Roman" w:cs="Times New Roman"/>
          <w:b/>
          <w:bCs/>
          <w:color w:val="auto"/>
          <w:szCs w:val="28"/>
          <w:highlight w:val="none"/>
        </w:rPr>
      </w:pPr>
      <w:r>
        <w:rPr>
          <w:rFonts w:hint="eastAsia" w:cs="Times New Roman"/>
          <w:b/>
          <w:bCs/>
          <w:color w:val="auto"/>
          <w:szCs w:val="28"/>
          <w:highlight w:val="none"/>
          <w:lang w:val="en-US" w:eastAsia="zh-CN"/>
        </w:rPr>
        <w:t>1.2</w:t>
      </w:r>
      <w:r>
        <w:rPr>
          <w:rFonts w:hint="default" w:ascii="Times New Roman" w:hAnsi="Times New Roman" w:cs="Times New Roman"/>
          <w:b/>
          <w:bCs/>
          <w:color w:val="auto"/>
          <w:szCs w:val="28"/>
          <w:highlight w:val="none"/>
        </w:rPr>
        <w:t xml:space="preserve"> 标准制定的必要性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default" w:ascii="Times New Roman" w:hAnsi="Times New Roman" w:cs="Times New Roman"/>
          <w:color w:val="auto"/>
          <w:kern w:val="0"/>
          <w:szCs w:val="21"/>
          <w:highlight w:val="none"/>
          <w:lang w:eastAsia="zh-TW"/>
        </w:rPr>
      </w:pPr>
      <w:r>
        <w:rPr>
          <w:rFonts w:hint="default" w:ascii="Times New Roman" w:hAnsi="Times New Roman" w:cs="Times New Roman"/>
          <w:color w:val="auto"/>
          <w:kern w:val="0"/>
          <w:szCs w:val="21"/>
          <w:highlight w:val="none"/>
          <w:lang w:eastAsia="zh-TW"/>
        </w:rPr>
        <w:t xml:space="preserve"> </w:t>
      </w:r>
      <w:r>
        <w:rPr>
          <w:rFonts w:hint="eastAsia" w:ascii="Times New Roman" w:hAnsi="Times New Roman" w:cs="Times New Roman"/>
          <w:color w:val="auto"/>
          <w:kern w:val="0"/>
          <w:szCs w:val="21"/>
          <w:highlight w:val="none"/>
          <w:lang w:eastAsia="zh-TW"/>
        </w:rPr>
        <w:t>新能源汽车已经成为节能环保大战略的重要组成部分。《中国制造2025》明确了动力电池发展规划：2020年，电池能量密度达到300Wh/kg；2025年，电池能量密度达到400Wh/kg</w:t>
      </w:r>
      <w:r>
        <w:rPr>
          <w:rFonts w:hint="default" w:ascii="Times New Roman" w:hAnsi="Times New Roman" w:cs="Times New Roman"/>
          <w:color w:val="auto"/>
          <w:kern w:val="0"/>
          <w:szCs w:val="21"/>
          <w:highlight w:val="none"/>
          <w:lang w:eastAsia="zh-TW"/>
        </w:rPr>
        <w:t>。正极材料的好坏，直接决定了电池的最终性能，而且正极材料在电池成本中所占比例高达40%左右。目前常</w:t>
      </w:r>
      <w:r>
        <w:rPr>
          <w:rFonts w:hint="eastAsia" w:ascii="Times New Roman" w:hAnsi="Times New Roman" w:cs="Times New Roman"/>
          <w:color w:val="auto"/>
          <w:kern w:val="0"/>
          <w:szCs w:val="21"/>
          <w:highlight w:val="none"/>
          <w:lang w:val="en-US" w:eastAsia="zh-CN"/>
        </w:rPr>
        <w:t>见</w:t>
      </w:r>
      <w:r>
        <w:rPr>
          <w:rFonts w:hint="default" w:ascii="Times New Roman" w:hAnsi="Times New Roman" w:cs="Times New Roman"/>
          <w:color w:val="auto"/>
          <w:kern w:val="0"/>
          <w:szCs w:val="21"/>
          <w:highlight w:val="none"/>
          <w:lang w:eastAsia="zh-TW"/>
        </w:rPr>
        <w:t>的</w:t>
      </w:r>
      <w:r>
        <w:rPr>
          <w:rFonts w:hint="eastAsia" w:ascii="Times New Roman" w:hAnsi="Times New Roman" w:cs="Times New Roman"/>
          <w:color w:val="auto"/>
          <w:kern w:val="0"/>
          <w:szCs w:val="21"/>
          <w:highlight w:val="none"/>
          <w:lang w:val="en-US" w:eastAsia="zh-CN"/>
        </w:rPr>
        <w:t>动力电池</w:t>
      </w:r>
      <w:r>
        <w:rPr>
          <w:rFonts w:hint="default" w:ascii="Times New Roman" w:hAnsi="Times New Roman" w:cs="Times New Roman"/>
          <w:color w:val="auto"/>
          <w:kern w:val="0"/>
          <w:szCs w:val="21"/>
          <w:highlight w:val="none"/>
          <w:lang w:eastAsia="zh-TW"/>
        </w:rPr>
        <w:t>锂离子正极材料有</w:t>
      </w:r>
      <w:r>
        <w:rPr>
          <w:rFonts w:hint="eastAsia" w:ascii="Times New Roman" w:hAnsi="Times New Roman" w:cs="Times New Roman"/>
          <w:color w:val="auto"/>
          <w:kern w:val="0"/>
          <w:szCs w:val="21"/>
          <w:highlight w:val="none"/>
          <w:lang w:val="en-US" w:eastAsia="zh-CN"/>
        </w:rPr>
        <w:t>LiNi</w:t>
      </w:r>
      <w:r>
        <w:rPr>
          <w:rFonts w:hint="eastAsia" w:ascii="Times New Roman" w:hAnsi="Times New Roman" w:cs="Times New Roman"/>
          <w:color w:val="auto"/>
          <w:kern w:val="0"/>
          <w:szCs w:val="21"/>
          <w:highlight w:val="none"/>
          <w:vertAlign w:val="subscript"/>
          <w:lang w:val="en-US" w:eastAsia="zh-CN"/>
        </w:rPr>
        <w:t>x</w:t>
      </w:r>
      <w:r>
        <w:rPr>
          <w:rFonts w:hint="eastAsia" w:ascii="Times New Roman" w:hAnsi="Times New Roman" w:cs="Times New Roman"/>
          <w:color w:val="auto"/>
          <w:kern w:val="0"/>
          <w:szCs w:val="21"/>
          <w:highlight w:val="none"/>
          <w:lang w:val="en-US" w:eastAsia="zh-CN"/>
        </w:rPr>
        <w:t>Co</w:t>
      </w:r>
      <w:r>
        <w:rPr>
          <w:rFonts w:hint="eastAsia" w:ascii="Times New Roman" w:hAnsi="Times New Roman" w:cs="Times New Roman"/>
          <w:color w:val="auto"/>
          <w:kern w:val="0"/>
          <w:szCs w:val="21"/>
          <w:highlight w:val="none"/>
          <w:vertAlign w:val="subscript"/>
          <w:lang w:val="en-US" w:eastAsia="zh-CN"/>
        </w:rPr>
        <w:t>y</w:t>
      </w:r>
      <w:r>
        <w:rPr>
          <w:rFonts w:hint="eastAsia" w:ascii="Times New Roman" w:hAnsi="Times New Roman" w:cs="Times New Roman"/>
          <w:color w:val="auto"/>
          <w:kern w:val="0"/>
          <w:szCs w:val="21"/>
          <w:highlight w:val="none"/>
          <w:lang w:val="en-US" w:eastAsia="zh-CN"/>
        </w:rPr>
        <w:t>Mn</w:t>
      </w:r>
      <w:r>
        <w:rPr>
          <w:rFonts w:hint="eastAsia" w:ascii="Times New Roman" w:hAnsi="Times New Roman" w:cs="Times New Roman"/>
          <w:color w:val="auto"/>
          <w:kern w:val="0"/>
          <w:szCs w:val="21"/>
          <w:highlight w:val="none"/>
          <w:vertAlign w:val="subscript"/>
          <w:lang w:val="en-US" w:eastAsia="zh-CN"/>
        </w:rPr>
        <w:t>z</w:t>
      </w:r>
      <w:r>
        <w:rPr>
          <w:rFonts w:hint="eastAsia" w:ascii="Times New Roman" w:hAnsi="Times New Roman" w:cs="Times New Roman"/>
          <w:color w:val="auto"/>
          <w:kern w:val="0"/>
          <w:szCs w:val="21"/>
          <w:highlight w:val="none"/>
          <w:lang w:val="en-US" w:eastAsia="zh-CN"/>
        </w:rPr>
        <w:t>O</w:t>
      </w:r>
      <w:r>
        <w:rPr>
          <w:rFonts w:hint="eastAsia"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w:t>
      </w:r>
      <w:r>
        <w:rPr>
          <w:rFonts w:hint="eastAsia" w:ascii="Times New Roman" w:hAnsi="Times New Roman" w:cs="Times New Roman"/>
          <w:color w:val="auto"/>
          <w:kern w:val="0"/>
          <w:szCs w:val="21"/>
          <w:highlight w:val="none"/>
          <w:lang w:val="en-US" w:eastAsia="zh-CN"/>
        </w:rPr>
        <w:t>LiFePO</w:t>
      </w:r>
      <w:r>
        <w:rPr>
          <w:rFonts w:hint="eastAsia" w:ascii="Times New Roman" w:hAnsi="Times New Roman" w:cs="Times New Roman"/>
          <w:color w:val="auto"/>
          <w:kern w:val="0"/>
          <w:szCs w:val="21"/>
          <w:highlight w:val="none"/>
          <w:vertAlign w:val="subscript"/>
          <w:lang w:val="en-US" w:eastAsia="zh-CN"/>
        </w:rPr>
        <w:t>4</w:t>
      </w:r>
      <w:r>
        <w:rPr>
          <w:rFonts w:hint="default" w:ascii="Times New Roman" w:hAnsi="Times New Roman" w:cs="Times New Roman"/>
          <w:color w:val="auto"/>
          <w:kern w:val="0"/>
          <w:szCs w:val="21"/>
          <w:highlight w:val="none"/>
          <w:lang w:val="en-US" w:eastAsia="zh-TW"/>
        </w:rPr>
        <w:t>，</w:t>
      </w:r>
      <w:r>
        <w:rPr>
          <w:rFonts w:hint="eastAsia" w:ascii="Times New Roman" w:hAnsi="Times New Roman" w:cs="Times New Roman"/>
          <w:color w:val="auto"/>
          <w:kern w:val="0"/>
          <w:szCs w:val="21"/>
          <w:highlight w:val="none"/>
          <w:lang w:val="en-US" w:eastAsia="zh-CN"/>
        </w:rPr>
        <w:t>LiNi</w:t>
      </w:r>
      <w:r>
        <w:rPr>
          <w:rFonts w:hint="eastAsia" w:ascii="Times New Roman" w:hAnsi="Times New Roman" w:cs="Times New Roman"/>
          <w:color w:val="auto"/>
          <w:kern w:val="0"/>
          <w:szCs w:val="21"/>
          <w:highlight w:val="none"/>
          <w:vertAlign w:val="subscript"/>
          <w:lang w:val="en-US" w:eastAsia="zh-CN"/>
        </w:rPr>
        <w:t>x</w:t>
      </w:r>
      <w:r>
        <w:rPr>
          <w:rFonts w:hint="eastAsia" w:ascii="Times New Roman" w:hAnsi="Times New Roman" w:cs="Times New Roman"/>
          <w:color w:val="auto"/>
          <w:kern w:val="0"/>
          <w:szCs w:val="21"/>
          <w:highlight w:val="none"/>
          <w:lang w:val="en-US" w:eastAsia="zh-CN"/>
        </w:rPr>
        <w:t>Co</w:t>
      </w:r>
      <w:r>
        <w:rPr>
          <w:rFonts w:hint="eastAsia" w:ascii="Times New Roman" w:hAnsi="Times New Roman" w:cs="Times New Roman"/>
          <w:color w:val="auto"/>
          <w:kern w:val="0"/>
          <w:szCs w:val="21"/>
          <w:highlight w:val="none"/>
          <w:vertAlign w:val="subscript"/>
          <w:lang w:val="en-US" w:eastAsia="zh-CN"/>
        </w:rPr>
        <w:t>y</w:t>
      </w:r>
      <w:r>
        <w:rPr>
          <w:rFonts w:hint="eastAsia" w:ascii="Times New Roman" w:hAnsi="Times New Roman" w:cs="Times New Roman"/>
          <w:color w:val="auto"/>
          <w:kern w:val="0"/>
          <w:szCs w:val="21"/>
          <w:highlight w:val="none"/>
          <w:lang w:val="en-US" w:eastAsia="zh-CN"/>
        </w:rPr>
        <w:t>Al</w:t>
      </w:r>
      <w:r>
        <w:rPr>
          <w:rFonts w:hint="eastAsia" w:ascii="Times New Roman" w:hAnsi="Times New Roman" w:cs="Times New Roman"/>
          <w:color w:val="auto"/>
          <w:kern w:val="0"/>
          <w:szCs w:val="21"/>
          <w:highlight w:val="none"/>
          <w:vertAlign w:val="subscript"/>
          <w:lang w:val="en-US" w:eastAsia="zh-CN"/>
        </w:rPr>
        <w:t>z</w:t>
      </w:r>
      <w:r>
        <w:rPr>
          <w:rFonts w:hint="eastAsia" w:ascii="Times New Roman" w:hAnsi="Times New Roman" w:cs="Times New Roman"/>
          <w:color w:val="auto"/>
          <w:kern w:val="0"/>
          <w:szCs w:val="21"/>
          <w:highlight w:val="none"/>
          <w:lang w:val="en-US" w:eastAsia="zh-CN"/>
        </w:rPr>
        <w:t>O</w:t>
      </w:r>
      <w:r>
        <w:rPr>
          <w:rFonts w:hint="eastAsia"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等</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其中以</w:t>
      </w:r>
      <w:r>
        <w:rPr>
          <w:rFonts w:hint="default" w:ascii="Times New Roman" w:hAnsi="Times New Roman" w:cs="Times New Roman"/>
          <w:color w:val="auto"/>
          <w:kern w:val="0"/>
          <w:szCs w:val="21"/>
          <w:highlight w:val="none"/>
          <w:lang w:eastAsia="zh-TW"/>
        </w:rPr>
        <w:t>镍钴锰三元锂电高镍型811与NCA最有可能满足这一指标。</w:t>
      </w:r>
    </w:p>
    <w:p>
      <w:pPr>
        <w:spacing w:line="360" w:lineRule="auto"/>
        <w:ind w:firstLine="420" w:firstLineChars="200"/>
        <w:rPr>
          <w:rFonts w:hint="default" w:ascii="Times New Roman" w:hAnsi="Times New Roman" w:cs="Times New Roman"/>
          <w:color w:val="auto"/>
          <w:kern w:val="0"/>
          <w:szCs w:val="21"/>
          <w:highlight w:val="none"/>
        </w:rPr>
      </w:pPr>
      <w:r>
        <w:rPr>
          <w:rFonts w:hint="eastAsia" w:cs="Times New Roman"/>
          <w:color w:val="auto"/>
          <w:kern w:val="0"/>
          <w:szCs w:val="21"/>
          <w:highlight w:val="none"/>
          <w:lang w:eastAsia="zh-CN"/>
        </w:rPr>
        <w:t>镍钴二元素复合氢氧化物</w:t>
      </w:r>
      <w:r>
        <w:rPr>
          <w:rFonts w:hint="default" w:ascii="Times New Roman" w:hAnsi="Times New Roman" w:cs="Times New Roman"/>
          <w:color w:val="auto"/>
          <w:kern w:val="0"/>
          <w:szCs w:val="21"/>
          <w:highlight w:val="none"/>
          <w:lang w:eastAsia="zh-TW"/>
        </w:rPr>
        <w:t>前驱体，可以直接烧结制成</w:t>
      </w:r>
      <w:r>
        <w:rPr>
          <w:rFonts w:hint="eastAsia" w:cs="Times New Roman"/>
          <w:color w:val="auto"/>
          <w:kern w:val="0"/>
          <w:szCs w:val="21"/>
          <w:highlight w:val="none"/>
          <w:lang w:eastAsia="zh-CN"/>
        </w:rPr>
        <w:t>镍钴二元素氧化物</w:t>
      </w:r>
      <w:r>
        <w:rPr>
          <w:rFonts w:hint="default" w:ascii="Times New Roman" w:hAnsi="Times New Roman" w:cs="Times New Roman"/>
          <w:color w:val="auto"/>
          <w:kern w:val="0"/>
          <w:szCs w:val="21"/>
          <w:highlight w:val="none"/>
          <w:lang w:eastAsia="zh-TW"/>
        </w:rPr>
        <w:t>前驱体</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用于制备镍钴酸锂和镍钴铝酸锂等正极材料</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还可以通过铝包覆后再烧结</w:t>
      </w:r>
      <w:r>
        <w:rPr>
          <w:rFonts w:hint="default" w:ascii="Times New Roman" w:hAnsi="Times New Roman" w:cs="Times New Roman"/>
          <w:color w:val="auto"/>
          <w:kern w:val="0"/>
          <w:szCs w:val="21"/>
          <w:highlight w:val="none"/>
        </w:rPr>
        <w:t>，形成镍钴铝三元前驱体，用于制备镍钴铝三元正极材料。</w:t>
      </w:r>
      <w:r>
        <w:rPr>
          <w:rFonts w:hint="default" w:ascii="Times New Roman" w:hAnsi="Times New Roman" w:cs="Times New Roman"/>
          <w:color w:val="auto"/>
          <w:kern w:val="0"/>
          <w:szCs w:val="21"/>
          <w:highlight w:val="none"/>
          <w:lang w:eastAsia="zh-TW"/>
        </w:rPr>
        <w:t>以镍钴酸锂和镍钴铝酸锂为正极材料的锂电池，具有比容量高、热稳定性和循环稳定性好、倍率性能优良等突出优点，在电子设备、通讯和</w:t>
      </w:r>
      <w:r>
        <w:rPr>
          <w:rFonts w:hint="eastAsia" w:ascii="Times New Roman" w:hAnsi="Times New Roman" w:cs="Times New Roman"/>
          <w:color w:val="auto"/>
          <w:kern w:val="0"/>
          <w:szCs w:val="21"/>
          <w:highlight w:val="none"/>
          <w:lang w:val="en-US" w:eastAsia="zh-CN"/>
        </w:rPr>
        <w:t>新能源汽车</w:t>
      </w:r>
      <w:r>
        <w:rPr>
          <w:rFonts w:hint="default" w:ascii="Times New Roman" w:hAnsi="Times New Roman" w:cs="Times New Roman"/>
          <w:color w:val="auto"/>
          <w:kern w:val="0"/>
          <w:szCs w:val="21"/>
          <w:highlight w:val="none"/>
          <w:lang w:eastAsia="zh-TW"/>
        </w:rPr>
        <w:t>等领域具有广阔的应用前景。</w:t>
      </w:r>
      <w:r>
        <w:rPr>
          <w:rFonts w:hint="default" w:ascii="Times New Roman" w:hAnsi="Times New Roman" w:cs="Times New Roman"/>
          <w:color w:val="auto"/>
          <w:kern w:val="0"/>
          <w:szCs w:val="21"/>
          <w:highlight w:val="none"/>
        </w:rPr>
        <w:t>国内三元锂电材料产能正在经历扩张高峰，对前驱体材料的需求量很大，势必带动其产能快速扩张。毫无疑问，NCA等高能量密度正极材料逐步成为锂电正极材料的主流线路，</w:t>
      </w:r>
      <w:r>
        <w:rPr>
          <w:rFonts w:hint="eastAsia" w:ascii="Times New Roman" w:hAnsi="Times New Roman" w:cs="Times New Roman"/>
          <w:color w:val="auto"/>
          <w:kern w:val="0"/>
          <w:szCs w:val="21"/>
          <w:highlight w:val="none"/>
          <w:lang w:val="en-US" w:eastAsia="zh-CN"/>
        </w:rPr>
        <w:t>其前驱体</w:t>
      </w:r>
      <w:r>
        <w:rPr>
          <w:rFonts w:hint="eastAsia" w:cs="Times New Roman"/>
          <w:color w:val="auto"/>
          <w:kern w:val="0"/>
          <w:szCs w:val="21"/>
          <w:highlight w:val="none"/>
          <w:lang w:val="en-US" w:eastAsia="zh-CN"/>
        </w:rPr>
        <w:t>也亟需</w:t>
      </w:r>
      <w:r>
        <w:rPr>
          <w:rFonts w:hint="default" w:ascii="Times New Roman" w:hAnsi="Times New Roman" w:cs="Times New Roman"/>
          <w:color w:val="auto"/>
          <w:kern w:val="0"/>
          <w:szCs w:val="21"/>
          <w:highlight w:val="none"/>
        </w:rPr>
        <w:t>统一的行业标准规范供需双方的贸易行为和作为提高质量的依据，保障企业经济利益以及人们的出行安全。</w:t>
      </w:r>
    </w:p>
    <w:p>
      <w:pPr>
        <w:spacing w:line="360" w:lineRule="auto"/>
        <w:ind w:firstLine="420" w:firstLineChars="200"/>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2018年标准化工作要点中也明确提出，要</w:t>
      </w:r>
      <w:r>
        <w:rPr>
          <w:rFonts w:hint="default" w:ascii="Times New Roman" w:hAnsi="Times New Roman" w:cs="Times New Roman"/>
          <w:color w:val="auto"/>
          <w:kern w:val="0"/>
          <w:szCs w:val="21"/>
          <w:highlight w:val="none"/>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因此</w:t>
      </w:r>
      <w:r>
        <w:rPr>
          <w:rFonts w:hint="eastAsia" w:ascii="宋体" w:hAnsi="宋体" w:cs="宋体"/>
          <w:color w:val="auto"/>
          <w:kern w:val="0"/>
          <w:szCs w:val="21"/>
          <w:highlight w:val="none"/>
          <w:lang w:val="en-US" w:eastAsia="zh-CN"/>
        </w:rPr>
        <w:t>，</w:t>
      </w:r>
      <w:r>
        <w:rPr>
          <w:rFonts w:hint="default" w:ascii="Times New Roman" w:hAnsi="Times New Roman" w:cs="Times New Roman"/>
          <w:color w:val="auto"/>
          <w:kern w:val="0"/>
          <w:szCs w:val="21"/>
          <w:highlight w:val="none"/>
        </w:rPr>
        <w:t>镍钴二元复合氢氧化物行业标准的制定十分必要，且迫在眉睫。</w:t>
      </w:r>
    </w:p>
    <w:p>
      <w:pPr>
        <w:spacing w:line="360" w:lineRule="auto"/>
        <w:rPr>
          <w:rFonts w:hint="eastAsia"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1.3适用范围</w:t>
      </w:r>
    </w:p>
    <w:p>
      <w:pPr>
        <w:pStyle w:val="28"/>
        <w:spacing w:line="360" w:lineRule="auto"/>
        <w:ind w:firstLine="42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本标准规定了</w:t>
      </w:r>
      <w:r>
        <w:rPr>
          <w:rFonts w:hint="eastAsia" w:ascii="Times New Roman"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的技术要求、试验方法、检验规则和包装、标志、运输、贮存</w:t>
      </w:r>
      <w:r>
        <w:rPr>
          <w:rFonts w:hint="default" w:ascii="Times New Roman" w:hAnsi="Times New Roman" w:cs="Times New Roman"/>
          <w:color w:val="auto"/>
          <w:szCs w:val="21"/>
          <w:highlight w:val="none"/>
          <w:lang w:eastAsia="zh-CN"/>
        </w:rPr>
        <w:t>、</w:t>
      </w:r>
      <w:r>
        <w:rPr>
          <w:rFonts w:hint="eastAsia" w:ascii="Times New Roman" w:cs="Times New Roman"/>
          <w:color w:val="auto"/>
          <w:szCs w:val="21"/>
          <w:highlight w:val="none"/>
          <w:lang w:eastAsia="zh-CN"/>
        </w:rPr>
        <w:t>质量预报单</w:t>
      </w:r>
      <w:r>
        <w:rPr>
          <w:rFonts w:hint="default" w:ascii="Times New Roman" w:hAnsi="Times New Roman" w:cs="Times New Roman"/>
          <w:color w:val="auto"/>
          <w:szCs w:val="21"/>
          <w:highlight w:val="none"/>
          <w:lang w:eastAsia="zh-CN"/>
        </w:rPr>
        <w:t>、</w:t>
      </w:r>
      <w:bookmarkStart w:id="2" w:name="_GoBack"/>
      <w:bookmarkEnd w:id="2"/>
      <w:r>
        <w:rPr>
          <w:rFonts w:hint="eastAsia" w:ascii="Times New Roman" w:cs="Times New Roman"/>
          <w:color w:val="auto"/>
          <w:szCs w:val="21"/>
          <w:highlight w:val="none"/>
          <w:lang w:eastAsia="zh-CN"/>
        </w:rPr>
        <w:t>订货单（或合同）</w:t>
      </w:r>
      <w:r>
        <w:rPr>
          <w:rFonts w:hint="eastAsia" w:ascii="Times New Roman" w:cs="Times New Roman"/>
          <w:color w:val="auto"/>
          <w:szCs w:val="21"/>
          <w:highlight w:val="none"/>
          <w:lang w:val="en-US" w:eastAsia="zh-CN"/>
        </w:rPr>
        <w:t>等内容。</w:t>
      </w:r>
    </w:p>
    <w:p>
      <w:pPr>
        <w:pStyle w:val="28"/>
        <w:spacing w:line="360" w:lineRule="auto"/>
        <w:ind w:firstLine="420"/>
        <w:rPr>
          <w:rFonts w:hint="default" w:ascii="Times New Roman" w:hAnsi="Times New Roman" w:cs="Times New Roman"/>
          <w:color w:val="auto"/>
          <w:kern w:val="2"/>
          <w:szCs w:val="21"/>
          <w:highlight w:val="none"/>
          <w:lang w:val="en-US" w:eastAsia="zh-CN"/>
        </w:rPr>
      </w:pPr>
      <w:r>
        <w:rPr>
          <w:rFonts w:hint="default" w:ascii="Times New Roman" w:hAnsi="Times New Roman" w:cs="Times New Roman"/>
          <w:color w:val="auto"/>
          <w:szCs w:val="21"/>
          <w:highlight w:val="none"/>
        </w:rPr>
        <w:t>本标准适用于</w:t>
      </w:r>
      <w:r>
        <w:rPr>
          <w:rFonts w:hint="default" w:ascii="Times New Roman" w:hAnsi="Times New Roman" w:cs="Times New Roman"/>
          <w:color w:val="auto"/>
          <w:szCs w:val="21"/>
          <w:highlight w:val="none"/>
          <w:lang w:eastAsia="zh-CN"/>
        </w:rPr>
        <w:t>湿法共沉</w:t>
      </w:r>
      <w:r>
        <w:rPr>
          <w:rFonts w:hint="eastAsia" w:ascii="Times New Roman" w:cs="Times New Roman"/>
          <w:color w:val="auto"/>
          <w:szCs w:val="21"/>
          <w:highlight w:val="none"/>
          <w:lang w:val="en-US" w:eastAsia="zh-CN"/>
        </w:rPr>
        <w:t>淀法</w:t>
      </w:r>
      <w:r>
        <w:rPr>
          <w:rFonts w:hint="default" w:ascii="Times New Roman" w:hAnsi="Times New Roman" w:cs="Times New Roman"/>
          <w:color w:val="auto"/>
          <w:szCs w:val="21"/>
          <w:highlight w:val="none"/>
          <w:lang w:eastAsia="zh-CN"/>
        </w:rPr>
        <w:t>生产的</w:t>
      </w:r>
      <w:r>
        <w:rPr>
          <w:rFonts w:hint="eastAsia" w:ascii="Times New Roman" w:cs="Times New Roman"/>
          <w:color w:val="auto"/>
          <w:szCs w:val="21"/>
          <w:highlight w:val="none"/>
          <w:lang w:eastAsia="zh-CN"/>
        </w:rPr>
        <w:t>镍钴二元素复合氢氧化物</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是</w:t>
      </w:r>
      <w:r>
        <w:rPr>
          <w:rFonts w:hint="default" w:ascii="Times New Roman" w:hAnsi="Times New Roman" w:cs="Times New Roman"/>
          <w:color w:val="auto"/>
          <w:highlight w:val="none"/>
        </w:rPr>
        <w:t>用于制备镍钴酸锂和镍钴铝酸锂等正极材料的重要原材料</w:t>
      </w:r>
      <w:r>
        <w:rPr>
          <w:rFonts w:hint="default" w:ascii="Times New Roman" w:hAnsi="Times New Roman" w:cs="Times New Roman"/>
          <w:color w:val="auto"/>
          <w:kern w:val="2"/>
          <w:szCs w:val="21"/>
          <w:highlight w:val="none"/>
          <w:lang w:val="en-US" w:eastAsia="zh-CN"/>
        </w:rPr>
        <w:t>。</w:t>
      </w:r>
    </w:p>
    <w:p>
      <w:pPr>
        <w:spacing w:line="360" w:lineRule="auto"/>
        <w:rPr>
          <w:rFonts w:hint="eastAsia"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1.4标准项目的可行性及拟解决的问题</w:t>
      </w:r>
    </w:p>
    <w:p>
      <w:pPr>
        <w:spacing w:line="440" w:lineRule="exact"/>
        <w:ind w:firstLine="420" w:firstLineChars="20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随着电动汽车市场的兴起，中国市场新能源汽车爆发式增长，国内各大电池材料商家都在扩产布局。目前国内做正极材料前驱体的企业主要包括</w:t>
      </w:r>
      <w:r>
        <w:rPr>
          <w:rFonts w:hint="eastAsia" w:cs="Times New Roman"/>
          <w:color w:val="auto"/>
          <w:szCs w:val="28"/>
          <w:highlight w:val="none"/>
          <w:lang w:val="en-US" w:eastAsia="zh-CN"/>
        </w:rPr>
        <w:t>浙江</w:t>
      </w:r>
      <w:r>
        <w:rPr>
          <w:rFonts w:hint="default" w:ascii="Times New Roman" w:hAnsi="Times New Roman" w:cs="Times New Roman"/>
          <w:color w:val="auto"/>
          <w:szCs w:val="28"/>
          <w:highlight w:val="none"/>
        </w:rPr>
        <w:t>华友钴业</w:t>
      </w:r>
      <w:r>
        <w:rPr>
          <w:rFonts w:hint="eastAsia" w:cs="Times New Roman"/>
          <w:color w:val="auto"/>
          <w:szCs w:val="28"/>
          <w:highlight w:val="none"/>
          <w:lang w:val="en-US" w:eastAsia="zh-CN"/>
        </w:rPr>
        <w:t>股份有限公司</w:t>
      </w:r>
      <w:r>
        <w:rPr>
          <w:rFonts w:hint="default" w:ascii="Times New Roman" w:hAnsi="Times New Roman" w:cs="Times New Roman"/>
          <w:color w:val="auto"/>
          <w:szCs w:val="28"/>
          <w:highlight w:val="none"/>
        </w:rPr>
        <w:t>、格林美</w:t>
      </w:r>
      <w:r>
        <w:rPr>
          <w:rFonts w:hint="eastAsia" w:cs="Times New Roman"/>
          <w:color w:val="auto"/>
          <w:szCs w:val="28"/>
          <w:highlight w:val="none"/>
          <w:lang w:val="en-US" w:eastAsia="zh-CN"/>
        </w:rPr>
        <w:t>股份有限公司</w:t>
      </w:r>
      <w:r>
        <w:rPr>
          <w:rFonts w:hint="default" w:ascii="Times New Roman" w:hAnsi="Times New Roman" w:cs="Times New Roman"/>
          <w:color w:val="auto"/>
          <w:szCs w:val="28"/>
          <w:highlight w:val="none"/>
        </w:rPr>
        <w:t>、湖南邦普</w:t>
      </w:r>
      <w:r>
        <w:rPr>
          <w:rFonts w:hint="eastAsia" w:cs="Times New Roman"/>
          <w:color w:val="auto"/>
          <w:szCs w:val="28"/>
          <w:highlight w:val="none"/>
          <w:lang w:val="en-US" w:eastAsia="zh-CN"/>
        </w:rPr>
        <w:t>循环科技有限公司</w:t>
      </w:r>
      <w:r>
        <w:rPr>
          <w:rFonts w:hint="default" w:ascii="Times New Roman" w:hAnsi="Times New Roman" w:cs="Times New Roman"/>
          <w:color w:val="auto"/>
          <w:szCs w:val="28"/>
          <w:highlight w:val="none"/>
        </w:rPr>
        <w:t>、</w:t>
      </w:r>
      <w:r>
        <w:rPr>
          <w:rFonts w:hint="eastAsia" w:cs="Times New Roman"/>
          <w:color w:val="auto"/>
          <w:szCs w:val="28"/>
          <w:highlight w:val="none"/>
          <w:lang w:val="en-US" w:eastAsia="zh-CN"/>
        </w:rPr>
        <w:t>宁波荣百新能源科技有限公司</w:t>
      </w:r>
      <w:r>
        <w:rPr>
          <w:rFonts w:hint="default" w:ascii="Times New Roman" w:hAnsi="Times New Roman" w:cs="Times New Roman"/>
          <w:color w:val="auto"/>
          <w:szCs w:val="28"/>
          <w:highlight w:val="none"/>
        </w:rPr>
        <w:t>、中伟</w:t>
      </w:r>
      <w:r>
        <w:rPr>
          <w:rFonts w:hint="eastAsia" w:cs="Times New Roman"/>
          <w:color w:val="auto"/>
          <w:szCs w:val="28"/>
          <w:highlight w:val="none"/>
          <w:lang w:val="en-US" w:eastAsia="zh-CN"/>
        </w:rPr>
        <w:t>新材料有限公司</w:t>
      </w:r>
      <w:r>
        <w:rPr>
          <w:rFonts w:hint="default" w:ascii="Times New Roman" w:hAnsi="Times New Roman" w:cs="Times New Roman"/>
          <w:color w:val="auto"/>
          <w:szCs w:val="28"/>
          <w:highlight w:val="none"/>
        </w:rPr>
        <w:t>、</w:t>
      </w:r>
      <w:r>
        <w:rPr>
          <w:rFonts w:hint="eastAsia" w:cs="Times New Roman"/>
          <w:color w:val="auto"/>
          <w:szCs w:val="28"/>
          <w:highlight w:val="none"/>
          <w:lang w:val="en-US" w:eastAsia="zh-CN"/>
        </w:rPr>
        <w:t>广东</w:t>
      </w:r>
      <w:r>
        <w:rPr>
          <w:rFonts w:hint="default" w:ascii="Times New Roman" w:hAnsi="Times New Roman" w:cs="Times New Roman"/>
          <w:color w:val="auto"/>
          <w:szCs w:val="28"/>
          <w:highlight w:val="none"/>
        </w:rPr>
        <w:t>佳纳</w:t>
      </w:r>
      <w:r>
        <w:rPr>
          <w:rFonts w:hint="eastAsia" w:cs="Times New Roman"/>
          <w:color w:val="auto"/>
          <w:szCs w:val="28"/>
          <w:highlight w:val="none"/>
          <w:lang w:val="en-US" w:eastAsia="zh-CN"/>
        </w:rPr>
        <w:t>能源科技有限公司</w:t>
      </w:r>
      <w:r>
        <w:rPr>
          <w:rFonts w:hint="default" w:ascii="Times New Roman" w:hAnsi="Times New Roman" w:cs="Times New Roman"/>
          <w:color w:val="auto"/>
          <w:szCs w:val="28"/>
          <w:highlight w:val="none"/>
        </w:rPr>
        <w:t>、金驰</w:t>
      </w:r>
      <w:r>
        <w:rPr>
          <w:rFonts w:hint="eastAsia" w:cs="Times New Roman"/>
          <w:color w:val="auto"/>
          <w:szCs w:val="28"/>
          <w:highlight w:val="none"/>
          <w:lang w:val="en-US" w:eastAsia="zh-CN"/>
        </w:rPr>
        <w:t>能源材料有限公司</w:t>
      </w:r>
      <w:r>
        <w:rPr>
          <w:rFonts w:hint="default" w:ascii="Times New Roman" w:hAnsi="Times New Roman" w:cs="Times New Roman"/>
          <w:color w:val="auto"/>
          <w:szCs w:val="28"/>
          <w:highlight w:val="none"/>
        </w:rPr>
        <w:t>、</w:t>
      </w:r>
      <w:r>
        <w:rPr>
          <w:rFonts w:hint="eastAsia" w:cs="Times New Roman"/>
          <w:color w:val="auto"/>
          <w:szCs w:val="28"/>
          <w:highlight w:val="none"/>
          <w:lang w:val="en-US" w:eastAsia="zh-CN"/>
        </w:rPr>
        <w:t>浙江帕瓦新能源股份有限公司</w:t>
      </w:r>
      <w:r>
        <w:rPr>
          <w:rFonts w:hint="default" w:ascii="Times New Roman" w:hAnsi="Times New Roman" w:cs="Times New Roman"/>
          <w:color w:val="auto"/>
          <w:szCs w:val="28"/>
          <w:highlight w:val="none"/>
        </w:rPr>
        <w:t>等，预计未来随着新能源汽车产量的</w:t>
      </w:r>
      <w:r>
        <w:rPr>
          <w:rFonts w:hint="eastAsia" w:cs="Times New Roman"/>
          <w:color w:val="auto"/>
          <w:szCs w:val="28"/>
          <w:highlight w:val="none"/>
          <w:lang w:val="en-US" w:eastAsia="zh-CN"/>
        </w:rPr>
        <w:t>迅</w:t>
      </w:r>
      <w:r>
        <w:rPr>
          <w:rFonts w:hint="default" w:ascii="Times New Roman" w:hAnsi="Times New Roman" w:cs="Times New Roman"/>
          <w:color w:val="auto"/>
          <w:szCs w:val="28"/>
          <w:highlight w:val="none"/>
        </w:rPr>
        <w:t>速增加，会进一步拉动锂电池正极材料及其前驱体的需求增长。</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8"/>
          <w:highlight w:val="none"/>
        </w:rPr>
        <w:t>根据国务院颁布的《节能与新能源汽车产业发展规划(2012-2020年)》中提及的目标，至2020年动力电池模块的能量密度达到300Wh/kg(对应的单体电池能量密度至少达到330Wh/kg以上)</w:t>
      </w:r>
      <w:r>
        <w:rPr>
          <w:rFonts w:hint="eastAsia" w:cs="Times New Roman"/>
          <w:color w:val="auto"/>
          <w:szCs w:val="28"/>
          <w:highlight w:val="none"/>
          <w:lang w:eastAsia="zh-CN"/>
        </w:rPr>
        <w:t>。</w:t>
      </w:r>
      <w:r>
        <w:rPr>
          <w:rFonts w:hint="default" w:ascii="Times New Roman" w:hAnsi="Times New Roman" w:cs="Times New Roman"/>
          <w:color w:val="auto"/>
          <w:szCs w:val="21"/>
          <w:highlight w:val="none"/>
        </w:rPr>
        <w:t>镍钴二元材料与锰酸锂、三元材料、磷酸铁锂等传统正极材料相比，具有电压平台高</w:t>
      </w:r>
      <w:r>
        <w:rPr>
          <w:rFonts w:hint="eastAsia" w:cs="Times New Roman"/>
          <w:color w:val="auto"/>
          <w:szCs w:val="21"/>
          <w:highlight w:val="none"/>
          <w:lang w:eastAsia="zh-CN"/>
        </w:rPr>
        <w:t>、</w:t>
      </w:r>
      <w:r>
        <w:rPr>
          <w:rFonts w:hint="default" w:ascii="Times New Roman" w:hAnsi="Times New Roman" w:cs="Times New Roman" w:eastAsiaTheme="minorEastAsia"/>
          <w:color w:val="auto"/>
          <w:szCs w:val="21"/>
          <w:highlight w:val="none"/>
          <w:lang w:eastAsia="zh-TW"/>
        </w:rPr>
        <w:t>比容量高</w:t>
      </w:r>
      <w:r>
        <w:rPr>
          <w:rFonts w:hint="eastAsia" w:cs="Times New Roman" w:eastAsiaTheme="minorEastAsia"/>
          <w:color w:val="auto"/>
          <w:szCs w:val="21"/>
          <w:highlight w:val="none"/>
          <w:lang w:eastAsia="zh-CN"/>
        </w:rPr>
        <w:t>、</w:t>
      </w:r>
      <w:r>
        <w:rPr>
          <w:rFonts w:hint="default" w:ascii="Times New Roman" w:hAnsi="Times New Roman" w:cs="Times New Roman"/>
          <w:color w:val="auto"/>
          <w:szCs w:val="21"/>
          <w:highlight w:val="none"/>
        </w:rPr>
        <w:t>安全性能好，</w:t>
      </w:r>
      <w:r>
        <w:rPr>
          <w:rFonts w:hint="default" w:ascii="Times New Roman" w:hAnsi="Times New Roman" w:cs="Times New Roman" w:eastAsiaTheme="minorEastAsia"/>
          <w:color w:val="auto"/>
          <w:szCs w:val="21"/>
          <w:highlight w:val="none"/>
          <w:lang w:eastAsia="zh-TW"/>
        </w:rPr>
        <w:t>热稳定性和</w:t>
      </w:r>
      <w:r>
        <w:rPr>
          <w:rFonts w:hint="default" w:ascii="Times New Roman" w:hAnsi="Times New Roman" w:cs="Times New Roman"/>
          <w:color w:val="auto"/>
          <w:szCs w:val="21"/>
          <w:highlight w:val="none"/>
        </w:rPr>
        <w:t>循环性能</w:t>
      </w:r>
      <w:r>
        <w:rPr>
          <w:rFonts w:hint="eastAsia" w:cs="Times New Roman"/>
          <w:color w:val="auto"/>
          <w:szCs w:val="21"/>
          <w:highlight w:val="none"/>
          <w:lang w:val="en-US" w:eastAsia="zh-CN"/>
        </w:rPr>
        <w:t>好</w:t>
      </w:r>
      <w:r>
        <w:rPr>
          <w:rFonts w:hint="default" w:ascii="Times New Roman" w:hAnsi="Times New Roman" w:cs="Times New Roman"/>
          <w:color w:val="auto"/>
          <w:szCs w:val="21"/>
          <w:highlight w:val="none"/>
        </w:rPr>
        <w:t>、倍率性能优越，高电压电池配组容易等优势，在动力电池领域有广阔的应用前景</w:t>
      </w:r>
      <w:r>
        <w:rPr>
          <w:rFonts w:hint="eastAsia" w:cs="Times New Roman"/>
          <w:color w:val="auto"/>
          <w:szCs w:val="21"/>
          <w:highlight w:val="none"/>
          <w:lang w:eastAsia="zh-CN"/>
        </w:rPr>
        <w:t>，</w:t>
      </w:r>
      <w:r>
        <w:rPr>
          <w:rFonts w:hint="eastAsia" w:cs="Times New Roman"/>
          <w:color w:val="auto"/>
          <w:szCs w:val="21"/>
          <w:highlight w:val="none"/>
          <w:lang w:val="en-US" w:eastAsia="zh-CN"/>
        </w:rPr>
        <w:t>是</w:t>
      </w:r>
      <w:r>
        <w:rPr>
          <w:rFonts w:hint="default" w:ascii="Times New Roman" w:hAnsi="Times New Roman" w:cs="Times New Roman"/>
          <w:color w:val="auto"/>
          <w:szCs w:val="28"/>
          <w:highlight w:val="none"/>
        </w:rPr>
        <w:t>最有可能满足这一指标</w:t>
      </w:r>
      <w:r>
        <w:rPr>
          <w:rFonts w:hint="eastAsia" w:cs="Times New Roman"/>
          <w:color w:val="auto"/>
          <w:szCs w:val="28"/>
          <w:highlight w:val="none"/>
          <w:lang w:val="en-US" w:eastAsia="zh-CN"/>
        </w:rPr>
        <w:t>的前驱体材料之一</w:t>
      </w:r>
      <w:r>
        <w:rPr>
          <w:rFonts w:hint="default" w:ascii="Times New Roman" w:hAnsi="Times New Roman" w:cs="Times New Roman"/>
          <w:color w:val="auto"/>
          <w:szCs w:val="28"/>
          <w:highlight w:val="none"/>
        </w:rPr>
        <w:t>。</w:t>
      </w:r>
    </w:p>
    <w:p>
      <w:pPr>
        <w:spacing w:line="360" w:lineRule="auto"/>
        <w:ind w:firstLine="420" w:firstLineChars="200"/>
        <w:rPr>
          <w:rFonts w:hint="default" w:ascii="Times New Roman" w:hAnsi="Times New Roman" w:eastAsia="宋体" w:cs="Times New Roman"/>
          <w:color w:val="auto"/>
          <w:kern w:val="0"/>
          <w:sz w:val="21"/>
          <w:szCs w:val="21"/>
          <w:highlight w:val="none"/>
          <w:lang w:val="zh-TW" w:eastAsia="zh-TW" w:bidi="ar-SA"/>
        </w:rPr>
      </w:pPr>
      <w:r>
        <w:rPr>
          <w:rFonts w:hint="eastAsia" w:cs="Times New Roman"/>
          <w:color w:val="auto"/>
          <w:kern w:val="0"/>
          <w:sz w:val="21"/>
          <w:szCs w:val="21"/>
          <w:highlight w:val="none"/>
          <w:lang w:val="en-US" w:eastAsia="zh-CN" w:bidi="ar-SA"/>
        </w:rPr>
        <w:t>然而，目前</w:t>
      </w:r>
      <w:r>
        <w:rPr>
          <w:rFonts w:hint="default" w:ascii="Times New Roman" w:hAnsi="Times New Roman" w:eastAsia="宋体" w:cs="Times New Roman"/>
          <w:color w:val="auto"/>
          <w:kern w:val="0"/>
          <w:sz w:val="21"/>
          <w:szCs w:val="21"/>
          <w:highlight w:val="none"/>
          <w:lang w:val="zh-TW" w:eastAsia="zh-TW" w:bidi="ar-SA"/>
        </w:rPr>
        <w:t>我国</w:t>
      </w:r>
      <w:r>
        <w:rPr>
          <w:rFonts w:hint="eastAsia" w:cs="Times New Roman"/>
          <w:color w:val="auto"/>
          <w:kern w:val="0"/>
          <w:sz w:val="21"/>
          <w:szCs w:val="21"/>
          <w:highlight w:val="none"/>
          <w:lang w:val="en-US" w:eastAsia="zh-CN" w:bidi="ar-SA"/>
        </w:rPr>
        <w:t>也</w:t>
      </w:r>
      <w:r>
        <w:rPr>
          <w:rFonts w:hint="default" w:ascii="Times New Roman" w:hAnsi="Times New Roman" w:eastAsia="宋体" w:cs="Times New Roman"/>
          <w:color w:val="auto"/>
          <w:kern w:val="0"/>
          <w:sz w:val="21"/>
          <w:szCs w:val="21"/>
          <w:highlight w:val="none"/>
          <w:lang w:val="zh-TW" w:eastAsia="zh-TW" w:bidi="ar-SA"/>
        </w:rPr>
        <w:t>尚无</w:t>
      </w:r>
      <w:r>
        <w:rPr>
          <w:rFonts w:hint="eastAsia" w:cs="Times New Roman"/>
          <w:color w:val="auto"/>
          <w:szCs w:val="21"/>
          <w:highlight w:val="none"/>
          <w:lang w:eastAsia="zh-CN"/>
        </w:rPr>
        <w:t>镍钴二元素复合氢氧化物</w:t>
      </w:r>
      <w:r>
        <w:rPr>
          <w:rFonts w:hint="default" w:ascii="Times New Roman" w:hAnsi="Times New Roman" w:eastAsia="宋体" w:cs="Times New Roman"/>
          <w:color w:val="auto"/>
          <w:kern w:val="0"/>
          <w:sz w:val="21"/>
          <w:szCs w:val="21"/>
          <w:highlight w:val="none"/>
          <w:lang w:val="zh-TW" w:eastAsia="zh-TW" w:bidi="ar-SA"/>
        </w:rPr>
        <w:t>国家标准或行业标准</w:t>
      </w:r>
      <w:r>
        <w:rPr>
          <w:rFonts w:hint="eastAsia" w:cs="Times New Roman"/>
          <w:color w:val="auto"/>
          <w:kern w:val="0"/>
          <w:sz w:val="21"/>
          <w:szCs w:val="21"/>
          <w:highlight w:val="none"/>
          <w:lang w:val="zh-TW" w:eastAsia="zh-CN" w:bidi="ar-SA"/>
        </w:rPr>
        <w:t>，</w:t>
      </w:r>
      <w:r>
        <w:rPr>
          <w:rFonts w:hint="eastAsia" w:cs="Times New Roman"/>
          <w:color w:val="auto"/>
          <w:kern w:val="0"/>
          <w:sz w:val="21"/>
          <w:szCs w:val="21"/>
          <w:highlight w:val="none"/>
          <w:lang w:val="en-US" w:eastAsia="zh-CN" w:bidi="ar-SA"/>
        </w:rPr>
        <w:t>制定该行业</w:t>
      </w:r>
      <w:r>
        <w:rPr>
          <w:rFonts w:hint="default" w:ascii="Times New Roman" w:hAnsi="Times New Roman" w:eastAsia="宋体" w:cs="Times New Roman"/>
          <w:color w:val="auto"/>
          <w:kern w:val="0"/>
          <w:sz w:val="21"/>
          <w:szCs w:val="21"/>
          <w:highlight w:val="none"/>
          <w:lang w:val="zh-TW" w:eastAsia="zh-CN" w:bidi="ar-SA"/>
        </w:rPr>
        <w:t>标准</w:t>
      </w:r>
      <w:r>
        <w:rPr>
          <w:rFonts w:hint="eastAsia" w:cs="Times New Roman"/>
          <w:color w:val="auto"/>
          <w:kern w:val="0"/>
          <w:sz w:val="21"/>
          <w:szCs w:val="21"/>
          <w:highlight w:val="none"/>
          <w:lang w:val="zh-TW" w:eastAsia="zh-CN" w:bidi="ar-SA"/>
        </w:rPr>
        <w:t>，</w:t>
      </w:r>
      <w:r>
        <w:rPr>
          <w:rFonts w:hint="eastAsia" w:cs="Times New Roman"/>
          <w:color w:val="auto"/>
          <w:kern w:val="0"/>
          <w:sz w:val="21"/>
          <w:szCs w:val="21"/>
          <w:highlight w:val="none"/>
          <w:lang w:val="en-US" w:eastAsia="zh-CN" w:bidi="ar-SA"/>
        </w:rPr>
        <w:t>对镍钴二元素氢氧化物的性能指标、检测方法等关键技术内容进行规定，能够促进国内企业生产工艺装备、技术水平、试验检测的升级发展，</w:t>
      </w:r>
      <w:r>
        <w:rPr>
          <w:rFonts w:hint="default" w:ascii="Times New Roman" w:hAnsi="Times New Roman" w:eastAsia="宋体" w:cs="Times New Roman"/>
          <w:color w:val="auto"/>
          <w:kern w:val="0"/>
          <w:sz w:val="21"/>
          <w:szCs w:val="21"/>
          <w:highlight w:val="none"/>
          <w:lang w:val="zh-TW" w:eastAsia="zh-TW" w:bidi="ar-SA"/>
        </w:rPr>
        <w:t>加强供需双方的技术理解和交流，指导和规范产品的生产和贸易，满足市场相关领域的不同需求。</w:t>
      </w:r>
    </w:p>
    <w:p>
      <w:pPr>
        <w:spacing w:line="360" w:lineRule="auto"/>
        <w:rPr>
          <w:rFonts w:hint="default" w:ascii="Times New Roman" w:hAnsi="Times New Roman" w:cs="Times New Roman"/>
          <w:b/>
          <w:color w:val="auto"/>
          <w:szCs w:val="28"/>
          <w:highlight w:val="none"/>
        </w:rPr>
      </w:pPr>
      <w:r>
        <w:rPr>
          <w:rFonts w:hint="default" w:ascii="Times New Roman" w:hAnsi="Times New Roman" w:cs="Times New Roman"/>
          <w:b/>
          <w:color w:val="auto"/>
          <w:szCs w:val="28"/>
          <w:highlight w:val="none"/>
        </w:rPr>
        <w:t>1.</w:t>
      </w:r>
      <w:r>
        <w:rPr>
          <w:rFonts w:hint="eastAsia" w:cs="Times New Roman"/>
          <w:b/>
          <w:color w:val="auto"/>
          <w:szCs w:val="28"/>
          <w:highlight w:val="none"/>
          <w:lang w:val="en-US" w:eastAsia="zh-CN"/>
        </w:rPr>
        <w:t>5</w:t>
      </w:r>
      <w:r>
        <w:rPr>
          <w:rFonts w:hint="default" w:ascii="Times New Roman" w:hAnsi="Times New Roman" w:cs="Times New Roman"/>
          <w:b/>
          <w:color w:val="auto"/>
          <w:szCs w:val="28"/>
          <w:highlight w:val="none"/>
        </w:rPr>
        <w:t xml:space="preserve"> </w:t>
      </w:r>
      <w:r>
        <w:rPr>
          <w:rFonts w:hint="eastAsia" w:cs="Times New Roman"/>
          <w:b/>
          <w:color w:val="auto"/>
          <w:szCs w:val="28"/>
          <w:highlight w:val="none"/>
          <w:lang w:val="en-US" w:eastAsia="zh-CN"/>
        </w:rPr>
        <w:t>承担单位情况及</w:t>
      </w:r>
      <w:r>
        <w:rPr>
          <w:rFonts w:hint="default" w:ascii="Times New Roman" w:hAnsi="Times New Roman" w:cs="Times New Roman"/>
          <w:b/>
          <w:color w:val="auto"/>
          <w:szCs w:val="28"/>
          <w:highlight w:val="none"/>
        </w:rPr>
        <w:t>主要工作过程</w:t>
      </w:r>
    </w:p>
    <w:p>
      <w:pPr>
        <w:spacing w:line="360" w:lineRule="auto"/>
        <w:rPr>
          <w:rFonts w:hint="eastAsia" w:cs="Times New Roman"/>
          <w:b/>
          <w:color w:val="auto"/>
          <w:szCs w:val="28"/>
          <w:highlight w:val="none"/>
          <w:lang w:val="en-US" w:eastAsia="zh-CN"/>
        </w:rPr>
      </w:pPr>
      <w:r>
        <w:rPr>
          <w:rFonts w:hint="eastAsia" w:cs="Times New Roman"/>
          <w:b/>
          <w:color w:val="auto"/>
          <w:szCs w:val="28"/>
          <w:highlight w:val="none"/>
          <w:lang w:val="en-US" w:eastAsia="zh-CN"/>
        </w:rPr>
        <w:t>1.5.1承担单位情况</w:t>
      </w:r>
    </w:p>
    <w:p>
      <w:pPr>
        <w:pStyle w:val="8"/>
        <w:shd w:val="clear" w:color="auto" w:fill="FFFFFF"/>
        <w:spacing w:before="0" w:beforeAutospacing="0" w:after="0" w:afterAutospacing="0" w:line="360" w:lineRule="auto"/>
        <w:ind w:firstLine="420" w:firstLineChars="200"/>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浙江华友钴业股份有限公司成立于2002年，是一家专注于锂电新能源材料制造、钴新材料深加工以及钴、铜有色金属采、选</w:t>
      </w:r>
      <w:r>
        <w:rPr>
          <w:rFonts w:hint="eastAsia"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冶的高新技术企业。公司经过16年的发展，形成了总部在桐乡、资源保障在非洲、制造基地在衢州、市场在全球的集采、选、冶及钴新材料深加工一体化的产业格局。</w:t>
      </w:r>
    </w:p>
    <w:p>
      <w:pPr>
        <w:spacing w:line="360" w:lineRule="auto"/>
        <w:ind w:firstLine="420" w:firstLineChars="200"/>
        <w:rPr>
          <w:rFonts w:hint="default" w:ascii="Times New Roman" w:hAnsi="Times New Roman" w:cs="Times New Roman" w:eastAsiaTheme="minorEastAsia"/>
          <w:color w:val="auto"/>
          <w:szCs w:val="21"/>
          <w:highlight w:val="none"/>
        </w:rPr>
      </w:pPr>
      <w:r>
        <w:rPr>
          <w:rFonts w:hint="default" w:ascii="Times New Roman" w:hAnsi="Times New Roman" w:cs="Times New Roman" w:eastAsiaTheme="minorEastAsia"/>
          <w:color w:val="auto"/>
          <w:szCs w:val="21"/>
          <w:highlight w:val="none"/>
        </w:rPr>
        <w:t>公司主要产品为四氧化三钴、氧化钴、碳酸钴、氢氧化钴、硫酸钴等钴产品以及各种规格的三元前驱体镍钴锰（NCM）、镍钴铝（NCA）和镍钴二元（NC）等系列多元锂电前驱体。目前锂电前驱体产品主要国外客户为韩国的三星SDI、L&amp;F和GSME，主要国内客户为天津巴莫、湖南杉杉、北京当升、北大先行等，公司通过这些客户间接为宝马、大众、特斯拉、华为、三星、LGC和苹果公司提供动力电池、储能电池及手机电池的原材料。钴产品主要用于新能源汽车动力电池正极材料、3C产品（计算机、通讯和消费类电子产品）用电池正极材料、航空航天高温合金、硬质合金等领域。公司是中国最大的钴产品供应商，钴产品产量位居世界前列。其中锂电正极材料市场占比</w:t>
      </w:r>
      <w:r>
        <w:rPr>
          <w:rFonts w:hint="eastAsia" w:cs="Times New Roman" w:eastAsiaTheme="minorEastAsia"/>
          <w:color w:val="auto"/>
          <w:szCs w:val="21"/>
          <w:highlight w:val="none"/>
          <w:lang w:eastAsia="zh-CN"/>
        </w:rPr>
        <w:t>：</w:t>
      </w:r>
      <w:r>
        <w:rPr>
          <w:rFonts w:hint="default" w:ascii="Times New Roman" w:hAnsi="Times New Roman" w:cs="Times New Roman" w:eastAsiaTheme="minorEastAsia"/>
          <w:color w:val="auto"/>
          <w:szCs w:val="21"/>
          <w:highlight w:val="none"/>
        </w:rPr>
        <w:t>中国25%，全球15%。</w:t>
      </w:r>
    </w:p>
    <w:p>
      <w:pPr>
        <w:spacing w:line="360" w:lineRule="auto"/>
        <w:ind w:firstLine="420" w:firstLineChars="200"/>
        <w:rPr>
          <w:rFonts w:hint="default" w:ascii="Times New Roman" w:hAnsi="Times New Roman" w:cs="Times New Roman" w:eastAsiaTheme="minorEastAsia"/>
          <w:color w:val="auto"/>
          <w:szCs w:val="21"/>
          <w:highlight w:val="none"/>
        </w:rPr>
      </w:pPr>
      <w:r>
        <w:rPr>
          <w:rFonts w:hint="default" w:ascii="Times New Roman" w:hAnsi="Times New Roman" w:cs="Times New Roman" w:eastAsiaTheme="minorEastAsia"/>
          <w:color w:val="auto"/>
          <w:szCs w:val="21"/>
          <w:highlight w:val="none"/>
        </w:rPr>
        <w:t>公司始终将科技创新放在突出位置，在钴铜湿法工艺、钴新材料、环境保护领域拥有国内一流的自主核心技术；公司设有省级企业技术中心和高新技术研发中心，公司的技术团队为浙江省重点企业技术创新团队。公司已经获得授权的专利</w:t>
      </w:r>
      <w:r>
        <w:rPr>
          <w:rFonts w:hint="eastAsia" w:cs="Times New Roman" w:eastAsiaTheme="minorEastAsia"/>
          <w:color w:val="auto"/>
          <w:szCs w:val="21"/>
          <w:highlight w:val="none"/>
          <w:lang w:val="en-US" w:eastAsia="zh-CN"/>
        </w:rPr>
        <w:t>72</w:t>
      </w:r>
      <w:r>
        <w:rPr>
          <w:rFonts w:hint="default" w:ascii="Times New Roman" w:hAnsi="Times New Roman" w:cs="Times New Roman" w:eastAsiaTheme="minorEastAsia"/>
          <w:color w:val="auto"/>
          <w:szCs w:val="21"/>
          <w:highlight w:val="none"/>
        </w:rPr>
        <w:t>项，其中发明专利4</w:t>
      </w:r>
      <w:r>
        <w:rPr>
          <w:rFonts w:hint="eastAsia" w:cs="Times New Roman" w:eastAsiaTheme="minorEastAsia"/>
          <w:color w:val="auto"/>
          <w:szCs w:val="21"/>
          <w:highlight w:val="none"/>
          <w:lang w:val="en-US" w:eastAsia="zh-CN"/>
        </w:rPr>
        <w:t>6</w:t>
      </w:r>
      <w:r>
        <w:rPr>
          <w:rFonts w:hint="default" w:ascii="Times New Roman" w:hAnsi="Times New Roman" w:cs="Times New Roman" w:eastAsiaTheme="minorEastAsia"/>
          <w:color w:val="auto"/>
          <w:szCs w:val="21"/>
          <w:highlight w:val="none"/>
        </w:rPr>
        <w:t>项，实用新型专利2</w:t>
      </w:r>
      <w:r>
        <w:rPr>
          <w:rFonts w:hint="eastAsia" w:cs="Times New Roman" w:eastAsiaTheme="minorEastAsia"/>
          <w:color w:val="auto"/>
          <w:szCs w:val="21"/>
          <w:highlight w:val="none"/>
          <w:lang w:val="en-US" w:eastAsia="zh-CN"/>
        </w:rPr>
        <w:t>6</w:t>
      </w:r>
      <w:r>
        <w:rPr>
          <w:rFonts w:hint="default" w:ascii="Times New Roman" w:hAnsi="Times New Roman" w:cs="Times New Roman" w:eastAsiaTheme="minorEastAsia"/>
          <w:color w:val="auto"/>
          <w:szCs w:val="21"/>
          <w:highlight w:val="none"/>
        </w:rPr>
        <w:t>项，通过知识产权贯标，为浙江省专利示范企业；公司牵头和参与起草的国家标准、行业标准共计</w:t>
      </w:r>
      <w:r>
        <w:rPr>
          <w:rFonts w:hint="eastAsia" w:cs="Times New Roman" w:eastAsiaTheme="minorEastAsia"/>
          <w:color w:val="auto"/>
          <w:szCs w:val="21"/>
          <w:highlight w:val="none"/>
          <w:lang w:val="en-US" w:eastAsia="zh-CN"/>
        </w:rPr>
        <w:t>80多</w:t>
      </w:r>
      <w:r>
        <w:rPr>
          <w:rFonts w:hint="default" w:ascii="Times New Roman" w:hAnsi="Times New Roman" w:cs="Times New Roman" w:eastAsiaTheme="minorEastAsia"/>
          <w:color w:val="auto"/>
          <w:szCs w:val="21"/>
          <w:highlight w:val="none"/>
        </w:rPr>
        <w:t>项，是行业标准的重要制定者。</w:t>
      </w:r>
    </w:p>
    <w:p>
      <w:pPr>
        <w:spacing w:line="360" w:lineRule="auto"/>
        <w:ind w:firstLine="420" w:firstLineChars="200"/>
        <w:rPr>
          <w:rFonts w:hint="default" w:cs="Times New Roman"/>
          <w:b/>
          <w:color w:val="auto"/>
          <w:szCs w:val="28"/>
          <w:highlight w:val="none"/>
          <w:lang w:val="en-US" w:eastAsia="zh-CN"/>
        </w:rPr>
      </w:pPr>
      <w:r>
        <w:rPr>
          <w:rFonts w:hint="default" w:ascii="Times New Roman" w:hAnsi="Times New Roman" w:cs="Times New Roman" w:eastAsiaTheme="minorEastAsia"/>
          <w:color w:val="auto"/>
          <w:szCs w:val="21"/>
          <w:highlight w:val="none"/>
        </w:rPr>
        <w:t>华友钴业始终坚持科技创新和科学管理，在锂电正极材料前驱体、钴铜湿法工艺、钴新材料、环境保护领域拥有国内一流的自主核心技术，公司通过了ISO9001、ISO14001、OHSAS18001、GB/T19022、GB/T15496和AQ/T9006六合一管理体系的认证，</w:t>
      </w:r>
      <w:r>
        <w:rPr>
          <w:rFonts w:hint="eastAsia" w:cs="Times New Roman" w:eastAsiaTheme="minorEastAsia"/>
          <w:color w:val="auto"/>
          <w:szCs w:val="21"/>
          <w:highlight w:val="none"/>
          <w:lang w:val="en-US" w:eastAsia="zh-CN"/>
        </w:rPr>
        <w:t>公司</w:t>
      </w:r>
      <w:r>
        <w:rPr>
          <w:rFonts w:hint="default" w:ascii="Times New Roman" w:hAnsi="Times New Roman" w:cs="Times New Roman" w:eastAsiaTheme="minorEastAsia"/>
          <w:color w:val="auto"/>
          <w:szCs w:val="21"/>
          <w:highlight w:val="none"/>
        </w:rPr>
        <w:t>的精细化管理水平处于行业领先地位；公司是浙江省绿色企业、浙江省工业经济循环示范企业、浙江省清洁生产企业、国家安全生产标准化二级企业，为公司做强做大钴产业提供了坚实保障。</w:t>
      </w:r>
    </w:p>
    <w:p>
      <w:pPr>
        <w:pStyle w:val="8"/>
        <w:shd w:val="clear" w:color="auto" w:fill="FFFFFF"/>
        <w:spacing w:before="0" w:beforeAutospacing="0" w:after="0" w:afterAutospacing="0" w:line="360" w:lineRule="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1.5.2主要工作过程</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2018年7月</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浙江华友钴业股份有限公司</w:t>
      </w:r>
      <w:r>
        <w:rPr>
          <w:rFonts w:hint="default" w:ascii="Times New Roman" w:hAnsi="Times New Roman" w:cs="Times New Roman"/>
          <w:color w:val="auto"/>
          <w:sz w:val="21"/>
          <w:szCs w:val="21"/>
          <w:highlight w:val="none"/>
        </w:rPr>
        <w:t>接</w:t>
      </w:r>
      <w:r>
        <w:rPr>
          <w:rFonts w:hint="eastAsia" w:ascii="Times New Roman" w:hAnsi="Times New Roman" w:cs="Times New Roman"/>
          <w:color w:val="auto"/>
          <w:sz w:val="21"/>
          <w:szCs w:val="21"/>
          <w:highlight w:val="none"/>
          <w:lang w:val="en-US" w:eastAsia="zh-CN"/>
        </w:rPr>
        <w:t>受</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eastAsia="zh-CN"/>
        </w:rPr>
        <w:t>镍钴二元素复合氢氧化物</w:t>
      </w:r>
      <w:r>
        <w:rPr>
          <w:rFonts w:hint="default" w:ascii="Times New Roman" w:hAnsi="Times New Roman" w:cs="Times New Roman"/>
          <w:color w:val="auto"/>
          <w:sz w:val="21"/>
          <w:szCs w:val="21"/>
          <w:highlight w:val="none"/>
        </w:rPr>
        <w:t>》行业标准编制任务后，成立了《</w:t>
      </w:r>
      <w:r>
        <w:rPr>
          <w:rFonts w:hint="eastAsia" w:cs="Times New Roman"/>
          <w:color w:val="auto"/>
          <w:sz w:val="21"/>
          <w:szCs w:val="21"/>
          <w:highlight w:val="none"/>
          <w:lang w:eastAsia="zh-CN"/>
        </w:rPr>
        <w:t>镍钴二元素复合氢氧化物</w:t>
      </w:r>
      <w:r>
        <w:rPr>
          <w:rFonts w:hint="default" w:ascii="Times New Roman" w:hAnsi="Times New Roman" w:cs="Times New Roman"/>
          <w:color w:val="auto"/>
          <w:sz w:val="21"/>
          <w:szCs w:val="21"/>
          <w:highlight w:val="none"/>
        </w:rPr>
        <w:t>》行业标准编制组，</w:t>
      </w:r>
      <w:r>
        <w:rPr>
          <w:rFonts w:hint="eastAsia" w:ascii="Times New Roman" w:hAnsi="Times New Roman" w:cs="Times New Roman"/>
          <w:color w:val="auto"/>
          <w:sz w:val="21"/>
          <w:szCs w:val="21"/>
          <w:highlight w:val="none"/>
          <w:lang w:val="en-US" w:eastAsia="zh-CN"/>
        </w:rPr>
        <w:t>标准编制工作组成员查阅了大量的资料，收集、整理、对比分析了</w:t>
      </w:r>
      <w:r>
        <w:rPr>
          <w:rFonts w:hint="default" w:ascii="Times New Roman" w:hAnsi="Times New Roman" w:cs="Times New Roman"/>
          <w:color w:val="auto"/>
          <w:sz w:val="21"/>
          <w:szCs w:val="21"/>
          <w:highlight w:val="none"/>
        </w:rPr>
        <w:t>了国内</w:t>
      </w:r>
      <w:r>
        <w:rPr>
          <w:rFonts w:hint="eastAsia" w:cs="Times New Roman"/>
          <w:color w:val="auto"/>
          <w:sz w:val="21"/>
          <w:szCs w:val="21"/>
          <w:highlight w:val="none"/>
          <w:lang w:eastAsia="zh-CN"/>
        </w:rPr>
        <w:t>镍钴二元素复合氢氧化物</w:t>
      </w:r>
      <w:r>
        <w:rPr>
          <w:rFonts w:hint="default" w:ascii="Times New Roman" w:hAnsi="Times New Roman" w:cs="Times New Roman"/>
          <w:color w:val="auto"/>
          <w:sz w:val="21"/>
          <w:szCs w:val="21"/>
          <w:highlight w:val="none"/>
        </w:rPr>
        <w:t>的技术资料</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结合</w:t>
      </w:r>
      <w:r>
        <w:rPr>
          <w:rFonts w:hint="default" w:ascii="Times New Roman" w:hAnsi="Times New Roman" w:cs="Times New Roman"/>
          <w:color w:val="auto"/>
          <w:sz w:val="21"/>
          <w:szCs w:val="21"/>
          <w:highlight w:val="none"/>
        </w:rPr>
        <w:t>浙江华友钴业股份有限公司对</w:t>
      </w:r>
      <w:r>
        <w:rPr>
          <w:rFonts w:hint="eastAsia" w:cs="Times New Roman"/>
          <w:color w:val="auto"/>
          <w:sz w:val="21"/>
          <w:szCs w:val="21"/>
          <w:highlight w:val="none"/>
          <w:lang w:eastAsia="zh-CN"/>
        </w:rPr>
        <w:t>镍钴二元素复合氢氧化物</w:t>
      </w:r>
      <w:r>
        <w:rPr>
          <w:rFonts w:hint="default" w:ascii="Times New Roman" w:hAnsi="Times New Roman" w:cs="Times New Roman"/>
          <w:color w:val="auto"/>
          <w:sz w:val="21"/>
          <w:szCs w:val="21"/>
          <w:highlight w:val="none"/>
        </w:rPr>
        <w:t>的使用情况</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编制组组织相关技术和管理人员进行多次讨论后，2018年10月初步确定了《</w:t>
      </w:r>
      <w:r>
        <w:rPr>
          <w:rFonts w:hint="eastAsia" w:cs="Times New Roman"/>
          <w:color w:val="auto"/>
          <w:sz w:val="21"/>
          <w:szCs w:val="21"/>
          <w:highlight w:val="none"/>
          <w:lang w:eastAsia="zh-CN"/>
        </w:rPr>
        <w:t>镍钴二元素复合氢氧化物</w:t>
      </w:r>
      <w:r>
        <w:rPr>
          <w:rFonts w:hint="default" w:ascii="Times New Roman" w:hAnsi="Times New Roman" w:cs="Times New Roman"/>
          <w:color w:val="auto"/>
          <w:sz w:val="21"/>
          <w:szCs w:val="21"/>
          <w:highlight w:val="none"/>
        </w:rPr>
        <w:t>》的主要技术指标</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提出了该</w:t>
      </w:r>
      <w:r>
        <w:rPr>
          <w:rFonts w:hint="eastAsia" w:cs="Times New Roman"/>
          <w:color w:val="auto"/>
          <w:sz w:val="21"/>
          <w:szCs w:val="21"/>
          <w:highlight w:val="none"/>
          <w:lang w:val="en-US" w:eastAsia="zh-CN"/>
        </w:rPr>
        <w:t>标准征求意见稿</w:t>
      </w:r>
      <w:r>
        <w:rPr>
          <w:rFonts w:hint="default" w:ascii="Times New Roman" w:hAnsi="Times New Roman" w:cs="Times New Roman"/>
          <w:color w:val="auto"/>
          <w:sz w:val="21"/>
          <w:szCs w:val="21"/>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color w:val="auto"/>
          <w:szCs w:val="28"/>
          <w:highlight w:val="none"/>
        </w:rPr>
      </w:pPr>
      <w:r>
        <w:rPr>
          <w:rFonts w:hint="eastAsia" w:cs="Times New Roman"/>
          <w:b/>
          <w:bCs/>
          <w:color w:val="auto"/>
          <w:szCs w:val="28"/>
          <w:highlight w:val="none"/>
          <w:lang w:val="en-US" w:eastAsia="zh-CN"/>
        </w:rPr>
        <w:t>标准</w:t>
      </w:r>
      <w:r>
        <w:rPr>
          <w:rFonts w:hint="default" w:ascii="Times New Roman" w:hAnsi="Times New Roman" w:cs="Times New Roman"/>
          <w:b/>
          <w:bCs/>
          <w:color w:val="auto"/>
          <w:szCs w:val="28"/>
          <w:highlight w:val="none"/>
        </w:rPr>
        <w:t>编制原则</w:t>
      </w:r>
    </w:p>
    <w:p>
      <w:pPr>
        <w:widowControl w:val="0"/>
        <w:numPr>
          <w:ilvl w:val="0"/>
          <w:numId w:val="2"/>
        </w:numPr>
        <w:spacing w:line="360" w:lineRule="auto"/>
        <w:ind w:firstLine="420"/>
        <w:jc w:val="both"/>
        <w:rPr>
          <w:rFonts w:hint="eastAsia" w:cs="Times New Roman"/>
          <w:b w:val="0"/>
          <w:bCs w:val="0"/>
          <w:color w:val="auto"/>
          <w:szCs w:val="28"/>
          <w:highlight w:val="none"/>
          <w:lang w:val="en-US" w:eastAsia="zh-CN"/>
        </w:rPr>
      </w:pPr>
      <w:r>
        <w:rPr>
          <w:rFonts w:hint="eastAsia" w:cs="Times New Roman"/>
          <w:b w:val="0"/>
          <w:bCs w:val="0"/>
          <w:color w:val="auto"/>
          <w:szCs w:val="28"/>
          <w:highlight w:val="none"/>
          <w:lang w:val="en-US" w:eastAsia="zh-CN"/>
        </w:rPr>
        <w:t>以满足国内镍钴二元素氢氧化物的实际生产和使用的需要为原则，提高标准的适用性；</w:t>
      </w:r>
    </w:p>
    <w:p>
      <w:pPr>
        <w:widowControl w:val="0"/>
        <w:numPr>
          <w:ilvl w:val="0"/>
          <w:numId w:val="2"/>
        </w:numPr>
        <w:spacing w:line="360" w:lineRule="auto"/>
        <w:ind w:firstLine="420"/>
        <w:jc w:val="both"/>
        <w:rPr>
          <w:rFonts w:hint="default" w:cs="Times New Roman"/>
          <w:b w:val="0"/>
          <w:bCs w:val="0"/>
          <w:color w:val="auto"/>
          <w:szCs w:val="28"/>
          <w:highlight w:val="none"/>
          <w:lang w:val="en-US" w:eastAsia="zh-CN"/>
        </w:rPr>
      </w:pPr>
      <w:r>
        <w:rPr>
          <w:rFonts w:hint="eastAsia" w:cs="Times New Roman"/>
          <w:b w:val="0"/>
          <w:bCs w:val="0"/>
          <w:color w:val="auto"/>
          <w:szCs w:val="28"/>
          <w:highlight w:val="none"/>
          <w:lang w:val="en-US" w:eastAsia="zh-CN"/>
        </w:rPr>
        <w:t>完全按照GB/T1.1-2009《标准化工作导则 第一部分：标准的结构和编写》的要求编写；</w:t>
      </w:r>
    </w:p>
    <w:p>
      <w:pPr>
        <w:widowControl w:val="0"/>
        <w:numPr>
          <w:ilvl w:val="0"/>
          <w:numId w:val="2"/>
        </w:numPr>
        <w:spacing w:line="360" w:lineRule="auto"/>
        <w:ind w:firstLine="420"/>
        <w:jc w:val="both"/>
        <w:rPr>
          <w:rFonts w:hint="default" w:cs="Times New Roman"/>
          <w:b w:val="0"/>
          <w:bCs w:val="0"/>
          <w:color w:val="auto"/>
          <w:szCs w:val="28"/>
          <w:highlight w:val="none"/>
          <w:lang w:val="en-US" w:eastAsia="zh-CN"/>
        </w:rPr>
      </w:pPr>
      <w:r>
        <w:rPr>
          <w:rFonts w:hint="eastAsia" w:cs="Times New Roman"/>
          <w:b w:val="0"/>
          <w:bCs w:val="0"/>
          <w:color w:val="auto"/>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三、标准主要内容的依据</w:t>
      </w:r>
    </w:p>
    <w:p>
      <w:pPr>
        <w:spacing w:line="360" w:lineRule="auto"/>
        <w:rPr>
          <w:rFonts w:hint="eastAsia" w:cs="Times New Roman"/>
          <w:b/>
          <w:color w:val="auto"/>
          <w:szCs w:val="21"/>
          <w:highlight w:val="none"/>
          <w:lang w:val="en-US" w:eastAsia="zh-CN"/>
        </w:rPr>
      </w:pPr>
      <w:r>
        <w:rPr>
          <w:rFonts w:hint="eastAsia" w:cs="Times New Roman"/>
          <w:b/>
          <w:color w:val="auto"/>
          <w:szCs w:val="21"/>
          <w:highlight w:val="none"/>
          <w:lang w:val="en-US" w:eastAsia="zh-CN"/>
        </w:rPr>
        <w:t>3.1企业生产和使用情况</w:t>
      </w:r>
    </w:p>
    <w:p>
      <w:pPr>
        <w:spacing w:line="360" w:lineRule="auto"/>
        <w:rPr>
          <w:rFonts w:hint="eastAsia" w:cs="Times New Roman"/>
          <w:b/>
          <w:color w:val="auto"/>
          <w:szCs w:val="21"/>
          <w:highlight w:val="none"/>
          <w:lang w:val="en-US" w:eastAsia="zh-CN"/>
        </w:rPr>
      </w:pPr>
      <w:r>
        <w:rPr>
          <w:rFonts w:hint="eastAsia" w:cs="Times New Roman"/>
          <w:b/>
          <w:color w:val="auto"/>
          <w:szCs w:val="21"/>
          <w:highlight w:val="none"/>
          <w:lang w:val="en-US" w:eastAsia="zh-CN"/>
        </w:rPr>
        <w:t>3.1.1国内外主要使用的企业</w:t>
      </w:r>
    </w:p>
    <w:p>
      <w:pPr>
        <w:spacing w:line="360" w:lineRule="auto"/>
        <w:ind w:firstLine="420" w:firstLineChars="200"/>
        <w:rPr>
          <w:rFonts w:hint="eastAsia" w:cs="Times New Roman"/>
          <w:color w:val="auto"/>
          <w:szCs w:val="28"/>
          <w:highlight w:val="none"/>
          <w:lang w:val="en-US" w:eastAsia="zh-CN"/>
        </w:rPr>
      </w:pPr>
      <w:r>
        <w:rPr>
          <w:rFonts w:hint="eastAsia" w:cs="Times New Roman"/>
          <w:color w:val="auto"/>
          <w:szCs w:val="28"/>
          <w:highlight w:val="none"/>
          <w:lang w:val="zh-TW" w:eastAsia="zh-CN"/>
        </w:rPr>
        <w:t>随着电动汽车市场的兴起，中国市场新能源汽车爆发式增长，国内各大</w:t>
      </w:r>
      <w:r>
        <w:rPr>
          <w:rFonts w:hint="eastAsia" w:cs="Times New Roman"/>
          <w:color w:val="auto"/>
          <w:szCs w:val="28"/>
          <w:highlight w:val="none"/>
          <w:lang w:val="en-US" w:eastAsia="zh-CN"/>
        </w:rPr>
        <w:t>电池</w:t>
      </w:r>
      <w:r>
        <w:rPr>
          <w:rFonts w:hint="eastAsia" w:cs="Times New Roman"/>
          <w:color w:val="auto"/>
          <w:szCs w:val="28"/>
          <w:highlight w:val="none"/>
          <w:lang w:val="zh-TW" w:eastAsia="zh-CN"/>
        </w:rPr>
        <w:t>材料厂</w:t>
      </w:r>
      <w:r>
        <w:rPr>
          <w:rFonts w:hint="eastAsia" w:cs="Times New Roman"/>
          <w:color w:val="auto"/>
          <w:szCs w:val="28"/>
          <w:highlight w:val="none"/>
          <w:lang w:val="en-US" w:eastAsia="zh-CN"/>
        </w:rPr>
        <w:t>都在</w:t>
      </w:r>
      <w:r>
        <w:rPr>
          <w:rFonts w:hint="eastAsia" w:cs="Times New Roman"/>
          <w:color w:val="auto"/>
          <w:szCs w:val="28"/>
          <w:highlight w:val="none"/>
          <w:lang w:val="zh-TW" w:eastAsia="zh-CN"/>
        </w:rPr>
        <w:t>扩产</w:t>
      </w:r>
      <w:r>
        <w:rPr>
          <w:rFonts w:hint="eastAsia" w:cs="Times New Roman"/>
          <w:color w:val="auto"/>
          <w:szCs w:val="28"/>
          <w:highlight w:val="none"/>
          <w:lang w:val="en-US" w:eastAsia="zh-CN"/>
        </w:rPr>
        <w:t>布局。动力电池</w:t>
      </w:r>
      <w:r>
        <w:rPr>
          <w:rFonts w:hint="eastAsia" w:cs="Times New Roman"/>
          <w:color w:val="auto"/>
          <w:szCs w:val="28"/>
          <w:highlight w:val="none"/>
          <w:lang w:val="zh-TW" w:eastAsia="zh-CN"/>
        </w:rPr>
        <w:t>正极材料性能的提升，很大程度上取决于前驱体</w:t>
      </w:r>
      <w:r>
        <w:rPr>
          <w:rFonts w:hint="eastAsia" w:cs="Times New Roman"/>
          <w:color w:val="auto"/>
          <w:szCs w:val="28"/>
          <w:highlight w:val="none"/>
          <w:lang w:val="en-US" w:eastAsia="zh-CN"/>
        </w:rPr>
        <w:t>的性能提升。</w:t>
      </w:r>
      <w:r>
        <w:rPr>
          <w:rFonts w:hint="eastAsia" w:cs="Times New Roman"/>
          <w:color w:val="auto"/>
          <w:szCs w:val="28"/>
          <w:highlight w:val="none"/>
          <w:lang w:val="zh-TW" w:eastAsia="zh-CN"/>
        </w:rPr>
        <w:t>目前国内做正极材料前驱体的企业主要包括东方坦业、宁波金和、北京当升、湖南海纳、新乡天力、浙江时代新能源、江门芳源、湖南邦普、赣峰锂业、华友</w:t>
      </w:r>
      <w:r>
        <w:rPr>
          <w:rFonts w:hint="eastAsia" w:cs="Times New Roman"/>
          <w:color w:val="auto"/>
          <w:szCs w:val="28"/>
          <w:highlight w:val="none"/>
          <w:lang w:val="en-US" w:eastAsia="zh-CN"/>
        </w:rPr>
        <w:t>钴业</w:t>
      </w:r>
      <w:r>
        <w:rPr>
          <w:rFonts w:hint="eastAsia" w:cs="Times New Roman"/>
          <w:color w:val="auto"/>
          <w:szCs w:val="28"/>
          <w:highlight w:val="none"/>
          <w:lang w:val="zh-TW" w:eastAsia="zh-CN"/>
        </w:rPr>
        <w:t>、深圳天骄</w:t>
      </w:r>
      <w:r>
        <w:rPr>
          <w:rFonts w:hint="eastAsia" w:cs="Times New Roman"/>
          <w:color w:val="auto"/>
          <w:szCs w:val="28"/>
          <w:highlight w:val="none"/>
          <w:lang w:val="en-US" w:eastAsia="zh-CN"/>
        </w:rPr>
        <w:t>等</w:t>
      </w:r>
      <w:r>
        <w:rPr>
          <w:rFonts w:hint="eastAsia" w:cs="Times New Roman"/>
          <w:color w:val="auto"/>
          <w:szCs w:val="28"/>
          <w:highlight w:val="none"/>
          <w:lang w:val="zh-TW" w:eastAsia="zh-CN"/>
        </w:rPr>
        <w:t>，预计未来</w:t>
      </w:r>
      <w:r>
        <w:rPr>
          <w:rFonts w:hint="eastAsia" w:cs="Times New Roman"/>
          <w:color w:val="auto"/>
          <w:szCs w:val="28"/>
          <w:highlight w:val="none"/>
          <w:lang w:val="en-US" w:eastAsia="zh-CN"/>
        </w:rPr>
        <w:t>随着</w:t>
      </w:r>
      <w:r>
        <w:rPr>
          <w:rFonts w:hint="eastAsia" w:cs="Times New Roman"/>
          <w:color w:val="auto"/>
          <w:szCs w:val="28"/>
          <w:highlight w:val="none"/>
          <w:lang w:val="zh-TW" w:eastAsia="zh-CN"/>
        </w:rPr>
        <w:t>新能源汽车产量</w:t>
      </w:r>
      <w:r>
        <w:rPr>
          <w:rFonts w:hint="eastAsia" w:cs="Times New Roman"/>
          <w:color w:val="auto"/>
          <w:szCs w:val="28"/>
          <w:highlight w:val="none"/>
          <w:lang w:val="en-US" w:eastAsia="zh-CN"/>
        </w:rPr>
        <w:t>的快速扩张</w:t>
      </w:r>
      <w:r>
        <w:rPr>
          <w:rFonts w:hint="eastAsia" w:cs="Times New Roman"/>
          <w:color w:val="auto"/>
          <w:szCs w:val="28"/>
          <w:highlight w:val="none"/>
          <w:lang w:val="zh-TW" w:eastAsia="zh-CN"/>
        </w:rPr>
        <w:t>，</w:t>
      </w:r>
      <w:r>
        <w:rPr>
          <w:rFonts w:hint="eastAsia" w:cs="Times New Roman"/>
          <w:color w:val="auto"/>
          <w:szCs w:val="28"/>
          <w:highlight w:val="none"/>
          <w:lang w:val="en-US" w:eastAsia="zh-CN"/>
        </w:rPr>
        <w:t>会进一步拉动</w:t>
      </w:r>
      <w:r>
        <w:rPr>
          <w:rFonts w:hint="eastAsia" w:cs="Times New Roman"/>
          <w:color w:val="auto"/>
          <w:szCs w:val="28"/>
          <w:highlight w:val="none"/>
          <w:lang w:val="zh-TW" w:eastAsia="zh-CN"/>
        </w:rPr>
        <w:t>锂电池正极材料</w:t>
      </w:r>
      <w:r>
        <w:rPr>
          <w:rFonts w:hint="eastAsia" w:cs="Times New Roman"/>
          <w:color w:val="auto"/>
          <w:szCs w:val="28"/>
          <w:highlight w:val="none"/>
          <w:lang w:val="en-US" w:eastAsia="zh-CN"/>
        </w:rPr>
        <w:t>及其</w:t>
      </w:r>
      <w:r>
        <w:rPr>
          <w:rFonts w:hint="eastAsia" w:cs="Times New Roman"/>
          <w:color w:val="auto"/>
          <w:szCs w:val="28"/>
          <w:highlight w:val="none"/>
          <w:lang w:val="zh-TW" w:eastAsia="zh-CN"/>
        </w:rPr>
        <w:t>前驱体的需求</w:t>
      </w:r>
      <w:r>
        <w:rPr>
          <w:rFonts w:hint="eastAsia" w:cs="Times New Roman"/>
          <w:color w:val="auto"/>
          <w:szCs w:val="28"/>
          <w:highlight w:val="none"/>
          <w:lang w:val="en-US" w:eastAsia="zh-CN"/>
        </w:rPr>
        <w:t>增长</w:t>
      </w:r>
      <w:r>
        <w:rPr>
          <w:rFonts w:hint="eastAsia" w:cs="Times New Roman"/>
          <w:color w:val="auto"/>
          <w:szCs w:val="28"/>
          <w:highlight w:val="none"/>
          <w:lang w:val="zh-TW" w:eastAsia="zh-CN"/>
        </w:rPr>
        <w:t>。受限于镍钴铝正极材料的开发进度，</w:t>
      </w:r>
      <w:r>
        <w:rPr>
          <w:rFonts w:hint="eastAsia" w:cs="Times New Roman"/>
          <w:color w:val="auto"/>
          <w:szCs w:val="28"/>
          <w:highlight w:val="none"/>
          <w:lang w:val="en-US" w:eastAsia="zh-CN"/>
        </w:rPr>
        <w:t>国内目前镍钴二元前驱体材料暂时没有大规模市场应用，</w:t>
      </w:r>
      <w:r>
        <w:rPr>
          <w:rFonts w:hint="eastAsia" w:cs="Times New Roman"/>
          <w:color w:val="auto"/>
          <w:szCs w:val="28"/>
          <w:highlight w:val="none"/>
          <w:lang w:val="zh-TW" w:eastAsia="zh-CN"/>
        </w:rPr>
        <w:t>在韩国、日本等国家已有相应的产品。</w:t>
      </w:r>
      <w:r>
        <w:rPr>
          <w:rFonts w:hint="eastAsia" w:cs="Times New Roman"/>
          <w:color w:val="auto"/>
          <w:szCs w:val="28"/>
          <w:highlight w:val="none"/>
          <w:lang w:val="en-US" w:eastAsia="zh-CN"/>
        </w:rPr>
        <w:t>镍、钴二元素复合氢氧化物存在系列产品，主要包括镍85，镍88，镍92等。</w:t>
      </w:r>
    </w:p>
    <w:p>
      <w:pPr>
        <w:spacing w:line="360" w:lineRule="auto"/>
        <w:rPr>
          <w:rFonts w:hint="eastAsia" w:cs="Times New Roman"/>
          <w:b/>
          <w:color w:val="auto"/>
          <w:szCs w:val="28"/>
          <w:highlight w:val="none"/>
          <w:lang w:val="en-US" w:eastAsia="zh-CN"/>
        </w:rPr>
      </w:pPr>
      <w:r>
        <w:rPr>
          <w:rFonts w:hint="eastAsia" w:cs="Times New Roman"/>
          <w:b/>
          <w:color w:val="auto"/>
          <w:szCs w:val="28"/>
          <w:highlight w:val="none"/>
          <w:lang w:val="en-US" w:eastAsia="zh-CN"/>
        </w:rPr>
        <w:t>3.2 批次验证情况</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本标准所规定的检验项目符合</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生产制作工艺要求，各项指标满足锂离子电池</w:t>
      </w:r>
      <w:r>
        <w:rPr>
          <w:rFonts w:hint="eastAsia" w:cs="Times New Roman"/>
          <w:color w:val="auto"/>
          <w:szCs w:val="21"/>
          <w:highlight w:val="none"/>
          <w:lang w:val="en-US" w:eastAsia="zh-CN"/>
        </w:rPr>
        <w:t>生产</w:t>
      </w:r>
      <w:r>
        <w:rPr>
          <w:rFonts w:hint="default" w:ascii="Times New Roman" w:hAnsi="Times New Roman" w:cs="Times New Roman"/>
          <w:color w:val="auto"/>
          <w:szCs w:val="21"/>
          <w:highlight w:val="none"/>
        </w:rPr>
        <w:t>设备的设计要求，同时适用于工业化生产</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材料的实际水平。产品经过3个批次的验证，具体数据如下：</w:t>
      </w:r>
    </w:p>
    <w:p>
      <w:pPr>
        <w:spacing w:line="360" w:lineRule="auto"/>
        <w:ind w:firstLine="420" w:firstLineChars="200"/>
        <w:rPr>
          <w:rFonts w:hint="default" w:ascii="Times New Roman" w:hAnsi="Times New Roman" w:cs="Times New Roman"/>
          <w:b w:val="0"/>
          <w:bCs w:val="0"/>
          <w:color w:val="auto"/>
          <w:szCs w:val="21"/>
          <w:highlight w:val="none"/>
        </w:rPr>
      </w:pPr>
      <w:r>
        <w:rPr>
          <w:rFonts w:hint="eastAsia" w:cs="Times New Roman"/>
          <w:b w:val="0"/>
          <w:bCs w:val="0"/>
          <w:color w:val="auto"/>
          <w:szCs w:val="21"/>
          <w:highlight w:val="none"/>
          <w:lang w:val="en-US" w:eastAsia="zh-CN"/>
        </w:rPr>
        <w:t>1）</w:t>
      </w:r>
      <w:r>
        <w:rPr>
          <w:rFonts w:hint="default" w:ascii="Times New Roman" w:hAnsi="Times New Roman" w:cs="Times New Roman"/>
          <w:b w:val="0"/>
          <w:bCs w:val="0"/>
          <w:color w:val="auto"/>
          <w:szCs w:val="21"/>
          <w:highlight w:val="none"/>
        </w:rPr>
        <w:t>化学成分见</w:t>
      </w:r>
      <w:r>
        <w:rPr>
          <w:rFonts w:hint="eastAsia" w:cs="Times New Roman"/>
          <w:b w:val="0"/>
          <w:bCs w:val="0"/>
          <w:color w:val="auto"/>
          <w:szCs w:val="21"/>
          <w:highlight w:val="none"/>
          <w:lang w:val="en-US" w:eastAsia="zh-CN"/>
        </w:rPr>
        <w:t xml:space="preserve"> </w:t>
      </w:r>
      <w:r>
        <w:rPr>
          <w:rFonts w:hint="default" w:ascii="Times New Roman" w:hAnsi="Times New Roman" w:cs="Times New Roman"/>
          <w:b w:val="0"/>
          <w:bCs w:val="0"/>
          <w:color w:val="auto"/>
          <w:szCs w:val="21"/>
          <w:highlight w:val="none"/>
        </w:rPr>
        <w:t>表2</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 xml:space="preserve"> 化学成分测试结果</w:t>
      </w:r>
    </w:p>
    <w:tbl>
      <w:tblPr>
        <w:tblStyle w:val="10"/>
        <w:tblW w:w="9071" w:type="dxa"/>
        <w:jc w:val="center"/>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697"/>
        <w:gridCol w:w="697"/>
        <w:gridCol w:w="697"/>
        <w:gridCol w:w="697"/>
        <w:gridCol w:w="697"/>
        <w:gridCol w:w="697"/>
        <w:gridCol w:w="697"/>
        <w:gridCol w:w="697"/>
        <w:gridCol w:w="697"/>
        <w:gridCol w:w="697"/>
        <w:gridCol w:w="69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97" w:type="dxa"/>
            <w:vMerge w:val="restart"/>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eastAsia="zh-CN"/>
              </w:rPr>
            </w:pPr>
            <w:r>
              <w:rPr>
                <w:rFonts w:hint="eastAsia" w:ascii="Times New Roman" w:cs="Times New Roman"/>
                <w:color w:val="auto"/>
                <w:sz w:val="18"/>
                <w:szCs w:val="18"/>
                <w:highlight w:val="none"/>
                <w:lang w:val="en-US" w:eastAsia="zh-CN"/>
              </w:rPr>
              <w:t>牌号</w:t>
            </w:r>
          </w:p>
        </w:tc>
        <w:tc>
          <w:tcPr>
            <w:tcW w:w="1394" w:type="dxa"/>
            <w:gridSpan w:val="2"/>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eastAsia" w:ascii="Times New Roman" w:cs="Times New Roman"/>
                <w:color w:val="auto"/>
                <w:sz w:val="18"/>
                <w:szCs w:val="18"/>
                <w:highlight w:val="none"/>
                <w:lang w:val="en-US" w:eastAsia="zh-CN"/>
              </w:rPr>
              <w:t>主</w:t>
            </w:r>
            <w:r>
              <w:rPr>
                <w:rFonts w:hint="default" w:ascii="Times New Roman" w:hAnsi="Times New Roman" w:cs="Times New Roman"/>
                <w:color w:val="auto"/>
                <w:sz w:val="18"/>
                <w:szCs w:val="18"/>
                <w:highlight w:val="none"/>
              </w:rPr>
              <w:t>含量</w:t>
            </w:r>
            <w:r>
              <w:rPr>
                <w:rFonts w:hint="eastAsia" w:ascii="Times New Roman" w:cs="Times New Roman"/>
                <w:color w:val="auto"/>
                <w:sz w:val="18"/>
                <w:szCs w:val="18"/>
                <w:highlight w:val="none"/>
                <w:lang w:val="en-US" w:eastAsia="zh-CN"/>
              </w:rPr>
              <w:t>/wt</w:t>
            </w:r>
            <w:r>
              <w:rPr>
                <w:rFonts w:hint="default" w:ascii="Times New Roman" w:hAnsi="Times New Roman" w:cs="Times New Roman"/>
                <w:color w:val="auto"/>
                <w:sz w:val="18"/>
                <w:szCs w:val="18"/>
                <w:highlight w:val="none"/>
              </w:rPr>
              <w:t xml:space="preserve">/% </w:t>
            </w:r>
          </w:p>
        </w:tc>
        <w:tc>
          <w:tcPr>
            <w:tcW w:w="6980" w:type="dxa"/>
            <w:gridSpan w:val="10"/>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杂质含量ppm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697" w:type="dxa"/>
            <w:vMerge w:val="continue"/>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Ni</w:t>
            </w: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Cu</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Fe</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Zn</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Ca</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Mg</w:t>
            </w: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Al</w:t>
            </w: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Mn</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eastAsia="黑体" w:cs="Times New Roman"/>
                <w:color w:val="auto"/>
                <w:sz w:val="18"/>
                <w:szCs w:val="18"/>
                <w:highlight w:val="none"/>
              </w:rPr>
              <w:t>S</w:t>
            </w:r>
          </w:p>
        </w:tc>
        <w:tc>
          <w:tcPr>
            <w:tcW w:w="697"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eastAsia="黑体" w:cs="Times New Roman"/>
                <w:color w:val="auto"/>
                <w:sz w:val="18"/>
                <w:szCs w:val="18"/>
                <w:highlight w:val="none"/>
                <w:lang w:val="en-US" w:eastAsia="zh-CN"/>
              </w:rPr>
              <w:t>Si</w:t>
            </w:r>
          </w:p>
        </w:tc>
        <w:tc>
          <w:tcPr>
            <w:tcW w:w="707"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H</w:t>
            </w:r>
            <w:r>
              <w:rPr>
                <w:rFonts w:hint="default" w:ascii="Times New Roman" w:hAnsi="Times New Roman" w:cs="Times New Roman"/>
                <w:color w:val="auto"/>
                <w:sz w:val="18"/>
                <w:szCs w:val="18"/>
                <w:highlight w:val="none"/>
                <w:vertAlign w:val="subscript"/>
              </w:rPr>
              <w:t>2</w:t>
            </w:r>
            <w:r>
              <w:rPr>
                <w:rFonts w:hint="default" w:ascii="Times New Roman" w:hAnsi="Times New Roman" w:cs="Times New Roman"/>
                <w:color w:val="auto"/>
                <w:sz w:val="18"/>
                <w:szCs w:val="18"/>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镍85</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52.28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9.76</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ND</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10</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45</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20</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997</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16</w:t>
            </w:r>
          </w:p>
        </w:tc>
        <w:tc>
          <w:tcPr>
            <w:tcW w:w="70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镍90</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56.31.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6.23</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ND</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6</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7</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8</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1047</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18</w:t>
            </w:r>
          </w:p>
        </w:tc>
        <w:tc>
          <w:tcPr>
            <w:tcW w:w="70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镍92</w:t>
            </w:r>
          </w:p>
        </w:tc>
        <w:tc>
          <w:tcPr>
            <w:tcW w:w="697" w:type="dxa"/>
            <w:vAlign w:val="center"/>
          </w:tcPr>
          <w:p>
            <w:pPr>
              <w:pStyle w:val="4"/>
              <w:spacing w:line="360" w:lineRule="auto"/>
              <w:ind w:firstLine="0" w:firstLineChars="0"/>
              <w:jc w:val="center"/>
              <w:rPr>
                <w:rFonts w:hint="default" w:ascii="Times New Roman"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57.7</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4.55</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ND</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10</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28</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951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17</w:t>
            </w:r>
          </w:p>
        </w:tc>
        <w:tc>
          <w:tcPr>
            <w:tcW w:w="70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9300</w:t>
            </w:r>
          </w:p>
        </w:tc>
      </w:tr>
    </w:tbl>
    <w:p>
      <w:pPr>
        <w:spacing w:line="360" w:lineRule="auto"/>
        <w:ind w:firstLine="420" w:firstLineChars="200"/>
        <w:rPr>
          <w:rFonts w:hint="default" w:ascii="Times New Roman" w:hAnsi="Times New Roman" w:cs="Times New Roman"/>
          <w:b w:val="0"/>
          <w:bCs w:val="0"/>
          <w:color w:val="auto"/>
          <w:szCs w:val="21"/>
          <w:highlight w:val="none"/>
        </w:rPr>
      </w:pPr>
      <w:r>
        <w:rPr>
          <w:rFonts w:hint="eastAsia" w:cs="Times New Roman"/>
          <w:b w:val="0"/>
          <w:bCs w:val="0"/>
          <w:color w:val="auto"/>
          <w:szCs w:val="21"/>
          <w:highlight w:val="none"/>
          <w:lang w:val="en-US" w:eastAsia="zh-CN"/>
        </w:rPr>
        <w:t>2）</w:t>
      </w:r>
      <w:r>
        <w:rPr>
          <w:rFonts w:hint="default" w:ascii="Times New Roman" w:hAnsi="Times New Roman" w:cs="Times New Roman"/>
          <w:b w:val="0"/>
          <w:bCs w:val="0"/>
          <w:color w:val="auto"/>
          <w:szCs w:val="21"/>
          <w:highlight w:val="none"/>
        </w:rPr>
        <w:t xml:space="preserve"> 物理性能见</w:t>
      </w:r>
      <w:r>
        <w:rPr>
          <w:rFonts w:hint="eastAsia" w:cs="Times New Roman"/>
          <w:b w:val="0"/>
          <w:bCs w:val="0"/>
          <w:color w:val="auto"/>
          <w:szCs w:val="21"/>
          <w:highlight w:val="none"/>
          <w:lang w:val="en-US" w:eastAsia="zh-CN"/>
        </w:rPr>
        <w:t xml:space="preserve"> </w:t>
      </w:r>
      <w:r>
        <w:rPr>
          <w:rFonts w:hint="default" w:ascii="Times New Roman" w:hAnsi="Times New Roman" w:cs="Times New Roman"/>
          <w:b w:val="0"/>
          <w:bCs w:val="0"/>
          <w:color w:val="auto"/>
          <w:szCs w:val="21"/>
          <w:highlight w:val="none"/>
        </w:rPr>
        <w:t>表3</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物理性能测试结果</w:t>
      </w:r>
    </w:p>
    <w:tbl>
      <w:tblPr>
        <w:tblStyle w:val="10"/>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9"/>
        <w:gridCol w:w="1983"/>
        <w:gridCol w:w="1983"/>
        <w:gridCol w:w="1984"/>
      </w:tblGrid>
      <w:tr>
        <w:tblPrEx>
          <w:tblLayout w:type="fixed"/>
          <w:tblCellMar>
            <w:top w:w="0" w:type="dxa"/>
            <w:left w:w="108" w:type="dxa"/>
            <w:bottom w:w="0" w:type="dxa"/>
            <w:right w:w="108" w:type="dxa"/>
          </w:tblCellMar>
        </w:tblPrEx>
        <w:trPr>
          <w:cantSplit/>
          <w:trHeight w:val="472" w:hRule="atLeast"/>
          <w:jc w:val="center"/>
        </w:trPr>
        <w:tc>
          <w:tcPr>
            <w:tcW w:w="3149" w:type="dxa"/>
            <w:vAlign w:val="center"/>
          </w:tcPr>
          <w:p>
            <w:pPr>
              <w:spacing w:line="360" w:lineRule="auto"/>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物理性能</w:t>
            </w:r>
          </w:p>
        </w:tc>
        <w:tc>
          <w:tcPr>
            <w:tcW w:w="5950" w:type="dxa"/>
            <w:gridSpan w:val="3"/>
            <w:vAlign w:val="center"/>
          </w:tcPr>
          <w:p>
            <w:pPr>
              <w:pStyle w:val="28"/>
              <w:spacing w:line="360" w:lineRule="auto"/>
              <w:ind w:firstLine="0" w:firstLineChars="0"/>
              <w:jc w:val="center"/>
              <w:rPr>
                <w:rFonts w:hint="default" w:ascii="Times New Roman" w:hAnsi="Times New Roman" w:cs="Times New Roman"/>
                <w:color w:val="auto"/>
                <w:kern w:val="2"/>
                <w:sz w:val="18"/>
                <w:szCs w:val="18"/>
                <w:highlight w:val="none"/>
              </w:rPr>
            </w:pPr>
            <w:r>
              <w:rPr>
                <w:rFonts w:hint="default" w:ascii="Times New Roman" w:hAnsi="Times New Roman" w:cs="Times New Roman"/>
                <w:color w:val="auto"/>
                <w:kern w:val="2"/>
                <w:sz w:val="18"/>
                <w:szCs w:val="18"/>
                <w:highlight w:val="none"/>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3149" w:type="dxa"/>
            <w:vAlign w:val="center"/>
          </w:tcPr>
          <w:p>
            <w:pPr>
              <w:spacing w:line="360" w:lineRule="auto"/>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批号</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kern w:val="2"/>
                <w:sz w:val="18"/>
                <w:szCs w:val="18"/>
                <w:highlight w:val="none"/>
                <w:lang w:val="en-US" w:eastAsia="zh-CN"/>
              </w:rPr>
            </w:pPr>
            <w:r>
              <w:rPr>
                <w:rFonts w:hint="eastAsia" w:ascii="Times New Roman" w:cs="Times New Roman"/>
                <w:color w:val="auto"/>
                <w:kern w:val="2"/>
                <w:sz w:val="18"/>
                <w:szCs w:val="18"/>
                <w:highlight w:val="none"/>
                <w:lang w:val="en-US" w:eastAsia="zh-CN"/>
              </w:rPr>
              <w:t>镍85</w:t>
            </w:r>
          </w:p>
        </w:tc>
        <w:tc>
          <w:tcPr>
            <w:tcW w:w="1983" w:type="dxa"/>
            <w:vAlign w:val="center"/>
          </w:tcPr>
          <w:p>
            <w:pPr>
              <w:pStyle w:val="28"/>
              <w:spacing w:line="360" w:lineRule="auto"/>
              <w:ind w:firstLine="0" w:firstLineChars="0"/>
              <w:jc w:val="center"/>
              <w:rPr>
                <w:rFonts w:hint="default" w:ascii="Times New Roman" w:hAnsi="Times New Roman" w:cs="Times New Roman"/>
                <w:color w:val="auto"/>
                <w:kern w:val="2"/>
                <w:sz w:val="18"/>
                <w:szCs w:val="18"/>
                <w:highlight w:val="none"/>
                <w:lang w:val="en-US"/>
              </w:rPr>
            </w:pPr>
            <w:r>
              <w:rPr>
                <w:rFonts w:hint="eastAsia" w:ascii="Times New Roman" w:cs="Times New Roman"/>
                <w:color w:val="auto"/>
                <w:kern w:val="2"/>
                <w:sz w:val="18"/>
                <w:szCs w:val="18"/>
                <w:highlight w:val="none"/>
                <w:lang w:val="en-US" w:eastAsia="zh-CN"/>
              </w:rPr>
              <w:t>镍90</w:t>
            </w:r>
          </w:p>
        </w:tc>
        <w:tc>
          <w:tcPr>
            <w:tcW w:w="1984" w:type="dxa"/>
            <w:vAlign w:val="center"/>
          </w:tcPr>
          <w:p>
            <w:pPr>
              <w:pStyle w:val="28"/>
              <w:spacing w:line="360" w:lineRule="auto"/>
              <w:ind w:firstLine="0" w:firstLineChars="0"/>
              <w:jc w:val="center"/>
              <w:rPr>
                <w:rFonts w:hint="default" w:ascii="Times New Roman" w:hAnsi="Times New Roman" w:cs="Times New Roman"/>
                <w:color w:val="auto"/>
                <w:kern w:val="2"/>
                <w:sz w:val="18"/>
                <w:szCs w:val="18"/>
                <w:highlight w:val="none"/>
                <w:lang w:val="en-US"/>
              </w:rPr>
            </w:pPr>
            <w:r>
              <w:rPr>
                <w:rFonts w:hint="eastAsia" w:ascii="Times New Roman" w:cs="Times New Roman"/>
                <w:color w:val="auto"/>
                <w:kern w:val="2"/>
                <w:sz w:val="18"/>
                <w:szCs w:val="18"/>
                <w:highlight w:val="none"/>
                <w:lang w:val="en-US" w:eastAsia="zh-CN"/>
              </w:rPr>
              <w:t>镍92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3149"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松装密度（g/cm</w:t>
            </w:r>
            <w:r>
              <w:rPr>
                <w:rFonts w:hint="default" w:ascii="Times New Roman" w:hAnsi="Times New Roman" w:cs="Times New Roman"/>
                <w:color w:val="auto"/>
                <w:sz w:val="18"/>
                <w:szCs w:val="18"/>
                <w:highlight w:val="none"/>
                <w:vertAlign w:val="superscript"/>
              </w:rPr>
              <w:t>3</w:t>
            </w:r>
            <w:r>
              <w:rPr>
                <w:rFonts w:hint="default" w:ascii="Times New Roman" w:hAnsi="Times New Roman" w:cs="Times New Roman"/>
                <w:color w:val="auto"/>
                <w:sz w:val="18"/>
                <w:szCs w:val="18"/>
                <w:highlight w:val="none"/>
              </w:rPr>
              <w:t>）</w:t>
            </w:r>
          </w:p>
        </w:tc>
        <w:tc>
          <w:tcPr>
            <w:tcW w:w="1983" w:type="dxa"/>
            <w:vAlign w:val="center"/>
          </w:tcPr>
          <w:p>
            <w:pPr>
              <w:pStyle w:val="28"/>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w:t>
            </w:r>
          </w:p>
        </w:tc>
        <w:tc>
          <w:tcPr>
            <w:tcW w:w="1983" w:type="dxa"/>
            <w:vAlign w:val="center"/>
          </w:tcPr>
          <w:p>
            <w:pPr>
              <w:pStyle w:val="28"/>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w:t>
            </w:r>
          </w:p>
        </w:tc>
        <w:tc>
          <w:tcPr>
            <w:tcW w:w="1984" w:type="dxa"/>
            <w:vAlign w:val="center"/>
          </w:tcPr>
          <w:p>
            <w:pPr>
              <w:pStyle w:val="28"/>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3149"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振实密度（g/cm</w:t>
            </w:r>
            <w:r>
              <w:rPr>
                <w:rFonts w:hint="default" w:ascii="Times New Roman" w:hAnsi="Times New Roman" w:cs="Times New Roman"/>
                <w:color w:val="auto"/>
                <w:sz w:val="18"/>
                <w:szCs w:val="18"/>
                <w:highlight w:val="none"/>
                <w:vertAlign w:val="superscript"/>
              </w:rPr>
              <w:t>3</w:t>
            </w:r>
            <w:r>
              <w:rPr>
                <w:rFonts w:hint="default" w:ascii="Times New Roman" w:hAnsi="Times New Roman" w:cs="Times New Roman"/>
                <w:color w:val="auto"/>
                <w:sz w:val="18"/>
                <w:szCs w:val="18"/>
                <w:highlight w:val="none"/>
              </w:rPr>
              <w:t>）</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2.04</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1.85</w:t>
            </w:r>
          </w:p>
        </w:tc>
        <w:tc>
          <w:tcPr>
            <w:tcW w:w="1984"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149"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D</w:t>
            </w:r>
            <w:r>
              <w:rPr>
                <w:rFonts w:hint="default" w:ascii="Times New Roman" w:hAnsi="Times New Roman" w:cs="Times New Roman"/>
                <w:color w:val="auto"/>
                <w:sz w:val="18"/>
                <w:szCs w:val="18"/>
                <w:highlight w:val="none"/>
                <w:vertAlign w:val="subscript"/>
              </w:rPr>
              <w:t>10</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highlight w:val="none"/>
              </w:rPr>
              <w:t>μm</w:t>
            </w:r>
            <w:r>
              <w:rPr>
                <w:rFonts w:hint="default" w:ascii="Times New Roman" w:hAnsi="Times New Roman" w:cs="Times New Roman"/>
                <w:color w:val="auto"/>
                <w:sz w:val="18"/>
                <w:szCs w:val="18"/>
                <w:highlight w:val="none"/>
              </w:rPr>
              <w:t>)</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3.02</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2.21</w:t>
            </w:r>
          </w:p>
        </w:tc>
        <w:tc>
          <w:tcPr>
            <w:tcW w:w="1984"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149"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D</w:t>
            </w:r>
            <w:r>
              <w:rPr>
                <w:rFonts w:hint="default" w:ascii="Times New Roman" w:hAnsi="Times New Roman" w:cs="Times New Roman"/>
                <w:color w:val="auto"/>
                <w:sz w:val="18"/>
                <w:szCs w:val="18"/>
                <w:highlight w:val="none"/>
                <w:vertAlign w:val="subscript"/>
              </w:rPr>
              <w:t>50</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highlight w:val="none"/>
              </w:rPr>
              <w:t>μm</w:t>
            </w:r>
            <w:r>
              <w:rPr>
                <w:rFonts w:hint="default" w:ascii="Times New Roman" w:hAnsi="Times New Roman" w:cs="Times New Roman"/>
                <w:color w:val="auto"/>
                <w:sz w:val="18"/>
                <w:szCs w:val="18"/>
                <w:highlight w:val="none"/>
              </w:rPr>
              <w:t>)</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5.00</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3.39</w:t>
            </w:r>
          </w:p>
        </w:tc>
        <w:tc>
          <w:tcPr>
            <w:tcW w:w="1984"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3149"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D</w:t>
            </w:r>
            <w:r>
              <w:rPr>
                <w:rFonts w:hint="default" w:ascii="Times New Roman" w:hAnsi="Times New Roman" w:cs="Times New Roman"/>
                <w:color w:val="auto"/>
                <w:sz w:val="18"/>
                <w:szCs w:val="18"/>
                <w:highlight w:val="none"/>
                <w:vertAlign w:val="subscript"/>
              </w:rPr>
              <w:t>90</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highlight w:val="none"/>
              </w:rPr>
              <w:t>μm</w:t>
            </w:r>
            <w:r>
              <w:rPr>
                <w:rFonts w:hint="default" w:ascii="Times New Roman" w:hAnsi="Times New Roman" w:cs="Times New Roman"/>
                <w:color w:val="auto"/>
                <w:sz w:val="18"/>
                <w:szCs w:val="18"/>
                <w:highlight w:val="none"/>
              </w:rPr>
              <w:t>)</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7.77</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4.83</w:t>
            </w:r>
          </w:p>
        </w:tc>
        <w:tc>
          <w:tcPr>
            <w:tcW w:w="1984"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3149"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比表面积（m</w:t>
            </w:r>
            <w:r>
              <w:rPr>
                <w:rFonts w:hint="default" w:ascii="Times New Roman" w:hAnsi="Times New Roman" w:cs="Times New Roman"/>
                <w:color w:val="auto"/>
                <w:sz w:val="18"/>
                <w:szCs w:val="18"/>
                <w:highlight w:val="none"/>
                <w:vertAlign w:val="superscript"/>
              </w:rPr>
              <w:t>2</w:t>
            </w:r>
            <w:r>
              <w:rPr>
                <w:rFonts w:hint="default" w:ascii="Times New Roman" w:hAnsi="Times New Roman" w:cs="Times New Roman"/>
                <w:color w:val="auto"/>
                <w:sz w:val="18"/>
                <w:szCs w:val="18"/>
                <w:highlight w:val="none"/>
              </w:rPr>
              <w:t>/g）</w:t>
            </w:r>
          </w:p>
        </w:tc>
        <w:tc>
          <w:tcPr>
            <w:tcW w:w="1983"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8.21</w:t>
            </w:r>
          </w:p>
        </w:tc>
        <w:tc>
          <w:tcPr>
            <w:tcW w:w="1983" w:type="dxa"/>
            <w:vAlign w:val="center"/>
          </w:tcPr>
          <w:p>
            <w:pPr>
              <w:pStyle w:val="28"/>
              <w:spacing w:line="360" w:lineRule="auto"/>
              <w:ind w:right="-36" w:rightChars="-17"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8.16</w:t>
            </w:r>
          </w:p>
        </w:tc>
        <w:tc>
          <w:tcPr>
            <w:tcW w:w="1984"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3.82</w:t>
            </w:r>
          </w:p>
        </w:tc>
      </w:tr>
    </w:tbl>
    <w:p>
      <w:pPr>
        <w:spacing w:line="360" w:lineRule="auto"/>
        <w:rPr>
          <w:rFonts w:hint="eastAsia" w:cs="Times New Roman"/>
          <w:b/>
          <w:color w:val="auto"/>
          <w:szCs w:val="28"/>
          <w:highlight w:val="none"/>
          <w:lang w:val="en-US" w:eastAsia="zh-CN"/>
        </w:rPr>
      </w:pPr>
      <w:r>
        <w:rPr>
          <w:rFonts w:hint="eastAsia" w:cs="Times New Roman"/>
          <w:b/>
          <w:color w:val="auto"/>
          <w:szCs w:val="28"/>
          <w:highlight w:val="none"/>
          <w:lang w:val="en-US" w:eastAsia="zh-CN"/>
        </w:rPr>
        <w:t>3</w:t>
      </w:r>
      <w:r>
        <w:rPr>
          <w:rFonts w:hint="default" w:ascii="Times New Roman" w:hAnsi="Times New Roman" w:cs="Times New Roman"/>
          <w:b/>
          <w:color w:val="auto"/>
          <w:szCs w:val="28"/>
          <w:highlight w:val="none"/>
        </w:rPr>
        <w:t>.</w:t>
      </w:r>
      <w:r>
        <w:rPr>
          <w:rFonts w:hint="eastAsia" w:cs="Times New Roman"/>
          <w:b/>
          <w:color w:val="auto"/>
          <w:szCs w:val="28"/>
          <w:highlight w:val="none"/>
          <w:lang w:val="en-US" w:eastAsia="zh-CN"/>
        </w:rPr>
        <w:t>3</w:t>
      </w:r>
      <w:r>
        <w:rPr>
          <w:rFonts w:hint="default" w:ascii="Times New Roman" w:hAnsi="Times New Roman" w:cs="Times New Roman"/>
          <w:b/>
          <w:color w:val="auto"/>
          <w:szCs w:val="28"/>
          <w:highlight w:val="none"/>
        </w:rPr>
        <w:t xml:space="preserve"> </w:t>
      </w:r>
      <w:r>
        <w:rPr>
          <w:rFonts w:hint="eastAsia" w:cs="Times New Roman"/>
          <w:b/>
          <w:color w:val="auto"/>
          <w:szCs w:val="28"/>
          <w:highlight w:val="none"/>
          <w:lang w:val="en-US" w:eastAsia="zh-CN"/>
        </w:rPr>
        <w:t>产品的主要指标及确定依据</w:t>
      </w:r>
    </w:p>
    <w:p>
      <w:pPr>
        <w:spacing w:line="360" w:lineRule="auto"/>
        <w:rPr>
          <w:rFonts w:hint="default" w:cs="Times New Roman"/>
          <w:b/>
          <w:color w:val="auto"/>
          <w:szCs w:val="28"/>
          <w:highlight w:val="none"/>
          <w:lang w:val="en-US" w:eastAsia="zh-CN"/>
        </w:rPr>
      </w:pPr>
      <w:r>
        <w:rPr>
          <w:rFonts w:hint="eastAsia" w:cs="Times New Roman"/>
          <w:b/>
          <w:color w:val="auto"/>
          <w:szCs w:val="28"/>
          <w:highlight w:val="none"/>
          <w:lang w:val="en-US" w:eastAsia="zh-CN"/>
        </w:rPr>
        <w:t>3.3.1化学成分</w:t>
      </w:r>
    </w:p>
    <w:p>
      <w:pPr>
        <w:spacing w:line="360" w:lineRule="auto"/>
        <w:ind w:firstLine="420" w:firstLineChars="200"/>
        <w:rPr>
          <w:rFonts w:hint="default" w:ascii="Times New Roman" w:hAnsi="Times New Roman" w:cs="Times New Roman"/>
          <w:color w:val="auto"/>
          <w:szCs w:val="21"/>
          <w:highlight w:val="none"/>
        </w:rPr>
      </w:pP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所含元素中Ni、Co二个元素为主</w:t>
      </w:r>
      <w:r>
        <w:rPr>
          <w:rFonts w:hint="eastAsia"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的理论分子式及生产工艺和测试结果综合而定的。杂质元素标准范围主要是依据客户的技术规格书、原材料品位及生产工艺的实际水平来制定的，同时参考了YS/T 1125-2016《镍钴铝酸锂》、YS/T 1127-2016《镍钴铝三元素复合氢氧化物》、GB/T 26300-2010《镍钴锰三元素复合氢氧化物》、GB/T 20252《钴酸锂》、GB/T 24533《锂电池石墨类负极材料》、YS/T 798-2012《镍钴锰酸锂》及YS/T 825-2013《钛酸锂》几个同类材料国标行标中杂质元素的种类及标准范围的相关内容。见表1。</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 xml:space="preserve"> 化学成分</w:t>
      </w:r>
    </w:p>
    <w:tbl>
      <w:tblPr>
        <w:tblStyle w:val="10"/>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2335"/>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5324" w:type="dxa"/>
            <w:gridSpan w:val="2"/>
            <w:vAlign w:val="center"/>
          </w:tcPr>
          <w:p>
            <w:pPr>
              <w:pStyle w:val="28"/>
              <w:spacing w:line="360" w:lineRule="auto"/>
              <w:ind w:firstLine="0" w:firstLineChars="0"/>
              <w:jc w:val="center"/>
              <w:rPr>
                <w:rFonts w:hint="default" w:ascii="Times New Roman" w:hAnsi="Times New Roman" w:cs="Times New Roman"/>
                <w:color w:val="auto"/>
                <w:kern w:val="2"/>
                <w:sz w:val="18"/>
                <w:szCs w:val="18"/>
                <w:highlight w:val="none"/>
              </w:rPr>
            </w:pPr>
            <w:r>
              <w:rPr>
                <w:rFonts w:hint="default" w:ascii="Times New Roman" w:hAnsi="Times New Roman" w:cs="Times New Roman"/>
                <w:color w:val="auto"/>
                <w:sz w:val="18"/>
                <w:szCs w:val="18"/>
                <w:highlight w:val="none"/>
              </w:rPr>
              <w:t>化学成分</w:t>
            </w:r>
          </w:p>
        </w:tc>
        <w:tc>
          <w:tcPr>
            <w:tcW w:w="3747" w:type="dxa"/>
            <w:vAlign w:val="center"/>
          </w:tcPr>
          <w:p>
            <w:pPr>
              <w:pStyle w:val="28"/>
              <w:spacing w:line="360" w:lineRule="auto"/>
              <w:ind w:firstLine="0" w:firstLineChars="0"/>
              <w:jc w:val="center"/>
              <w:rPr>
                <w:rFonts w:hint="default" w:ascii="Times New Roman" w:hAnsi="Times New Roman" w:cs="Times New Roman"/>
                <w:color w:val="auto"/>
                <w:kern w:val="2"/>
                <w:sz w:val="18"/>
                <w:szCs w:val="18"/>
                <w:highlight w:val="none"/>
              </w:rPr>
            </w:pPr>
            <w:r>
              <w:rPr>
                <w:rFonts w:hint="default" w:ascii="Times New Roman" w:hAnsi="Times New Roman" w:cs="Times New Roman"/>
                <w:color w:val="auto"/>
                <w:sz w:val="18"/>
                <w:szCs w:val="18"/>
                <w:highlight w:val="none"/>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restart"/>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主含量</w:t>
            </w:r>
          </w:p>
        </w:tc>
        <w:tc>
          <w:tcPr>
            <w:tcW w:w="23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Ni</w:t>
            </w:r>
          </w:p>
        </w:tc>
        <w:tc>
          <w:tcPr>
            <w:tcW w:w="3747" w:type="dxa"/>
            <w:vAlign w:val="center"/>
          </w:tcPr>
          <w:p>
            <w:pPr>
              <w:spacing w:line="360" w:lineRule="auto"/>
              <w:jc w:val="center"/>
              <w:rPr>
                <w:rFonts w:hint="default" w:ascii="Times New Roman" w:hAnsi="Times New Roman" w:eastAsia="黑体" w:cs="Times New Roman"/>
                <w:color w:val="auto"/>
                <w:szCs w:val="21"/>
                <w:highlight w:val="none"/>
                <w:lang w:val="en-US" w:eastAsia="zh-CN"/>
              </w:rPr>
            </w:pPr>
            <w:r>
              <w:rPr>
                <w:rFonts w:eastAsia="黑体"/>
                <w:szCs w:val="21"/>
              </w:rPr>
              <w:t>50.64-60.14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p>
        </w:tc>
        <w:tc>
          <w:tcPr>
            <w:tcW w:w="3747" w:type="dxa"/>
            <w:vAlign w:val="center"/>
          </w:tcPr>
          <w:p>
            <w:pPr>
              <w:spacing w:line="360" w:lineRule="auto"/>
              <w:jc w:val="center"/>
              <w:rPr>
                <w:rFonts w:hint="default" w:ascii="Times New Roman" w:hAnsi="Times New Roman" w:eastAsia="黑体" w:cs="Times New Roman"/>
                <w:color w:val="auto"/>
                <w:szCs w:val="21"/>
                <w:highlight w:val="none"/>
                <w:lang w:val="en-US" w:eastAsia="zh-CN"/>
              </w:rPr>
            </w:pPr>
            <w:r>
              <w:rPr>
                <w:rFonts w:eastAsia="黑体"/>
                <w:szCs w:val="21"/>
              </w:rPr>
              <w:t>3.20-12.70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restart"/>
            <w:vAlign w:val="center"/>
          </w:tcPr>
          <w:p>
            <w:pPr>
              <w:spacing w:line="360" w:lineRule="auto"/>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杂质含量</w:t>
            </w: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 xml:space="preserve">Cu </w:t>
            </w:r>
          </w:p>
        </w:tc>
        <w:tc>
          <w:tcPr>
            <w:tcW w:w="3747"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989" w:type="dxa"/>
            <w:vMerge w:val="continue"/>
            <w:vAlign w:val="center"/>
          </w:tcPr>
          <w:p>
            <w:pPr>
              <w:spacing w:line="360" w:lineRule="auto"/>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Fe</w:t>
            </w:r>
          </w:p>
        </w:tc>
        <w:tc>
          <w:tcPr>
            <w:tcW w:w="3747"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spacing w:line="360" w:lineRule="auto"/>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Zn</w:t>
            </w:r>
          </w:p>
        </w:tc>
        <w:tc>
          <w:tcPr>
            <w:tcW w:w="3747"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Ca</w:t>
            </w:r>
          </w:p>
        </w:tc>
        <w:tc>
          <w:tcPr>
            <w:tcW w:w="3747" w:type="dxa"/>
            <w:vAlign w:val="center"/>
          </w:tcPr>
          <w:p>
            <w:pPr>
              <w:spacing w:line="360" w:lineRule="auto"/>
              <w:jc w:val="center"/>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rPr>
              <w:t>≤0.0</w:t>
            </w:r>
            <w:r>
              <w:rPr>
                <w:rFonts w:hint="eastAsia" w:eastAsia="黑体" w:cs="Times New Roman"/>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Mg</w:t>
            </w:r>
          </w:p>
        </w:tc>
        <w:tc>
          <w:tcPr>
            <w:tcW w:w="3747"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Na</w:t>
            </w:r>
          </w:p>
        </w:tc>
        <w:tc>
          <w:tcPr>
            <w:tcW w:w="3747" w:type="dxa"/>
            <w:vAlign w:val="center"/>
          </w:tcPr>
          <w:p>
            <w:pPr>
              <w:spacing w:line="360" w:lineRule="auto"/>
              <w:jc w:val="center"/>
              <w:rPr>
                <w:rFonts w:hint="eastAsia"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Cs w:val="21"/>
                <w:highlight w:val="none"/>
              </w:rPr>
              <w:t>≤0.0</w:t>
            </w:r>
            <w:r>
              <w:rPr>
                <w:rFonts w:hint="eastAsia" w:eastAsia="黑体" w:cs="Times New Roman"/>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Mn</w:t>
            </w:r>
          </w:p>
        </w:tc>
        <w:tc>
          <w:tcPr>
            <w:tcW w:w="3747"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Al</w:t>
            </w:r>
          </w:p>
        </w:tc>
        <w:tc>
          <w:tcPr>
            <w:tcW w:w="3747"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S</w:t>
            </w:r>
          </w:p>
        </w:tc>
        <w:tc>
          <w:tcPr>
            <w:tcW w:w="3747" w:type="dxa"/>
          </w:tcPr>
          <w:p>
            <w:pPr>
              <w:spacing w:line="360" w:lineRule="auto"/>
              <w:jc w:val="center"/>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rPr>
              <w:t>≤0.</w:t>
            </w:r>
            <w:r>
              <w:rPr>
                <w:rFonts w:hint="eastAsia" w:eastAsia="黑体" w:cs="Times New Roman"/>
                <w:color w:val="auto"/>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Cl</w:t>
            </w:r>
          </w:p>
        </w:tc>
        <w:tc>
          <w:tcPr>
            <w:tcW w:w="3747" w:type="dxa"/>
          </w:tcPr>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lang w:val="en-US" w:eastAsia="zh-CN"/>
              </w:rPr>
            </w:pPr>
            <w:r>
              <w:rPr>
                <w:rFonts w:hint="eastAsia" w:eastAsia="黑体" w:cs="Times New Roman"/>
                <w:color w:val="auto"/>
                <w:szCs w:val="21"/>
                <w:highlight w:val="none"/>
                <w:lang w:val="en-US" w:eastAsia="zh-CN"/>
              </w:rPr>
              <w:t>H</w:t>
            </w:r>
            <w:r>
              <w:rPr>
                <w:rFonts w:hint="eastAsia" w:eastAsia="黑体" w:cs="Times New Roman"/>
                <w:color w:val="auto"/>
                <w:szCs w:val="21"/>
                <w:highlight w:val="none"/>
                <w:vertAlign w:val="subscript"/>
                <w:lang w:val="en-US" w:eastAsia="zh-CN"/>
              </w:rPr>
              <w:t>2</w:t>
            </w:r>
            <w:r>
              <w:rPr>
                <w:rFonts w:hint="eastAsia" w:eastAsia="黑体" w:cs="Times New Roman"/>
                <w:color w:val="auto"/>
                <w:szCs w:val="21"/>
                <w:highlight w:val="none"/>
                <w:lang w:val="en-US" w:eastAsia="zh-CN"/>
              </w:rPr>
              <w:t>O</w:t>
            </w:r>
          </w:p>
        </w:tc>
        <w:tc>
          <w:tcPr>
            <w:tcW w:w="3747" w:type="dxa"/>
          </w:tcPr>
          <w:p>
            <w:pPr>
              <w:spacing w:line="360" w:lineRule="auto"/>
              <w:jc w:val="center"/>
              <w:rPr>
                <w:rFonts w:hint="default" w:ascii="Times New Roman" w:hAnsi="Times New Roman" w:eastAsia="黑体" w:cs="Times New Roman"/>
                <w:color w:val="auto"/>
                <w:szCs w:val="21"/>
                <w:highlight w:val="none"/>
                <w:lang w:val="en-US" w:eastAsia="zh-CN"/>
              </w:rPr>
            </w:pPr>
            <w:r>
              <w:rPr>
                <w:rFonts w:hint="eastAsia" w:eastAsia="黑体" w:cs="Times New Roman"/>
                <w:color w:val="auto"/>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89" w:type="dxa"/>
            <w:vMerge w:val="continue"/>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p>
        </w:tc>
        <w:tc>
          <w:tcPr>
            <w:tcW w:w="2335" w:type="dxa"/>
            <w:vAlign w:val="center"/>
          </w:tcPr>
          <w:p>
            <w:pPr>
              <w:spacing w:line="360" w:lineRule="auto"/>
              <w:jc w:val="center"/>
              <w:rPr>
                <w:rFonts w:hint="default" w:ascii="Times New Roman" w:hAnsi="Times New Roman" w:eastAsia="黑体" w:cs="Times New Roman"/>
                <w:color w:val="auto"/>
                <w:szCs w:val="21"/>
                <w:highlight w:val="none"/>
                <w:lang w:val="en-US" w:eastAsia="zh-CN"/>
              </w:rPr>
            </w:pPr>
            <w:r>
              <w:rPr>
                <w:rFonts w:hint="eastAsia" w:eastAsia="黑体" w:cs="Times New Roman"/>
                <w:color w:val="auto"/>
                <w:szCs w:val="21"/>
                <w:highlight w:val="none"/>
                <w:lang w:val="en-US" w:eastAsia="zh-CN"/>
              </w:rPr>
              <w:t>M.I</w:t>
            </w:r>
          </w:p>
        </w:tc>
        <w:tc>
          <w:tcPr>
            <w:tcW w:w="3747" w:type="dxa"/>
          </w:tcPr>
          <w:p>
            <w:pPr>
              <w:spacing w:line="360" w:lineRule="auto"/>
              <w:jc w:val="center"/>
              <w:rPr>
                <w:rFonts w:hint="default" w:ascii="Times New Roman" w:hAnsi="Times New Roman" w:eastAsia="黑体" w:cs="Times New Roman"/>
                <w:color w:val="auto"/>
                <w:szCs w:val="21"/>
                <w:highlight w:val="none"/>
                <w:lang w:val="en-US" w:eastAsia="zh-CN"/>
              </w:rPr>
            </w:pPr>
            <w:r>
              <w:rPr>
                <w:rFonts w:hint="eastAsia" w:eastAsia="黑体" w:cs="Times New Roman"/>
                <w:color w:val="auto"/>
                <w:szCs w:val="21"/>
                <w:highlight w:val="none"/>
                <w:lang w:val="en-US" w:eastAsia="zh-CN"/>
              </w:rPr>
              <w:t>≤</w:t>
            </w:r>
            <w:r>
              <w:rPr>
                <w:rFonts w:hint="default" w:ascii="Times New Roman" w:hAnsi="Times New Roman" w:cs="Times New Roman"/>
                <w:color w:val="auto"/>
                <w:szCs w:val="21"/>
                <w:highlight w:val="none"/>
              </w:rPr>
              <w:t>0.00002</w:t>
            </w:r>
          </w:p>
        </w:tc>
      </w:tr>
    </w:tbl>
    <w:p>
      <w:pPr>
        <w:spacing w:line="360" w:lineRule="auto"/>
        <w:rPr>
          <w:rFonts w:hint="default" w:ascii="Times New Roman" w:hAnsi="Times New Roman" w:cs="Times New Roman"/>
          <w:b/>
          <w:bCs/>
          <w:color w:val="auto"/>
          <w:szCs w:val="21"/>
          <w:highlight w:val="none"/>
        </w:rPr>
      </w:pPr>
      <w:r>
        <w:rPr>
          <w:rFonts w:hint="eastAsia" w:cs="Times New Roman"/>
          <w:b/>
          <w:bCs/>
          <w:color w:val="auto"/>
          <w:szCs w:val="21"/>
          <w:highlight w:val="none"/>
          <w:lang w:val="en-US" w:eastAsia="zh-CN"/>
        </w:rPr>
        <w:t>3.3.2</w:t>
      </w:r>
      <w:r>
        <w:rPr>
          <w:rFonts w:hint="default" w:ascii="Times New Roman" w:hAnsi="Times New Roman" w:cs="Times New Roman"/>
          <w:b/>
          <w:bCs/>
          <w:color w:val="auto"/>
          <w:szCs w:val="21"/>
          <w:highlight w:val="none"/>
        </w:rPr>
        <w:t>松装密度和振实密度</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为了满足客户的使用要求，同时考虑到生产工艺实际水平和总体性能均衡，标准规定了</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的松装密度应不小于1.0g/cm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Cs w:val="21"/>
          <w:highlight w:val="none"/>
        </w:rPr>
        <w:t>，振实密度应不小于1.5g/cm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b/>
          <w:bCs/>
          <w:color w:val="auto"/>
          <w:szCs w:val="21"/>
          <w:highlight w:val="none"/>
        </w:rPr>
      </w:pPr>
      <w:r>
        <w:rPr>
          <w:rFonts w:hint="eastAsia" w:cs="Times New Roman"/>
          <w:b/>
          <w:bCs/>
          <w:color w:val="auto"/>
          <w:szCs w:val="21"/>
          <w:highlight w:val="none"/>
          <w:lang w:val="en-US" w:eastAsia="zh-CN"/>
        </w:rPr>
        <w:t>3.3.3</w:t>
      </w:r>
      <w:r>
        <w:rPr>
          <w:rFonts w:hint="default" w:ascii="Times New Roman" w:hAnsi="Times New Roman" w:cs="Times New Roman"/>
          <w:b/>
          <w:bCs/>
          <w:color w:val="auto"/>
          <w:szCs w:val="21"/>
          <w:highlight w:val="none"/>
        </w:rPr>
        <w:t xml:space="preserve"> 粒度分布</w:t>
      </w:r>
    </w:p>
    <w:p>
      <w:pPr>
        <w:spacing w:line="360" w:lineRule="auto"/>
        <w:ind w:firstLine="420" w:firstLineChars="200"/>
        <w:rPr>
          <w:rFonts w:hint="default" w:ascii="Times New Roman" w:hAnsi="Times New Roman" w:cs="Times New Roman"/>
          <w:color w:val="auto"/>
          <w:szCs w:val="21"/>
          <w:highlight w:val="none"/>
        </w:rPr>
      </w:pP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为</w:t>
      </w:r>
      <w:bookmarkStart w:id="0" w:name="OLE_LINK6"/>
      <w:r>
        <w:rPr>
          <w:rFonts w:hint="default" w:ascii="Times New Roman" w:hAnsi="Times New Roman" w:cs="Times New Roman"/>
          <w:color w:val="auto"/>
          <w:szCs w:val="21"/>
          <w:highlight w:val="none"/>
        </w:rPr>
        <w:t>微米级粉体材料，粒度分布要求呈正态分布，且不可过于宽化</w:t>
      </w:r>
      <w:bookmarkEnd w:id="0"/>
      <w:r>
        <w:rPr>
          <w:rFonts w:hint="default" w:ascii="Times New Roman" w:hAnsi="Times New Roman" w:cs="Times New Roman"/>
          <w:color w:val="auto"/>
          <w:szCs w:val="21"/>
          <w:highlight w:val="none"/>
        </w:rPr>
        <w:t>，根据目前生产工艺水平，以及</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自身特点，标准规定了</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的粒度分布特征值范围： D</w:t>
      </w:r>
      <w:r>
        <w:rPr>
          <w:rFonts w:hint="default" w:ascii="Times New Roman" w:hAnsi="Times New Roman" w:cs="Times New Roman"/>
          <w:color w:val="auto"/>
          <w:szCs w:val="21"/>
          <w:highlight w:val="none"/>
          <w:vertAlign w:val="subscript"/>
        </w:rPr>
        <w:t>50</w:t>
      </w:r>
      <w:r>
        <w:rPr>
          <w:rFonts w:hint="default" w:ascii="Times New Roman" w:hAnsi="Times New Roman" w:cs="Times New Roman"/>
          <w:color w:val="auto"/>
          <w:szCs w:val="21"/>
          <w:highlight w:val="none"/>
        </w:rPr>
        <w:t>应在3.0-18.0μm。</w:t>
      </w:r>
    </w:p>
    <w:p>
      <w:pPr>
        <w:spacing w:line="360" w:lineRule="auto"/>
        <w:rPr>
          <w:rFonts w:hint="default" w:ascii="Times New Roman" w:hAnsi="Times New Roman" w:cs="Times New Roman"/>
          <w:b/>
          <w:bCs/>
          <w:color w:val="auto"/>
          <w:szCs w:val="21"/>
          <w:highlight w:val="none"/>
        </w:rPr>
      </w:pPr>
      <w:r>
        <w:rPr>
          <w:rFonts w:hint="eastAsia" w:cs="Times New Roman"/>
          <w:b/>
          <w:bCs/>
          <w:color w:val="auto"/>
          <w:szCs w:val="21"/>
          <w:highlight w:val="none"/>
          <w:lang w:val="en-US" w:eastAsia="zh-CN"/>
        </w:rPr>
        <w:t>3.3.4</w:t>
      </w:r>
      <w:r>
        <w:rPr>
          <w:rFonts w:hint="default" w:ascii="Times New Roman" w:hAnsi="Times New Roman" w:cs="Times New Roman"/>
          <w:b/>
          <w:bCs/>
          <w:color w:val="auto"/>
          <w:szCs w:val="21"/>
          <w:highlight w:val="none"/>
        </w:rPr>
        <w:t xml:space="preserve"> 比表面积</w:t>
      </w:r>
    </w:p>
    <w:p>
      <w:pPr>
        <w:spacing w:line="360" w:lineRule="auto"/>
        <w:ind w:firstLine="420" w:firstLineChars="200"/>
        <w:rPr>
          <w:rFonts w:hint="eastAsia"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考虑到客户使用时，</w:t>
      </w:r>
      <w:bookmarkStart w:id="1" w:name="OLE_LINK10"/>
      <w:r>
        <w:rPr>
          <w:rFonts w:hint="default" w:ascii="Times New Roman" w:hAnsi="Times New Roman" w:cs="Times New Roman"/>
          <w:color w:val="auto"/>
          <w:szCs w:val="21"/>
          <w:highlight w:val="none"/>
        </w:rPr>
        <w:t>能更好的控制烧结过程</w:t>
      </w:r>
      <w:bookmarkEnd w:id="1"/>
      <w:r>
        <w:rPr>
          <w:rFonts w:hint="default" w:ascii="Times New Roman" w:hAnsi="Times New Roman" w:cs="Times New Roman"/>
          <w:color w:val="auto"/>
          <w:szCs w:val="21"/>
          <w:highlight w:val="none"/>
        </w:rPr>
        <w:t>，标准规定了</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的比表面积应不大于35 m</w:t>
      </w:r>
      <w:r>
        <w:rPr>
          <w:rFonts w:hint="default" w:ascii="Times New Roman" w:hAnsi="Times New Roman" w:cs="Times New Roman"/>
          <w:color w:val="auto"/>
          <w:szCs w:val="21"/>
          <w:highlight w:val="none"/>
          <w:vertAlign w:val="superscript"/>
        </w:rPr>
        <w:t>2</w:t>
      </w:r>
      <w:r>
        <w:rPr>
          <w:rFonts w:hint="default" w:ascii="Times New Roman" w:hAnsi="Times New Roman" w:cs="Times New Roman"/>
          <w:color w:val="auto"/>
          <w:szCs w:val="21"/>
          <w:highlight w:val="none"/>
        </w:rPr>
        <w:t>/g</w:t>
      </w:r>
      <w:r>
        <w:rPr>
          <w:rFonts w:hint="eastAsia" w:cs="Times New Roman"/>
          <w:color w:val="auto"/>
          <w:szCs w:val="21"/>
          <w:highlight w:val="none"/>
          <w:lang w:eastAsia="zh-CN"/>
        </w:rPr>
        <w:t>。</w:t>
      </w:r>
    </w:p>
    <w:p>
      <w:pPr>
        <w:spacing w:line="360" w:lineRule="auto"/>
        <w:rPr>
          <w:rFonts w:hint="default" w:ascii="Times New Roman" w:hAnsi="Times New Roman" w:cs="Times New Roman"/>
          <w:b/>
          <w:bCs/>
          <w:color w:val="auto"/>
          <w:szCs w:val="21"/>
          <w:highlight w:val="none"/>
        </w:rPr>
      </w:pPr>
      <w:r>
        <w:rPr>
          <w:rFonts w:hint="eastAsia" w:cs="Times New Roman"/>
          <w:b/>
          <w:bCs/>
          <w:color w:val="auto"/>
          <w:szCs w:val="21"/>
          <w:highlight w:val="none"/>
          <w:lang w:val="en-US" w:eastAsia="zh-CN"/>
        </w:rPr>
        <w:t>3.3.5</w:t>
      </w:r>
      <w:r>
        <w:rPr>
          <w:rFonts w:hint="default" w:ascii="Times New Roman" w:hAnsi="Times New Roman" w:cs="Times New Roman"/>
          <w:b/>
          <w:bCs/>
          <w:color w:val="auto"/>
          <w:szCs w:val="21"/>
          <w:highlight w:val="none"/>
        </w:rPr>
        <w:t xml:space="preserve"> 微观形貌</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在众多</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的微观形貌中，球形和类球形颗粒的压实密度是最高的，也是层状结构和均一性最好的，标准规定了</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的微观形貌为球形或类球形。</w:t>
      </w:r>
    </w:p>
    <w:p>
      <w:pPr>
        <w:spacing w:line="360" w:lineRule="auto"/>
        <w:rPr>
          <w:rFonts w:hint="default" w:ascii="Times New Roman" w:hAnsi="Times New Roman" w:cs="Times New Roman"/>
          <w:b/>
          <w:bCs/>
          <w:color w:val="auto"/>
          <w:szCs w:val="21"/>
          <w:highlight w:val="none"/>
        </w:rPr>
      </w:pPr>
      <w:r>
        <w:rPr>
          <w:rFonts w:hint="eastAsia" w:cs="Times New Roman"/>
          <w:b/>
          <w:bCs/>
          <w:color w:val="auto"/>
          <w:szCs w:val="21"/>
          <w:highlight w:val="none"/>
          <w:lang w:val="en-US" w:eastAsia="zh-CN"/>
        </w:rPr>
        <w:t>3.3.6</w:t>
      </w:r>
      <w:r>
        <w:rPr>
          <w:rFonts w:hint="default" w:ascii="Times New Roman" w:hAnsi="Times New Roman" w:cs="Times New Roman"/>
          <w:b/>
          <w:bCs/>
          <w:color w:val="auto"/>
          <w:szCs w:val="21"/>
          <w:highlight w:val="none"/>
        </w:rPr>
        <w:t xml:space="preserve"> 其他</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上述指标包含目前市面上绝大部分</w:t>
      </w:r>
      <w:r>
        <w:rPr>
          <w:rFonts w:hint="eastAsia" w:cs="Times New Roman"/>
          <w:color w:val="auto"/>
          <w:szCs w:val="21"/>
          <w:highlight w:val="none"/>
          <w:lang w:eastAsia="zh-CN"/>
        </w:rPr>
        <w:t>镍钴二元素复合氢氧化物</w:t>
      </w:r>
      <w:r>
        <w:rPr>
          <w:rFonts w:hint="default" w:ascii="Times New Roman" w:hAnsi="Times New Roman" w:cs="Times New Roman"/>
          <w:color w:val="auto"/>
          <w:szCs w:val="21"/>
          <w:highlight w:val="none"/>
        </w:rPr>
        <w:t>的产品范围，若需方有特殊要求，供需双方可根据需求协商上述技术指标。</w:t>
      </w:r>
    </w:p>
    <w:p>
      <w:pPr>
        <w:spacing w:line="360" w:lineRule="auto"/>
        <w:rPr>
          <w:rFonts w:hint="default" w:ascii="Times New Roman" w:hAnsi="Times New Roman" w:cs="Times New Roman"/>
          <w:b/>
          <w:bCs/>
          <w:color w:val="auto"/>
          <w:szCs w:val="21"/>
          <w:highlight w:val="none"/>
        </w:rPr>
      </w:pPr>
      <w:r>
        <w:rPr>
          <w:rFonts w:hint="eastAsia" w:cs="Times New Roman"/>
          <w:b/>
          <w:bCs/>
          <w:color w:val="auto"/>
          <w:szCs w:val="21"/>
          <w:highlight w:val="none"/>
          <w:lang w:val="en-US" w:eastAsia="zh-CN"/>
        </w:rPr>
        <w:t>3.4</w:t>
      </w:r>
      <w:r>
        <w:rPr>
          <w:rFonts w:hint="default" w:ascii="Times New Roman" w:hAnsi="Times New Roman" w:cs="Times New Roman"/>
          <w:b/>
          <w:bCs/>
          <w:color w:val="auto"/>
          <w:szCs w:val="21"/>
          <w:highlight w:val="none"/>
        </w:rPr>
        <w:t xml:space="preserve"> 试验方法</w:t>
      </w:r>
    </w:p>
    <w:p>
      <w:pPr>
        <w:spacing w:line="360" w:lineRule="auto"/>
        <w:rPr>
          <w:rFonts w:hint="default" w:cs="Times New Roman"/>
          <w:b/>
          <w:bCs/>
          <w:color w:val="auto"/>
          <w:szCs w:val="21"/>
          <w:highlight w:val="none"/>
          <w:lang w:val="en-US" w:eastAsia="zh-CN"/>
        </w:rPr>
      </w:pPr>
      <w:r>
        <w:rPr>
          <w:rFonts w:hint="eastAsia" w:cs="Times New Roman"/>
          <w:b/>
          <w:bCs/>
          <w:color w:val="auto"/>
          <w:szCs w:val="21"/>
          <w:highlight w:val="none"/>
          <w:lang w:val="en-US" w:eastAsia="zh-CN"/>
        </w:rPr>
        <w:t>3.4.1 化学成分</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产品化学成分的测定按供需双方协商认可的方法进行。</w:t>
      </w:r>
    </w:p>
    <w:p>
      <w:pPr>
        <w:spacing w:line="360" w:lineRule="auto"/>
        <w:rPr>
          <w:rFonts w:hint="default" w:cs="Times New Roman"/>
          <w:b/>
          <w:bCs/>
          <w:color w:val="auto"/>
          <w:szCs w:val="21"/>
          <w:highlight w:val="none"/>
          <w:lang w:val="en-US" w:eastAsia="zh-CN"/>
        </w:rPr>
      </w:pPr>
      <w:r>
        <w:rPr>
          <w:rFonts w:hint="eastAsia" w:cs="Times New Roman"/>
          <w:b/>
          <w:bCs/>
          <w:color w:val="auto"/>
          <w:szCs w:val="21"/>
          <w:highlight w:val="none"/>
          <w:lang w:val="en-US" w:eastAsia="zh-CN"/>
        </w:rPr>
        <w:t>3.4.2 水分含量</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产品水分含量的测定按GB/T 6283的规定进行。</w:t>
      </w:r>
    </w:p>
    <w:p>
      <w:pPr>
        <w:spacing w:line="360" w:lineRule="auto"/>
        <w:rPr>
          <w:rFonts w:hint="default" w:cs="Times New Roman"/>
          <w:b/>
          <w:bCs/>
          <w:color w:val="auto"/>
          <w:szCs w:val="21"/>
          <w:highlight w:val="none"/>
          <w:lang w:val="en-US" w:eastAsia="zh-CN"/>
        </w:rPr>
      </w:pPr>
      <w:r>
        <w:rPr>
          <w:rFonts w:hint="eastAsia" w:cs="Times New Roman"/>
          <w:b/>
          <w:bCs/>
          <w:color w:val="auto"/>
          <w:szCs w:val="21"/>
          <w:highlight w:val="none"/>
          <w:lang w:val="en-US" w:eastAsia="zh-CN"/>
        </w:rPr>
        <w:t>3.4.3 磁性异物</w:t>
      </w:r>
    </w:p>
    <w:p>
      <w:pPr>
        <w:snapToGrid w:val="0"/>
        <w:spacing w:line="360" w:lineRule="auto"/>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产品磁性异物含量的测定按GB/T 24533</w:t>
      </w: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2009中附录K的规定进行。</w:t>
      </w:r>
    </w:p>
    <w:p>
      <w:pPr>
        <w:spacing w:line="360" w:lineRule="auto"/>
        <w:rPr>
          <w:rFonts w:hint="eastAsia" w:ascii="Times New Roman" w:hAnsi="Times New Roman" w:cs="Times New Roman"/>
          <w:b/>
          <w:bCs/>
          <w:color w:val="auto"/>
          <w:szCs w:val="21"/>
          <w:highlight w:val="none"/>
          <w:lang w:val="en-US" w:eastAsia="zh-CN"/>
        </w:rPr>
      </w:pPr>
      <w:r>
        <w:rPr>
          <w:rFonts w:hint="eastAsia" w:ascii="Times New Roman" w:hAnsi="Times New Roman" w:cs="Times New Roman"/>
          <w:b/>
          <w:bCs/>
          <w:color w:val="auto"/>
          <w:szCs w:val="21"/>
          <w:highlight w:val="none"/>
          <w:lang w:val="en-US" w:eastAsia="zh-CN"/>
        </w:rPr>
        <w:t>3.</w:t>
      </w:r>
      <w:r>
        <w:rPr>
          <w:rFonts w:hint="eastAsia" w:cs="Times New Roman"/>
          <w:b/>
          <w:bCs/>
          <w:color w:val="auto"/>
          <w:szCs w:val="21"/>
          <w:highlight w:val="none"/>
          <w:lang w:val="en-US" w:eastAsia="zh-CN"/>
        </w:rPr>
        <w:t>4</w:t>
      </w:r>
      <w:r>
        <w:rPr>
          <w:rFonts w:hint="eastAsia" w:ascii="Times New Roman" w:hAnsi="Times New Roman" w:cs="Times New Roman"/>
          <w:b/>
          <w:bCs/>
          <w:color w:val="auto"/>
          <w:szCs w:val="21"/>
          <w:highlight w:val="none"/>
          <w:lang w:val="en-US" w:eastAsia="zh-CN"/>
        </w:rPr>
        <w:t>.4 物理性能</w:t>
      </w:r>
    </w:p>
    <w:p>
      <w:pPr>
        <w:spacing w:line="360" w:lineRule="auto"/>
        <w:ind w:firstLine="420"/>
        <w:rPr>
          <w:rFonts w:hint="default" w:ascii="Times New Roman" w:hAnsi="Times New Roman" w:cs="Times New Roman"/>
          <w:color w:val="auto"/>
          <w:highlight w:val="none"/>
        </w:rPr>
      </w:pPr>
      <w:r>
        <w:rPr>
          <w:rFonts w:hint="eastAsia" w:ascii="Times New Roman" w:hAnsi="Times New Roman" w:cs="Times New Roman"/>
          <w:color w:val="auto"/>
          <w:szCs w:val="21"/>
          <w:highlight w:val="none"/>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color w:val="auto"/>
          <w:highlight w:val="none"/>
        </w:rPr>
        <w:t>GB/T 5162的规定进行。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松装密度</w:t>
      </w:r>
      <w:r>
        <w:rPr>
          <w:rFonts w:hint="eastAsia" w:ascii="Times New Roman" w:hAnsi="Times New Roman" w:cs="Times New Roman"/>
          <w:color w:val="auto"/>
          <w:szCs w:val="21"/>
          <w:highlight w:val="none"/>
          <w:lang w:val="en-US" w:eastAsia="zh-CN"/>
        </w:rPr>
        <w:t>的测定方法，规定本标准中产品的振实密度测定按照</w:t>
      </w:r>
      <w:r>
        <w:rPr>
          <w:rFonts w:hint="default" w:ascii="Times New Roman" w:hAnsi="Times New Roman" w:cs="Times New Roman"/>
          <w:color w:val="auto"/>
          <w:highlight w:val="none"/>
        </w:rPr>
        <w:t>GB/T 1479.1的规定进行。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粒度分布</w:t>
      </w:r>
      <w:r>
        <w:rPr>
          <w:rFonts w:hint="eastAsia" w:ascii="Times New Roman" w:hAnsi="Times New Roman" w:cs="Times New Roman"/>
          <w:color w:val="auto"/>
          <w:szCs w:val="21"/>
          <w:highlight w:val="none"/>
          <w:lang w:val="en-US" w:eastAsia="zh-CN"/>
        </w:rPr>
        <w:t>的测定方法，规定本标准中产品的振实密度测定按照</w:t>
      </w:r>
      <w:r>
        <w:rPr>
          <w:rFonts w:hint="default" w:ascii="Times New Roman" w:hAnsi="Times New Roman" w:cs="Times New Roman"/>
          <w:color w:val="auto"/>
          <w:highlight w:val="none"/>
        </w:rPr>
        <w:t xml:space="preserve">GB/T </w:t>
      </w:r>
      <w:r>
        <w:rPr>
          <w:rFonts w:hint="eastAsia" w:cs="Times New Roman"/>
          <w:color w:val="auto"/>
          <w:highlight w:val="none"/>
          <w:lang w:eastAsia="zh-CN"/>
        </w:rPr>
        <w:t>19077</w:t>
      </w:r>
      <w:r>
        <w:rPr>
          <w:rFonts w:hint="default" w:ascii="Times New Roman" w:hAnsi="Times New Roman" w:cs="Times New Roman"/>
          <w:color w:val="auto"/>
          <w:highlight w:val="none"/>
        </w:rPr>
        <w:t>的规定进行。</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比表面积</w:t>
      </w:r>
      <w:r>
        <w:rPr>
          <w:rFonts w:hint="eastAsia" w:ascii="Times New Roman" w:hAnsi="Times New Roman" w:cs="Times New Roman"/>
          <w:color w:val="auto"/>
          <w:szCs w:val="21"/>
          <w:highlight w:val="none"/>
          <w:lang w:val="en-US" w:eastAsia="zh-CN"/>
        </w:rPr>
        <w:t>的测定方法，规定本标准中产品的振实密度测定按照</w:t>
      </w:r>
      <w:r>
        <w:rPr>
          <w:rFonts w:hint="default" w:ascii="Times New Roman" w:hAnsi="Times New Roman" w:cs="Times New Roman"/>
          <w:color w:val="auto"/>
          <w:highlight w:val="none"/>
        </w:rPr>
        <w:t>GB/T 13390的规定进行。</w:t>
      </w:r>
    </w:p>
    <w:p>
      <w:pPr>
        <w:spacing w:line="360" w:lineRule="auto"/>
        <w:ind w:firstLine="420" w:firstLineChars="200"/>
        <w:rPr>
          <w:rFonts w:hint="default" w:ascii="Times New Roman" w:hAnsi="Times New Roman" w:cs="Times New Roman"/>
          <w:color w:val="auto"/>
          <w:highlight w:val="none"/>
        </w:rPr>
      </w:pPr>
      <w:r>
        <w:rPr>
          <w:rFonts w:hint="eastAsia" w:ascii="Times New Roman" w:hAnsi="Times New Roman" w:cs="Times New Roman"/>
          <w:color w:val="auto"/>
          <w:szCs w:val="21"/>
          <w:highlight w:val="none"/>
          <w:lang w:val="en-US" w:eastAsia="zh-CN"/>
        </w:rPr>
        <w:t>参照其他前驱体如镍钴锰氢氧化物和镍钴铝氢氧化物中产品</w:t>
      </w:r>
      <w:r>
        <w:rPr>
          <w:rFonts w:hint="default" w:ascii="Times New Roman" w:hAnsi="Times New Roman" w:cs="Times New Roman"/>
          <w:color w:val="auto"/>
          <w:highlight w:val="none"/>
        </w:rPr>
        <w:t>微观形貌</w:t>
      </w:r>
      <w:r>
        <w:rPr>
          <w:rFonts w:hint="eastAsia" w:ascii="Times New Roman" w:hAnsi="Times New Roman" w:cs="Times New Roman"/>
          <w:color w:val="auto"/>
          <w:szCs w:val="21"/>
          <w:highlight w:val="none"/>
          <w:lang w:val="en-US" w:eastAsia="zh-CN"/>
        </w:rPr>
        <w:t>的测定方法，规定本标准中产品的振实密度测定按照</w:t>
      </w:r>
      <w:r>
        <w:rPr>
          <w:rFonts w:hint="default" w:ascii="Times New Roman" w:hAnsi="Times New Roman" w:cs="Times New Roman"/>
          <w:color w:val="auto"/>
          <w:highlight w:val="none"/>
        </w:rPr>
        <w:t>GB/T 13390的规定进行。</w:t>
      </w:r>
    </w:p>
    <w:p>
      <w:pPr>
        <w:spacing w:line="360" w:lineRule="auto"/>
        <w:ind w:firstLine="420" w:firstLineChars="200"/>
        <w:rPr>
          <w:rFonts w:hint="default" w:ascii="Times New Roman" w:hAnsi="Times New Roman" w:cs="Times New Roman"/>
          <w:color w:val="auto"/>
          <w:highlight w:val="none"/>
          <w:lang w:val="en-US" w:eastAsia="zh-CN"/>
        </w:rPr>
      </w:pPr>
      <w:r>
        <w:rPr>
          <w:rFonts w:hint="eastAsia" w:ascii="Times New Roman" w:hAnsi="Times New Roman" w:cs="Times New Roman"/>
          <w:color w:val="auto"/>
          <w:szCs w:val="21"/>
          <w:highlight w:val="none"/>
          <w:lang w:val="en-US" w:eastAsia="zh-CN"/>
        </w:rPr>
        <w:t>参照其他前驱体如镍钴锰氢氧化物和镍钴铝氢氧化物中产品</w:t>
      </w:r>
      <w:r>
        <w:rPr>
          <w:rFonts w:hint="eastAsia" w:ascii="Times New Roman" w:hAnsi="Times New Roman" w:cs="Times New Roman"/>
          <w:color w:val="auto"/>
          <w:highlight w:val="none"/>
          <w:lang w:val="en-US" w:eastAsia="zh-CN"/>
        </w:rPr>
        <w:t>外观质量</w:t>
      </w:r>
      <w:r>
        <w:rPr>
          <w:rFonts w:hint="eastAsia" w:ascii="Times New Roman" w:hAnsi="Times New Roman" w:cs="Times New Roman"/>
          <w:color w:val="auto"/>
          <w:szCs w:val="21"/>
          <w:highlight w:val="none"/>
          <w:lang w:val="en-US" w:eastAsia="zh-CN"/>
        </w:rPr>
        <w:t>的测定方法，规定本标准中</w:t>
      </w:r>
      <w:r>
        <w:rPr>
          <w:rFonts w:hint="default" w:ascii="Times New Roman" w:hAnsi="Times New Roman" w:cs="Times New Roman"/>
          <w:color w:val="auto"/>
          <w:szCs w:val="21"/>
          <w:highlight w:val="none"/>
        </w:rPr>
        <w:t>产品外观</w:t>
      </w:r>
      <w:r>
        <w:rPr>
          <w:rFonts w:hint="eastAsia" w:ascii="Times New Roman" w:hAnsi="Times New Roman" w:cs="Times New Roman"/>
          <w:color w:val="auto"/>
          <w:szCs w:val="21"/>
          <w:highlight w:val="none"/>
          <w:lang w:val="en-US" w:eastAsia="zh-CN"/>
        </w:rPr>
        <w:t>质量直接通过</w:t>
      </w:r>
      <w:r>
        <w:rPr>
          <w:rFonts w:hint="default" w:ascii="Times New Roman" w:hAnsi="Times New Roman" w:cs="Times New Roman"/>
          <w:color w:val="auto"/>
          <w:szCs w:val="21"/>
          <w:highlight w:val="none"/>
        </w:rPr>
        <w:t>目视检查</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方便快捷</w:t>
      </w:r>
      <w:r>
        <w:rPr>
          <w:rFonts w:hint="default" w:ascii="Times New Roman" w:hAnsi="Times New Roman" w:cs="Times New Roman"/>
          <w:color w:val="auto"/>
          <w:szCs w:val="21"/>
          <w:highlight w:val="none"/>
        </w:rPr>
        <w:t>。</w:t>
      </w:r>
    </w:p>
    <w:p>
      <w:pPr>
        <w:spacing w:line="360" w:lineRule="auto"/>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3.5</w:t>
      </w:r>
      <w:r>
        <w:rPr>
          <w:rFonts w:hint="default" w:ascii="Times New Roman" w:hAnsi="Times New Roman" w:cs="Times New Roman"/>
          <w:b/>
          <w:bCs/>
          <w:color w:val="auto"/>
          <w:szCs w:val="21"/>
          <w:highlight w:val="none"/>
        </w:rPr>
        <w:t xml:space="preserve"> </w:t>
      </w:r>
      <w:r>
        <w:rPr>
          <w:rFonts w:hint="eastAsia" w:cs="Times New Roman"/>
          <w:b/>
          <w:bCs/>
          <w:color w:val="auto"/>
          <w:szCs w:val="21"/>
          <w:highlight w:val="none"/>
          <w:lang w:val="en-US" w:eastAsia="zh-CN"/>
        </w:rPr>
        <w:t>产品</w:t>
      </w:r>
      <w:r>
        <w:rPr>
          <w:rFonts w:hint="default" w:ascii="Times New Roman" w:hAnsi="Times New Roman" w:cs="Times New Roman"/>
          <w:b/>
          <w:bCs/>
          <w:color w:val="auto"/>
          <w:szCs w:val="21"/>
          <w:highlight w:val="none"/>
        </w:rPr>
        <w:t>检验</w:t>
      </w:r>
      <w:r>
        <w:rPr>
          <w:rFonts w:hint="eastAsia" w:cs="Times New Roman"/>
          <w:b/>
          <w:bCs/>
          <w:color w:val="auto"/>
          <w:szCs w:val="21"/>
          <w:highlight w:val="none"/>
          <w:lang w:val="en-US" w:eastAsia="zh-CN"/>
        </w:rPr>
        <w:t>项目及取样数量</w:t>
      </w:r>
    </w:p>
    <w:p>
      <w:pPr>
        <w:spacing w:line="360" w:lineRule="auto"/>
        <w:rPr>
          <w:rFonts w:hint="default" w:ascii="Times New Roman" w:hAnsi="Times New Roman" w:eastAsia="黑体" w:cs="Times New Roman"/>
          <w:color w:val="auto"/>
          <w:szCs w:val="21"/>
          <w:highlight w:val="none"/>
        </w:rPr>
      </w:pPr>
      <w:r>
        <w:rPr>
          <w:rFonts w:hint="eastAsia" w:ascii="Times New Roman" w:hAnsi="Times New Roman" w:cs="Times New Roman"/>
          <w:color w:val="auto"/>
          <w:szCs w:val="21"/>
          <w:highlight w:val="none"/>
          <w:lang w:val="en-US" w:eastAsia="zh-CN"/>
        </w:rPr>
        <w:t>3.5.1</w:t>
      </w:r>
      <w:r>
        <w:rPr>
          <w:rFonts w:hint="default" w:ascii="Times New Roman" w:hAnsi="Times New Roman" w:cs="Times New Roman"/>
          <w:color w:val="auto"/>
          <w:szCs w:val="21"/>
          <w:highlight w:val="none"/>
          <w:lang w:val="en-US" w:eastAsia="zh-CN"/>
        </w:rPr>
        <w:t>每批产品的检验项目及取样数量</w:t>
      </w:r>
      <w:r>
        <w:rPr>
          <w:rFonts w:hint="eastAsia" w:ascii="Times New Roman" w:hAnsi="Times New Roman" w:cs="Times New Roman"/>
          <w:color w:val="auto"/>
          <w:szCs w:val="21"/>
          <w:highlight w:val="none"/>
          <w:lang w:val="en-US" w:eastAsia="zh-CN"/>
        </w:rPr>
        <w:t>见表4</w:t>
      </w:r>
    </w:p>
    <w:p>
      <w:pPr>
        <w:spacing w:line="360" w:lineRule="auto"/>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表</w:t>
      </w:r>
      <w:r>
        <w:rPr>
          <w:rFonts w:hint="eastAsia" w:eastAsia="黑体" w:cs="Times New Roman"/>
          <w:color w:val="auto"/>
          <w:szCs w:val="21"/>
          <w:highlight w:val="none"/>
          <w:lang w:val="en-US" w:eastAsia="zh-CN"/>
        </w:rPr>
        <w:t>4</w:t>
      </w:r>
      <w:r>
        <w:rPr>
          <w:rFonts w:hint="default" w:ascii="Times New Roman" w:hAnsi="Times New Roman" w:eastAsia="黑体" w:cs="Times New Roman"/>
          <w:color w:val="auto"/>
          <w:szCs w:val="21"/>
          <w:highlight w:val="none"/>
        </w:rPr>
        <w:t xml:space="preserve"> 每批产品的检验项目及取样数量</w:t>
      </w:r>
    </w:p>
    <w:tbl>
      <w:tblPr>
        <w:tblStyle w:val="10"/>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1767"/>
        <w:gridCol w:w="2415"/>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检验项目</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取样数量</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要求的章条号</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化学成分</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4.1</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水分含量</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4.2</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磁性异物</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4.3</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松装密度</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4.4.1</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振实密度</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4.4.2</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粒度分布</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每批5份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4.4.3</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比表面积</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每批3份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4.4.4</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微观形貌</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每批1份</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4.4.5</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外观质量</w:t>
            </w:r>
          </w:p>
        </w:tc>
        <w:tc>
          <w:tcPr>
            <w:tcW w:w="1767" w:type="dxa"/>
            <w:noWrap w:val="0"/>
            <w:vAlign w:val="center"/>
          </w:tcPr>
          <w:p>
            <w:pPr>
              <w:spacing w:line="360" w:lineRule="auto"/>
              <w:jc w:val="center"/>
              <w:rPr>
                <w:rFonts w:hint="default" w:ascii="Times New Roman" w:hAnsi="Times New Roman" w:cs="Times New Roman"/>
                <w:color w:val="auto"/>
                <w:sz w:val="18"/>
                <w:szCs w:val="21"/>
                <w:highlight w:val="none"/>
                <w:u w:val="single"/>
              </w:rPr>
            </w:pPr>
            <w:r>
              <w:rPr>
                <w:rFonts w:hint="default" w:ascii="Times New Roman" w:hAnsi="Times New Roman" w:cs="Times New Roman"/>
                <w:color w:val="auto"/>
                <w:sz w:val="18"/>
                <w:szCs w:val="21"/>
                <w:highlight w:val="none"/>
              </w:rPr>
              <w:t>逐桶（袋）</w:t>
            </w:r>
          </w:p>
        </w:tc>
        <w:tc>
          <w:tcPr>
            <w:tcW w:w="2415"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4.5</w:t>
            </w:r>
          </w:p>
        </w:tc>
        <w:tc>
          <w:tcPr>
            <w:tcW w:w="2458" w:type="dxa"/>
            <w:noWrap w:val="0"/>
            <w:vAlign w:val="center"/>
          </w:tcPr>
          <w:p>
            <w:pPr>
              <w:spacing w:line="360" w:lineRule="auto"/>
              <w:jc w:val="center"/>
              <w:rPr>
                <w:rFonts w:hint="default" w:ascii="Times New Roman" w:hAnsi="Times New Roman" w:cs="Times New Roman"/>
                <w:color w:val="auto"/>
                <w:sz w:val="18"/>
                <w:szCs w:val="21"/>
                <w:highlight w:val="none"/>
              </w:rPr>
            </w:pPr>
            <w:r>
              <w:rPr>
                <w:rFonts w:hint="default" w:ascii="Times New Roman" w:hAnsi="Times New Roman" w:cs="Times New Roman"/>
                <w:color w:val="auto"/>
                <w:sz w:val="18"/>
                <w:szCs w:val="21"/>
                <w:highlight w:val="none"/>
              </w:rPr>
              <w:t>5.5</w:t>
            </w:r>
          </w:p>
        </w:tc>
      </w:tr>
    </w:tbl>
    <w:p>
      <w:pPr>
        <w:pStyle w:val="26"/>
        <w:numPr>
          <w:ilvl w:val="2"/>
          <w:numId w:val="0"/>
        </w:numPr>
        <w:spacing w:line="360" w:lineRule="auto"/>
        <w:rPr>
          <w:rFonts w:hint="eastAsia" w:ascii="Times New Roman" w:cs="Times New Roman"/>
          <w:b/>
          <w:bCs/>
          <w:color w:val="auto"/>
          <w:sz w:val="22"/>
          <w:szCs w:val="24"/>
          <w:highlight w:val="none"/>
          <w:lang w:val="en-US" w:eastAsia="zh-CN"/>
        </w:rPr>
      </w:pPr>
      <w:r>
        <w:rPr>
          <w:rFonts w:hint="eastAsia" w:ascii="Times New Roman" w:cs="Times New Roman"/>
          <w:b/>
          <w:bCs/>
          <w:color w:val="auto"/>
          <w:sz w:val="21"/>
          <w:szCs w:val="22"/>
          <w:highlight w:val="none"/>
          <w:lang w:val="en-US" w:eastAsia="zh-CN"/>
        </w:rPr>
        <w:t>3.5.2</w:t>
      </w:r>
      <w:r>
        <w:rPr>
          <w:rFonts w:hint="default" w:ascii="Times New Roman" w:cs="Times New Roman"/>
          <w:b/>
          <w:bCs/>
          <w:color w:val="auto"/>
          <w:sz w:val="22"/>
          <w:szCs w:val="24"/>
          <w:highlight w:val="none"/>
          <w:lang w:val="en-US" w:eastAsia="zh-CN"/>
        </w:rPr>
        <w:t xml:space="preserve"> </w:t>
      </w:r>
      <w:r>
        <w:rPr>
          <w:rFonts w:hint="eastAsia" w:ascii="宋体" w:hAnsi="宋体" w:eastAsia="宋体" w:cs="宋体"/>
          <w:b/>
          <w:bCs/>
          <w:color w:val="auto"/>
          <w:sz w:val="21"/>
          <w:szCs w:val="22"/>
          <w:highlight w:val="none"/>
          <w:lang w:val="en-US" w:eastAsia="zh-CN"/>
        </w:rPr>
        <w:t>取样</w:t>
      </w:r>
    </w:p>
    <w:p>
      <w:pPr>
        <w:pStyle w:val="9"/>
        <w:spacing w:after="0" w:line="360" w:lineRule="auto"/>
        <w:ind w:firstLine="42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产品的取样按GB/T 5314的规定进行。每批取样总量</w:t>
      </w:r>
      <w:r>
        <w:rPr>
          <w:rFonts w:hint="default" w:ascii="Times New Roman" w:hAnsi="Times New Roman" w:cs="Times New Roman"/>
          <w:color w:val="auto"/>
          <w:highlight w:val="none"/>
          <w:lang w:eastAsia="zh-CN"/>
        </w:rPr>
        <w:t>应</w:t>
      </w:r>
      <w:r>
        <w:rPr>
          <w:rFonts w:hint="default" w:ascii="Times New Roman" w:hAnsi="Times New Roman" w:cs="Times New Roman"/>
          <w:color w:val="auto"/>
          <w:highlight w:val="none"/>
        </w:rPr>
        <w:t>不少于5kg。</w:t>
      </w:r>
    </w:p>
    <w:p>
      <w:pPr>
        <w:pStyle w:val="26"/>
        <w:numPr>
          <w:ilvl w:val="2"/>
          <w:numId w:val="0"/>
        </w:numPr>
        <w:spacing w:line="360" w:lineRule="auto"/>
        <w:rPr>
          <w:rFonts w:hint="default" w:ascii="Times New Roman" w:hAnsi="Times New Roman" w:cs="Times New Roman"/>
          <w:b/>
          <w:bCs/>
          <w:color w:val="auto"/>
          <w:highlight w:val="none"/>
        </w:rPr>
      </w:pPr>
      <w:r>
        <w:rPr>
          <w:rFonts w:hint="eastAsia" w:ascii="Times New Roman" w:cs="Times New Roman"/>
          <w:b/>
          <w:bCs/>
          <w:color w:val="auto"/>
          <w:highlight w:val="none"/>
          <w:lang w:val="en-US" w:eastAsia="zh-CN"/>
        </w:rPr>
        <w:t>3.5.3</w:t>
      </w:r>
      <w:r>
        <w:rPr>
          <w:rFonts w:hint="default" w:ascii="Times New Roman" w:hAnsi="Times New Roman" w:cs="Times New Roman"/>
          <w:b/>
          <w:bCs/>
          <w:color w:val="auto"/>
          <w:highlight w:val="none"/>
        </w:rPr>
        <w:t xml:space="preserve"> </w:t>
      </w:r>
      <w:r>
        <w:rPr>
          <w:rFonts w:hint="default" w:ascii="Times New Roman" w:hAnsi="Times New Roman" w:eastAsia="宋体" w:cs="Times New Roman"/>
          <w:b/>
          <w:bCs/>
          <w:color w:val="auto"/>
          <w:kern w:val="2"/>
          <w:sz w:val="21"/>
          <w:szCs w:val="22"/>
          <w:highlight w:val="none"/>
          <w:lang w:val="en-US" w:eastAsia="zh-CN" w:bidi="ar-SA"/>
        </w:rPr>
        <w:t>检验结果判定</w:t>
      </w:r>
    </w:p>
    <w:p>
      <w:pPr>
        <w:spacing w:line="360" w:lineRule="auto"/>
        <w:ind w:firstLine="420" w:firstLineChars="200"/>
        <w:rPr>
          <w:rFonts w:hint="default"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产品检验结果的判定按6.4的规定进行。</w:t>
      </w:r>
    </w:p>
    <w:p>
      <w:pPr>
        <w:spacing w:line="360" w:lineRule="auto"/>
        <w:rPr>
          <w:rFonts w:hint="eastAsia" w:ascii="Times New Roman" w:hAnsi="Times New Roman" w:eastAsia="宋体" w:cs="Times New Roman"/>
          <w:b/>
          <w:color w:val="auto"/>
          <w:szCs w:val="21"/>
          <w:highlight w:val="none"/>
          <w:lang w:eastAsia="zh-CN"/>
        </w:rPr>
      </w:pPr>
      <w:r>
        <w:rPr>
          <w:rFonts w:hint="eastAsia" w:cs="Times New Roman"/>
          <w:b/>
          <w:color w:val="auto"/>
          <w:szCs w:val="21"/>
          <w:highlight w:val="none"/>
          <w:lang w:val="en-US" w:eastAsia="zh-CN"/>
        </w:rPr>
        <w:t xml:space="preserve">3.6 </w:t>
      </w:r>
      <w:r>
        <w:rPr>
          <w:rFonts w:hint="default" w:ascii="Times New Roman" w:hAnsi="Times New Roman" w:cs="Times New Roman"/>
          <w:b/>
          <w:color w:val="auto"/>
          <w:szCs w:val="21"/>
          <w:highlight w:val="none"/>
        </w:rPr>
        <w:t>包装、标志、运输、贮存和</w:t>
      </w:r>
      <w:r>
        <w:rPr>
          <w:rFonts w:hint="eastAsia" w:cs="Times New Roman"/>
          <w:b/>
          <w:color w:val="auto"/>
          <w:szCs w:val="21"/>
          <w:highlight w:val="none"/>
          <w:lang w:eastAsia="zh-CN"/>
        </w:rPr>
        <w:t>质量预报单</w:t>
      </w:r>
    </w:p>
    <w:p>
      <w:pPr>
        <w:spacing w:line="360" w:lineRule="auto"/>
        <w:ind w:firstLine="420" w:firstLineChars="200"/>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产品</w:t>
      </w:r>
      <w:r>
        <w:rPr>
          <w:rFonts w:hint="default" w:ascii="Times New Roman" w:hAnsi="Times New Roman" w:cs="Times New Roman"/>
          <w:b w:val="0"/>
          <w:bCs/>
          <w:color w:val="auto"/>
          <w:szCs w:val="21"/>
          <w:highlight w:val="none"/>
        </w:rPr>
        <w:t>包装、标志、运输、贮存和</w:t>
      </w:r>
      <w:r>
        <w:rPr>
          <w:rFonts w:hint="eastAsia" w:cs="Times New Roman"/>
          <w:b w:val="0"/>
          <w:bCs/>
          <w:color w:val="auto"/>
          <w:szCs w:val="21"/>
          <w:highlight w:val="none"/>
          <w:lang w:eastAsia="zh-CN"/>
        </w:rPr>
        <w:t>质量预报单</w:t>
      </w:r>
      <w:r>
        <w:rPr>
          <w:rFonts w:hint="eastAsia" w:ascii="Times New Roman" w:hAnsi="Times New Roman" w:cs="Times New Roman"/>
          <w:b w:val="0"/>
          <w:bCs/>
          <w:color w:val="auto"/>
          <w:szCs w:val="21"/>
          <w:highlight w:val="none"/>
          <w:lang w:val="en-US" w:eastAsia="zh-CN"/>
        </w:rPr>
        <w:t>应与标准第7章规定的内容一致</w:t>
      </w:r>
      <w:r>
        <w:rPr>
          <w:rFonts w:hint="default" w:ascii="Times New Roman" w:hAnsi="Times New Roman" w:cs="Times New Roman"/>
          <w:color w:val="auto"/>
          <w:szCs w:val="21"/>
          <w:highlight w:val="none"/>
        </w:rPr>
        <w:t>。</w:t>
      </w:r>
    </w:p>
    <w:p>
      <w:pPr>
        <w:widowControl w:val="0"/>
        <w:numPr>
          <w:ilvl w:val="0"/>
          <w:numId w:val="0"/>
        </w:numPr>
        <w:tabs>
          <w:tab w:val="left" w:pos="945"/>
        </w:tabs>
        <w:spacing w:line="360" w:lineRule="auto"/>
        <w:jc w:val="both"/>
        <w:rPr>
          <w:rFonts w:hint="default"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四、标准水平分析</w:t>
      </w:r>
    </w:p>
    <w:p>
      <w:pPr>
        <w:spacing w:line="360" w:lineRule="auto"/>
        <w:rPr>
          <w:rFonts w:hint="eastAsia" w:cs="Times New Roman"/>
          <w:b/>
          <w:bCs/>
          <w:color w:val="auto"/>
          <w:szCs w:val="21"/>
          <w:highlight w:val="none"/>
          <w:lang w:val="en-US" w:eastAsia="zh-CN"/>
        </w:rPr>
      </w:pPr>
      <w:r>
        <w:rPr>
          <w:rFonts w:hint="eastAsia" w:cs="Times New Roman"/>
          <w:b/>
          <w:bCs/>
          <w:color w:val="auto"/>
          <w:szCs w:val="21"/>
          <w:highlight w:val="none"/>
          <w:lang w:val="en-US" w:eastAsia="zh-CN"/>
        </w:rPr>
        <w:t>4.1采用国际标准和国外先进标准的程度</w:t>
      </w:r>
    </w:p>
    <w:p>
      <w:pPr>
        <w:spacing w:line="360" w:lineRule="auto"/>
        <w:ind w:firstLine="420" w:firstLineChars="200"/>
        <w:rPr>
          <w:rFonts w:hint="default" w:cs="Times New Roman"/>
          <w:color w:val="auto"/>
          <w:szCs w:val="21"/>
          <w:highlight w:val="none"/>
          <w:lang w:val="en-US" w:eastAsia="zh-CN"/>
        </w:rPr>
      </w:pPr>
      <w:r>
        <w:rPr>
          <w:rFonts w:hint="eastAsia" w:cs="Times New Roman"/>
          <w:color w:val="auto"/>
          <w:szCs w:val="21"/>
          <w:highlight w:val="none"/>
          <w:lang w:val="en-US" w:eastAsia="zh-CN"/>
        </w:rPr>
        <w:t>经查，国外无相同类型的标准。</w:t>
      </w:r>
    </w:p>
    <w:p>
      <w:pPr>
        <w:spacing w:line="360" w:lineRule="auto"/>
        <w:rPr>
          <w:rFonts w:hint="default" w:ascii="Times New Roman" w:hAnsi="Times New Roman" w:cs="Times New Roman"/>
          <w:b/>
          <w:color w:val="auto"/>
          <w:szCs w:val="21"/>
          <w:highlight w:val="none"/>
        </w:rPr>
      </w:pPr>
      <w:r>
        <w:rPr>
          <w:rFonts w:hint="eastAsia" w:cs="Times New Roman"/>
          <w:b/>
          <w:color w:val="auto"/>
          <w:szCs w:val="21"/>
          <w:highlight w:val="none"/>
          <w:lang w:val="en-US" w:eastAsia="zh-CN"/>
        </w:rPr>
        <w:t>4.2国际、</w:t>
      </w:r>
      <w:r>
        <w:rPr>
          <w:rFonts w:hint="default" w:ascii="Times New Roman" w:hAnsi="Times New Roman" w:cs="Times New Roman"/>
          <w:b/>
          <w:color w:val="auto"/>
          <w:szCs w:val="21"/>
          <w:highlight w:val="none"/>
        </w:rPr>
        <w:t>国内外同类标准水平对比分析</w:t>
      </w:r>
    </w:p>
    <w:p>
      <w:pPr>
        <w:spacing w:line="360" w:lineRule="auto"/>
        <w:ind w:firstLine="420" w:firstLineChars="200"/>
        <w:rPr>
          <w:rFonts w:hint="eastAsia" w:cs="Times New Roman"/>
          <w:color w:val="auto"/>
          <w:szCs w:val="21"/>
          <w:highlight w:val="none"/>
          <w:lang w:val="en-US" w:eastAsia="zh-CN"/>
        </w:rPr>
      </w:pPr>
      <w:r>
        <w:rPr>
          <w:rFonts w:hint="eastAsia" w:cs="Times New Roman"/>
          <w:color w:val="auto"/>
          <w:szCs w:val="21"/>
          <w:highlight w:val="none"/>
          <w:lang w:val="en-US" w:eastAsia="zh-CN"/>
        </w:rPr>
        <w:t>经查，国外无相同类型的标准。</w:t>
      </w:r>
    </w:p>
    <w:p>
      <w:pPr>
        <w:spacing w:line="360" w:lineRule="auto"/>
        <w:rPr>
          <w:rFonts w:hint="eastAsia" w:cs="Times New Roman"/>
          <w:b/>
          <w:color w:val="auto"/>
          <w:szCs w:val="21"/>
          <w:highlight w:val="none"/>
          <w:lang w:val="en-US" w:eastAsia="zh-CN"/>
        </w:rPr>
      </w:pPr>
      <w:r>
        <w:rPr>
          <w:rFonts w:hint="eastAsia" w:cs="Times New Roman"/>
          <w:b/>
          <w:color w:val="auto"/>
          <w:szCs w:val="21"/>
          <w:highlight w:val="none"/>
          <w:lang w:val="en-US" w:eastAsia="zh-CN"/>
        </w:rPr>
        <w:t>4.3与现有标准及制定中标准协调配套情况</w:t>
      </w:r>
    </w:p>
    <w:p>
      <w:pPr>
        <w:spacing w:line="360" w:lineRule="auto"/>
        <w:ind w:firstLine="420" w:firstLineChars="200"/>
        <w:rPr>
          <w:rFonts w:hint="default" w:ascii="Times New Roman" w:hAnsi="Times New Roman" w:cs="Times New Roman"/>
          <w:color w:val="auto"/>
          <w:kern w:val="0"/>
          <w:szCs w:val="28"/>
          <w:highlight w:val="none"/>
        </w:rPr>
      </w:pPr>
      <w:r>
        <w:rPr>
          <w:rFonts w:hint="default" w:ascii="Times New Roman" w:hAnsi="Times New Roman" w:cs="Times New Roman"/>
          <w:color w:val="auto"/>
          <w:kern w:val="0"/>
          <w:szCs w:val="28"/>
          <w:highlight w:val="none"/>
        </w:rPr>
        <w:t>本标准不存在与相关法律法规相抵触之处，也不与其他标准相冲突。</w:t>
      </w:r>
    </w:p>
    <w:p>
      <w:pPr>
        <w:numPr>
          <w:ilvl w:val="0"/>
          <w:numId w:val="3"/>
        </w:numPr>
        <w:spacing w:line="360" w:lineRule="auto"/>
        <w:rPr>
          <w:rFonts w:hint="eastAsia" w:cs="Times New Roman"/>
          <w:b/>
          <w:bCs/>
          <w:color w:val="auto"/>
          <w:szCs w:val="28"/>
          <w:highlight w:val="none"/>
          <w:lang w:val="en-US" w:eastAsia="zh-CN"/>
        </w:rPr>
      </w:pPr>
      <w:r>
        <w:rPr>
          <w:rFonts w:hint="eastAsia" w:cs="Times New Roman"/>
          <w:b/>
          <w:bCs/>
          <w:color w:val="auto"/>
          <w:szCs w:val="28"/>
          <w:highlight w:val="none"/>
          <w:lang w:val="en-US" w:eastAsia="zh-CN"/>
        </w:rPr>
        <w:t>与有关现行法律、法规和强制性国家标准冲突情况</w:t>
      </w:r>
    </w:p>
    <w:p>
      <w:pPr>
        <w:widowControl w:val="0"/>
        <w:numPr>
          <w:ilvl w:val="0"/>
          <w:numId w:val="0"/>
        </w:numPr>
        <w:spacing w:line="360" w:lineRule="auto"/>
        <w:jc w:val="both"/>
        <w:rPr>
          <w:rFonts w:hint="default" w:cs="Times New Roman"/>
          <w:color w:val="auto"/>
          <w:szCs w:val="28"/>
          <w:highlight w:val="none"/>
          <w:lang w:val="en-US" w:eastAsia="zh-CN"/>
        </w:rPr>
      </w:pPr>
      <w:r>
        <w:rPr>
          <w:rFonts w:hint="eastAsia" w:cs="Times New Roman"/>
          <w:color w:val="auto"/>
          <w:szCs w:val="28"/>
          <w:highlight w:val="none"/>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eastAsia" w:cs="Times New Roman"/>
          <w:b/>
          <w:color w:val="auto"/>
          <w:szCs w:val="21"/>
          <w:highlight w:val="none"/>
          <w:lang w:val="en-US" w:eastAsia="zh-CN"/>
        </w:rPr>
      </w:pPr>
      <w:r>
        <w:rPr>
          <w:rFonts w:hint="eastAsia" w:cs="Times New Roman"/>
          <w:b/>
          <w:color w:val="auto"/>
          <w:szCs w:val="21"/>
          <w:highlight w:val="none"/>
          <w:lang w:val="en-US" w:eastAsia="zh-CN"/>
        </w:rPr>
        <w:t>重大分歧意见的处理经过和依据</w:t>
      </w:r>
    </w:p>
    <w:p>
      <w:pPr>
        <w:numPr>
          <w:ilvl w:val="0"/>
          <w:numId w:val="0"/>
        </w:numPr>
        <w:spacing w:line="360" w:lineRule="auto"/>
        <w:ind w:leftChars="0"/>
        <w:rPr>
          <w:rFonts w:hint="eastAsia" w:cs="Times New Roman"/>
          <w:b w:val="0"/>
          <w:bCs/>
          <w:color w:val="auto"/>
          <w:szCs w:val="21"/>
          <w:highlight w:val="none"/>
          <w:lang w:val="en-US" w:eastAsia="zh-CN"/>
        </w:rPr>
      </w:pPr>
      <w:r>
        <w:rPr>
          <w:rFonts w:hint="eastAsia" w:cs="Times New Roman"/>
          <w:b/>
          <w:color w:val="auto"/>
          <w:szCs w:val="21"/>
          <w:highlight w:val="none"/>
          <w:lang w:val="en-US" w:eastAsia="zh-CN"/>
        </w:rPr>
        <w:t xml:space="preserve">    </w:t>
      </w:r>
      <w:r>
        <w:rPr>
          <w:rFonts w:hint="eastAsia" w:cs="Times New Roman"/>
          <w:b w:val="0"/>
          <w:bCs/>
          <w:color w:val="auto"/>
          <w:szCs w:val="21"/>
          <w:highlight w:val="none"/>
          <w:lang w:val="en-US" w:eastAsia="zh-CN"/>
        </w:rPr>
        <w:t>无重大分歧。</w:t>
      </w:r>
    </w:p>
    <w:p>
      <w:pPr>
        <w:numPr>
          <w:ilvl w:val="0"/>
          <w:numId w:val="3"/>
        </w:numPr>
        <w:spacing w:line="360" w:lineRule="auto"/>
        <w:ind w:left="0" w:leftChars="0" w:firstLine="0" w:firstLineChars="0"/>
        <w:rPr>
          <w:rFonts w:hint="eastAsia" w:cs="Times New Roman"/>
          <w:b/>
          <w:bCs w:val="0"/>
          <w:color w:val="auto"/>
          <w:szCs w:val="21"/>
          <w:highlight w:val="none"/>
          <w:lang w:val="en-US" w:eastAsia="zh-CN"/>
        </w:rPr>
      </w:pPr>
      <w:r>
        <w:rPr>
          <w:rFonts w:hint="eastAsia" w:cs="Times New Roman"/>
          <w:b/>
          <w:bCs w:val="0"/>
          <w:color w:val="auto"/>
          <w:szCs w:val="21"/>
          <w:highlight w:val="none"/>
          <w:lang w:val="en-US" w:eastAsia="zh-CN"/>
        </w:rPr>
        <w:t>标准作为强制性标准或推荐性标准的建议</w:t>
      </w:r>
    </w:p>
    <w:p>
      <w:pPr>
        <w:widowControl w:val="0"/>
        <w:numPr>
          <w:ilvl w:val="0"/>
          <w:numId w:val="0"/>
        </w:numPr>
        <w:spacing w:line="360" w:lineRule="auto"/>
        <w:ind w:firstLine="420" w:firstLineChars="200"/>
        <w:jc w:val="both"/>
        <w:rPr>
          <w:rFonts w:hint="eastAsia" w:cs="Times New Roman"/>
          <w:b w:val="0"/>
          <w:bCs/>
          <w:color w:val="auto"/>
          <w:szCs w:val="21"/>
          <w:highlight w:val="none"/>
          <w:lang w:val="en-US" w:eastAsia="zh-CN"/>
        </w:rPr>
      </w:pPr>
      <w:r>
        <w:rPr>
          <w:rFonts w:hint="eastAsia" w:cs="Times New Roman"/>
          <w:b w:val="0"/>
          <w:bCs/>
          <w:color w:val="auto"/>
          <w:szCs w:val="21"/>
          <w:highlight w:val="none"/>
          <w:lang w:val="en-US" w:eastAsia="zh-CN"/>
        </w:rPr>
        <w:t>建议作为中国有色金属标准化技术委员会推荐性标准。</w:t>
      </w:r>
    </w:p>
    <w:p>
      <w:pPr>
        <w:widowControl w:val="0"/>
        <w:numPr>
          <w:ilvl w:val="0"/>
          <w:numId w:val="3"/>
        </w:numPr>
        <w:spacing w:line="360" w:lineRule="auto"/>
        <w:ind w:left="0" w:leftChars="0" w:firstLine="0" w:firstLineChars="0"/>
        <w:jc w:val="both"/>
        <w:rPr>
          <w:rFonts w:hint="eastAsia" w:cs="Times New Roman"/>
          <w:b/>
          <w:bCs w:val="0"/>
          <w:color w:val="auto"/>
          <w:szCs w:val="21"/>
          <w:highlight w:val="none"/>
          <w:lang w:val="en-US" w:eastAsia="zh-CN"/>
        </w:rPr>
      </w:pPr>
      <w:r>
        <w:rPr>
          <w:rFonts w:hint="eastAsia" w:cs="Times New Roman"/>
          <w:b/>
          <w:bCs w:val="0"/>
          <w:color w:val="auto"/>
          <w:szCs w:val="21"/>
          <w:highlight w:val="none"/>
          <w:lang w:val="en-US" w:eastAsia="zh-CN"/>
        </w:rPr>
        <w:t>贯彻标准的要求和措施建议</w:t>
      </w:r>
    </w:p>
    <w:p>
      <w:pPr>
        <w:widowControl w:val="0"/>
        <w:numPr>
          <w:ilvl w:val="0"/>
          <w:numId w:val="0"/>
        </w:numPr>
        <w:spacing w:line="360" w:lineRule="auto"/>
        <w:ind w:firstLine="420" w:firstLineChars="200"/>
        <w:jc w:val="both"/>
        <w:rPr>
          <w:rFonts w:hint="eastAsia" w:cs="Times New Roman"/>
          <w:b w:val="0"/>
          <w:bCs/>
          <w:color w:val="auto"/>
          <w:szCs w:val="21"/>
          <w:highlight w:val="none"/>
          <w:lang w:val="en-US" w:eastAsia="zh-CN"/>
        </w:rPr>
      </w:pPr>
      <w:r>
        <w:rPr>
          <w:rFonts w:hint="eastAsia" w:cs="Times New Roman"/>
          <w:b w:val="0"/>
          <w:bCs/>
          <w:color w:val="auto"/>
          <w:szCs w:val="21"/>
          <w:highlight w:val="none"/>
          <w:lang w:val="en-US" w:eastAsia="zh-CN"/>
        </w:rPr>
        <w:t>本标准反映了镍钴二元素氢氧化物行业的需求，因此可积极向厂家及国内外用户采用本标准。</w:t>
      </w:r>
    </w:p>
    <w:p>
      <w:pPr>
        <w:widowControl w:val="0"/>
        <w:numPr>
          <w:ilvl w:val="0"/>
          <w:numId w:val="3"/>
        </w:numPr>
        <w:spacing w:line="360" w:lineRule="auto"/>
        <w:ind w:left="0" w:leftChars="0" w:firstLine="0" w:firstLineChars="0"/>
        <w:jc w:val="both"/>
        <w:rPr>
          <w:rFonts w:hint="eastAsia" w:cs="Times New Roman"/>
          <w:b/>
          <w:bCs w:val="0"/>
          <w:color w:val="auto"/>
          <w:szCs w:val="21"/>
          <w:highlight w:val="none"/>
          <w:lang w:val="en-US" w:eastAsia="zh-CN"/>
        </w:rPr>
      </w:pPr>
      <w:r>
        <w:rPr>
          <w:rFonts w:hint="eastAsia" w:cs="Times New Roman"/>
          <w:b/>
          <w:bCs w:val="0"/>
          <w:color w:val="auto"/>
          <w:szCs w:val="21"/>
          <w:highlight w:val="none"/>
          <w:lang w:val="en-US" w:eastAsia="zh-CN"/>
        </w:rPr>
        <w:t>废止现行有关标准的建议</w:t>
      </w:r>
    </w:p>
    <w:p>
      <w:pPr>
        <w:widowControl w:val="0"/>
        <w:numPr>
          <w:ilvl w:val="0"/>
          <w:numId w:val="0"/>
        </w:numPr>
        <w:spacing w:line="360" w:lineRule="auto"/>
        <w:ind w:leftChars="0" w:firstLine="420" w:firstLineChars="200"/>
        <w:jc w:val="both"/>
        <w:rPr>
          <w:rFonts w:hint="eastAsia" w:cs="Times New Roman"/>
          <w:b w:val="0"/>
          <w:bCs/>
          <w:color w:val="auto"/>
          <w:szCs w:val="21"/>
          <w:highlight w:val="none"/>
          <w:lang w:val="en-US" w:eastAsia="zh-CN"/>
        </w:rPr>
      </w:pPr>
      <w:r>
        <w:rPr>
          <w:rFonts w:hint="eastAsia" w:cs="Times New Roman"/>
          <w:b w:val="0"/>
          <w:bCs/>
          <w:color w:val="auto"/>
          <w:szCs w:val="21"/>
          <w:highlight w:val="none"/>
          <w:lang w:val="en-US" w:eastAsia="zh-CN"/>
        </w:rPr>
        <w:t>无。</w:t>
      </w:r>
    </w:p>
    <w:p>
      <w:pPr>
        <w:widowControl w:val="0"/>
        <w:numPr>
          <w:ilvl w:val="0"/>
          <w:numId w:val="3"/>
        </w:numPr>
        <w:spacing w:line="360" w:lineRule="auto"/>
        <w:ind w:left="0" w:leftChars="0" w:firstLine="0" w:firstLineChars="0"/>
        <w:jc w:val="both"/>
        <w:rPr>
          <w:rFonts w:hint="eastAsia" w:cs="Times New Roman"/>
          <w:b/>
          <w:bCs w:val="0"/>
          <w:color w:val="auto"/>
          <w:szCs w:val="21"/>
          <w:highlight w:val="none"/>
          <w:lang w:val="en-US" w:eastAsia="zh-CN"/>
        </w:rPr>
      </w:pPr>
      <w:r>
        <w:rPr>
          <w:rFonts w:hint="eastAsia" w:cs="Times New Roman"/>
          <w:b/>
          <w:bCs w:val="0"/>
          <w:color w:val="auto"/>
          <w:szCs w:val="21"/>
          <w:highlight w:val="none"/>
          <w:lang w:val="en-US" w:eastAsia="zh-CN"/>
        </w:rPr>
        <w:t>其他予以说明的事项</w:t>
      </w:r>
    </w:p>
    <w:p>
      <w:pPr>
        <w:widowControl w:val="0"/>
        <w:numPr>
          <w:ilvl w:val="0"/>
          <w:numId w:val="0"/>
        </w:numPr>
        <w:spacing w:line="360" w:lineRule="auto"/>
        <w:ind w:leftChars="0" w:firstLine="420" w:firstLineChars="200"/>
        <w:jc w:val="both"/>
        <w:rPr>
          <w:rFonts w:hint="default" w:cs="Times New Roman"/>
          <w:b w:val="0"/>
          <w:bCs/>
          <w:color w:val="auto"/>
          <w:szCs w:val="21"/>
          <w:highlight w:val="none"/>
          <w:lang w:val="en-US" w:eastAsia="zh-CN"/>
        </w:rPr>
      </w:pPr>
      <w:r>
        <w:rPr>
          <w:rFonts w:hint="eastAsia" w:cs="Times New Roman"/>
          <w:b w:val="0"/>
          <w:bCs/>
          <w:color w:val="auto"/>
          <w:szCs w:val="21"/>
          <w:highlight w:val="none"/>
          <w:lang w:val="en-US" w:eastAsia="zh-CN"/>
        </w:rPr>
        <w:t>无。</w:t>
      </w:r>
    </w:p>
    <w:p>
      <w:pPr>
        <w:spacing w:line="360" w:lineRule="auto"/>
        <w:ind w:firstLine="6720" w:firstLineChars="3200"/>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 xml:space="preserve">标准编制组      </w:t>
      </w:r>
    </w:p>
    <w:p>
      <w:pPr>
        <w:spacing w:line="360" w:lineRule="auto"/>
        <w:jc w:val="center"/>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 xml:space="preserve">                                       </w:t>
      </w:r>
      <w:r>
        <w:rPr>
          <w:rFonts w:hint="default" w:ascii="Times New Roman" w:hAnsi="Times New Roman" w:cs="Times New Roman"/>
          <w:color w:val="auto"/>
          <w:szCs w:val="28"/>
          <w:highlight w:val="none"/>
          <w:lang w:val="en-US" w:eastAsia="zh-CN"/>
        </w:rPr>
        <w:t xml:space="preserve">      </w:t>
      </w:r>
      <w:r>
        <w:rPr>
          <w:rFonts w:hint="default" w:ascii="Times New Roman" w:hAnsi="Times New Roman" w:cs="Times New Roman"/>
          <w:color w:val="auto"/>
          <w:szCs w:val="28"/>
          <w:highlight w:val="none"/>
        </w:rPr>
        <w:t xml:space="preserve">           </w:t>
      </w:r>
      <w:r>
        <w:rPr>
          <w:rFonts w:hint="eastAsia" w:cs="Times New Roman"/>
          <w:color w:val="auto"/>
          <w:szCs w:val="28"/>
          <w:highlight w:val="none"/>
          <w:lang w:val="en-US" w:eastAsia="zh-CN"/>
        </w:rPr>
        <w:t xml:space="preserve">   </w:t>
      </w:r>
      <w:r>
        <w:rPr>
          <w:rFonts w:hint="default" w:ascii="Times New Roman" w:hAnsi="Times New Roman" w:cs="Times New Roman"/>
          <w:color w:val="auto"/>
          <w:szCs w:val="28"/>
          <w:highlight w:val="none"/>
        </w:rPr>
        <w:t xml:space="preserve"> </w:t>
      </w:r>
      <w:r>
        <w:rPr>
          <w:rFonts w:hint="eastAsia" w:cs="Times New Roman"/>
          <w:color w:val="auto"/>
          <w:szCs w:val="28"/>
          <w:highlight w:val="none"/>
          <w:lang w:val="en-US" w:eastAsia="zh-CN"/>
        </w:rPr>
        <w:t>二〇一九</w:t>
      </w:r>
      <w:r>
        <w:rPr>
          <w:rFonts w:hint="default" w:ascii="Times New Roman" w:hAnsi="Times New Roman" w:cs="Times New Roman"/>
          <w:color w:val="auto"/>
          <w:szCs w:val="28"/>
          <w:highlight w:val="none"/>
        </w:rPr>
        <w:t>年</w:t>
      </w:r>
      <w:r>
        <w:rPr>
          <w:rFonts w:hint="eastAsia" w:cs="Times New Roman"/>
          <w:color w:val="auto"/>
          <w:szCs w:val="28"/>
          <w:highlight w:val="none"/>
          <w:lang w:val="en-US" w:eastAsia="zh-CN"/>
        </w:rPr>
        <w:t>六</w:t>
      </w:r>
      <w:r>
        <w:rPr>
          <w:rFonts w:hint="default" w:ascii="Times New Roman" w:hAnsi="Times New Roman" w:cs="Times New Roman"/>
          <w:color w:val="auto"/>
          <w:szCs w:val="28"/>
          <w:highlight w:val="none"/>
        </w:rPr>
        <w:t>月</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3634C33"/>
    <w:rsid w:val="036868C9"/>
    <w:rsid w:val="039A3E3C"/>
    <w:rsid w:val="0861182C"/>
    <w:rsid w:val="0ABD75E6"/>
    <w:rsid w:val="0ADD6749"/>
    <w:rsid w:val="0B37071D"/>
    <w:rsid w:val="0BEF512A"/>
    <w:rsid w:val="0BFB16EF"/>
    <w:rsid w:val="0C45238E"/>
    <w:rsid w:val="0C474AC4"/>
    <w:rsid w:val="0D26429B"/>
    <w:rsid w:val="0D271EA4"/>
    <w:rsid w:val="135926DA"/>
    <w:rsid w:val="165E3346"/>
    <w:rsid w:val="17DF708F"/>
    <w:rsid w:val="1C92432A"/>
    <w:rsid w:val="1E2C6139"/>
    <w:rsid w:val="1EBD7CE5"/>
    <w:rsid w:val="21D951E9"/>
    <w:rsid w:val="22322897"/>
    <w:rsid w:val="232451EB"/>
    <w:rsid w:val="23571C60"/>
    <w:rsid w:val="257D1C03"/>
    <w:rsid w:val="25A41EC1"/>
    <w:rsid w:val="29127880"/>
    <w:rsid w:val="2C377800"/>
    <w:rsid w:val="2CCC3188"/>
    <w:rsid w:val="2EA04BA9"/>
    <w:rsid w:val="306076EB"/>
    <w:rsid w:val="319010C0"/>
    <w:rsid w:val="33713062"/>
    <w:rsid w:val="36B24B95"/>
    <w:rsid w:val="3B745B50"/>
    <w:rsid w:val="3BEA1391"/>
    <w:rsid w:val="3C3C70AA"/>
    <w:rsid w:val="42B52317"/>
    <w:rsid w:val="461A0C3A"/>
    <w:rsid w:val="4A724A80"/>
    <w:rsid w:val="4CBD103E"/>
    <w:rsid w:val="51EE2435"/>
    <w:rsid w:val="520C1A87"/>
    <w:rsid w:val="537E20E6"/>
    <w:rsid w:val="550175A0"/>
    <w:rsid w:val="569A747C"/>
    <w:rsid w:val="59853323"/>
    <w:rsid w:val="5B5C52FD"/>
    <w:rsid w:val="5C3561A5"/>
    <w:rsid w:val="5C7E564D"/>
    <w:rsid w:val="5F7B0E74"/>
    <w:rsid w:val="62034A2C"/>
    <w:rsid w:val="621B3CBA"/>
    <w:rsid w:val="630054C2"/>
    <w:rsid w:val="64534627"/>
    <w:rsid w:val="647609EE"/>
    <w:rsid w:val="64C913FB"/>
    <w:rsid w:val="64C9203F"/>
    <w:rsid w:val="6BD07B29"/>
    <w:rsid w:val="6D1311BC"/>
    <w:rsid w:val="6F9157D5"/>
    <w:rsid w:val="70120419"/>
    <w:rsid w:val="72C43122"/>
    <w:rsid w:val="73BC4C8C"/>
    <w:rsid w:val="77563214"/>
    <w:rsid w:val="78273BC2"/>
    <w:rsid w:val="787A0605"/>
    <w:rsid w:val="790E5998"/>
    <w:rsid w:val="7BA81C4B"/>
    <w:rsid w:val="7CAA3A65"/>
    <w:rsid w:val="7EC6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Body Text Indent 2"/>
    <w:basedOn w:val="1"/>
    <w:qFormat/>
    <w:uiPriority w:val="0"/>
    <w:pPr>
      <w:widowControl/>
      <w:ind w:firstLine="471" w:firstLineChars="200"/>
    </w:pPr>
    <w:rPr>
      <w:rFonts w:ascii="宋体"/>
      <w:color w:val="000000"/>
      <w:sz w:val="24"/>
    </w:rPr>
  </w:style>
  <w:style w:type="paragraph" w:styleId="5">
    <w:name w:val="Balloon Text"/>
    <w:basedOn w:val="1"/>
    <w:link w:val="18"/>
    <w:qFormat/>
    <w:uiPriority w:val="0"/>
    <w:rPr>
      <w:sz w:val="18"/>
    </w:rPr>
  </w:style>
  <w:style w:type="paragraph" w:styleId="6">
    <w:name w:val="footer"/>
    <w:basedOn w:val="1"/>
    <w:link w:val="17"/>
    <w:qFormat/>
    <w:uiPriority w:val="0"/>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2"/>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sz w:val="18"/>
    </w:rPr>
  </w:style>
  <w:style w:type="character" w:styleId="14">
    <w:name w:val="Hyperlink"/>
    <w:basedOn w:val="12"/>
    <w:qFormat/>
    <w:uiPriority w:val="0"/>
    <w:rPr>
      <w:color w:val="0000FF"/>
      <w:u w:val="single"/>
    </w:rPr>
  </w:style>
  <w:style w:type="character" w:customStyle="1" w:styleId="15">
    <w:name w:val="无间隔 Char"/>
    <w:basedOn w:val="12"/>
    <w:link w:val="16"/>
    <w:qFormat/>
    <w:uiPriority w:val="0"/>
    <w:rPr>
      <w:rFonts w:ascii="Calibri" w:hAnsi="Calibri"/>
      <w:sz w:val="22"/>
      <w:lang w:val="en-US" w:eastAsia="zh-CN" w:bidi="ar-SA"/>
    </w:rPr>
  </w:style>
  <w:style w:type="paragraph" w:customStyle="1" w:styleId="16">
    <w:name w:val="无间隔1"/>
    <w:link w:val="15"/>
    <w:qFormat/>
    <w:uiPriority w:val="0"/>
    <w:rPr>
      <w:rFonts w:ascii="Calibri" w:hAnsi="Calibri" w:eastAsia="宋体" w:cs="Times New Roman"/>
      <w:sz w:val="22"/>
      <w:lang w:val="en-US" w:eastAsia="zh-CN" w:bidi="ar-SA"/>
    </w:rPr>
  </w:style>
  <w:style w:type="character" w:customStyle="1" w:styleId="17">
    <w:name w:val="页脚 Char"/>
    <w:basedOn w:val="12"/>
    <w:link w:val="6"/>
    <w:qFormat/>
    <w:uiPriority w:val="0"/>
    <w:rPr>
      <w:kern w:val="2"/>
      <w:sz w:val="18"/>
    </w:rPr>
  </w:style>
  <w:style w:type="character" w:customStyle="1" w:styleId="18">
    <w:name w:val="批注框文本 Char"/>
    <w:basedOn w:val="12"/>
    <w:link w:val="5"/>
    <w:qFormat/>
    <w:uiPriority w:val="0"/>
    <w:rPr>
      <w:kern w:val="2"/>
      <w:sz w:val="18"/>
    </w:rPr>
  </w:style>
  <w:style w:type="character" w:customStyle="1" w:styleId="19">
    <w:name w:val="页眉 Char"/>
    <w:basedOn w:val="12"/>
    <w:link w:val="7"/>
    <w:qFormat/>
    <w:uiPriority w:val="0"/>
    <w:rPr>
      <w:kern w:val="2"/>
      <w:sz w:val="18"/>
    </w:rPr>
  </w:style>
  <w:style w:type="character" w:customStyle="1" w:styleId="20">
    <w:name w:val="yqlink"/>
    <w:basedOn w:val="12"/>
    <w:qFormat/>
    <w:uiPriority w:val="0"/>
  </w:style>
  <w:style w:type="character" w:customStyle="1" w:styleId="21">
    <w:name w:val="标题1"/>
    <w:basedOn w:val="12"/>
    <w:qFormat/>
    <w:uiPriority w:val="0"/>
  </w:style>
  <w:style w:type="character" w:customStyle="1" w:styleId="22">
    <w:name w:val="style21"/>
    <w:basedOn w:val="12"/>
    <w:qFormat/>
    <w:uiPriority w:val="0"/>
    <w:rPr>
      <w:color w:val="0000A0"/>
      <w:sz w:val="33"/>
      <w:szCs w:val="33"/>
    </w:rPr>
  </w:style>
  <w:style w:type="paragraph" w:customStyle="1" w:styleId="2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三级条标题"/>
    <w:basedOn w:val="25"/>
    <w:next w:val="1"/>
    <w:qFormat/>
    <w:uiPriority w:val="0"/>
    <w:pPr>
      <w:outlineLvl w:val="4"/>
    </w:pPr>
  </w:style>
  <w:style w:type="paragraph" w:customStyle="1" w:styleId="25">
    <w:name w:val="二级条标题"/>
    <w:basedOn w:val="26"/>
    <w:next w:val="1"/>
    <w:qFormat/>
    <w:uiPriority w:val="0"/>
    <w:pPr>
      <w:outlineLvl w:val="3"/>
    </w:pPr>
  </w:style>
  <w:style w:type="paragraph" w:customStyle="1" w:styleId="26">
    <w:name w:val="一级条标题"/>
    <w:basedOn w:val="27"/>
    <w:next w:val="28"/>
    <w:qFormat/>
    <w:uiPriority w:val="0"/>
    <w:pPr>
      <w:spacing w:before="0" w:after="0"/>
      <w:outlineLvl w:val="2"/>
    </w:pPr>
  </w:style>
  <w:style w:type="paragraph" w:customStyle="1" w:styleId="27">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8">
    <w:name w:val="段"/>
    <w:link w:val="4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Char"/>
    <w:basedOn w:val="1"/>
    <w:qFormat/>
    <w:uiPriority w:val="0"/>
    <w:pPr>
      <w:widowControl/>
      <w:wordWrap w:val="0"/>
      <w:spacing w:line="440" w:lineRule="exact"/>
      <w:ind w:firstLine="200" w:firstLineChars="200"/>
      <w:jc w:val="left"/>
    </w:pPr>
    <w:rPr>
      <w:sz w:val="24"/>
      <w:szCs w:val="24"/>
    </w:rPr>
  </w:style>
  <w:style w:type="paragraph" w:customStyle="1" w:styleId="30">
    <w:name w:val="默认段落字体 Para Char Char Char Char"/>
    <w:basedOn w:val="1"/>
    <w:qFormat/>
    <w:uiPriority w:val="0"/>
    <w:rPr>
      <w:szCs w:val="24"/>
    </w:rPr>
  </w:style>
  <w:style w:type="paragraph" w:customStyle="1" w:styleId="31">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2">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五级条标题"/>
    <w:basedOn w:val="35"/>
    <w:next w:val="1"/>
    <w:qFormat/>
    <w:uiPriority w:val="0"/>
    <w:pPr>
      <w:outlineLvl w:val="6"/>
    </w:pPr>
  </w:style>
  <w:style w:type="paragraph" w:customStyle="1" w:styleId="35">
    <w:name w:val="四级条标题"/>
    <w:basedOn w:val="24"/>
    <w:next w:val="1"/>
    <w:qFormat/>
    <w:uiPriority w:val="0"/>
    <w:pPr>
      <w:outlineLvl w:val="5"/>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
    <w:name w:val="终结线"/>
    <w:basedOn w:val="1"/>
    <w:qFormat/>
    <w:uiPriority w:val="0"/>
  </w:style>
  <w:style w:type="paragraph" w:customStyle="1" w:styleId="3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0">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1">
    <w:name w:val="列出段落1"/>
    <w:basedOn w:val="1"/>
    <w:qFormat/>
    <w:uiPriority w:val="0"/>
    <w:pPr>
      <w:ind w:firstLine="420" w:firstLineChars="200"/>
    </w:pPr>
  </w:style>
  <w:style w:type="paragraph" w:customStyle="1" w:styleId="42">
    <w:name w:val="p0"/>
    <w:basedOn w:val="1"/>
    <w:qFormat/>
    <w:uiPriority w:val="0"/>
    <w:pPr>
      <w:widowControl/>
    </w:pPr>
    <w:rPr>
      <w:kern w:val="0"/>
      <w:szCs w:val="21"/>
    </w:rPr>
  </w:style>
  <w:style w:type="paragraph" w:customStyle="1" w:styleId="43">
    <w:name w:val="标准书眉_偶数页"/>
    <w:basedOn w:val="36"/>
    <w:next w:val="1"/>
    <w:qFormat/>
    <w:uiPriority w:val="0"/>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5">
    <w:name w:val="段 Char Char"/>
    <w:link w:val="28"/>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2</TotalTime>
  <ScaleCrop>false</ScaleCrop>
  <LinksUpToDate>false</LinksUpToDate>
  <CharactersWithSpaces>7076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王欢</cp:lastModifiedBy>
  <cp:lastPrinted>2018-12-03T02:50:00Z</cp:lastPrinted>
  <dcterms:modified xsi:type="dcterms:W3CDTF">2019-07-16T10:45:29Z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