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31"/>
          <w14:textFill>
            <w14:solidFill>
              <w14:schemeClr w14:val="tx1"/>
            </w14:solidFill>
          </w14:textFill>
        </w:rPr>
      </w:pPr>
      <w:r>
        <w:rPr>
          <w:rFonts w:hint="eastAsia"/>
          <w:b/>
          <w:color w:val="000000" w:themeColor="text1"/>
          <w:sz w:val="31"/>
          <w14:textFill>
            <w14:solidFill>
              <w14:schemeClr w14:val="tx1"/>
            </w14:solidFill>
          </w14:textFill>
        </w:rPr>
        <w:t>《舰船用铜镍合金无缝管》</w:t>
      </w:r>
    </w:p>
    <w:p>
      <w:pPr>
        <w:spacing w:after="156" w:afterLines="50" w:line="240" w:lineRule="atLeast"/>
        <w:jc w:val="center"/>
        <w:rPr>
          <w:rFonts w:ascii="宋体" w:hAnsi="宋体"/>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标准（</w:t>
      </w:r>
      <w:r>
        <w:rPr>
          <w:rFonts w:hint="eastAsia" w:ascii="宋体" w:hAnsi="宋体"/>
          <w:b/>
          <w:color w:val="000000" w:themeColor="text1"/>
          <w:kern w:val="0"/>
          <w:sz w:val="28"/>
          <w:szCs w:val="28"/>
          <w14:textFill>
            <w14:solidFill>
              <w14:schemeClr w14:val="tx1"/>
            </w14:solidFill>
          </w14:textFill>
        </w:rPr>
        <w:t>审定稿）</w:t>
      </w:r>
      <w:r>
        <w:rPr>
          <w:rFonts w:hint="eastAsia" w:ascii="宋体" w:hAnsi="宋体"/>
          <w:b/>
          <w:color w:val="000000" w:themeColor="text1"/>
          <w:sz w:val="28"/>
          <w:szCs w:val="28"/>
          <w14:textFill>
            <w14:solidFill>
              <w14:schemeClr w14:val="tx1"/>
            </w14:solidFill>
          </w14:textFill>
        </w:rPr>
        <w:t>编制说明</w:t>
      </w:r>
    </w:p>
    <w:p>
      <w:pPr>
        <w:numPr>
          <w:ilvl w:val="0"/>
          <w:numId w:val="6"/>
        </w:numPr>
        <w:spacing w:line="300" w:lineRule="auto"/>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任务来源</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根据</w:t>
      </w:r>
      <w:r>
        <w:rPr>
          <w:rFonts w:hint="eastAsia" w:cs="Times New Roman" w:asciiTheme="minorEastAsia" w:hAnsiTheme="minorEastAsia"/>
          <w:color w:val="000000" w:themeColor="text1"/>
          <w:kern w:val="0"/>
          <w:szCs w:val="21"/>
          <w14:textFill>
            <w14:solidFill>
              <w14:schemeClr w14:val="tx1"/>
            </w14:solidFill>
          </w14:textFill>
        </w:rPr>
        <w:t>国标委综合</w:t>
      </w:r>
      <w:r>
        <w:rPr>
          <w:rFonts w:cs="Times New Roman" w:asciiTheme="minorEastAsia" w:hAnsiTheme="minorEastAsia"/>
          <w:color w:val="000000" w:themeColor="text1"/>
          <w:kern w:val="0"/>
          <w:szCs w:val="21"/>
          <w14:textFill>
            <w14:solidFill>
              <w14:schemeClr w14:val="tx1"/>
            </w14:solidFill>
          </w14:textFill>
        </w:rPr>
        <w:t>[201</w:t>
      </w:r>
      <w:r>
        <w:rPr>
          <w:rFonts w:hint="eastAsia" w:cs="Times New Roman" w:asciiTheme="minorEastAsia" w:hAnsiTheme="minorEastAsia"/>
          <w:color w:val="000000" w:themeColor="text1"/>
          <w:kern w:val="0"/>
          <w:szCs w:val="21"/>
          <w14:textFill>
            <w14:solidFill>
              <w14:schemeClr w14:val="tx1"/>
            </w14:solidFill>
          </w14:textFill>
        </w:rPr>
        <w:t>7</w:t>
      </w:r>
      <w:r>
        <w:rPr>
          <w:rFonts w:cs="Times New Roman" w:asciiTheme="minorEastAsia" w:hAnsiTheme="minorEastAsia"/>
          <w:color w:val="000000" w:themeColor="text1"/>
          <w:kern w:val="0"/>
          <w:szCs w:val="21"/>
          <w14:textFill>
            <w14:solidFill>
              <w14:schemeClr w14:val="tx1"/>
            </w14:solidFill>
          </w14:textFill>
        </w:rPr>
        <w:t>]</w:t>
      </w:r>
      <w:r>
        <w:rPr>
          <w:rFonts w:hint="eastAsia" w:cs="Times New Roman" w:asciiTheme="minorEastAsia" w:hAnsiTheme="minorEastAsia"/>
          <w:color w:val="000000" w:themeColor="text1"/>
          <w:kern w:val="0"/>
          <w:szCs w:val="21"/>
          <w14:textFill>
            <w14:solidFill>
              <w14:schemeClr w14:val="tx1"/>
            </w14:solidFill>
          </w14:textFill>
        </w:rPr>
        <w:t>128</w:t>
      </w:r>
      <w:r>
        <w:rPr>
          <w:rFonts w:cs="Times New Roman" w:asciiTheme="minorEastAsia" w:hAnsiTheme="minorEastAsia"/>
          <w:color w:val="000000" w:themeColor="text1"/>
          <w:kern w:val="0"/>
          <w:szCs w:val="21"/>
          <w14:textFill>
            <w14:solidFill>
              <w14:schemeClr w14:val="tx1"/>
            </w14:solidFill>
          </w14:textFill>
        </w:rPr>
        <w:t>号</w:t>
      </w:r>
      <w:r>
        <w:rPr>
          <w:rFonts w:hint="eastAsia" w:cs="Times New Roman" w:asciiTheme="minorEastAsia" w:hAnsiTheme="minorEastAsia"/>
          <w:color w:val="000000" w:themeColor="text1"/>
          <w:kern w:val="0"/>
          <w:szCs w:val="21"/>
          <w14:textFill>
            <w14:solidFill>
              <w14:schemeClr w14:val="tx1"/>
            </w14:solidFill>
          </w14:textFill>
        </w:rPr>
        <w:t>及有色标委[2018] 2号文件《</w:t>
      </w:r>
      <w:r>
        <w:rPr>
          <w:rFonts w:cs="Times New Roman" w:asciiTheme="minorEastAsia" w:hAnsiTheme="minorEastAsia"/>
          <w:color w:val="000000" w:themeColor="text1"/>
          <w:kern w:val="0"/>
          <w:szCs w:val="21"/>
          <w14:textFill>
            <w14:solidFill>
              <w14:schemeClr w14:val="tx1"/>
            </w14:solidFill>
          </w14:textFill>
        </w:rPr>
        <w:t>关于转发201</w:t>
      </w:r>
      <w:r>
        <w:rPr>
          <w:rFonts w:hint="eastAsia" w:cs="Times New Roman" w:asciiTheme="minorEastAsia" w:hAnsiTheme="minorEastAsia"/>
          <w:color w:val="000000" w:themeColor="text1"/>
          <w:kern w:val="0"/>
          <w:szCs w:val="21"/>
          <w14:textFill>
            <w14:solidFill>
              <w14:schemeClr w14:val="tx1"/>
            </w14:solidFill>
          </w14:textFill>
        </w:rPr>
        <w:t>8</w:t>
      </w:r>
      <w:r>
        <w:rPr>
          <w:rFonts w:cs="Times New Roman" w:asciiTheme="minorEastAsia" w:hAnsiTheme="minorEastAsia"/>
          <w:color w:val="000000" w:themeColor="text1"/>
          <w:kern w:val="0"/>
          <w:szCs w:val="21"/>
          <w14:textFill>
            <w14:solidFill>
              <w14:schemeClr w14:val="tx1"/>
            </w14:solidFill>
          </w14:textFill>
        </w:rPr>
        <w:t>年第</w:t>
      </w:r>
      <w:r>
        <w:rPr>
          <w:rFonts w:hint="eastAsia" w:cs="Times New Roman" w:asciiTheme="minorEastAsia" w:hAnsiTheme="minorEastAsia"/>
          <w:color w:val="000000" w:themeColor="text1"/>
          <w:kern w:val="0"/>
          <w:szCs w:val="21"/>
          <w14:textFill>
            <w14:solidFill>
              <w14:schemeClr w14:val="tx1"/>
            </w14:solidFill>
          </w14:textFill>
        </w:rPr>
        <w:t>一</w:t>
      </w:r>
      <w:r>
        <w:rPr>
          <w:rFonts w:cs="Times New Roman" w:asciiTheme="minorEastAsia" w:hAnsiTheme="minorEastAsia"/>
          <w:color w:val="000000" w:themeColor="text1"/>
          <w:kern w:val="0"/>
          <w:szCs w:val="21"/>
          <w14:textFill>
            <w14:solidFill>
              <w14:schemeClr w14:val="tx1"/>
            </w14:solidFill>
          </w14:textFill>
        </w:rPr>
        <w:t>批有色金属国家标准制（修）</w:t>
      </w:r>
      <w:r>
        <w:rPr>
          <w:rFonts w:hint="eastAsia" w:cs="Times New Roman" w:asciiTheme="minorEastAsia" w:hAnsiTheme="minorEastAsia"/>
          <w:color w:val="000000" w:themeColor="text1"/>
          <w:kern w:val="0"/>
          <w:szCs w:val="21"/>
          <w14:textFill>
            <w14:solidFill>
              <w14:schemeClr w14:val="tx1"/>
            </w14:solidFill>
          </w14:textFill>
        </w:rPr>
        <w:t>定</w:t>
      </w:r>
      <w:r>
        <w:rPr>
          <w:rFonts w:cs="Times New Roman" w:asciiTheme="minorEastAsia" w:hAnsiTheme="minorEastAsia"/>
          <w:color w:val="000000" w:themeColor="text1"/>
          <w:kern w:val="0"/>
          <w:szCs w:val="21"/>
          <w14:textFill>
            <w14:solidFill>
              <w14:schemeClr w14:val="tx1"/>
            </w14:solidFill>
          </w14:textFill>
        </w:rPr>
        <w:t>项目计划的通知</w:t>
      </w:r>
      <w:r>
        <w:rPr>
          <w:rFonts w:hint="eastAsia" w:cs="Times New Roman" w:asciiTheme="minorEastAsia" w:hAnsiTheme="minorEastAsia"/>
          <w:color w:val="000000" w:themeColor="text1"/>
          <w:kern w:val="0"/>
          <w:szCs w:val="21"/>
          <w14:textFill>
            <w14:solidFill>
              <w14:schemeClr w14:val="tx1"/>
            </w14:solidFill>
          </w14:textFill>
        </w:rPr>
        <w:t>》，其中附件1《</w:t>
      </w:r>
      <w:r>
        <w:rPr>
          <w:rFonts w:cs="Times New Roman" w:asciiTheme="minorEastAsia" w:hAnsiTheme="minorEastAsia"/>
          <w:color w:val="000000" w:themeColor="text1"/>
          <w:kern w:val="0"/>
          <w:szCs w:val="21"/>
          <w14:textFill>
            <w14:solidFill>
              <w14:schemeClr w14:val="tx1"/>
            </w14:solidFill>
          </w14:textFill>
        </w:rPr>
        <w:t>20</w:t>
      </w:r>
      <w:r>
        <w:rPr>
          <w:rFonts w:hint="eastAsia" w:cs="Times New Roman" w:asciiTheme="minorEastAsia" w:hAnsiTheme="minorEastAsia"/>
          <w:color w:val="000000" w:themeColor="text1"/>
          <w:kern w:val="0"/>
          <w:szCs w:val="21"/>
          <w14:textFill>
            <w14:solidFill>
              <w14:schemeClr w14:val="tx1"/>
            </w14:solidFill>
          </w14:textFill>
        </w:rPr>
        <w:t>18</w:t>
      </w:r>
      <w:r>
        <w:rPr>
          <w:rFonts w:cs="Times New Roman" w:asciiTheme="minorEastAsia" w:hAnsiTheme="minorEastAsia"/>
          <w:color w:val="000000" w:themeColor="text1"/>
          <w:kern w:val="0"/>
          <w:szCs w:val="21"/>
          <w14:textFill>
            <w14:solidFill>
              <w14:schemeClr w14:val="tx1"/>
            </w14:solidFill>
          </w14:textFill>
        </w:rPr>
        <w:t>年第</w:t>
      </w:r>
      <w:r>
        <w:rPr>
          <w:rFonts w:hint="eastAsia" w:cs="Times New Roman" w:asciiTheme="minorEastAsia" w:hAnsiTheme="minorEastAsia"/>
          <w:color w:val="000000" w:themeColor="text1"/>
          <w:kern w:val="0"/>
          <w:szCs w:val="21"/>
          <w14:textFill>
            <w14:solidFill>
              <w14:schemeClr w14:val="tx1"/>
            </w14:solidFill>
          </w14:textFill>
        </w:rPr>
        <w:t>一</w:t>
      </w:r>
      <w:r>
        <w:rPr>
          <w:rFonts w:cs="Times New Roman" w:asciiTheme="minorEastAsia" w:hAnsiTheme="minorEastAsia"/>
          <w:color w:val="000000" w:themeColor="text1"/>
          <w:kern w:val="0"/>
          <w:szCs w:val="21"/>
          <w14:textFill>
            <w14:solidFill>
              <w14:schemeClr w14:val="tx1"/>
            </w14:solidFill>
          </w14:textFill>
        </w:rPr>
        <w:t>批有色金属</w:t>
      </w:r>
      <w:r>
        <w:rPr>
          <w:rFonts w:hint="eastAsia" w:cs="Times New Roman" w:asciiTheme="minorEastAsia" w:hAnsiTheme="minorEastAsia"/>
          <w:color w:val="000000" w:themeColor="text1"/>
          <w:kern w:val="0"/>
          <w:szCs w:val="21"/>
          <w14:textFill>
            <w14:solidFill>
              <w14:schemeClr w14:val="tx1"/>
            </w14:solidFill>
          </w14:textFill>
        </w:rPr>
        <w:t>国家</w:t>
      </w:r>
      <w:r>
        <w:rPr>
          <w:rFonts w:cs="Times New Roman" w:asciiTheme="minorEastAsia" w:hAnsiTheme="minorEastAsia"/>
          <w:color w:val="000000" w:themeColor="text1"/>
          <w:kern w:val="0"/>
          <w:szCs w:val="21"/>
          <w14:textFill>
            <w14:solidFill>
              <w14:schemeClr w14:val="tx1"/>
            </w14:solidFill>
          </w14:textFill>
        </w:rPr>
        <w:t>标准项目计划表</w:t>
      </w:r>
      <w:r>
        <w:rPr>
          <w:rFonts w:hint="eastAsia" w:cs="Times New Roman" w:asciiTheme="minorEastAsia" w:hAnsiTheme="minorEastAsia"/>
          <w:color w:val="000000" w:themeColor="text1"/>
          <w:kern w:val="0"/>
          <w:szCs w:val="21"/>
          <w14:textFill>
            <w14:solidFill>
              <w14:schemeClr w14:val="tx1"/>
            </w14:solidFill>
          </w14:textFill>
        </w:rPr>
        <w:t>》序号第91项（项目计划为</w:t>
      </w:r>
      <w:r>
        <w:rPr>
          <w:rFonts w:cs="Times New Roman" w:asciiTheme="minorEastAsia" w:hAnsiTheme="minorEastAsia"/>
          <w:color w:val="000000" w:themeColor="text1"/>
          <w:kern w:val="0"/>
          <w:szCs w:val="21"/>
          <w14:textFill>
            <w14:solidFill>
              <w14:schemeClr w14:val="tx1"/>
            </w14:solidFill>
          </w14:textFill>
        </w:rPr>
        <w:t>20173791-T-610</w:t>
      </w:r>
      <w:r>
        <w:rPr>
          <w:rFonts w:hint="eastAsia" w:cs="Times New Roman" w:asciiTheme="minorEastAsia" w:hAnsiTheme="minorEastAsia"/>
          <w:color w:val="000000" w:themeColor="text1"/>
          <w:kern w:val="0"/>
          <w:szCs w:val="21"/>
          <w14:textFill>
            <w14:solidFill>
              <w14:schemeClr w14:val="tx1"/>
            </w14:solidFill>
          </w14:textFill>
        </w:rPr>
        <w:t>），《舰船用铜镍合金无缝管》国家标准由浙江海亮股份有限公司、</w:t>
      </w:r>
      <w:r>
        <w:rPr>
          <w:rFonts w:hint="eastAsia" w:ascii="宋体" w:hAnsi="宋体" w:eastAsia="宋体" w:cs="宋体"/>
          <w:b w:val="0"/>
          <w:bCs/>
          <w:color w:val="FF0000"/>
          <w:kern w:val="0"/>
          <w:sz w:val="21"/>
          <w:szCs w:val="21"/>
        </w:rPr>
        <w:t>江阴和宏精工科技有限公司</w:t>
      </w:r>
      <w:r>
        <w:rPr>
          <w:rFonts w:hint="eastAsia" w:ascii="宋体" w:hAnsi="宋体" w:eastAsia="宋体"/>
          <w:color w:val="FF0000"/>
          <w:sz w:val="21"/>
          <w:szCs w:val="21"/>
          <w:lang w:eastAsia="zh-CN"/>
        </w:rPr>
        <w:t>、</w:t>
      </w:r>
      <w:r>
        <w:rPr>
          <w:rFonts w:hint="eastAsia" w:ascii="宋体" w:hAnsi="宋体" w:eastAsia="宋体"/>
          <w:color w:val="FF0000"/>
          <w:sz w:val="21"/>
          <w:szCs w:val="21"/>
        </w:rPr>
        <w:t xml:space="preserve"> 无锡隆达金属材料有限公司</w:t>
      </w:r>
      <w:r>
        <w:rPr>
          <w:rFonts w:hint="eastAsia" w:ascii="宋体" w:hAnsi="宋体" w:eastAsia="宋体"/>
          <w:color w:val="FF0000"/>
          <w:sz w:val="21"/>
          <w:szCs w:val="21"/>
          <w:lang w:eastAsia="zh-CN"/>
        </w:rPr>
        <w:t>、</w:t>
      </w:r>
      <w:r>
        <w:rPr>
          <w:rFonts w:hint="eastAsia" w:ascii="宋体" w:hAnsi="宋体" w:eastAsia="宋体"/>
          <w:color w:val="FF0000"/>
          <w:sz w:val="21"/>
          <w:szCs w:val="21"/>
        </w:rPr>
        <w:t>上虞金鹰铜业有限公司</w:t>
      </w:r>
      <w:r>
        <w:rPr>
          <w:rFonts w:hint="eastAsia" w:ascii="宋体" w:hAnsi="宋体" w:eastAsia="宋体"/>
          <w:color w:val="FF0000"/>
          <w:sz w:val="21"/>
          <w:szCs w:val="21"/>
          <w:lang w:eastAsia="zh-CN"/>
        </w:rPr>
        <w:t>、</w:t>
      </w:r>
      <w:r>
        <w:rPr>
          <w:rFonts w:hint="eastAsia" w:ascii="宋体" w:hAnsi="宋体" w:eastAsia="宋体"/>
          <w:color w:val="FF0000"/>
          <w:sz w:val="21"/>
          <w:szCs w:val="21"/>
        </w:rPr>
        <w:t>江苏萃隆精密铜管股份有限公司、金龙精密铜管集团股份有限公司、浙江省冶金产品质量检验站有限公司、江西省铜及铜产品质量监督检验中心</w:t>
      </w:r>
      <w:r>
        <w:rPr>
          <w:rFonts w:hint="eastAsia" w:ascii="宋体" w:hAnsi="宋体" w:eastAsia="宋体" w:cs="宋体"/>
          <w:color w:val="FF0000"/>
          <w:kern w:val="0"/>
          <w:sz w:val="21"/>
          <w:szCs w:val="21"/>
        </w:rPr>
        <w:t>、山东中佳电子科技有限公司</w:t>
      </w:r>
      <w:r>
        <w:rPr>
          <w:rFonts w:hint="eastAsia" w:ascii="宋体" w:hAnsi="宋体" w:eastAsia="宋体" w:cs="宋体"/>
          <w:color w:val="FF0000"/>
          <w:kern w:val="0"/>
          <w:sz w:val="21"/>
          <w:szCs w:val="21"/>
          <w:lang w:eastAsia="zh-CN"/>
        </w:rPr>
        <w:t>、</w:t>
      </w:r>
      <w:r>
        <w:rPr>
          <w:rFonts w:hint="eastAsia" w:ascii="宋体" w:hAnsi="宋体" w:eastAsia="宋体" w:cs="宋体"/>
          <w:color w:val="FF0000"/>
          <w:kern w:val="0"/>
          <w:sz w:val="21"/>
          <w:szCs w:val="21"/>
        </w:rPr>
        <w:t>常熟中佳新材料有限公司</w:t>
      </w:r>
      <w:r>
        <w:rPr>
          <w:rFonts w:hint="eastAsia" w:eastAsia="宋体" w:cs="Times New Roman" w:asciiTheme="minorEastAsia" w:hAnsiTheme="minorEastAsia"/>
          <w:color w:val="000000" w:themeColor="text1"/>
          <w:kern w:val="0"/>
          <w:szCs w:val="21"/>
          <w:lang w:eastAsia="zh-CN"/>
          <w14:textFill>
            <w14:solidFill>
              <w14:schemeClr w14:val="tx1"/>
            </w14:solidFill>
          </w14:textFill>
        </w:rPr>
        <w:t>共同</w:t>
      </w:r>
      <w:r>
        <w:rPr>
          <w:rFonts w:hint="eastAsia" w:cs="Times New Roman" w:asciiTheme="minorEastAsia" w:hAnsiTheme="minorEastAsia"/>
          <w:color w:val="000000" w:themeColor="text1"/>
          <w:kern w:val="0"/>
          <w:szCs w:val="21"/>
          <w14:textFill>
            <w14:solidFill>
              <w14:schemeClr w14:val="tx1"/>
            </w14:solidFill>
          </w14:textFill>
        </w:rPr>
        <w:t>起草修订，完成年限2019年12月。</w:t>
      </w:r>
    </w:p>
    <w:p>
      <w:pPr>
        <w:numPr>
          <w:ilvl w:val="0"/>
          <w:numId w:val="6"/>
        </w:numPr>
        <w:spacing w:line="300" w:lineRule="auto"/>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工作简况</w:t>
      </w:r>
    </w:p>
    <w:p>
      <w:pPr>
        <w:pStyle w:val="20"/>
        <w:numPr>
          <w:ilvl w:val="0"/>
          <w:numId w:val="7"/>
        </w:numPr>
        <w:spacing w:line="300" w:lineRule="auto"/>
        <w:ind w:left="0" w:firstLine="420"/>
        <w:rPr>
          <w:rFonts w:ascii="黑体" w:hAnsi="黑体" w:eastAsia="黑体" w:cs="Times New Roman"/>
          <w:color w:val="000000" w:themeColor="text1"/>
          <w:kern w:val="0"/>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立项目的和意义</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铜及铜合金管在海洋工程领域中的主要应用分为两大类，一类是热交换用管，第二类是输液管道管系用管，本标准主要是应用于舰船制造等海洋工程的管道系统。管系管网管道是海洋工程各系统的重要组成部分，其不仅要求与舰船、海上采油平台等特殊的独立自给自救的生存方式和传输介质有不同水域的海水、污染海水等环境特点相适应，同时还受到海洋恶劣气候环境的影响，从而决定了舰船管路系统传输管的材质不仅要有比内陆管道用管有更高的机械性能、工艺性能，同时还要有足够的乃至稳定的耐蚀安全性。</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目前， 我国加大力度发展海洋经济，船舶制造业也发展迅猛。该铜镍合金无逢管主要应用于舰船制造等海洋工程的管道系统，是舰船的重要组成部分。</w:t>
      </w:r>
      <w:r>
        <w:rPr>
          <w:rFonts w:cs="Times New Roman" w:asciiTheme="minorEastAsia" w:hAnsiTheme="minorEastAsia"/>
          <w:color w:val="000000" w:themeColor="text1"/>
          <w:kern w:val="0"/>
          <w:szCs w:val="21"/>
          <w14:textFill>
            <w14:solidFill>
              <w14:schemeClr w14:val="tx1"/>
            </w14:solidFill>
          </w14:textFill>
        </w:rPr>
        <w:t xml:space="preserve"> GB/T 26291-2010</w:t>
      </w:r>
      <w:r>
        <w:rPr>
          <w:rFonts w:hint="eastAsia" w:cs="Times New Roman" w:asciiTheme="minorEastAsia" w:hAnsiTheme="minorEastAsia"/>
          <w:color w:val="000000" w:themeColor="text1"/>
          <w:kern w:val="0"/>
          <w:szCs w:val="21"/>
          <w14:textFill>
            <w14:solidFill>
              <w14:schemeClr w14:val="tx1"/>
            </w14:solidFill>
          </w14:textFill>
        </w:rPr>
        <w:t>《舰船用铜镍合金无缝管》标准于2009年组织起草，该标准已不能满足当前的产品需求，所以要对原标准进行修订。</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据了解，我国舰船制造数量每年以约30%的比例递增，该铜镍合金无逢管的需求数量也是大幅度增加，但进口产品的比例还是占相当大的比例。通过该标准的修订，可以提升舰船用铜镍合金无缝管的产品质量，增加我国产品与进口产品之间的竞争力。</w:t>
      </w:r>
    </w:p>
    <w:p>
      <w:pPr>
        <w:pStyle w:val="20"/>
        <w:numPr>
          <w:ilvl w:val="0"/>
          <w:numId w:val="7"/>
        </w:numPr>
        <w:spacing w:line="300" w:lineRule="auto"/>
        <w:ind w:left="0" w:firstLine="42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申报单位简况</w:t>
      </w:r>
    </w:p>
    <w:p>
      <w:pPr>
        <w:spacing w:line="300" w:lineRule="auto"/>
        <w:ind w:firstLine="420" w:firstLineChars="200"/>
        <w:rPr>
          <w:rFonts w:cs="Times New Roman" w:asciiTheme="minorEastAsia" w:hAnsiTheme="minorEastAsia"/>
          <w:color w:val="FF0000"/>
          <w:kern w:val="0"/>
          <w:szCs w:val="21"/>
        </w:rPr>
      </w:pPr>
      <w:r>
        <w:rPr>
          <w:rFonts w:hint="eastAsia" w:cs="Times New Roman" w:asciiTheme="minorEastAsia" w:hAnsiTheme="minorEastAsia"/>
          <w:color w:val="000000" w:themeColor="text1"/>
          <w:kern w:val="0"/>
          <w:szCs w:val="21"/>
          <w14:textFill>
            <w14:solidFill>
              <w14:schemeClr w14:val="tx1"/>
            </w14:solidFill>
          </w14:textFill>
        </w:rPr>
        <w:t xml:space="preserve">本标准编制单位为浙江海亮股份有限公司 </w:t>
      </w:r>
      <w:r>
        <w:rPr>
          <w:rFonts w:hint="eastAsia" w:ascii="宋体" w:hAnsi="宋体" w:eastAsia="宋体"/>
          <w:color w:val="FF0000"/>
          <w:lang w:eastAsia="zh-CN"/>
        </w:rPr>
        <w:t>、</w:t>
      </w:r>
      <w:r>
        <w:rPr>
          <w:rFonts w:hint="eastAsia" w:ascii="宋体" w:hAnsi="宋体" w:eastAsia="宋体" w:cs="宋体"/>
          <w:b w:val="0"/>
          <w:bCs/>
          <w:color w:val="FF0000"/>
          <w:kern w:val="0"/>
          <w:sz w:val="21"/>
          <w:szCs w:val="21"/>
        </w:rPr>
        <w:t>江阴和宏精工科技有限公司</w:t>
      </w:r>
      <w:r>
        <w:rPr>
          <w:rFonts w:hint="eastAsia" w:ascii="宋体" w:hAnsi="宋体" w:eastAsia="宋体"/>
          <w:color w:val="FF0000"/>
          <w:lang w:eastAsia="zh-CN"/>
        </w:rPr>
        <w:t>、</w:t>
      </w:r>
      <w:r>
        <w:rPr>
          <w:rFonts w:hint="eastAsia" w:ascii="宋体" w:hAnsi="宋体" w:eastAsia="宋体"/>
          <w:color w:val="FF0000"/>
        </w:rPr>
        <w:t xml:space="preserve"> 无锡隆达金属材料有限公司</w:t>
      </w:r>
      <w:r>
        <w:rPr>
          <w:rFonts w:hint="eastAsia" w:ascii="宋体" w:hAnsi="宋体" w:eastAsia="宋体"/>
          <w:color w:val="FF0000"/>
          <w:lang w:eastAsia="zh-CN"/>
        </w:rPr>
        <w:t>、</w:t>
      </w:r>
      <w:r>
        <w:rPr>
          <w:rFonts w:hint="eastAsia" w:ascii="宋体" w:hAnsi="宋体" w:eastAsia="宋体"/>
          <w:color w:val="FF0000"/>
        </w:rPr>
        <w:t>上虞金鹰铜业有限公司</w:t>
      </w:r>
      <w:r>
        <w:rPr>
          <w:rFonts w:hint="eastAsia" w:ascii="宋体" w:hAnsi="宋体" w:eastAsia="宋体"/>
          <w:color w:val="FF0000"/>
          <w:lang w:eastAsia="zh-CN"/>
        </w:rPr>
        <w:t>、</w:t>
      </w:r>
      <w:r>
        <w:rPr>
          <w:rFonts w:hint="eastAsia" w:ascii="宋体" w:hAnsi="宋体" w:eastAsia="宋体"/>
          <w:color w:val="FF0000"/>
        </w:rPr>
        <w:t>江苏萃隆精密铜管股份有限公司、金龙精密铜管集团股份有限公司、浙江省冶金产品质量检验站有限公司、江西省铜及铜产品质量监督检验中心</w:t>
      </w:r>
      <w:r>
        <w:rPr>
          <w:rFonts w:hint="eastAsia" w:ascii="宋体" w:hAnsi="宋体" w:eastAsia="宋体" w:cs="宋体"/>
          <w:color w:val="FF0000"/>
          <w:kern w:val="0"/>
          <w:sz w:val="21"/>
          <w:szCs w:val="21"/>
        </w:rPr>
        <w:t>、山东中佳电子科技有限公司</w:t>
      </w:r>
      <w:r>
        <w:rPr>
          <w:rFonts w:hint="eastAsia" w:ascii="宋体" w:hAnsi="宋体" w:eastAsia="宋体" w:cs="宋体"/>
          <w:color w:val="FF0000"/>
          <w:kern w:val="0"/>
          <w:sz w:val="21"/>
          <w:szCs w:val="21"/>
          <w:lang w:eastAsia="zh-CN"/>
        </w:rPr>
        <w:t>、</w:t>
      </w:r>
      <w:r>
        <w:rPr>
          <w:rFonts w:hint="eastAsia" w:ascii="宋体" w:hAnsi="宋体" w:eastAsia="宋体" w:cs="宋体"/>
          <w:color w:val="FF0000"/>
          <w:kern w:val="0"/>
          <w:sz w:val="21"/>
          <w:szCs w:val="21"/>
        </w:rPr>
        <w:t>常熟中佳新材料有限公司</w:t>
      </w:r>
      <w:r>
        <w:rPr>
          <w:rFonts w:hint="eastAsia" w:cs="Times New Roman" w:asciiTheme="minorEastAsia" w:hAnsiTheme="minorEastAsia"/>
          <w:color w:val="FF0000"/>
          <w:kern w:val="0"/>
          <w:szCs w:val="21"/>
        </w:rPr>
        <w:t>。</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浙江海亮股份有限公司（以下简称海亮股份 002203）是海亮集团有限公司(中国企业500强第110位)控股的中外合资股份有限公司，成立于1989年，目前总资产154亿元，现有员工5300余名。2017年度，公司总收入298亿元，同比上涨66.41%，利润总额77832万元，同比上涨12.40</w:t>
      </w:r>
      <w:r>
        <w:rPr>
          <w:rFonts w:cs="Times New Roman" w:asciiTheme="minorEastAsia" w:hAnsiTheme="minorEastAsia"/>
          <w:color w:val="000000" w:themeColor="text1"/>
          <w:kern w:val="0"/>
          <w:szCs w:val="21"/>
          <w14:textFill>
            <w14:solidFill>
              <w14:schemeClr w14:val="tx1"/>
            </w14:solidFill>
          </w14:textFill>
        </w:rPr>
        <w:t>%</w:t>
      </w:r>
      <w:r>
        <w:rPr>
          <w:rFonts w:hint="eastAsia" w:cs="Times New Roman" w:asciiTheme="minorEastAsia" w:hAnsiTheme="minorEastAsia"/>
          <w:color w:val="000000" w:themeColor="text1"/>
          <w:kern w:val="0"/>
          <w:szCs w:val="21"/>
          <w14:textFill>
            <w14:solidFill>
              <w14:schemeClr w14:val="tx1"/>
            </w14:solidFill>
          </w14:textFill>
        </w:rPr>
        <w:t>。税收30072万元，同比上涨了68.74</w:t>
      </w:r>
      <w:r>
        <w:rPr>
          <w:rFonts w:cs="Times New Roman" w:asciiTheme="minorEastAsia" w:hAnsiTheme="minorEastAsia"/>
          <w:color w:val="000000" w:themeColor="text1"/>
          <w:kern w:val="0"/>
          <w:szCs w:val="21"/>
          <w14:textFill>
            <w14:solidFill>
              <w14:schemeClr w14:val="tx1"/>
            </w14:solidFill>
          </w14:textFill>
        </w:rPr>
        <w:t>%</w:t>
      </w:r>
      <w:r>
        <w:rPr>
          <w:rFonts w:hint="eastAsia" w:cs="Times New Roman" w:asciiTheme="minorEastAsia" w:hAnsiTheme="minorEastAsia"/>
          <w:color w:val="000000" w:themeColor="text1"/>
          <w:kern w:val="0"/>
          <w:szCs w:val="21"/>
          <w14:textFill>
            <w14:solidFill>
              <w14:schemeClr w14:val="tx1"/>
            </w14:solidFill>
          </w14:textFill>
        </w:rPr>
        <w:t>。</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公司现拥有浙江海亮、上海海亮、安徽海亮、越南海亮、广东海亮、中山海亮奥托、泰国海亮、重庆海亮、美国海亮等十个产地，下属浙江科宇金属材料有限公司、浙江铜加工研究院有限公司等</w:t>
      </w:r>
      <w:r>
        <w:rPr>
          <w:rFonts w:cs="Times New Roman" w:asciiTheme="minorEastAsia" w:hAnsiTheme="minorEastAsia"/>
          <w:color w:val="000000" w:themeColor="text1"/>
          <w:kern w:val="0"/>
          <w:szCs w:val="21"/>
          <w14:textFill>
            <w14:solidFill>
              <w14:schemeClr w14:val="tx1"/>
            </w14:solidFill>
          </w14:textFill>
        </w:rPr>
        <w:t>10</w:t>
      </w:r>
      <w:r>
        <w:rPr>
          <w:rFonts w:hint="eastAsia" w:cs="Times New Roman" w:asciiTheme="minorEastAsia" w:hAnsiTheme="minorEastAsia"/>
          <w:color w:val="000000" w:themeColor="text1"/>
          <w:kern w:val="0"/>
          <w:szCs w:val="21"/>
          <w14:textFill>
            <w14:solidFill>
              <w14:schemeClr w14:val="tx1"/>
            </w14:solidFill>
          </w14:textFill>
        </w:rPr>
        <w:t>多家控股子公司。企业连续年荣获浙江省信用</w:t>
      </w:r>
      <w:r>
        <w:rPr>
          <w:rFonts w:cs="Times New Roman" w:asciiTheme="minorEastAsia" w:hAnsiTheme="minorEastAsia"/>
          <w:color w:val="000000" w:themeColor="text1"/>
          <w:kern w:val="0"/>
          <w:szCs w:val="21"/>
          <w14:textFill>
            <w14:solidFill>
              <w14:schemeClr w14:val="tx1"/>
            </w14:solidFill>
          </w14:textFill>
        </w:rPr>
        <w:t>AAA</w:t>
      </w:r>
      <w:r>
        <w:rPr>
          <w:rFonts w:hint="eastAsia" w:cs="Times New Roman" w:asciiTheme="minorEastAsia" w:hAnsiTheme="minorEastAsia"/>
          <w:color w:val="000000" w:themeColor="text1"/>
          <w:kern w:val="0"/>
          <w:szCs w:val="21"/>
          <w14:textFill>
            <w14:solidFill>
              <w14:schemeClr w14:val="tx1"/>
            </w14:solidFill>
          </w14:textFill>
        </w:rPr>
        <w:t>级企业，公司是高新技术企业，全国企事业知识产权试点单位，国家级博士后科研工作站设站单位，省级创新型企业，省级三名示范企业、省级标准创新型企业，省绿色企业，省工业循环经济示范企业，拥有国家企业技术中心、浙江省首批省级企业研究院、省级高新技术研发中心、教育部重点实验室“海亮铜加工技术开发实验室”、省级重点创新团队。</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海亮股份是全球规模最大的铜加工企业，国际知名铜加工企业。核心业务主要分为三大系列（铜管、铜棒和管件；铝型材；铜铝复合材）、八大主导产品（铜合金管、制冷用空调管、无缝铜水（气）管、精密铜棒、管件、微通道铝扁管、铝型材、铜铝复合材）。产品囊括了近百个牌号、数千种规格，广泛用于核电、航空航天、舰船及海洋工程、海水淡化、空调和冰箱制冷、建筑水管、装备制造、汽车工业、电子信息等军工和民用行业。海亮股份近年来不断推出高效能内螺纹铜管、新型铜合金管、环保型无铅精密铜棒等高端产品，使企业的产品结构日趋优化。</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自2000年开始，海亮股份通过积极牵头主持、参与国家标准起草制订，为我国铜管行业的整体技术进步、行业有序发展做出突出贡献。至今，行业中铜管材产品标准80%以上由海亮股份主起草，相关行业发展的管理性标准（如能耗标准、安全生产标准等）也都由公司作为第一起草单位起草。公司还积极参与国际标准化组织的活动，是我国有色金属标准化委员会委员单位，公司总裁曹建国同志承担了国际标准化组织铜和铜合金技术委员会（ISO/</w:t>
      </w:r>
      <w:r>
        <w:rPr>
          <w:rFonts w:cs="Times New Roman" w:asciiTheme="minorEastAsia" w:hAnsiTheme="minorEastAsia"/>
          <w:color w:val="000000" w:themeColor="text1"/>
          <w:kern w:val="0"/>
          <w:szCs w:val="21"/>
          <w14:textFill>
            <w14:solidFill>
              <w14:schemeClr w14:val="tx1"/>
            </w14:solidFill>
          </w14:textFill>
        </w:rPr>
        <w:t>TC26</w:t>
      </w:r>
      <w:r>
        <w:rPr>
          <w:rFonts w:hint="eastAsia" w:cs="Times New Roman" w:asciiTheme="minorEastAsia" w:hAnsiTheme="minorEastAsia"/>
          <w:color w:val="000000" w:themeColor="text1"/>
          <w:kern w:val="0"/>
          <w:szCs w:val="21"/>
          <w14:textFill>
            <w14:solidFill>
              <w14:schemeClr w14:val="tx1"/>
            </w14:solidFill>
          </w14:textFill>
        </w:rPr>
        <w:t>）主席职务，也是我国有色金属标准化委员会副主任委员，公司踊跃参加国家标准对国际标准的转化工作等。企业已牵头起草制定和计划起草制定的国家行业标准共44项，其中行业标准15项。</w:t>
      </w:r>
    </w:p>
    <w:p>
      <w:pPr>
        <w:pStyle w:val="20"/>
        <w:numPr>
          <w:ilvl w:val="0"/>
          <w:numId w:val="7"/>
        </w:numPr>
        <w:spacing w:line="300" w:lineRule="auto"/>
        <w:ind w:left="0" w:firstLine="42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主要工作过程</w:t>
      </w:r>
    </w:p>
    <w:p>
      <w:pPr>
        <w:spacing w:line="300" w:lineRule="auto"/>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2.3.1项目分工</w:t>
      </w:r>
    </w:p>
    <w:p>
      <w:pPr>
        <w:spacing w:line="300" w:lineRule="auto"/>
        <w:ind w:firstLine="420" w:firstLineChars="200"/>
        <w:rPr>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 </w:t>
      </w:r>
      <w:r>
        <w:rPr>
          <w:rFonts w:hint="eastAsia"/>
          <w:color w:val="000000" w:themeColor="text1"/>
          <w14:textFill>
            <w14:solidFill>
              <w14:schemeClr w14:val="tx1"/>
            </w14:solidFill>
          </w14:textFill>
        </w:rPr>
        <w:t>标准制订计划任务正式下达后，项目成立了标准编制组，并落实起草任务，确定标准的主要起草人，拟定该标准的工作计划。具体分工为：浙江海亮股份有限公司总负责、市场和同行业信息收集、资料汇总及执笔；</w:t>
      </w:r>
      <w:r>
        <w:rPr>
          <w:rFonts w:hint="eastAsia" w:ascii="宋体" w:hAnsi="宋体" w:eastAsia="宋体" w:cs="宋体"/>
          <w:b w:val="0"/>
          <w:bCs/>
          <w:color w:val="FF0000"/>
          <w:kern w:val="0"/>
          <w:sz w:val="21"/>
          <w:szCs w:val="21"/>
        </w:rPr>
        <w:t>江阴和宏精工科技有限公司</w:t>
      </w:r>
      <w:r>
        <w:rPr>
          <w:rFonts w:hint="eastAsia" w:ascii="宋体" w:hAnsi="宋体" w:eastAsia="宋体"/>
          <w:color w:val="FF0000"/>
          <w:lang w:eastAsia="zh-CN"/>
        </w:rPr>
        <w:t>、</w:t>
      </w:r>
      <w:r>
        <w:rPr>
          <w:rFonts w:hint="eastAsia" w:ascii="宋体" w:hAnsi="宋体" w:eastAsia="宋体"/>
          <w:color w:val="FF0000"/>
        </w:rPr>
        <w:t xml:space="preserve"> 无锡隆达金属材料有限公司</w:t>
      </w:r>
      <w:r>
        <w:rPr>
          <w:rFonts w:hint="eastAsia" w:ascii="宋体" w:hAnsi="宋体" w:eastAsia="宋体"/>
          <w:color w:val="FF0000"/>
          <w:lang w:eastAsia="zh-CN"/>
        </w:rPr>
        <w:t>、</w:t>
      </w:r>
      <w:r>
        <w:rPr>
          <w:rFonts w:hint="eastAsia" w:ascii="宋体" w:hAnsi="宋体" w:eastAsia="宋体"/>
          <w:color w:val="FF0000"/>
        </w:rPr>
        <w:t>上虞金鹰铜业有限公司</w:t>
      </w:r>
      <w:r>
        <w:rPr>
          <w:rFonts w:hint="eastAsia" w:ascii="宋体" w:hAnsi="宋体" w:eastAsia="宋体"/>
          <w:color w:val="FF0000"/>
          <w:lang w:eastAsia="zh-CN"/>
        </w:rPr>
        <w:t>、</w:t>
      </w:r>
      <w:r>
        <w:rPr>
          <w:rFonts w:hint="eastAsia" w:ascii="宋体" w:hAnsi="宋体" w:eastAsia="宋体"/>
          <w:color w:val="FF0000"/>
        </w:rPr>
        <w:t>江苏萃隆精密铜管股份有限公司、金龙精密铜管集团股份有限公司、浙江省冶金产品质量检验站有限公司、江西省铜及铜产品质量监督检验中心</w:t>
      </w:r>
      <w:r>
        <w:rPr>
          <w:rFonts w:hint="eastAsia" w:ascii="宋体" w:hAnsi="宋体" w:eastAsia="宋体" w:cs="宋体"/>
          <w:color w:val="FF0000"/>
          <w:kern w:val="0"/>
          <w:sz w:val="21"/>
          <w:szCs w:val="21"/>
        </w:rPr>
        <w:t>、山东中佳电子科技有限公司</w:t>
      </w:r>
      <w:r>
        <w:rPr>
          <w:rFonts w:hint="eastAsia" w:ascii="宋体" w:hAnsi="宋体" w:eastAsia="宋体" w:cs="宋体"/>
          <w:color w:val="FF0000"/>
          <w:kern w:val="0"/>
          <w:sz w:val="21"/>
          <w:szCs w:val="21"/>
          <w:lang w:eastAsia="zh-CN"/>
        </w:rPr>
        <w:t>、</w:t>
      </w:r>
      <w:r>
        <w:rPr>
          <w:rFonts w:hint="eastAsia" w:ascii="宋体" w:hAnsi="宋体" w:eastAsia="宋体" w:cs="宋体"/>
          <w:color w:val="FF0000"/>
          <w:kern w:val="0"/>
          <w:sz w:val="21"/>
          <w:szCs w:val="21"/>
        </w:rPr>
        <w:t>常熟中佳新材料有限公司</w:t>
      </w:r>
      <w:r>
        <w:rPr>
          <w:rFonts w:hint="eastAsia"/>
          <w:color w:val="000000" w:themeColor="text1"/>
          <w14:textFill>
            <w14:solidFill>
              <w14:schemeClr w14:val="tx1"/>
            </w14:solidFill>
          </w14:textFill>
        </w:rPr>
        <w:t>负责补充市场信息和标准数据的验证。各企业分工明确，紧密合作，进行了全面的市场调研、资料查询，收集了产品测试、用户使用方面的相关技术数据，比较全面和准确地了解舰船用铜镍合金无缝管应用领域的需求及其技术要求，为本标准的制定提供了依据。本标准在制定过程中，与用户进行了多次沟通，以此来保证本标准的数据采集和各项技术指标的验证以及标准文本的编制任务的顺利完成。</w:t>
      </w:r>
    </w:p>
    <w:p>
      <w:pPr>
        <w:spacing w:line="300" w:lineRule="auto"/>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2.3.2</w:t>
      </w:r>
      <w:r>
        <w:rPr>
          <w:rFonts w:hint="eastAsia"/>
          <w:color w:val="000000" w:themeColor="text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主要起草过程</w:t>
      </w:r>
    </w:p>
    <w:p>
      <w:pPr>
        <w:spacing w:line="300" w:lineRule="auto"/>
        <w:ind w:firstLine="420" w:firstLineChars="200"/>
        <w:rPr>
          <w:rFonts w:asciiTheme="majorEastAsia" w:hAnsiTheme="majorEastAsia" w:eastAsiaTheme="majorEastAsia"/>
          <w:color w:val="000000" w:themeColor="text1"/>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该铜镍合金无逢管主要应用于舰船制造等海洋工程的管道系统，是舰船的重要组成部分。目前， 我国加大力度发展海洋经济，船舶制造业迅猛发展，</w:t>
      </w:r>
      <w:r>
        <w:rPr>
          <w:rFonts w:hint="eastAsia" w:asciiTheme="majorEastAsia" w:hAnsiTheme="majorEastAsia" w:eastAsiaTheme="majorEastAsia"/>
          <w:color w:val="000000" w:themeColor="text1"/>
          <w:szCs w:val="21"/>
          <w14:textFill>
            <w14:solidFill>
              <w14:schemeClr w14:val="tx1"/>
            </w14:solidFill>
          </w14:textFill>
        </w:rPr>
        <w:t>市场前景十分看好。</w:t>
      </w:r>
    </w:p>
    <w:p>
      <w:pPr>
        <w:spacing w:line="300" w:lineRule="auto"/>
        <w:ind w:firstLine="420" w:firstLineChars="20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经过编制小组工作人员对国内外资料的分析，该产品国外相关标准主要有：GJB 8757-2015《舰船用白铜管材规范》、DIN 86019-2006《管道用拉制</w:t>
      </w:r>
      <w:r>
        <w:rPr>
          <w:rFonts w:hint="eastAsia"/>
          <w:color w:val="000000" w:themeColor="text1"/>
          <w:sz w:val="21"/>
          <w:szCs w:val="21"/>
          <w14:textFill>
            <w14:solidFill>
              <w14:schemeClr w14:val="tx1"/>
            </w14:solidFill>
          </w14:textFill>
        </w:rPr>
        <w:t>CuNi10Fe1.6Mn无缝管与精密管的尺寸</w:t>
      </w:r>
      <w:r>
        <w:rPr>
          <w:rFonts w:hint="eastAsia" w:asciiTheme="majorEastAsia" w:hAnsiTheme="majorEastAsia" w:eastAsiaTheme="majorEastAsia"/>
          <w:color w:val="000000" w:themeColor="text1"/>
          <w:szCs w:val="21"/>
          <w14:textFill>
            <w14:solidFill>
              <w14:schemeClr w14:val="tx1"/>
            </w14:solidFill>
          </w14:textFill>
        </w:rPr>
        <w:t>》和MIL-T-16420K(SH)1988《铜镍合金无缝管及焊接管》三项相关标准。</w:t>
      </w:r>
    </w:p>
    <w:p>
      <w:pPr>
        <w:spacing w:line="300" w:lineRule="auto"/>
        <w:ind w:firstLine="420" w:firstLineChars="20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经具体分析：GJB 8757-2015《舰船用白铜管材规范》包括一个牌号BFe10-1.6-1(T70620),一个状态O60；DIN 86019-2006《管道用拉制CuNi10Fe1.6Mn无缝管与精密管的尺寸》包括一个牌号CuNi10Fe1.6Mn（相当于中国牌号BFe10-1.6-1）；MIL-T-16420K(SH)1988《铜镍合金无缝管及焊接管》包括两个牌号C71500和C70600,包括两个状态O60和H55。</w:t>
      </w:r>
    </w:p>
    <w:p>
      <w:pPr>
        <w:spacing w:line="300" w:lineRule="auto"/>
        <w:ind w:firstLine="420" w:firstLineChars="200"/>
        <w:rPr>
          <w:rFonts w:asciiTheme="majorEastAsia" w:hAnsiTheme="majorEastAsia" w:eastAsiaTheme="majorEastAsia"/>
          <w:color w:val="00B0F0"/>
          <w:szCs w:val="21"/>
          <w:highlight w:val="yellow"/>
        </w:rPr>
      </w:pPr>
      <w:r>
        <w:rPr>
          <w:rFonts w:hint="eastAsia"/>
          <w:color w:val="00B0F0"/>
        </w:rPr>
        <w:t>经分析国内外资料和用户的使用要求及企业的生产情况，编制小组对</w:t>
      </w:r>
      <w:r>
        <w:rPr>
          <w:rFonts w:cs="Times New Roman" w:asciiTheme="minorEastAsia" w:hAnsiTheme="minorEastAsia"/>
          <w:color w:val="00B0F0"/>
          <w:kern w:val="0"/>
          <w:szCs w:val="21"/>
        </w:rPr>
        <w:t>GB/T 26291-2010</w:t>
      </w:r>
      <w:r>
        <w:rPr>
          <w:rFonts w:hint="eastAsia" w:cs="Times New Roman" w:asciiTheme="minorEastAsia" w:hAnsiTheme="minorEastAsia"/>
          <w:color w:val="00B0F0"/>
          <w:kern w:val="0"/>
          <w:szCs w:val="21"/>
        </w:rPr>
        <w:t>《舰船用铜镍合金无逢管》</w:t>
      </w:r>
      <w:r>
        <w:rPr>
          <w:rFonts w:hint="eastAsia" w:asciiTheme="majorEastAsia" w:hAnsiTheme="majorEastAsia" w:eastAsiaTheme="majorEastAsia"/>
          <w:color w:val="00B0F0"/>
          <w:szCs w:val="21"/>
        </w:rPr>
        <w:t>的主要修订如下：</w:t>
      </w:r>
    </w:p>
    <w:p>
      <w:pPr>
        <w:pStyle w:val="44"/>
        <w:ind w:firstLine="420"/>
        <w:rPr>
          <w:rFonts w:hAnsi="宋体"/>
          <w:color w:val="00B0F0"/>
        </w:rPr>
      </w:pPr>
      <w:r>
        <w:rPr>
          <w:rFonts w:hint="eastAsia" w:hAnsi="宋体"/>
          <w:color w:val="00B0F0"/>
        </w:rPr>
        <w:t>——按新国标修改合金牌号和状态表示方法；</w:t>
      </w:r>
    </w:p>
    <w:p>
      <w:pPr>
        <w:pStyle w:val="44"/>
        <w:ind w:firstLine="420"/>
        <w:rPr>
          <w:rFonts w:hAnsi="宋体"/>
          <w:color w:val="00B0F0"/>
        </w:rPr>
      </w:pPr>
      <w:r>
        <w:rPr>
          <w:rFonts w:hint="eastAsia" w:hAnsi="宋体"/>
          <w:color w:val="00B0F0"/>
        </w:rPr>
        <w:t>——增加了</w:t>
      </w:r>
      <w:r>
        <w:rPr>
          <w:rFonts w:hAnsi="宋体"/>
          <w:color w:val="00B0F0"/>
        </w:rPr>
        <w:t>公称尺寸</w:t>
      </w:r>
      <w:r>
        <w:rPr>
          <w:rFonts w:hint="eastAsia" w:hAnsi="宋体"/>
          <w:color w:val="00B0F0"/>
        </w:rPr>
        <w:t>(</w:t>
      </w:r>
      <w:r>
        <w:rPr>
          <w:rFonts w:hAnsi="宋体"/>
          <w:color w:val="00B0F0"/>
        </w:rPr>
        <w:t>DN</w:t>
      </w:r>
      <w:r>
        <w:rPr>
          <w:rFonts w:hint="eastAsia" w:hAnsi="宋体"/>
          <w:color w:val="00B0F0"/>
        </w:rPr>
        <w:t>)的术语和定义；</w:t>
      </w:r>
    </w:p>
    <w:p>
      <w:pPr>
        <w:pStyle w:val="44"/>
        <w:ind w:firstLine="420"/>
        <w:rPr>
          <w:rFonts w:hAnsi="宋体"/>
          <w:color w:val="00B0F0"/>
        </w:rPr>
      </w:pPr>
      <w:r>
        <w:rPr>
          <w:rFonts w:hint="eastAsia" w:hAnsi="宋体"/>
          <w:color w:val="00B0F0"/>
        </w:rPr>
        <w:t>——管材种类增加了“盘管”；</w:t>
      </w:r>
    </w:p>
    <w:p>
      <w:pPr>
        <w:pStyle w:val="44"/>
        <w:ind w:firstLine="420"/>
        <w:rPr>
          <w:rFonts w:hAnsi="宋体"/>
          <w:color w:val="00B0F0"/>
        </w:rPr>
      </w:pPr>
      <w:r>
        <w:rPr>
          <w:rFonts w:hint="eastAsia" w:hAnsi="宋体"/>
          <w:color w:val="00B0F0"/>
        </w:rPr>
        <w:t>——删去了Y2状态，只保留O60状态；</w:t>
      </w:r>
    </w:p>
    <w:p>
      <w:pPr>
        <w:pStyle w:val="44"/>
        <w:ind w:firstLine="420"/>
        <w:rPr>
          <w:rFonts w:hAnsi="宋体"/>
          <w:color w:val="00B0F0"/>
        </w:rPr>
      </w:pPr>
      <w:r>
        <w:rPr>
          <w:rFonts w:hint="eastAsia" w:hAnsi="宋体"/>
          <w:color w:val="00B0F0"/>
        </w:rPr>
        <w:t>——扩大了规格范围：外径由8～458 mm变为4～458 mm，壁厚由为0.6～12.0mm变为0.4～12.7mm，长度由≤8000mm变为≤15000mm；</w:t>
      </w:r>
    </w:p>
    <w:p>
      <w:pPr>
        <w:pStyle w:val="44"/>
        <w:ind w:firstLine="420"/>
        <w:rPr>
          <w:rFonts w:hAnsi="宋体"/>
          <w:color w:val="00B0F0"/>
        </w:rPr>
      </w:pPr>
      <w:r>
        <w:rPr>
          <w:rFonts w:hint="eastAsia" w:hAnsi="宋体"/>
          <w:color w:val="00B0F0"/>
        </w:rPr>
        <w:t>——将表3中的公称尺寸由70mm改为65mm；</w:t>
      </w:r>
    </w:p>
    <w:p>
      <w:pPr>
        <w:pStyle w:val="44"/>
        <w:ind w:firstLine="420"/>
        <w:rPr>
          <w:rFonts w:hAnsi="宋体"/>
          <w:color w:val="00B0F0"/>
        </w:rPr>
      </w:pPr>
      <w:r>
        <w:rPr>
          <w:rFonts w:hint="eastAsia" w:hAnsi="宋体"/>
          <w:color w:val="00B0F0"/>
        </w:rPr>
        <w:t>——对壁厚允许偏差进行了修改：外径大于159mm管材的平均壁厚允许偏差由原来的管材名义壁厚的</w:t>
      </w:r>
      <w:r>
        <w:rPr>
          <w:rFonts w:hAnsi="宋体"/>
          <w:color w:val="00B0F0"/>
        </w:rPr>
        <w:t>±</w:t>
      </w:r>
      <w:r>
        <w:rPr>
          <w:rFonts w:hint="eastAsia" w:hAnsi="宋体"/>
          <w:color w:val="00B0F0"/>
        </w:rPr>
        <w:t>12.5%修改为</w:t>
      </w:r>
      <w:r>
        <w:rPr>
          <w:rFonts w:hAnsi="宋体"/>
          <w:color w:val="00B0F0"/>
        </w:rPr>
        <w:t>±</w:t>
      </w:r>
      <w:r>
        <w:rPr>
          <w:rFonts w:hint="eastAsia" w:hAnsi="宋体"/>
          <w:color w:val="00B0F0"/>
        </w:rPr>
        <w:t>公称壁厚的12%；任意壁厚允许偏差由原来的+最小壁厚的18%修改为+最小壁厚的15%；</w:t>
      </w:r>
    </w:p>
    <w:p>
      <w:pPr>
        <w:pStyle w:val="44"/>
        <w:ind w:firstLine="420"/>
        <w:rPr>
          <w:rFonts w:hAnsi="宋体"/>
          <w:color w:val="00B0F0"/>
        </w:rPr>
      </w:pPr>
      <w:r>
        <w:rPr>
          <w:rFonts w:hint="eastAsia" w:hAnsi="宋体"/>
          <w:color w:val="00B0F0"/>
        </w:rPr>
        <w:t>——对直度进行了修改：管材的直度由原来的每米应不大于2mm修改为按公称外径分档规定，外径≤80mm，每米不大于2mm；&gt;80～150mm，每米不大于3mm；&gt;150mm，每米不大于4mm；</w:t>
      </w:r>
    </w:p>
    <w:p>
      <w:pPr>
        <w:pStyle w:val="44"/>
        <w:ind w:firstLine="420"/>
        <w:rPr>
          <w:rFonts w:hAnsi="宋体"/>
          <w:color w:val="00B0F0"/>
        </w:rPr>
      </w:pPr>
      <w:r>
        <w:rPr>
          <w:rFonts w:hint="eastAsia" w:hAnsi="宋体"/>
          <w:color w:val="00B0F0"/>
        </w:rPr>
        <w:t>——力学性能增加了维氏硬度要求，提高了抗拉强度和BFe30-1-1断后伸长率指标；</w:t>
      </w:r>
    </w:p>
    <w:p>
      <w:pPr>
        <w:pStyle w:val="44"/>
        <w:ind w:firstLine="420"/>
        <w:rPr>
          <w:rFonts w:hAnsi="宋体"/>
          <w:color w:val="00B0F0"/>
        </w:rPr>
      </w:pPr>
      <w:r>
        <w:rPr>
          <w:rFonts w:hint="eastAsia" w:hAnsi="宋体"/>
          <w:color w:val="00B0F0"/>
        </w:rPr>
        <w:t>——将工艺性能中的双向弯曲试验修改为双向折弯试验；</w:t>
      </w:r>
    </w:p>
    <w:p>
      <w:pPr>
        <w:pStyle w:val="44"/>
        <w:ind w:firstLine="420"/>
        <w:rPr>
          <w:rFonts w:hAnsi="宋体"/>
          <w:color w:val="00B0F0"/>
        </w:rPr>
      </w:pPr>
      <w:r>
        <w:rPr>
          <w:rFonts w:hint="eastAsia" w:hAnsi="宋体"/>
          <w:color w:val="00B0F0"/>
        </w:rPr>
        <w:t>——增加了管材电化学腐蚀性能检验，试验结果要求ΔE≤0.07V；</w:t>
      </w:r>
    </w:p>
    <w:p>
      <w:pPr>
        <w:pStyle w:val="44"/>
        <w:ind w:firstLine="420"/>
        <w:rPr>
          <w:rFonts w:hint="eastAsia" w:hAnsi="宋体"/>
          <w:color w:val="00B0F0"/>
        </w:rPr>
      </w:pPr>
      <w:r>
        <w:rPr>
          <w:rFonts w:hint="eastAsia" w:hAnsi="宋体"/>
          <w:color w:val="00B0F0"/>
        </w:rPr>
        <w:t>——增加了附录A《管材电化学腐蚀性能检验方法》。</w:t>
      </w:r>
    </w:p>
    <w:p>
      <w:pPr>
        <w:pStyle w:val="44"/>
        <w:ind w:firstLine="420"/>
        <w:rPr>
          <w:rFonts w:hint="eastAsia" w:hAnsi="宋体"/>
          <w:color w:val="00B0F0"/>
        </w:rPr>
      </w:pPr>
    </w:p>
    <w:p>
      <w:pPr>
        <w:pStyle w:val="44"/>
        <w:ind w:firstLine="420"/>
        <w:rPr>
          <w:rFonts w:hint="eastAsia" w:hAnsi="宋体"/>
          <w:color w:val="00B0F0"/>
        </w:rPr>
      </w:pPr>
      <w:bookmarkStart w:id="0" w:name="_GoBack"/>
      <w:bookmarkEnd w:id="0"/>
    </w:p>
    <w:p>
      <w:pPr>
        <w:spacing w:line="300" w:lineRule="auto"/>
        <w:ind w:firstLine="420" w:firstLineChars="200"/>
        <w:rPr>
          <w:color w:val="000000" w:themeColor="text1"/>
          <w14:textFill>
            <w14:solidFill>
              <w14:schemeClr w14:val="tx1"/>
            </w14:solidFill>
          </w14:textFill>
        </w:rPr>
      </w:pPr>
      <w:r>
        <w:rPr>
          <w:rFonts w:hint="eastAsia"/>
          <w:color w:val="00B0F0"/>
        </w:rPr>
        <w:t>按照以上修订意见，</w:t>
      </w:r>
      <w:r>
        <w:rPr>
          <w:rFonts w:hint="eastAsia"/>
          <w:color w:val="000000" w:themeColor="text1"/>
          <w14:textFill>
            <w14:solidFill>
              <w14:schemeClr w14:val="tx1"/>
            </w14:solidFill>
          </w14:textFill>
        </w:rPr>
        <w:t>编制小组于2018年7月形成了GB/T26291-XXXX《舰船用铜镍合金无缝管》的</w:t>
      </w:r>
      <w:r>
        <w:rPr>
          <w:rFonts w:hint="eastAsia"/>
          <w:color w:val="FF0000"/>
          <w:lang w:eastAsia="zh-CN"/>
        </w:rPr>
        <w:t>《</w:t>
      </w:r>
      <w:r>
        <w:rPr>
          <w:rFonts w:hint="eastAsia"/>
          <w:color w:val="FF0000"/>
        </w:rPr>
        <w:t>讨论稿</w:t>
      </w:r>
      <w:r>
        <w:rPr>
          <w:rFonts w:hint="eastAsia"/>
          <w:color w:val="FF0000"/>
          <w:lang w:eastAsia="zh-CN"/>
        </w:rPr>
        <w:t>》及《编制说明》</w:t>
      </w:r>
      <w:r>
        <w:rPr>
          <w:rFonts w:hint="eastAsia"/>
          <w:color w:val="000000" w:themeColor="text1"/>
          <w14:textFill>
            <w14:solidFill>
              <w14:schemeClr w14:val="tx1"/>
            </w14:solidFill>
          </w14:textFill>
        </w:rPr>
        <w:t>。</w:t>
      </w:r>
    </w:p>
    <w:p>
      <w:pPr>
        <w:spacing w:line="30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于2018年7月在哈尔滨召开了</w:t>
      </w:r>
      <w:r>
        <w:rPr>
          <w:rFonts w:hint="eastAsia"/>
          <w:color w:val="FF0000"/>
          <w:lang w:eastAsia="zh-CN"/>
        </w:rPr>
        <w:t>本标准</w:t>
      </w:r>
      <w:r>
        <w:rPr>
          <w:rFonts w:hint="eastAsia"/>
          <w:color w:val="000000" w:themeColor="text1"/>
          <w14:textFill>
            <w14:solidFill>
              <w14:schemeClr w14:val="tx1"/>
            </w14:solidFill>
          </w14:textFill>
        </w:rPr>
        <w:t>讨论会，会上专家对该标准进行了认真详尽的讨论和沟通，给出了有效的修改意见，会后，编制小组根据专家给出的意见重新进行了数据分析和查阅相关资料，经过修改后，与2019年3月份形成了该</w:t>
      </w:r>
      <w:r>
        <w:rPr>
          <w:rFonts w:hint="eastAsia"/>
          <w:color w:val="FF0000"/>
          <w:lang w:eastAsia="zh-CN"/>
        </w:rPr>
        <w:t>《</w:t>
      </w:r>
      <w:r>
        <w:rPr>
          <w:rFonts w:hint="eastAsia"/>
          <w:color w:val="FF0000"/>
        </w:rPr>
        <w:t>预审稿</w:t>
      </w:r>
      <w:r>
        <w:rPr>
          <w:rFonts w:hint="eastAsia"/>
          <w:color w:val="FF0000"/>
          <w:lang w:eastAsia="zh-CN"/>
        </w:rPr>
        <w:t>》及《编制说明》</w:t>
      </w:r>
      <w:r>
        <w:rPr>
          <w:rFonts w:hint="eastAsia"/>
          <w:strike/>
          <w:dstrike w:val="0"/>
          <w:color w:val="FF0000"/>
        </w:rPr>
        <w:t>具体的修订意见见《意见处理汇总表》</w:t>
      </w:r>
      <w:r>
        <w:rPr>
          <w:rFonts w:hint="eastAsia"/>
          <w:color w:val="000000" w:themeColor="text1"/>
          <w14:textFill>
            <w14:solidFill>
              <w14:schemeClr w14:val="tx1"/>
            </w14:solidFill>
          </w14:textFill>
        </w:rPr>
        <w:t>。</w:t>
      </w:r>
    </w:p>
    <w:p>
      <w:pPr>
        <w:spacing w:line="300" w:lineRule="auto"/>
        <w:ind w:firstLine="420" w:firstLineChars="200"/>
        <w:rPr>
          <w:rFonts w:hint="eastAsia"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2019年3月，经全国有色金属标准化技术委员会组织，该标准在株洲召开了</w:t>
      </w:r>
      <w:r>
        <w:rPr>
          <w:rFonts w:hint="eastAsia"/>
          <w:color w:val="FF0000"/>
          <w:lang w:eastAsia="zh-CN"/>
        </w:rPr>
        <w:t>本标准</w:t>
      </w:r>
      <w:r>
        <w:rPr>
          <w:rFonts w:hint="eastAsia"/>
          <w:color w:val="000000" w:themeColor="text1"/>
          <w14:textFill>
            <w14:solidFill>
              <w14:schemeClr w14:val="tx1"/>
            </w14:solidFill>
          </w14:textFill>
        </w:rPr>
        <w:t>预审会，会上各位相关专家对该标准</w:t>
      </w:r>
      <w:r>
        <w:rPr>
          <w:rFonts w:hint="eastAsia"/>
          <w:color w:val="FF0000"/>
          <w:lang w:eastAsia="zh-CN"/>
        </w:rPr>
        <w:t>《</w:t>
      </w:r>
      <w:r>
        <w:rPr>
          <w:rFonts w:hint="eastAsia"/>
          <w:color w:val="FF0000"/>
        </w:rPr>
        <w:t>预审稿</w:t>
      </w:r>
      <w:r>
        <w:rPr>
          <w:rFonts w:hint="eastAsia"/>
          <w:color w:val="FF0000"/>
          <w:lang w:eastAsia="zh-CN"/>
        </w:rPr>
        <w:t>》及《编制说明》</w:t>
      </w:r>
      <w:r>
        <w:rPr>
          <w:rFonts w:hint="eastAsia"/>
          <w:color w:val="000000" w:themeColor="text1"/>
          <w14:textFill>
            <w14:solidFill>
              <w14:schemeClr w14:val="tx1"/>
            </w14:solidFill>
          </w14:textFill>
        </w:rPr>
        <w:t>进行了激烈、认真的讨论，结合实际应用和生产情况，提出了针对性的修改意见，会后，编制小组根据专家的意见，查阅了相关资料和客户的应用情况对该标准预审稿进行了修改，</w:t>
      </w:r>
      <w:r>
        <w:rPr>
          <w:rFonts w:hint="eastAsia"/>
          <w:color w:val="FF0000"/>
        </w:rPr>
        <w:t>与2019年</w:t>
      </w:r>
      <w:r>
        <w:rPr>
          <w:rFonts w:hint="eastAsia"/>
          <w:color w:val="FF0000"/>
          <w:lang w:val="en-US" w:eastAsia="zh-CN"/>
        </w:rPr>
        <w:t>X</w:t>
      </w:r>
      <w:r>
        <w:rPr>
          <w:rFonts w:hint="eastAsia"/>
          <w:color w:val="FF0000"/>
        </w:rPr>
        <w:t>月形成了该标准</w:t>
      </w:r>
      <w:r>
        <w:rPr>
          <w:rFonts w:hint="eastAsia"/>
          <w:color w:val="FF0000"/>
          <w:lang w:val="en-US" w:eastAsia="zh-CN"/>
        </w:rPr>
        <w:t>《征求意见稿》</w:t>
      </w:r>
      <w:r>
        <w:rPr>
          <w:rFonts w:hint="eastAsia"/>
          <w:color w:val="FF0000"/>
          <w:lang w:eastAsia="zh-CN"/>
        </w:rPr>
        <w:t>及《编制说明》，发往</w:t>
      </w:r>
      <w:r>
        <w:rPr>
          <w:rFonts w:hint="eastAsia"/>
          <w:color w:val="FF0000"/>
          <w:lang w:val="en-US" w:eastAsia="zh-CN"/>
        </w:rPr>
        <w:t>15家</w:t>
      </w:r>
      <w:r>
        <w:rPr>
          <w:rFonts w:hint="eastAsia"/>
          <w:color w:val="FF0000"/>
          <w:lang w:eastAsia="zh-CN"/>
        </w:rPr>
        <w:t>有关单位征求意见，</w:t>
      </w:r>
      <w:r>
        <w:rPr>
          <w:color w:val="FF0000"/>
        </w:rPr>
        <w:t>回函的单位数</w:t>
      </w:r>
      <w:r>
        <w:rPr>
          <w:rFonts w:hint="eastAsia"/>
          <w:color w:val="FF0000"/>
        </w:rPr>
        <w:t>1</w:t>
      </w:r>
      <w:r>
        <w:rPr>
          <w:rFonts w:hint="eastAsia"/>
          <w:color w:val="FF0000"/>
          <w:lang w:val="en-US" w:eastAsia="zh-CN"/>
        </w:rPr>
        <w:t>2</w:t>
      </w:r>
      <w:r>
        <w:rPr>
          <w:color w:val="FF0000"/>
        </w:rPr>
        <w:t>个，回函并有建议或意见的单位数</w:t>
      </w:r>
      <w:r>
        <w:rPr>
          <w:rFonts w:hint="eastAsia"/>
          <w:color w:val="FF0000"/>
        </w:rPr>
        <w:t>1</w:t>
      </w:r>
      <w:r>
        <w:rPr>
          <w:rFonts w:hint="eastAsia"/>
          <w:color w:val="FF0000"/>
          <w:lang w:val="en-US" w:eastAsia="zh-CN"/>
        </w:rPr>
        <w:t>2</w:t>
      </w:r>
      <w:r>
        <w:rPr>
          <w:color w:val="FF0000"/>
        </w:rPr>
        <w:t>个。编制组根据各单位的回函意见对标准进行修改完善</w:t>
      </w:r>
      <w:r>
        <w:rPr>
          <w:rFonts w:hint="eastAsia" w:hAnsi="宋体"/>
          <w:color w:val="FF0000"/>
        </w:rPr>
        <w:t>，</w:t>
      </w:r>
      <w:r>
        <w:rPr>
          <w:rFonts w:hint="eastAsia"/>
          <w:color w:val="FF0000"/>
        </w:rPr>
        <w:t>于2019年</w:t>
      </w:r>
      <w:r>
        <w:rPr>
          <w:rFonts w:hint="eastAsia"/>
          <w:color w:val="FF0000"/>
          <w:lang w:val="en-US" w:eastAsia="zh-CN"/>
        </w:rPr>
        <w:t>7</w:t>
      </w:r>
      <w:r>
        <w:rPr>
          <w:rFonts w:hint="eastAsia"/>
          <w:color w:val="FF0000"/>
        </w:rPr>
        <w:t>月形成本标准</w:t>
      </w:r>
      <w:r>
        <w:rPr>
          <w:rFonts w:hint="eastAsia" w:hAnsi="宋体"/>
          <w:color w:val="FF0000"/>
        </w:rPr>
        <w:t>《</w:t>
      </w:r>
      <w:r>
        <w:rPr>
          <w:rFonts w:hint="eastAsia" w:hAnsi="宋体"/>
          <w:color w:val="FF0000"/>
          <w:lang w:eastAsia="zh-CN"/>
        </w:rPr>
        <w:t>送</w:t>
      </w:r>
      <w:r>
        <w:rPr>
          <w:rFonts w:hint="eastAsia" w:hAnsi="宋体"/>
          <w:color w:val="FF0000"/>
        </w:rPr>
        <w:t>审稿</w:t>
      </w:r>
      <w:r>
        <w:rPr>
          <w:rFonts w:hint="eastAsia" w:ascii="宋体" w:hAnsi="宋体"/>
          <w:color w:val="FF0000"/>
          <w:szCs w:val="21"/>
        </w:rPr>
        <w:t>》及</w:t>
      </w:r>
      <w:r>
        <w:rPr>
          <w:rFonts w:hint="eastAsia" w:hAnsi="宋体"/>
          <w:color w:val="FF0000"/>
        </w:rPr>
        <w:t>《</w:t>
      </w:r>
      <w:r>
        <w:rPr>
          <w:rFonts w:hint="eastAsia" w:ascii="宋体" w:hAnsi="宋体"/>
          <w:color w:val="FF0000"/>
          <w:szCs w:val="21"/>
        </w:rPr>
        <w:t>编制说明</w:t>
      </w:r>
      <w:r>
        <w:rPr>
          <w:rFonts w:hint="eastAsia" w:hAnsi="宋体"/>
          <w:color w:val="FF0000"/>
        </w:rPr>
        <w:t>》</w:t>
      </w:r>
      <w:r>
        <w:rPr>
          <w:rFonts w:hint="eastAsia"/>
          <w:color w:val="FF0000"/>
        </w:rPr>
        <w:t>。</w:t>
      </w:r>
    </w:p>
    <w:p>
      <w:pPr>
        <w:numPr>
          <w:ilvl w:val="0"/>
          <w:numId w:val="6"/>
        </w:numPr>
        <w:spacing w:line="300" w:lineRule="auto"/>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编制原则</w:t>
      </w:r>
    </w:p>
    <w:p>
      <w:pPr>
        <w:pStyle w:val="20"/>
        <w:spacing w:line="300" w:lineRule="auto"/>
        <w:rPr>
          <w:rFonts w:asciiTheme="majorEastAsia" w:hAnsiTheme="majorEastAsia" w:eastAsiaTheme="major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本标准</w:t>
      </w:r>
      <w:r>
        <w:rPr>
          <w:color w:val="000000" w:themeColor="text1"/>
          <w14:textFill>
            <w14:solidFill>
              <w14:schemeClr w14:val="tx1"/>
            </w14:solidFill>
          </w14:textFill>
        </w:rPr>
        <w:t>本着</w:t>
      </w:r>
      <w:r>
        <w:rPr>
          <w:rFonts w:hint="eastAsia"/>
          <w:color w:val="000000" w:themeColor="text1"/>
          <w14:textFill>
            <w14:solidFill>
              <w14:schemeClr w14:val="tx1"/>
            </w14:solidFill>
          </w14:textFill>
        </w:rPr>
        <w:t>提升产品质量、节能降耗、绿色环保的编制原则，以提升我国舰船制造水平为目标，按照</w:t>
      </w:r>
      <w:r>
        <w:rPr>
          <w:rFonts w:hint="eastAsia" w:asciiTheme="majorEastAsia" w:hAnsiTheme="majorEastAsia" w:eastAsiaTheme="majorEastAsia"/>
          <w:color w:val="000000" w:themeColor="text1"/>
          <w:szCs w:val="21"/>
          <w14:textFill>
            <w14:solidFill>
              <w14:schemeClr w14:val="tx1"/>
            </w14:solidFill>
          </w14:textFill>
        </w:rPr>
        <w:t>GB/T 1.1-2009《标准化工作导则 第1部分：标准的结构和编写》给出的规则进行起草。同时参照了</w:t>
      </w:r>
    </w:p>
    <w:p>
      <w:pPr>
        <w:pStyle w:val="20"/>
        <w:spacing w:line="300" w:lineRule="auto"/>
        <w:ind w:firstLine="0" w:firstLineChars="0"/>
        <w:rPr>
          <w:color w:val="000000" w:themeColor="text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GJB 8757-2015《舰船用白铜管材规范》、DIN 86019-2016《管道用拉制</w:t>
      </w:r>
      <w:r>
        <w:rPr>
          <w:rFonts w:hint="eastAsia"/>
          <w:color w:val="000000" w:themeColor="text1"/>
          <w:sz w:val="24"/>
          <w14:textFill>
            <w14:solidFill>
              <w14:schemeClr w14:val="tx1"/>
            </w14:solidFill>
          </w14:textFill>
        </w:rPr>
        <w:t>CuNi10Fe1.6Mn无缝管与精密管的尺寸</w:t>
      </w:r>
      <w:r>
        <w:rPr>
          <w:rFonts w:hint="eastAsia" w:asciiTheme="majorEastAsia" w:hAnsiTheme="majorEastAsia" w:eastAsiaTheme="majorEastAsia"/>
          <w:color w:val="000000" w:themeColor="text1"/>
          <w:szCs w:val="21"/>
          <w14:textFill>
            <w14:solidFill>
              <w14:schemeClr w14:val="tx1"/>
            </w14:solidFill>
          </w14:textFill>
        </w:rPr>
        <w:t>》、MIL-T-16420K(SH)1988《铜镍合金无缝管及焊接管》和我国舰船用铜镍合金无缝管是实际需求</w:t>
      </w:r>
      <w:r>
        <w:rPr>
          <w:rFonts w:hint="eastAsia"/>
          <w:color w:val="000000" w:themeColor="text1"/>
          <w14:textFill>
            <w14:solidFill>
              <w14:schemeClr w14:val="tx1"/>
            </w14:solidFill>
          </w14:textFill>
        </w:rPr>
        <w:t>进行编制。目的是满足和稳定应用市场，增强国际市场竞争力，助推我国铜镍合金无缝管技术进步。</w:t>
      </w:r>
    </w:p>
    <w:p>
      <w:pPr>
        <w:numPr>
          <w:ilvl w:val="0"/>
          <w:numId w:val="6"/>
        </w:numPr>
        <w:spacing w:line="300" w:lineRule="auto"/>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确定标准主要内容的论据</w:t>
      </w:r>
    </w:p>
    <w:p>
      <w:pPr>
        <w:widowControl/>
        <w:spacing w:line="300" w:lineRule="auto"/>
        <w:ind w:firstLine="42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4.1标准题目与适用范围</w:t>
      </w:r>
    </w:p>
    <w:p>
      <w:pPr>
        <w:pStyle w:val="20"/>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4.1.1本标准立项名称为“舰船用铜镍合金无缝铜管”，英文名称“Copper-nickel seamless pipe for ships”,在标准征求意见的过程中未提出其他建议，仍确定为此项标准的名称。</w:t>
      </w:r>
    </w:p>
    <w:p>
      <w:pPr>
        <w:pStyle w:val="20"/>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4.1.2规定了本标准适用范围：舰船制造等海洋工程管路系统用铜镍合金无缝管材。</w:t>
      </w:r>
    </w:p>
    <w:p>
      <w:pPr>
        <w:pStyle w:val="20"/>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4.2 术语与定义</w:t>
      </w:r>
    </w:p>
    <w:p>
      <w:pPr>
        <w:pStyle w:val="20"/>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为使使用者清楚了解公称尺寸的定义和其他尺寸之间的关系，本标准增加了DN（公称尺寸）的定义，具体内容如下：</w:t>
      </w:r>
    </w:p>
    <w:p>
      <w:pPr>
        <w:pStyle w:val="20"/>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管材DN（公称尺寸）的定义应符合GB/T 1047的规定。</w:t>
      </w:r>
    </w:p>
    <w:p>
      <w:pPr>
        <w:ind w:firstLine="42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4.2要求</w:t>
      </w:r>
    </w:p>
    <w:p>
      <w:pPr>
        <w:widowControl/>
        <w:spacing w:line="300" w:lineRule="auto"/>
        <w:ind w:firstLine="420" w:firstLineChars="200"/>
        <w:rPr>
          <w:rFonts w:hAnsi="黑体"/>
          <w:color w:val="000000" w:themeColor="text1"/>
          <w:szCs w:val="21"/>
          <w14:textFill>
            <w14:solidFill>
              <w14:schemeClr w14:val="tx1"/>
            </w14:solidFill>
          </w14:textFill>
        </w:rPr>
      </w:pPr>
      <w:r>
        <w:rPr>
          <w:rFonts w:hint="eastAsia" w:ascii="宋体" w:hAnsi="宋体"/>
          <w:color w:val="000000" w:themeColor="text1"/>
          <w:kern w:val="0"/>
          <w:szCs w:val="20"/>
          <w14:textFill>
            <w14:solidFill>
              <w14:schemeClr w14:val="tx1"/>
            </w14:solidFill>
          </w14:textFill>
        </w:rPr>
        <w:t>4.2.1</w:t>
      </w:r>
      <w:r>
        <w:rPr>
          <w:rFonts w:hint="eastAsia" w:hAnsi="黑体"/>
          <w:color w:val="000000" w:themeColor="text1"/>
          <w:szCs w:val="21"/>
          <w14:textFill>
            <w14:solidFill>
              <w14:schemeClr w14:val="tx1"/>
            </w14:solidFill>
          </w14:textFill>
        </w:rPr>
        <w:t>产品分类</w:t>
      </w:r>
    </w:p>
    <w:p>
      <w:pPr>
        <w:spacing w:line="30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产品分类是对产品的牌号、状态、规格进行规定，同时规定了产品标记方法。相关情况分别说明如下：</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（1）通过对实际需求及国内外资料分析确认：本标准规定三个牌号：BFe10-1-1（T70590）、BFe10-1.6-1（T70620）、BFe30-1-1（T71510）。结合生产实际情况和客户要求产品的状态为：软化退火（O60）。</w:t>
      </w:r>
    </w:p>
    <w:p>
      <w:pPr>
        <w:spacing w:line="30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（2）产品尺寸规格范围：根据目前市场需求和生产现状，确定本标准尺寸规格为：外径为4～458 mm，壁厚为0.4～12.7mm，长度≤15000mm。</w:t>
      </w:r>
    </w:p>
    <w:p>
      <w:pPr>
        <w:spacing w:line="30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（3）产品标记方法：按照GB/T 1.1-2009的规定，产品标记按产品名称、标准编号、牌号、状态、规格的顺序表示，标准中给出了管材的典型标记示例。</w:t>
      </w:r>
    </w:p>
    <w:p>
      <w:pPr>
        <w:spacing w:line="300" w:lineRule="auto"/>
        <w:ind w:firstLine="420" w:firstLineChars="200"/>
        <w:contextualSpacing/>
        <w:rPr>
          <w:rFonts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4.2.2</w:t>
      </w:r>
      <w:r>
        <w:rPr>
          <w:rFonts w:hint="eastAsia" w:hAnsi="宋体"/>
          <w:color w:val="000000" w:themeColor="text1"/>
          <w14:textFill>
            <w14:solidFill>
              <w14:schemeClr w14:val="tx1"/>
            </w14:solidFill>
          </w14:textFill>
        </w:rPr>
        <w:t>化学成分</w:t>
      </w:r>
    </w:p>
    <w:p>
      <w:pPr>
        <w:spacing w:line="300" w:lineRule="auto"/>
        <w:ind w:firstLine="420" w:firstLineChars="200"/>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产品BFe10-1-1和BFe30-1-1的化学成分符合GB/T 5231的规定，BFe10-1.6-1的化学成分应符合表1的规定。</w:t>
      </w:r>
    </w:p>
    <w:p>
      <w:pPr>
        <w:spacing w:line="300" w:lineRule="auto"/>
        <w:ind w:firstLine="420" w:firstLineChars="200"/>
        <w:contextualSpacing/>
        <w:jc w:val="center"/>
        <w:rPr>
          <w:rFonts w:ascii="黑体" w:hAnsi="Times New Roman" w:eastAsia="黑体"/>
          <w:color w:val="000000" w:themeColor="text1"/>
          <w:szCs w:val="24"/>
          <w14:textFill>
            <w14:solidFill>
              <w14:schemeClr w14:val="tx1"/>
            </w14:solidFill>
          </w14:textFill>
        </w:rPr>
      </w:pPr>
      <w:r>
        <w:rPr>
          <w:rFonts w:hint="eastAsia" w:ascii="黑体" w:hAnsi="Times New Roman" w:eastAsia="黑体"/>
          <w:color w:val="000000" w:themeColor="text1"/>
          <w:szCs w:val="24"/>
          <w14:textFill>
            <w14:solidFill>
              <w14:schemeClr w14:val="tx1"/>
            </w14:solidFill>
          </w14:textFill>
        </w:rPr>
        <w:t>表1  管材的化学成分</w:t>
      </w:r>
    </w:p>
    <w:tbl>
      <w:tblPr>
        <w:tblStyle w:val="11"/>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6"/>
        <w:gridCol w:w="1170"/>
        <w:gridCol w:w="993"/>
        <w:gridCol w:w="992"/>
        <w:gridCol w:w="803"/>
        <w:gridCol w:w="803"/>
        <w:gridCol w:w="803"/>
        <w:gridCol w:w="803"/>
        <w:gridCol w:w="803"/>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06" w:type="dxa"/>
            <w:vMerge w:val="restart"/>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牌号</w:t>
            </w:r>
          </w:p>
        </w:tc>
        <w:tc>
          <w:tcPr>
            <w:tcW w:w="7974" w:type="dxa"/>
            <w:gridSpan w:val="9"/>
          </w:tcPr>
          <w:p>
            <w:pPr>
              <w:jc w:val="center"/>
              <w:rPr>
                <w:color w:val="000000" w:themeColor="text1"/>
                <w:szCs w:val="21"/>
                <w14:textFill>
                  <w14:solidFill>
                    <w14:schemeClr w14:val="tx1"/>
                  </w14:solidFill>
                </w14:textFill>
              </w:rPr>
            </w:pPr>
            <w:r>
              <w:rPr>
                <w:rFonts w:hint="eastAsia"/>
                <w:color w:val="000000"/>
                <w:szCs w:val="21"/>
              </w:rPr>
              <w:t>化学成分质量分数/%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rPr>
        <w:tc>
          <w:tcPr>
            <w:tcW w:w="1206" w:type="dxa"/>
            <w:vMerge w:val="continue"/>
          </w:tcPr>
          <w:p>
            <w:pPr>
              <w:rPr>
                <w:color w:val="000000" w:themeColor="text1"/>
                <w:szCs w:val="21"/>
                <w14:textFill>
                  <w14:solidFill>
                    <w14:schemeClr w14:val="tx1"/>
                  </w14:solidFill>
                </w14:textFill>
              </w:rPr>
            </w:pPr>
          </w:p>
        </w:tc>
        <w:tc>
          <w:tcPr>
            <w:tcW w:w="1170"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Ni</w:t>
            </w:r>
          </w:p>
        </w:tc>
        <w:tc>
          <w:tcPr>
            <w:tcW w:w="993"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Fe</w:t>
            </w:r>
          </w:p>
        </w:tc>
        <w:tc>
          <w:tcPr>
            <w:tcW w:w="992"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Mn</w:t>
            </w:r>
          </w:p>
        </w:tc>
        <w:tc>
          <w:tcPr>
            <w:tcW w:w="803"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Cu</w:t>
            </w:r>
            <w:r>
              <w:rPr>
                <w:rFonts w:hint="eastAsia"/>
                <w:color w:val="000000" w:themeColor="text1"/>
                <w:szCs w:val="21"/>
                <w:vertAlign w:val="superscript"/>
                <w14:textFill>
                  <w14:solidFill>
                    <w14:schemeClr w14:val="tx1"/>
                  </w14:solidFill>
                </w14:textFill>
              </w:rPr>
              <w:t>a</w:t>
            </w:r>
          </w:p>
        </w:tc>
        <w:tc>
          <w:tcPr>
            <w:tcW w:w="803"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Pb</w:t>
            </w:r>
          </w:p>
        </w:tc>
        <w:tc>
          <w:tcPr>
            <w:tcW w:w="803"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w:t>
            </w:r>
          </w:p>
        </w:tc>
        <w:tc>
          <w:tcPr>
            <w:tcW w:w="803"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w:t>
            </w:r>
          </w:p>
        </w:tc>
        <w:tc>
          <w:tcPr>
            <w:tcW w:w="803"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Zn</w:t>
            </w:r>
          </w:p>
        </w:tc>
        <w:tc>
          <w:tcPr>
            <w:tcW w:w="804" w:type="dxa"/>
          </w:tcPr>
          <w:p>
            <w:pPr>
              <w:jc w:val="center"/>
              <w:rPr>
                <w:color w:val="000000" w:themeColor="text1"/>
                <w:szCs w:val="21"/>
                <w:highlight w:val="yellow"/>
                <w14:textFill>
                  <w14:solidFill>
                    <w14:schemeClr w14:val="tx1"/>
                  </w14:solidFill>
                </w14:textFill>
              </w:rPr>
            </w:pPr>
            <w:r>
              <w:rPr>
                <w:rFonts w:hint="eastAsia"/>
                <w:color w:val="000000" w:themeColor="text1"/>
                <w:szCs w:val="21"/>
                <w14:textFill>
                  <w14:solidFill>
                    <w14:schemeClr w14:val="tx1"/>
                  </w14:solidFill>
                </w14:textFill>
              </w:rPr>
              <w: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06" w:type="dxa"/>
          </w:tcPr>
          <w:p>
            <w:pPr>
              <w:rPr>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BFe10-1.6-1</w:t>
            </w:r>
          </w:p>
        </w:tc>
        <w:tc>
          <w:tcPr>
            <w:tcW w:w="1170"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9.0~11.0</w:t>
            </w:r>
          </w:p>
        </w:tc>
        <w:tc>
          <w:tcPr>
            <w:tcW w:w="993"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1.5~1.8</w:t>
            </w:r>
          </w:p>
        </w:tc>
        <w:tc>
          <w:tcPr>
            <w:tcW w:w="992"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0.5~1.0</w:t>
            </w:r>
          </w:p>
        </w:tc>
        <w:tc>
          <w:tcPr>
            <w:tcW w:w="803"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余量</w:t>
            </w:r>
          </w:p>
        </w:tc>
        <w:tc>
          <w:tcPr>
            <w:tcW w:w="803"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0.02</w:t>
            </w:r>
          </w:p>
        </w:tc>
        <w:tc>
          <w:tcPr>
            <w:tcW w:w="803"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w:t>
            </w:r>
          </w:p>
        </w:tc>
        <w:tc>
          <w:tcPr>
            <w:tcW w:w="803"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0.05</w:t>
            </w:r>
          </w:p>
        </w:tc>
        <w:tc>
          <w:tcPr>
            <w:tcW w:w="803"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0.02</w:t>
            </w:r>
          </w:p>
        </w:tc>
        <w:tc>
          <w:tcPr>
            <w:tcW w:w="804" w:type="dxa"/>
          </w:tcPr>
          <w:p>
            <w:pPr>
              <w:jc w:val="center"/>
              <w:rPr>
                <w:color w:val="000000" w:themeColor="text1"/>
                <w:szCs w:val="21"/>
                <w:highlight w:val="yellow"/>
                <w14:textFill>
                  <w14:solidFill>
                    <w14:schemeClr w14:val="tx1"/>
                  </w14:solidFill>
                </w14:textFill>
              </w:rPr>
            </w:pPr>
            <w:r>
              <w:rPr>
                <w:rFonts w:hint="eastAsia"/>
                <w:color w:val="000000" w:themeColor="text1"/>
                <w:szCs w:val="21"/>
                <w14:textFill>
                  <w14:solidFill>
                    <w14:schemeClr w14:val="tx1"/>
                  </w14:solidFill>
                </w14:textFill>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80" w:type="dxa"/>
            <w:gridSpan w:val="10"/>
          </w:tcPr>
          <w:p>
            <w:pPr>
              <w:jc w:val="left"/>
              <w:rPr>
                <w:rFonts w:ascii="宋体" w:hAnsi="宋体"/>
                <w:color w:val="000000" w:themeColor="text1"/>
                <w:szCs w:val="21"/>
                <w:highlight w:val="yellow"/>
                <w14:textFill>
                  <w14:solidFill>
                    <w14:schemeClr w14:val="tx1"/>
                  </w14:solidFill>
                </w14:textFill>
              </w:rPr>
            </w:pPr>
            <w:r>
              <w:rPr>
                <w:rFonts w:hint="eastAsia"/>
                <w:color w:val="000000" w:themeColor="text1"/>
                <w:szCs w:val="21"/>
                <w:vertAlign w:val="superscript"/>
                <w14:textFill>
                  <w14:solidFill>
                    <w14:schemeClr w14:val="tx1"/>
                  </w14:solidFill>
                </w14:textFill>
              </w:rPr>
              <w:t>a</w:t>
            </w:r>
            <w:r>
              <w:rPr>
                <w:rFonts w:hint="eastAsia"/>
                <w:color w:val="000000" w:themeColor="text1"/>
                <w:szCs w:val="21"/>
                <w14:textFill>
                  <w14:solidFill>
                    <w14:schemeClr w14:val="tx1"/>
                  </w14:solidFill>
                </w14:textFill>
              </w:rPr>
              <w:t>铜与表中所列元素之和≥99.9%。</w:t>
            </w:r>
          </w:p>
        </w:tc>
      </w:tr>
    </w:tbl>
    <w:p>
      <w:pPr>
        <w:spacing w:line="300" w:lineRule="auto"/>
        <w:contextualSpacing/>
        <w:rPr>
          <w:rFonts w:ascii="黑体" w:hAnsi="Times New Roman" w:eastAsia="黑体"/>
          <w:color w:val="000000" w:themeColor="text1"/>
          <w:szCs w:val="24"/>
          <w14:textFill>
            <w14:solidFill>
              <w14:schemeClr w14:val="tx1"/>
            </w14:solidFill>
          </w14:textFill>
        </w:rPr>
      </w:pPr>
    </w:p>
    <w:p>
      <w:pPr>
        <w:spacing w:line="300" w:lineRule="auto"/>
        <w:ind w:firstLine="420" w:firstLineChars="200"/>
        <w:contextualSpacing/>
        <w:rPr>
          <w:rFonts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4.2.3</w:t>
      </w:r>
      <w:r>
        <w:rPr>
          <w:rFonts w:hint="eastAsia" w:hAnsi="宋体"/>
          <w:color w:val="000000" w:themeColor="text1"/>
          <w14:textFill>
            <w14:solidFill>
              <w14:schemeClr w14:val="tx1"/>
            </w14:solidFill>
          </w14:textFill>
        </w:rPr>
        <w:t>尺寸偏差</w:t>
      </w:r>
    </w:p>
    <w:p>
      <w:pPr>
        <w:spacing w:line="300" w:lineRule="auto"/>
        <w:ind w:firstLine="420" w:firstLineChars="200"/>
        <w:contextualSpacing/>
        <w:rPr>
          <w:rFonts w:asciiTheme="majorEastAsia" w:hAnsiTheme="majorEastAsia" w:eastAsiaTheme="majorEastAsia"/>
          <w:color w:val="000000" w:themeColor="text1"/>
          <w:szCs w:val="2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4.2.3.1管材的外径及其允许偏差主要参照</w:t>
      </w:r>
      <w:r>
        <w:rPr>
          <w:rFonts w:hint="eastAsia" w:asciiTheme="majorEastAsia" w:hAnsiTheme="majorEastAsia" w:eastAsiaTheme="majorEastAsia"/>
          <w:color w:val="000000" w:themeColor="text1"/>
          <w:szCs w:val="21"/>
          <w14:textFill>
            <w14:solidFill>
              <w14:schemeClr w14:val="tx1"/>
            </w14:solidFill>
          </w14:textFill>
        </w:rPr>
        <w:t>DIN 86019-2016《管道用拉制</w:t>
      </w:r>
      <w:r>
        <w:rPr>
          <w:rFonts w:hint="eastAsia"/>
          <w:color w:val="000000" w:themeColor="text1"/>
          <w:sz w:val="24"/>
          <w14:textFill>
            <w14:solidFill>
              <w14:schemeClr w14:val="tx1"/>
            </w14:solidFill>
          </w14:textFill>
        </w:rPr>
        <w:t>CuNi10Fe1.6Mn无缝管与精密管的尺寸</w:t>
      </w:r>
      <w:r>
        <w:rPr>
          <w:rFonts w:hint="eastAsia" w:asciiTheme="majorEastAsia" w:hAnsiTheme="majorEastAsia" w:eastAsiaTheme="majorEastAsia"/>
          <w:color w:val="000000" w:themeColor="text1"/>
          <w:szCs w:val="21"/>
          <w14:textFill>
            <w14:solidFill>
              <w14:schemeClr w14:val="tx1"/>
            </w14:solidFill>
          </w14:textFill>
        </w:rPr>
        <w:t>》进行的制定，同时参照了GJB 8757-2015《舰船用白铜管材规范》，并根据我国的实际生产情况进行的制定，规定见表2。其中，</w:t>
      </w:r>
      <w:r>
        <w:rPr>
          <w:rFonts w:hint="eastAsia"/>
          <w:color w:val="000000" w:themeColor="text1"/>
          <w:szCs w:val="21"/>
          <w14:textFill>
            <w14:solidFill>
              <w14:schemeClr w14:val="tx1"/>
            </w14:solidFill>
          </w14:textFill>
        </w:rPr>
        <w:t>按照GJB8757-2015和DIN86019:2006-02的规定，删除了76.1、88.9、193.7、219.1、323.9等5个规格，将419.1修改为419，457.2修改为458。</w:t>
      </w:r>
    </w:p>
    <w:p>
      <w:pPr>
        <w:wordWrap w:val="0"/>
        <w:ind w:right="420"/>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14:textFill>
            <w14:solidFill>
              <w14:schemeClr w14:val="tx1"/>
            </w14:solidFill>
          </w14:textFill>
        </w:rPr>
        <w:t xml:space="preserve">                         表2　管材的尺寸系列及其外径允许偏差</w:t>
      </w:r>
      <w:r>
        <w:rPr>
          <w:rFonts w:hint="eastAsia" w:ascii="黑体" w:eastAsia="黑体"/>
          <w:color w:val="000000" w:themeColor="text1"/>
          <w:sz w:val="20"/>
          <w14:textFill>
            <w14:solidFill>
              <w14:schemeClr w14:val="tx1"/>
            </w14:solidFill>
          </w14:textFill>
        </w:rPr>
        <w:t xml:space="preserve">          </w:t>
      </w:r>
      <w:r>
        <w:rPr>
          <w:rFonts w:hint="eastAsia" w:ascii="黑体" w:eastAsia="黑体"/>
          <w:color w:val="000000" w:themeColor="text1"/>
          <w:szCs w:val="21"/>
          <w14:textFill>
            <w14:solidFill>
              <w14:schemeClr w14:val="tx1"/>
            </w14:solidFill>
          </w14:textFill>
        </w:rPr>
        <w:t>单位为毫米</w:t>
      </w:r>
    </w:p>
    <w:tbl>
      <w:tblPr>
        <w:tblStyle w:val="11"/>
        <w:tblW w:w="97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50"/>
        <w:gridCol w:w="784"/>
        <w:gridCol w:w="351"/>
        <w:gridCol w:w="351"/>
        <w:gridCol w:w="369"/>
        <w:gridCol w:w="394"/>
        <w:gridCol w:w="358"/>
        <w:gridCol w:w="375"/>
        <w:gridCol w:w="375"/>
        <w:gridCol w:w="375"/>
        <w:gridCol w:w="389"/>
        <w:gridCol w:w="389"/>
        <w:gridCol w:w="389"/>
        <w:gridCol w:w="402"/>
        <w:gridCol w:w="389"/>
        <w:gridCol w:w="403"/>
        <w:gridCol w:w="389"/>
        <w:gridCol w:w="417"/>
        <w:gridCol w:w="413"/>
        <w:gridCol w:w="49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2202" w:type="dxa"/>
            <w:gridSpan w:val="3"/>
          </w:tcPr>
          <w:p>
            <w:pPr>
              <w:ind w:right="-168" w:rightChars="-80"/>
              <w:jc w:val="center"/>
              <w:rPr>
                <w:color w:val="000000" w:themeColor="text1"/>
                <w:sz w:val="16"/>
                <w14:textFill>
                  <w14:solidFill>
                    <w14:schemeClr w14:val="tx1"/>
                  </w14:solidFill>
                </w14:textFill>
              </w:rPr>
            </w:pPr>
            <w:r>
              <w:rPr>
                <w:rFonts w:hint="eastAsia"/>
                <w:color w:val="000000" w:themeColor="text1"/>
                <w:sz w:val="20"/>
                <w14:textFill>
                  <w14:solidFill>
                    <w14:schemeClr w14:val="tx1"/>
                  </w14:solidFill>
                </w14:textFill>
              </w:rPr>
              <w:t xml:space="preserve">外径 </w:t>
            </w:r>
          </w:p>
        </w:tc>
        <w:tc>
          <w:tcPr>
            <w:tcW w:w="7518" w:type="dxa"/>
            <w:gridSpan w:val="19"/>
          </w:tcPr>
          <w:p>
            <w:pPr>
              <w:ind w:right="-168" w:rightChars="-80"/>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壁厚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2202" w:type="dxa"/>
            <w:gridSpan w:val="3"/>
          </w:tcPr>
          <w:p>
            <w:pPr>
              <w:ind w:right="-168" w:rightChars="-80"/>
              <w:jc w:val="center"/>
              <w:rPr>
                <w:color w:val="000000" w:themeColor="text1"/>
                <w:sz w:val="20"/>
                <w14:textFill>
                  <w14:solidFill>
                    <w14:schemeClr w14:val="tx1"/>
                  </w14:solidFill>
                </w14:textFill>
              </w:rPr>
            </w:pPr>
          </w:p>
        </w:tc>
        <w:tc>
          <w:tcPr>
            <w:tcW w:w="7518" w:type="dxa"/>
            <w:gridSpan w:val="19"/>
          </w:tcPr>
          <w:p>
            <w:pPr>
              <w:ind w:right="-168" w:rightChars="-80"/>
              <w:jc w:val="cente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568" w:type="dxa"/>
            <w:vAlign w:val="center"/>
          </w:tcPr>
          <w:p>
            <w:pPr>
              <w:ind w:right="-168" w:rightChars="-80"/>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公称</w:t>
            </w:r>
          </w:p>
          <w:p>
            <w:pPr>
              <w:ind w:right="-168" w:rightChars="-80"/>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尺寸</w:t>
            </w:r>
          </w:p>
        </w:tc>
        <w:tc>
          <w:tcPr>
            <w:tcW w:w="850" w:type="dxa"/>
            <w:vAlign w:val="center"/>
          </w:tcPr>
          <w:p>
            <w:pPr>
              <w:ind w:right="-168" w:rightChars="-8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公称</w:t>
            </w:r>
          </w:p>
          <w:p>
            <w:pPr>
              <w:ind w:right="-168" w:rightChars="-80"/>
              <w:rPr>
                <w:color w:val="000000" w:themeColor="text1"/>
                <w:sz w:val="16"/>
                <w:u w:val="single"/>
                <w14:textFill>
                  <w14:solidFill>
                    <w14:schemeClr w14:val="tx1"/>
                  </w14:solidFill>
                </w14:textFill>
              </w:rPr>
            </w:pPr>
            <w:r>
              <w:rPr>
                <w:rFonts w:hint="eastAsia"/>
                <w:color w:val="000000" w:themeColor="text1"/>
                <w:sz w:val="20"/>
                <w14:textFill>
                  <w14:solidFill>
                    <w14:schemeClr w14:val="tx1"/>
                  </w14:solidFill>
                </w14:textFill>
              </w:rPr>
              <w:t>外径</w:t>
            </w:r>
          </w:p>
        </w:tc>
        <w:tc>
          <w:tcPr>
            <w:tcW w:w="784" w:type="dxa"/>
            <w:vAlign w:val="center"/>
          </w:tcPr>
          <w:p>
            <w:pPr>
              <w:ind w:right="-168" w:rightChars="-80"/>
              <w:jc w:val="center"/>
              <w:rPr>
                <w:color w:val="000000" w:themeColor="text1"/>
                <w:sz w:val="16"/>
                <w:u w:val="single"/>
                <w14:textFill>
                  <w14:solidFill>
                    <w14:schemeClr w14:val="tx1"/>
                  </w14:solidFill>
                </w14:textFill>
              </w:rPr>
            </w:pPr>
            <w:r>
              <w:rPr>
                <w:rFonts w:hint="eastAsia"/>
                <w:color w:val="000000" w:themeColor="text1"/>
                <w:sz w:val="20"/>
                <w14:textFill>
                  <w14:solidFill>
                    <w14:schemeClr w14:val="tx1"/>
                  </w14:solidFill>
                </w14:textFill>
              </w:rPr>
              <w:t>平均外径允许偏差</w:t>
            </w:r>
          </w:p>
        </w:tc>
        <w:tc>
          <w:tcPr>
            <w:tcW w:w="351" w:type="dxa"/>
            <w:vAlign w:val="center"/>
          </w:tcPr>
          <w:p>
            <w:pPr>
              <w:ind w:right="-168" w:rightChars="-80"/>
              <w:rPr>
                <w:color w:val="000000" w:themeColor="text1"/>
                <w:sz w:val="16"/>
                <w:highlight w:val="yellow"/>
                <w14:textFill>
                  <w14:solidFill>
                    <w14:schemeClr w14:val="tx1"/>
                  </w14:solidFill>
                </w14:textFill>
              </w:rPr>
            </w:pPr>
            <w:r>
              <w:rPr>
                <w:rFonts w:hint="eastAsia"/>
                <w:color w:val="000000" w:themeColor="text1"/>
                <w:sz w:val="16"/>
                <w14:textFill>
                  <w14:solidFill>
                    <w14:schemeClr w14:val="tx1"/>
                  </w14:solidFill>
                </w14:textFill>
              </w:rPr>
              <w:t>0.4</w:t>
            </w: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0.6</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0.8</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1.0</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1.5</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2.0</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2.5</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3.0</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3.5</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4.0</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4.5</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5.0</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5.5</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6.0</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6.5</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7.0</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8.0</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10.0</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568" w:type="dxa"/>
            <w:vMerge w:val="restart"/>
            <w:vAlign w:val="center"/>
          </w:tcPr>
          <w:p>
            <w:pPr>
              <w:ind w:right="-168" w:rightChars="-8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2</w:t>
            </w:r>
          </w:p>
        </w:tc>
        <w:tc>
          <w:tcPr>
            <w:tcW w:w="850" w:type="dxa"/>
            <w:vAlign w:val="center"/>
          </w:tcPr>
          <w:p>
            <w:pPr>
              <w:ind w:right="-168" w:rightChars="-8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4</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＋0.045</w:t>
            </w:r>
          </w:p>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－0.035</w:t>
            </w:r>
          </w:p>
        </w:tc>
        <w:tc>
          <w:tcPr>
            <w:tcW w:w="351" w:type="dxa"/>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94" w:type="dxa"/>
            <w:vAlign w:val="center"/>
          </w:tcPr>
          <w:p>
            <w:pPr>
              <w:ind w:right="-168" w:rightChars="-80"/>
              <w:rPr>
                <w:color w:val="000000" w:themeColor="text1"/>
                <w:sz w:val="16"/>
                <w14:textFill>
                  <w14:solidFill>
                    <w14:schemeClr w14:val="tx1"/>
                  </w14:solidFill>
                </w14:textFill>
              </w:rPr>
            </w:pPr>
          </w:p>
        </w:tc>
        <w:tc>
          <w:tcPr>
            <w:tcW w:w="358" w:type="dxa"/>
            <w:vAlign w:val="center"/>
          </w:tcPr>
          <w:p>
            <w:pPr>
              <w:ind w:right="-168" w:rightChars="-80"/>
              <w:rPr>
                <w:color w:val="000000" w:themeColor="text1"/>
                <w:sz w:val="16"/>
                <w14:textFill>
                  <w14:solidFill>
                    <w14:schemeClr w14:val="tx1"/>
                  </w14:solidFill>
                </w14:textFill>
              </w:rPr>
            </w:pPr>
          </w:p>
        </w:tc>
        <w:tc>
          <w:tcPr>
            <w:tcW w:w="375" w:type="dxa"/>
            <w:vAlign w:val="center"/>
          </w:tcPr>
          <w:p>
            <w:pPr>
              <w:ind w:right="-168" w:rightChars="-80"/>
              <w:rPr>
                <w:color w:val="000000" w:themeColor="text1"/>
                <w:sz w:val="16"/>
                <w14:textFill>
                  <w14:solidFill>
                    <w14:schemeClr w14:val="tx1"/>
                  </w14:solidFill>
                </w14:textFill>
              </w:rPr>
            </w:pPr>
          </w:p>
        </w:tc>
        <w:tc>
          <w:tcPr>
            <w:tcW w:w="375" w:type="dxa"/>
            <w:vAlign w:val="center"/>
          </w:tcPr>
          <w:p>
            <w:pPr>
              <w:ind w:right="-168" w:rightChars="-80"/>
              <w:rPr>
                <w:color w:val="000000" w:themeColor="text1"/>
                <w:sz w:val="16"/>
                <w14:textFill>
                  <w14:solidFill>
                    <w14:schemeClr w14:val="tx1"/>
                  </w14:solidFill>
                </w14:textFill>
              </w:rPr>
            </w:pPr>
          </w:p>
        </w:tc>
        <w:tc>
          <w:tcPr>
            <w:tcW w:w="375" w:type="dxa"/>
            <w:vAlign w:val="center"/>
          </w:tcPr>
          <w:p>
            <w:pPr>
              <w:ind w:right="-168" w:rightChars="-80"/>
              <w:rPr>
                <w:color w:val="000000" w:themeColor="text1"/>
                <w:sz w:val="16"/>
                <w14:textFill>
                  <w14:solidFill>
                    <w14:schemeClr w14:val="tx1"/>
                  </w14:solidFill>
                </w14:textFill>
              </w:rPr>
            </w:pPr>
          </w:p>
        </w:tc>
        <w:tc>
          <w:tcPr>
            <w:tcW w:w="389" w:type="dxa"/>
            <w:vAlign w:val="center"/>
          </w:tcPr>
          <w:p>
            <w:pPr>
              <w:ind w:right="-168" w:rightChars="-80"/>
              <w:rPr>
                <w:color w:val="000000" w:themeColor="text1"/>
                <w:sz w:val="16"/>
                <w14:textFill>
                  <w14:solidFill>
                    <w14:schemeClr w14:val="tx1"/>
                  </w14:solidFill>
                </w14:textFill>
              </w:rPr>
            </w:pPr>
          </w:p>
        </w:tc>
        <w:tc>
          <w:tcPr>
            <w:tcW w:w="389" w:type="dxa"/>
            <w:vAlign w:val="center"/>
          </w:tcPr>
          <w:p>
            <w:pPr>
              <w:ind w:right="-168" w:rightChars="-80"/>
              <w:rPr>
                <w:color w:val="000000" w:themeColor="text1"/>
                <w:sz w:val="16"/>
                <w14:textFill>
                  <w14:solidFill>
                    <w14:schemeClr w14:val="tx1"/>
                  </w14:solidFill>
                </w14:textFill>
              </w:rPr>
            </w:pPr>
          </w:p>
        </w:tc>
        <w:tc>
          <w:tcPr>
            <w:tcW w:w="389" w:type="dxa"/>
            <w:vAlign w:val="center"/>
          </w:tcPr>
          <w:p>
            <w:pPr>
              <w:ind w:right="-168" w:rightChars="-80"/>
              <w:rPr>
                <w:color w:val="000000" w:themeColor="text1"/>
                <w:sz w:val="16"/>
                <w14:textFill>
                  <w14:solidFill>
                    <w14:schemeClr w14:val="tx1"/>
                  </w14:solidFill>
                </w14:textFill>
              </w:rPr>
            </w:pPr>
          </w:p>
        </w:tc>
        <w:tc>
          <w:tcPr>
            <w:tcW w:w="402" w:type="dxa"/>
            <w:vAlign w:val="center"/>
          </w:tcPr>
          <w:p>
            <w:pPr>
              <w:ind w:right="-168" w:rightChars="-80"/>
              <w:rPr>
                <w:color w:val="000000" w:themeColor="text1"/>
                <w:sz w:val="16"/>
                <w14:textFill>
                  <w14:solidFill>
                    <w14:schemeClr w14:val="tx1"/>
                  </w14:solidFill>
                </w14:textFill>
              </w:rPr>
            </w:pPr>
          </w:p>
        </w:tc>
        <w:tc>
          <w:tcPr>
            <w:tcW w:w="389" w:type="dxa"/>
            <w:vAlign w:val="center"/>
          </w:tcPr>
          <w:p>
            <w:pPr>
              <w:ind w:right="-168" w:rightChars="-80"/>
              <w:rPr>
                <w:color w:val="000000" w:themeColor="text1"/>
                <w:sz w:val="16"/>
                <w14:textFill>
                  <w14:solidFill>
                    <w14:schemeClr w14:val="tx1"/>
                  </w14:solidFill>
                </w14:textFill>
              </w:rPr>
            </w:pPr>
          </w:p>
        </w:tc>
        <w:tc>
          <w:tcPr>
            <w:tcW w:w="403" w:type="dxa"/>
            <w:vAlign w:val="center"/>
          </w:tcPr>
          <w:p>
            <w:pPr>
              <w:ind w:right="-168" w:rightChars="-80"/>
              <w:rPr>
                <w:color w:val="000000" w:themeColor="text1"/>
                <w:sz w:val="16"/>
                <w14:textFill>
                  <w14:solidFill>
                    <w14:schemeClr w14:val="tx1"/>
                  </w14:solidFill>
                </w14:textFill>
              </w:rPr>
            </w:pPr>
          </w:p>
        </w:tc>
        <w:tc>
          <w:tcPr>
            <w:tcW w:w="389" w:type="dxa"/>
            <w:vAlign w:val="center"/>
          </w:tcPr>
          <w:p>
            <w:pPr>
              <w:ind w:right="-168" w:rightChars="-80"/>
              <w:rPr>
                <w:color w:val="000000" w:themeColor="text1"/>
                <w:sz w:val="16"/>
                <w14:textFill>
                  <w14:solidFill>
                    <w14:schemeClr w14:val="tx1"/>
                  </w14:solidFill>
                </w14:textFill>
              </w:rPr>
            </w:pPr>
          </w:p>
        </w:tc>
        <w:tc>
          <w:tcPr>
            <w:tcW w:w="417" w:type="dxa"/>
            <w:vAlign w:val="center"/>
          </w:tcPr>
          <w:p>
            <w:pPr>
              <w:ind w:right="-168" w:rightChars="-80"/>
              <w:rPr>
                <w:color w:val="000000" w:themeColor="text1"/>
                <w:sz w:val="16"/>
                <w14:textFill>
                  <w14:solidFill>
                    <w14:schemeClr w14:val="tx1"/>
                  </w14:solidFill>
                </w14:textFill>
              </w:rPr>
            </w:pPr>
          </w:p>
        </w:tc>
        <w:tc>
          <w:tcPr>
            <w:tcW w:w="413" w:type="dxa"/>
            <w:vAlign w:val="center"/>
          </w:tcPr>
          <w:p>
            <w:pPr>
              <w:ind w:right="-168" w:rightChars="-80"/>
              <w:rPr>
                <w:color w:val="000000" w:themeColor="text1"/>
                <w:sz w:val="16"/>
                <w14:textFill>
                  <w14:solidFill>
                    <w14:schemeClr w14:val="tx1"/>
                  </w14:solidFill>
                </w14:textFill>
              </w:rPr>
            </w:pPr>
          </w:p>
        </w:tc>
        <w:tc>
          <w:tcPr>
            <w:tcW w:w="490" w:type="dxa"/>
            <w:vAlign w:val="center"/>
          </w:tcPr>
          <w:p>
            <w:pPr>
              <w:ind w:right="-168" w:rightChars="-80"/>
              <w:rPr>
                <w:color w:val="000000" w:themeColor="text1"/>
                <w:sz w:val="16"/>
                <w14:textFill>
                  <w14:solidFill>
                    <w14:schemeClr w14:val="tx1"/>
                  </w14:solidFill>
                </w14:textFill>
              </w:rPr>
            </w:pPr>
          </w:p>
        </w:tc>
        <w:tc>
          <w:tcPr>
            <w:tcW w:w="500" w:type="dxa"/>
            <w:vAlign w:val="center"/>
          </w:tcPr>
          <w:p>
            <w:pPr>
              <w:ind w:right="-168" w:rightChars="-80"/>
              <w:rPr>
                <w:color w:val="000000" w:themeColor="text1"/>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568" w:type="dxa"/>
            <w:vMerge w:val="continue"/>
            <w:vAlign w:val="center"/>
          </w:tcPr>
          <w:p>
            <w:pPr>
              <w:ind w:right="-168" w:rightChars="-80"/>
              <w:jc w:val="center"/>
              <w:rPr>
                <w:color w:val="000000" w:themeColor="text1"/>
                <w:sz w:val="20"/>
                <w:szCs w:val="20"/>
                <w14:textFill>
                  <w14:solidFill>
                    <w14:schemeClr w14:val="tx1"/>
                  </w14:solidFill>
                </w14:textFill>
              </w:rPr>
            </w:pPr>
          </w:p>
        </w:tc>
        <w:tc>
          <w:tcPr>
            <w:tcW w:w="850" w:type="dxa"/>
            <w:vAlign w:val="center"/>
          </w:tcPr>
          <w:p>
            <w:pPr>
              <w:ind w:right="-168" w:rightChars="-8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6</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＋0.045</w:t>
            </w:r>
          </w:p>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－0.035</w:t>
            </w:r>
          </w:p>
        </w:tc>
        <w:tc>
          <w:tcPr>
            <w:tcW w:w="351" w:type="dxa"/>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94" w:type="dxa"/>
            <w:vAlign w:val="center"/>
          </w:tcPr>
          <w:p>
            <w:pPr>
              <w:ind w:right="-168" w:rightChars="-80"/>
              <w:rPr>
                <w:color w:val="000000" w:themeColor="text1"/>
                <w:sz w:val="16"/>
                <w14:textFill>
                  <w14:solidFill>
                    <w14:schemeClr w14:val="tx1"/>
                  </w14:solidFill>
                </w14:textFill>
              </w:rPr>
            </w:pPr>
          </w:p>
        </w:tc>
        <w:tc>
          <w:tcPr>
            <w:tcW w:w="358" w:type="dxa"/>
            <w:vAlign w:val="center"/>
          </w:tcPr>
          <w:p>
            <w:pPr>
              <w:ind w:right="-168" w:rightChars="-80"/>
              <w:rPr>
                <w:color w:val="000000" w:themeColor="text1"/>
                <w:sz w:val="16"/>
                <w14:textFill>
                  <w14:solidFill>
                    <w14:schemeClr w14:val="tx1"/>
                  </w14:solidFill>
                </w14:textFill>
              </w:rPr>
            </w:pPr>
          </w:p>
        </w:tc>
        <w:tc>
          <w:tcPr>
            <w:tcW w:w="375" w:type="dxa"/>
            <w:vAlign w:val="center"/>
          </w:tcPr>
          <w:p>
            <w:pPr>
              <w:ind w:right="-168" w:rightChars="-80"/>
              <w:rPr>
                <w:color w:val="000000" w:themeColor="text1"/>
                <w:sz w:val="16"/>
                <w14:textFill>
                  <w14:solidFill>
                    <w14:schemeClr w14:val="tx1"/>
                  </w14:solidFill>
                </w14:textFill>
              </w:rPr>
            </w:pPr>
          </w:p>
        </w:tc>
        <w:tc>
          <w:tcPr>
            <w:tcW w:w="375" w:type="dxa"/>
            <w:vAlign w:val="center"/>
          </w:tcPr>
          <w:p>
            <w:pPr>
              <w:ind w:right="-168" w:rightChars="-80"/>
              <w:rPr>
                <w:color w:val="000000" w:themeColor="text1"/>
                <w:sz w:val="16"/>
                <w14:textFill>
                  <w14:solidFill>
                    <w14:schemeClr w14:val="tx1"/>
                  </w14:solidFill>
                </w14:textFill>
              </w:rPr>
            </w:pPr>
          </w:p>
        </w:tc>
        <w:tc>
          <w:tcPr>
            <w:tcW w:w="375" w:type="dxa"/>
            <w:vAlign w:val="center"/>
          </w:tcPr>
          <w:p>
            <w:pPr>
              <w:ind w:right="-168" w:rightChars="-80"/>
              <w:rPr>
                <w:color w:val="000000" w:themeColor="text1"/>
                <w:sz w:val="16"/>
                <w14:textFill>
                  <w14:solidFill>
                    <w14:schemeClr w14:val="tx1"/>
                  </w14:solidFill>
                </w14:textFill>
              </w:rPr>
            </w:pPr>
          </w:p>
        </w:tc>
        <w:tc>
          <w:tcPr>
            <w:tcW w:w="389" w:type="dxa"/>
            <w:vAlign w:val="center"/>
          </w:tcPr>
          <w:p>
            <w:pPr>
              <w:ind w:right="-168" w:rightChars="-80"/>
              <w:rPr>
                <w:color w:val="000000" w:themeColor="text1"/>
                <w:sz w:val="16"/>
                <w14:textFill>
                  <w14:solidFill>
                    <w14:schemeClr w14:val="tx1"/>
                  </w14:solidFill>
                </w14:textFill>
              </w:rPr>
            </w:pPr>
          </w:p>
        </w:tc>
        <w:tc>
          <w:tcPr>
            <w:tcW w:w="389" w:type="dxa"/>
            <w:vAlign w:val="center"/>
          </w:tcPr>
          <w:p>
            <w:pPr>
              <w:ind w:right="-168" w:rightChars="-80"/>
              <w:rPr>
                <w:color w:val="000000" w:themeColor="text1"/>
                <w:sz w:val="16"/>
                <w14:textFill>
                  <w14:solidFill>
                    <w14:schemeClr w14:val="tx1"/>
                  </w14:solidFill>
                </w14:textFill>
              </w:rPr>
            </w:pPr>
          </w:p>
        </w:tc>
        <w:tc>
          <w:tcPr>
            <w:tcW w:w="389" w:type="dxa"/>
            <w:vAlign w:val="center"/>
          </w:tcPr>
          <w:p>
            <w:pPr>
              <w:ind w:right="-168" w:rightChars="-80"/>
              <w:rPr>
                <w:color w:val="000000" w:themeColor="text1"/>
                <w:sz w:val="16"/>
                <w14:textFill>
                  <w14:solidFill>
                    <w14:schemeClr w14:val="tx1"/>
                  </w14:solidFill>
                </w14:textFill>
              </w:rPr>
            </w:pPr>
          </w:p>
        </w:tc>
        <w:tc>
          <w:tcPr>
            <w:tcW w:w="402" w:type="dxa"/>
            <w:vAlign w:val="center"/>
          </w:tcPr>
          <w:p>
            <w:pPr>
              <w:ind w:right="-168" w:rightChars="-80"/>
              <w:rPr>
                <w:color w:val="000000" w:themeColor="text1"/>
                <w:sz w:val="16"/>
                <w14:textFill>
                  <w14:solidFill>
                    <w14:schemeClr w14:val="tx1"/>
                  </w14:solidFill>
                </w14:textFill>
              </w:rPr>
            </w:pPr>
          </w:p>
        </w:tc>
        <w:tc>
          <w:tcPr>
            <w:tcW w:w="389" w:type="dxa"/>
            <w:vAlign w:val="center"/>
          </w:tcPr>
          <w:p>
            <w:pPr>
              <w:ind w:right="-168" w:rightChars="-80"/>
              <w:rPr>
                <w:color w:val="000000" w:themeColor="text1"/>
                <w:sz w:val="16"/>
                <w14:textFill>
                  <w14:solidFill>
                    <w14:schemeClr w14:val="tx1"/>
                  </w14:solidFill>
                </w14:textFill>
              </w:rPr>
            </w:pPr>
          </w:p>
        </w:tc>
        <w:tc>
          <w:tcPr>
            <w:tcW w:w="403" w:type="dxa"/>
            <w:vAlign w:val="center"/>
          </w:tcPr>
          <w:p>
            <w:pPr>
              <w:ind w:right="-168" w:rightChars="-80"/>
              <w:rPr>
                <w:color w:val="000000" w:themeColor="text1"/>
                <w:sz w:val="16"/>
                <w14:textFill>
                  <w14:solidFill>
                    <w14:schemeClr w14:val="tx1"/>
                  </w14:solidFill>
                </w14:textFill>
              </w:rPr>
            </w:pPr>
          </w:p>
        </w:tc>
        <w:tc>
          <w:tcPr>
            <w:tcW w:w="389" w:type="dxa"/>
            <w:vAlign w:val="center"/>
          </w:tcPr>
          <w:p>
            <w:pPr>
              <w:ind w:right="-168" w:rightChars="-80"/>
              <w:rPr>
                <w:color w:val="000000" w:themeColor="text1"/>
                <w:sz w:val="16"/>
                <w14:textFill>
                  <w14:solidFill>
                    <w14:schemeClr w14:val="tx1"/>
                  </w14:solidFill>
                </w14:textFill>
              </w:rPr>
            </w:pPr>
          </w:p>
        </w:tc>
        <w:tc>
          <w:tcPr>
            <w:tcW w:w="417" w:type="dxa"/>
            <w:vAlign w:val="center"/>
          </w:tcPr>
          <w:p>
            <w:pPr>
              <w:ind w:right="-168" w:rightChars="-80"/>
              <w:rPr>
                <w:color w:val="000000" w:themeColor="text1"/>
                <w:sz w:val="16"/>
                <w14:textFill>
                  <w14:solidFill>
                    <w14:schemeClr w14:val="tx1"/>
                  </w14:solidFill>
                </w14:textFill>
              </w:rPr>
            </w:pPr>
          </w:p>
        </w:tc>
        <w:tc>
          <w:tcPr>
            <w:tcW w:w="413" w:type="dxa"/>
            <w:vAlign w:val="center"/>
          </w:tcPr>
          <w:p>
            <w:pPr>
              <w:ind w:right="-168" w:rightChars="-80"/>
              <w:rPr>
                <w:color w:val="000000" w:themeColor="text1"/>
                <w:sz w:val="16"/>
                <w14:textFill>
                  <w14:solidFill>
                    <w14:schemeClr w14:val="tx1"/>
                  </w14:solidFill>
                </w14:textFill>
              </w:rPr>
            </w:pPr>
          </w:p>
        </w:tc>
        <w:tc>
          <w:tcPr>
            <w:tcW w:w="490" w:type="dxa"/>
            <w:vAlign w:val="center"/>
          </w:tcPr>
          <w:p>
            <w:pPr>
              <w:ind w:right="-168" w:rightChars="-80"/>
              <w:rPr>
                <w:color w:val="000000" w:themeColor="text1"/>
                <w:sz w:val="16"/>
                <w14:textFill>
                  <w14:solidFill>
                    <w14:schemeClr w14:val="tx1"/>
                  </w14:solidFill>
                </w14:textFill>
              </w:rPr>
            </w:pPr>
          </w:p>
        </w:tc>
        <w:tc>
          <w:tcPr>
            <w:tcW w:w="500" w:type="dxa"/>
            <w:vAlign w:val="center"/>
          </w:tcPr>
          <w:p>
            <w:pPr>
              <w:ind w:right="-168" w:rightChars="-80"/>
              <w:rPr>
                <w:color w:val="000000" w:themeColor="text1"/>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4</w:t>
            </w: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8</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＋0.045</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－0.035</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6</w:t>
            </w: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10</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＋0.045</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－0.035</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8</w:t>
            </w: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12</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＋0.045</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－0.035</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restart"/>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12</w:t>
            </w: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15</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＋0.045</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－0.035</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continue"/>
            <w:vAlign w:val="center"/>
          </w:tcPr>
          <w:p>
            <w:pPr>
              <w:ind w:right="-168" w:rightChars="-80"/>
              <w:rPr>
                <w:color w:val="000000" w:themeColor="text1"/>
                <w:sz w:val="16"/>
                <w14:textFill>
                  <w14:solidFill>
                    <w14:schemeClr w14:val="tx1"/>
                  </w14:solidFill>
                </w14:textFill>
              </w:rPr>
            </w:pP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16</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＋0.045</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－0.035</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restart"/>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16</w:t>
            </w: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18</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＋0.045</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－0.035</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continue"/>
            <w:vAlign w:val="center"/>
          </w:tcPr>
          <w:p>
            <w:pPr>
              <w:ind w:right="-168" w:rightChars="-80"/>
              <w:rPr>
                <w:color w:val="000000" w:themeColor="text1"/>
                <w:sz w:val="16"/>
                <w14:textFill>
                  <w14:solidFill>
                    <w14:schemeClr w14:val="tx1"/>
                  </w14:solidFill>
                </w14:textFill>
              </w:rPr>
            </w:pP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20</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＋0.055</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－0.025</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restart"/>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20</w:t>
            </w: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22</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＋0.055</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－0.025</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continue"/>
            <w:vAlign w:val="center"/>
          </w:tcPr>
          <w:p>
            <w:pPr>
              <w:ind w:right="-168" w:rightChars="-80"/>
              <w:rPr>
                <w:color w:val="000000" w:themeColor="text1"/>
                <w:sz w:val="16"/>
                <w14:textFill>
                  <w14:solidFill>
                    <w14:schemeClr w14:val="tx1"/>
                  </w14:solidFill>
                </w14:textFill>
              </w:rPr>
            </w:pP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25</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＋0.055</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－0.025</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restart"/>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25</w:t>
            </w: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28</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＋0.055</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－0.025</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continue"/>
            <w:vAlign w:val="center"/>
          </w:tcPr>
          <w:p>
            <w:pPr>
              <w:ind w:right="-168" w:rightChars="-80"/>
              <w:rPr>
                <w:color w:val="000000" w:themeColor="text1"/>
                <w:sz w:val="16"/>
                <w14:textFill>
                  <w14:solidFill>
                    <w14:schemeClr w14:val="tx1"/>
                  </w14:solidFill>
                </w14:textFill>
              </w:rPr>
            </w:pP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30</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＋0.055</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－0.025</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restart"/>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32</w:t>
            </w: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35</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＋0.07</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－0.01</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continue"/>
            <w:vAlign w:val="center"/>
          </w:tcPr>
          <w:p>
            <w:pPr>
              <w:ind w:right="-168" w:rightChars="-80"/>
              <w:rPr>
                <w:color w:val="000000" w:themeColor="text1"/>
                <w:sz w:val="16"/>
                <w14:textFill>
                  <w14:solidFill>
                    <w14:schemeClr w14:val="tx1"/>
                  </w14:solidFill>
                </w14:textFill>
              </w:rPr>
            </w:pP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38</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＋0.07</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－0.01</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restart"/>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40</w:t>
            </w: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42</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＋0.07</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－0.01</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continue"/>
            <w:vAlign w:val="center"/>
          </w:tcPr>
          <w:p>
            <w:pPr>
              <w:ind w:right="-168" w:rightChars="-80"/>
              <w:rPr>
                <w:color w:val="000000" w:themeColor="text1"/>
                <w:sz w:val="16"/>
                <w14:textFill>
                  <w14:solidFill>
                    <w14:schemeClr w14:val="tx1"/>
                  </w14:solidFill>
                </w14:textFill>
              </w:rPr>
            </w:pP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44.5</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＋0.07</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－0.01</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restart"/>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50</w:t>
            </w: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54</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＋0.1</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＋0.05</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continue"/>
            <w:vAlign w:val="center"/>
          </w:tcPr>
          <w:p>
            <w:pPr>
              <w:ind w:right="-168" w:rightChars="-80"/>
              <w:rPr>
                <w:color w:val="000000" w:themeColor="text1"/>
                <w:sz w:val="16"/>
                <w14:textFill>
                  <w14:solidFill>
                    <w14:schemeClr w14:val="tx1"/>
                  </w14:solidFill>
                </w14:textFill>
              </w:rPr>
            </w:pP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57</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＋0.2</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＋0.12</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65</w:t>
            </w: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76</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＋0.2</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＋0.05</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80</w:t>
            </w: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89</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＋0.25</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＋0.10</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100</w:t>
            </w: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108</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＋0.25</w:t>
            </w:r>
          </w:p>
          <w:p>
            <w:pPr>
              <w:spacing w:line="200" w:lineRule="exact"/>
              <w:ind w:right="-168" w:rightChars="-80" w:firstLine="100" w:firstLineChars="5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125</w:t>
            </w: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133</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＋0.5</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＋0.25</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150</w:t>
            </w: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159</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＋0.5</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＋0.25</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175</w:t>
            </w: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194</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＋0.8</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＋0.55</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200</w:t>
            </w: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219</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＋0.8</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＋0.4</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250</w:t>
            </w: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267</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＋1.0</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-0.6</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300</w:t>
            </w: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324</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＋1.0</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-0.6</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350</w:t>
            </w: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368</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＋1.0</w:t>
            </w:r>
          </w:p>
          <w:p>
            <w:pPr>
              <w:spacing w:line="200" w:lineRule="exact"/>
              <w:ind w:right="-168" w:rightChars="-80"/>
              <w:rPr>
                <w:color w:val="000000" w:themeColor="text1"/>
                <w:sz w:val="16"/>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-1.0</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400</w:t>
            </w: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419</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＋1.0</w:t>
            </w:r>
          </w:p>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-1.5</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450</w:t>
            </w:r>
          </w:p>
        </w:tc>
        <w:tc>
          <w:tcPr>
            <w:tcW w:w="85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458</w:t>
            </w:r>
          </w:p>
        </w:tc>
        <w:tc>
          <w:tcPr>
            <w:tcW w:w="784" w:type="dxa"/>
            <w:vAlign w:val="center"/>
          </w:tcPr>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＋1.0</w:t>
            </w:r>
          </w:p>
          <w:p>
            <w:pPr>
              <w:spacing w:line="200" w:lineRule="exact"/>
              <w:ind w:right="-168" w:rightChars="-80"/>
              <w:rPr>
                <w:rFonts w:ascii="宋体" w:hAnsi="宋体"/>
                <w:color w:val="000000" w:themeColor="text1"/>
                <w:sz w:val="20"/>
                <w:szCs w:val="20"/>
                <w:vertAlign w:val="subscript"/>
                <w14:textFill>
                  <w14:solidFill>
                    <w14:schemeClr w14:val="tx1"/>
                  </w14:solidFill>
                </w14:textFill>
              </w:rPr>
            </w:pPr>
            <w:r>
              <w:rPr>
                <w:rFonts w:hint="eastAsia" w:ascii="宋体" w:hAnsi="宋体"/>
                <w:color w:val="000000" w:themeColor="text1"/>
                <w:sz w:val="20"/>
                <w:szCs w:val="20"/>
                <w:vertAlign w:val="subscript"/>
                <w14:textFill>
                  <w14:solidFill>
                    <w14:schemeClr w14:val="tx1"/>
                  </w14:solidFill>
                </w14:textFill>
              </w:rPr>
              <w:t>-2.0</w:t>
            </w:r>
          </w:p>
        </w:tc>
        <w:tc>
          <w:tcPr>
            <w:tcW w:w="351" w:type="dxa"/>
          </w:tcPr>
          <w:p>
            <w:pPr>
              <w:ind w:right="-168" w:rightChars="-80"/>
              <w:rPr>
                <w:color w:val="000000" w:themeColor="text1"/>
                <w:sz w:val="16"/>
                <w14:textFill>
                  <w14:solidFill>
                    <w14:schemeClr w14:val="tx1"/>
                  </w14:solidFill>
                </w14:textFill>
              </w:rPr>
            </w:pPr>
          </w:p>
        </w:tc>
        <w:tc>
          <w:tcPr>
            <w:tcW w:w="351"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6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94"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58"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75"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402"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0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389"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17"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O</w:t>
            </w:r>
          </w:p>
        </w:tc>
        <w:tc>
          <w:tcPr>
            <w:tcW w:w="413"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49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c>
          <w:tcPr>
            <w:tcW w:w="500" w:type="dxa"/>
            <w:vAlign w:val="center"/>
          </w:tcPr>
          <w:p>
            <w:pPr>
              <w:ind w:right="-168" w:rightChars="-80"/>
              <w:rPr>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w:t>
            </w:r>
          </w:p>
        </w:tc>
      </w:tr>
    </w:tbl>
    <w:p>
      <w:pPr>
        <w:wordWrap w:val="0"/>
        <w:ind w:right="420"/>
        <w:jc w:val="center"/>
        <w:rPr>
          <w:rFonts w:ascii="黑体" w:eastAsia="黑体"/>
          <w:color w:val="000000" w:themeColor="text1"/>
          <w:sz w:val="20"/>
          <w14:textFill>
            <w14:solidFill>
              <w14:schemeClr w14:val="tx1"/>
            </w14:solidFill>
          </w14:textFill>
        </w:rPr>
      </w:pPr>
    </w:p>
    <w:p>
      <w:pPr>
        <w:spacing w:line="300" w:lineRule="auto"/>
        <w:ind w:firstLine="420" w:firstLineChars="200"/>
        <w:contextualSpacing/>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4.2.3.2壁厚及其允许偏差</w:t>
      </w:r>
    </w:p>
    <w:p>
      <w:pPr>
        <w:spacing w:line="300" w:lineRule="auto"/>
        <w:ind w:firstLine="420" w:firstLineChars="200"/>
        <w:contextualSpacing/>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按照实际生产情况，管材壁厚的允许偏差应按照不同的级别进行规定，具体内容如下：</w:t>
      </w:r>
    </w:p>
    <w:p>
      <w:pPr>
        <w:pStyle w:val="58"/>
        <w:ind w:left="0" w:firstLine="2520" w:firstLineChars="1200"/>
        <w:jc w:val="both"/>
        <w:rPr>
          <w:rFonts w:ascii="Times New Roman"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表</w:t>
      </w:r>
      <w:r>
        <w:rPr>
          <w:rFonts w:hint="eastAsia" w:ascii="Times New Roman" w:eastAsia="宋体"/>
          <w:color w:val="000000" w:themeColor="text1"/>
          <w14:textFill>
            <w14:solidFill>
              <w14:schemeClr w14:val="tx1"/>
            </w14:solidFill>
          </w14:textFill>
        </w:rPr>
        <w:t>3</w:t>
      </w:r>
      <w:r>
        <w:rPr>
          <w:rFonts w:ascii="Times New Roman" w:eastAsia="宋体"/>
          <w:color w:val="000000" w:themeColor="text1"/>
          <w14:textFill>
            <w14:solidFill>
              <w14:schemeClr w14:val="tx1"/>
            </w14:solidFill>
          </w14:textFill>
        </w:rPr>
        <w:t xml:space="preserve">  </w:t>
      </w:r>
      <w:r>
        <w:rPr>
          <w:rFonts w:ascii="Times New Roman" w:hAnsi="宋体" w:eastAsia="宋体"/>
          <w:color w:val="000000" w:themeColor="text1"/>
          <w14:textFill>
            <w14:solidFill>
              <w14:schemeClr w14:val="tx1"/>
            </w14:solidFill>
          </w14:textFill>
        </w:rPr>
        <w:t>管材的</w:t>
      </w:r>
      <w:r>
        <w:rPr>
          <w:rFonts w:hint="eastAsia" w:ascii="Times New Roman" w:hAnsi="宋体" w:eastAsia="宋体"/>
          <w:color w:val="000000" w:themeColor="text1"/>
          <w14:textFill>
            <w14:solidFill>
              <w14:schemeClr w14:val="tx1"/>
            </w14:solidFill>
          </w14:textFill>
        </w:rPr>
        <w:t>壁厚</w:t>
      </w:r>
      <w:r>
        <w:rPr>
          <w:rFonts w:ascii="Times New Roman" w:hAnsi="宋体" w:eastAsia="宋体"/>
          <w:color w:val="000000" w:themeColor="text1"/>
          <w14:textFill>
            <w14:solidFill>
              <w14:schemeClr w14:val="tx1"/>
            </w14:solidFill>
          </w14:textFill>
        </w:rPr>
        <w:t>允许偏差</w:t>
      </w:r>
      <w:r>
        <w:rPr>
          <w:rFonts w:ascii="Times New Roman" w:eastAsia="宋体"/>
          <w:color w:val="000000" w:themeColor="text1"/>
          <w14:textFill>
            <w14:solidFill>
              <w14:schemeClr w14:val="tx1"/>
            </w14:solidFill>
          </w14:textFill>
        </w:rPr>
        <w:t xml:space="preserve">                    </w:t>
      </w:r>
      <w:r>
        <w:rPr>
          <w:rFonts w:ascii="Times New Roman" w:hAnsi="宋体" w:eastAsia="宋体"/>
          <w:color w:val="000000" w:themeColor="text1"/>
          <w14:textFill>
            <w14:solidFill>
              <w14:schemeClr w14:val="tx1"/>
            </w14:solidFill>
          </w14:textFill>
        </w:rPr>
        <w:t>单位为毫米</w:t>
      </w:r>
    </w:p>
    <w:tbl>
      <w:tblPr>
        <w:tblStyle w:val="11"/>
        <w:tblW w:w="9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8"/>
        <w:gridCol w:w="3818"/>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728" w:type="dxa"/>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公称外径</w:t>
            </w:r>
          </w:p>
        </w:tc>
        <w:tc>
          <w:tcPr>
            <w:tcW w:w="381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平均壁厚</w:t>
            </w:r>
            <w:r>
              <w:rPr>
                <w:rFonts w:hAnsi="宋体"/>
                <w:color w:val="000000" w:themeColor="text1"/>
                <w:sz w:val="18"/>
                <w:szCs w:val="18"/>
                <w14:textFill>
                  <w14:solidFill>
                    <w14:schemeClr w14:val="tx1"/>
                  </w14:solidFill>
                </w14:textFill>
              </w:rPr>
              <w:t>允许偏差</w:t>
            </w:r>
          </w:p>
        </w:tc>
        <w:tc>
          <w:tcPr>
            <w:tcW w:w="3061"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任意壁厚允许偏差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728" w:type="dxa"/>
            <w:vAlign w:val="center"/>
          </w:tcPr>
          <w:p>
            <w:pPr>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hAnsi="宋体"/>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159</w:t>
            </w:r>
          </w:p>
        </w:tc>
        <w:tc>
          <w:tcPr>
            <w:tcW w:w="3818" w:type="dxa"/>
            <w:vAlign w:val="center"/>
          </w:tcPr>
          <w:p>
            <w:pPr>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公称壁厚的</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10%</w:t>
            </w:r>
          </w:p>
        </w:tc>
        <w:tc>
          <w:tcPr>
            <w:tcW w:w="3061" w:type="dxa"/>
            <w:vMerge w:val="restart"/>
            <w:vAlign w:val="center"/>
          </w:tcPr>
          <w:p>
            <w:pPr>
              <w:ind w:right="25" w:rightChars="12"/>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最小壁厚的＋15%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728" w:type="dxa"/>
            <w:vAlign w:val="center"/>
          </w:tcPr>
          <w:p>
            <w:pPr>
              <w:ind w:right="25" w:rightChars="12"/>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&gt;</w:t>
            </w:r>
            <w:r>
              <w:rPr>
                <w:rFonts w:hint="eastAsia"/>
                <w:color w:val="000000" w:themeColor="text1"/>
                <w:sz w:val="18"/>
                <w:szCs w:val="18"/>
                <w14:textFill>
                  <w14:solidFill>
                    <w14:schemeClr w14:val="tx1"/>
                  </w14:solidFill>
                </w14:textFill>
              </w:rPr>
              <w:t>159</w:t>
            </w:r>
            <w:r>
              <w:rPr>
                <w:rFonts w:hAnsi="宋体"/>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458</w:t>
            </w:r>
          </w:p>
        </w:tc>
        <w:tc>
          <w:tcPr>
            <w:tcW w:w="3818" w:type="dxa"/>
            <w:vAlign w:val="center"/>
          </w:tcPr>
          <w:p>
            <w:pPr>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公称壁厚的</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12%</w:t>
            </w:r>
          </w:p>
        </w:tc>
        <w:tc>
          <w:tcPr>
            <w:tcW w:w="3061" w:type="dxa"/>
            <w:vMerge w:val="continue"/>
            <w:vAlign w:val="center"/>
          </w:tcPr>
          <w:p>
            <w:pPr>
              <w:ind w:right="25" w:rightChars="12"/>
              <w:jc w:val="center"/>
              <w:rPr>
                <w:color w:val="000000" w:themeColor="text1"/>
                <w:sz w:val="18"/>
                <w:szCs w:val="18"/>
                <w14:textFill>
                  <w14:solidFill>
                    <w14:schemeClr w14:val="tx1"/>
                  </w14:solidFill>
                </w14:textFill>
              </w:rPr>
            </w:pPr>
          </w:p>
        </w:tc>
      </w:tr>
    </w:tbl>
    <w:p>
      <w:pPr>
        <w:rPr>
          <w:color w:val="000000" w:themeColor="text1"/>
          <w:szCs w:val="21"/>
          <w14:textFill>
            <w14:solidFill>
              <w14:schemeClr w14:val="tx1"/>
            </w14:solidFill>
          </w14:textFill>
        </w:rPr>
      </w:pPr>
    </w:p>
    <w:p>
      <w:pPr>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4.2.3.3 单位长度重量</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规定单位长度重量没有实际意义，所以本版本标准删除了单位长度重量的规定。</w:t>
      </w:r>
    </w:p>
    <w:p>
      <w:pPr>
        <w:spacing w:line="300" w:lineRule="auto"/>
        <w:ind w:firstLine="420" w:firstLineChars="200"/>
        <w:contextualSpacing/>
        <w:jc w:val="left"/>
        <w:rPr>
          <w:rFonts w:hAnsi="宋体"/>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4.2.3.4</w:t>
      </w:r>
      <w:r>
        <w:rPr>
          <w:rFonts w:hint="eastAsia" w:hAnsi="宋体"/>
          <w:color w:val="000000" w:themeColor="text1"/>
          <w14:textFill>
            <w14:solidFill>
              <w14:schemeClr w14:val="tx1"/>
            </w14:solidFill>
          </w14:textFill>
        </w:rPr>
        <w:t>产品长度尺寸偏差</w:t>
      </w:r>
    </w:p>
    <w:p>
      <w:pPr>
        <w:spacing w:line="300" w:lineRule="auto"/>
        <w:ind w:firstLine="420" w:firstLineChars="20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根据实际检测数据，长度允许偏差见以下内容：</w:t>
      </w:r>
    </w:p>
    <w:p>
      <w:pPr>
        <w:jc w:val="right"/>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 xml:space="preserve">表4　　管材的长度允许偏差                </w:t>
      </w:r>
      <w:r>
        <w:rPr>
          <w:rFonts w:hint="eastAsia" w:ascii="黑体" w:eastAsia="黑体"/>
          <w:color w:val="000000" w:themeColor="text1"/>
          <w:szCs w:val="21"/>
          <w14:textFill>
            <w14:solidFill>
              <w14:schemeClr w14:val="tx1"/>
            </w14:solidFill>
          </w14:textFill>
        </w:rPr>
        <w:t>单位为毫米</w:t>
      </w: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264"/>
        <w:gridCol w:w="1264"/>
        <w:gridCol w:w="1264"/>
        <w:gridCol w:w="1264"/>
        <w:gridCol w:w="1264"/>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6" w:type="dxa"/>
            <w:vMerge w:val="restart"/>
            <w:shd w:val="clear" w:color="auto" w:fill="auto"/>
          </w:tcPr>
          <w:p>
            <w:pPr>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公称外径</w:t>
            </w:r>
          </w:p>
        </w:tc>
        <w:tc>
          <w:tcPr>
            <w:tcW w:w="8010" w:type="dxa"/>
            <w:gridSpan w:val="6"/>
            <w:shd w:val="clear" w:color="auto" w:fill="auto"/>
          </w:tcPr>
          <w:p>
            <w:pPr>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长度允许偏差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6" w:type="dxa"/>
            <w:vMerge w:val="continue"/>
            <w:shd w:val="clear" w:color="auto" w:fill="auto"/>
          </w:tcPr>
          <w:p>
            <w:pPr>
              <w:ind w:right="25" w:rightChars="12"/>
              <w:jc w:val="center"/>
              <w:rPr>
                <w:color w:val="000000" w:themeColor="text1"/>
                <w:sz w:val="18"/>
                <w:szCs w:val="18"/>
                <w14:textFill>
                  <w14:solidFill>
                    <w14:schemeClr w14:val="tx1"/>
                  </w14:solidFill>
                </w14:textFill>
              </w:rPr>
            </w:pPr>
          </w:p>
        </w:tc>
        <w:tc>
          <w:tcPr>
            <w:tcW w:w="1264" w:type="dxa"/>
            <w:shd w:val="clear" w:color="auto" w:fill="auto"/>
            <w:vAlign w:val="center"/>
          </w:tcPr>
          <w:p>
            <w:pPr>
              <w:adjustRightInd w:val="0"/>
              <w:snapToGrid w:val="0"/>
              <w:spacing w:line="200" w:lineRule="atLeast"/>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≤1000</w:t>
            </w:r>
          </w:p>
        </w:tc>
        <w:tc>
          <w:tcPr>
            <w:tcW w:w="1264" w:type="dxa"/>
            <w:shd w:val="clear" w:color="auto" w:fill="auto"/>
            <w:vAlign w:val="center"/>
          </w:tcPr>
          <w:p>
            <w:pPr>
              <w:adjustRightInd w:val="0"/>
              <w:snapToGrid w:val="0"/>
              <w:spacing w:line="200" w:lineRule="atLeast"/>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＞1000～2000</w:t>
            </w:r>
          </w:p>
        </w:tc>
        <w:tc>
          <w:tcPr>
            <w:tcW w:w="1264" w:type="dxa"/>
            <w:shd w:val="clear" w:color="auto" w:fill="auto"/>
            <w:vAlign w:val="center"/>
          </w:tcPr>
          <w:p>
            <w:pPr>
              <w:adjustRightInd w:val="0"/>
              <w:snapToGrid w:val="0"/>
              <w:spacing w:line="200" w:lineRule="atLeast"/>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＞2000～4000</w:t>
            </w:r>
          </w:p>
        </w:tc>
        <w:tc>
          <w:tcPr>
            <w:tcW w:w="1264" w:type="dxa"/>
            <w:shd w:val="clear" w:color="auto" w:fill="auto"/>
            <w:vAlign w:val="center"/>
          </w:tcPr>
          <w:p>
            <w:pPr>
              <w:adjustRightInd w:val="0"/>
              <w:snapToGrid w:val="0"/>
              <w:spacing w:line="200" w:lineRule="atLeast"/>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＞4000～6000</w:t>
            </w:r>
          </w:p>
        </w:tc>
        <w:tc>
          <w:tcPr>
            <w:tcW w:w="1264" w:type="dxa"/>
            <w:shd w:val="clear" w:color="auto" w:fill="auto"/>
            <w:vAlign w:val="center"/>
          </w:tcPr>
          <w:p>
            <w:pPr>
              <w:adjustRightInd w:val="0"/>
              <w:snapToGrid w:val="0"/>
              <w:spacing w:line="200" w:lineRule="atLeast"/>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＞6000～8000</w:t>
            </w:r>
          </w:p>
        </w:tc>
        <w:tc>
          <w:tcPr>
            <w:tcW w:w="1690" w:type="dxa"/>
            <w:vAlign w:val="center"/>
          </w:tcPr>
          <w:p>
            <w:pPr>
              <w:adjustRightInd w:val="0"/>
              <w:snapToGrid w:val="0"/>
              <w:spacing w:line="200" w:lineRule="atLeast"/>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＞8000～15000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6" w:type="dxa"/>
            <w:shd w:val="clear" w:color="auto" w:fill="auto"/>
          </w:tcPr>
          <w:p>
            <w:pPr>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4～12</w:t>
            </w:r>
          </w:p>
        </w:tc>
        <w:tc>
          <w:tcPr>
            <w:tcW w:w="1264" w:type="dxa"/>
            <w:shd w:val="clear" w:color="auto" w:fill="auto"/>
            <w:vAlign w:val="center"/>
          </w:tcPr>
          <w:p>
            <w:pPr>
              <w:spacing w:line="200" w:lineRule="exact"/>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p>
            <w:pPr>
              <w:spacing w:line="200" w:lineRule="exact"/>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p>
            <w:pPr>
              <w:spacing w:line="200" w:lineRule="exact"/>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p>
            <w:pPr>
              <w:spacing w:line="200" w:lineRule="exact"/>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p>
            <w:pPr>
              <w:spacing w:line="200" w:lineRule="exact"/>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p>
            <w:pPr>
              <w:spacing w:line="200" w:lineRule="exact"/>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690" w:type="dxa"/>
            <w:vAlign w:val="center"/>
          </w:tcPr>
          <w:p>
            <w:pPr>
              <w:spacing w:line="200" w:lineRule="exact"/>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p>
            <w:pPr>
              <w:spacing w:line="200" w:lineRule="exact"/>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6" w:type="dxa"/>
            <w:shd w:val="clear" w:color="auto" w:fill="auto"/>
          </w:tcPr>
          <w:p>
            <w:pPr>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＞12～57</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690" w:type="dxa"/>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6" w:type="dxa"/>
            <w:shd w:val="clear" w:color="auto" w:fill="auto"/>
          </w:tcPr>
          <w:p>
            <w:pPr>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＞57～133</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690" w:type="dxa"/>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6" w:type="dxa"/>
            <w:shd w:val="clear" w:color="auto" w:fill="auto"/>
          </w:tcPr>
          <w:p>
            <w:pPr>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＞133～267</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690" w:type="dxa"/>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6" w:type="dxa"/>
            <w:shd w:val="clear" w:color="auto" w:fill="auto"/>
          </w:tcPr>
          <w:p>
            <w:pPr>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＞267～419</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690" w:type="dxa"/>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6" w:type="dxa"/>
            <w:shd w:val="clear" w:color="auto" w:fill="auto"/>
          </w:tcPr>
          <w:p>
            <w:pPr>
              <w:ind w:right="25" w:rightChars="12"/>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＞419～458</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264" w:type="dxa"/>
            <w:shd w:val="clear" w:color="auto" w:fill="auto"/>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1690" w:type="dxa"/>
            <w:vAlign w:val="center"/>
          </w:tcPr>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＋25</w:t>
            </w:r>
          </w:p>
          <w:p>
            <w:pPr>
              <w:spacing w:line="200" w:lineRule="exact"/>
              <w:ind w:right="25" w:rightChars="12" w:firstLine="270" w:firstLineChars="15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r>
    </w:tbl>
    <w:p>
      <w:pPr>
        <w:spacing w:line="300" w:lineRule="auto"/>
        <w:jc w:val="left"/>
        <w:rPr>
          <w:rFonts w:asciiTheme="minorEastAsia" w:hAnsiTheme="minorEastAsia"/>
          <w:color w:val="000000" w:themeColor="text1"/>
          <w:szCs w:val="21"/>
          <w14:textFill>
            <w14:solidFill>
              <w14:schemeClr w14:val="tx1"/>
            </w14:solidFill>
          </w14:textFill>
        </w:rPr>
      </w:pPr>
    </w:p>
    <w:p>
      <w:pPr>
        <w:spacing w:line="300" w:lineRule="auto"/>
        <w:ind w:firstLine="420" w:firstLineChars="20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4.2.4直度</w:t>
      </w:r>
    </w:p>
    <w:p>
      <w:pPr>
        <w:spacing w:line="300" w:lineRule="auto"/>
        <w:ind w:firstLine="420" w:firstLineChars="200"/>
        <w:contextualSpacing/>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经查阅GJB8757-2015和MIL-T-16420K(SH)1988，里面都是分档次对直度进行了规定，同时统计分析了公司的实际生产数据，将直度按照公称外径分为≤80mm、</w:t>
      </w:r>
      <w:r>
        <w:rPr>
          <w:color w:val="000000" w:themeColor="text1"/>
          <w:szCs w:val="21"/>
          <w14:textFill>
            <w14:solidFill>
              <w14:schemeClr w14:val="tx1"/>
            </w14:solidFill>
          </w14:textFill>
        </w:rPr>
        <w:t>&gt;</w:t>
      </w:r>
      <w:r>
        <w:rPr>
          <w:rFonts w:hint="eastAsia"/>
          <w:color w:val="000000" w:themeColor="text1"/>
          <w:szCs w:val="21"/>
          <w14:textFill>
            <w14:solidFill>
              <w14:schemeClr w14:val="tx1"/>
            </w14:solidFill>
          </w14:textFill>
        </w:rPr>
        <w:t>80 mm</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150 mm、</w:t>
      </w:r>
      <w:r>
        <w:rPr>
          <w:color w:val="000000" w:themeColor="text1"/>
          <w:szCs w:val="21"/>
          <w14:textFill>
            <w14:solidFill>
              <w14:schemeClr w14:val="tx1"/>
            </w14:solidFill>
          </w14:textFill>
        </w:rPr>
        <w:t>&gt;</w:t>
      </w:r>
      <w:r>
        <w:rPr>
          <w:rFonts w:hint="eastAsia"/>
          <w:color w:val="000000" w:themeColor="text1"/>
          <w:szCs w:val="21"/>
          <w14:textFill>
            <w14:solidFill>
              <w14:schemeClr w14:val="tx1"/>
            </w14:solidFill>
          </w14:textFill>
        </w:rPr>
        <w:t>150 mm三档，并按照实际使用情况进行了规定，具体见以下内容：</w:t>
      </w:r>
    </w:p>
    <w:p>
      <w:pPr>
        <w:pStyle w:val="61"/>
        <w:tabs>
          <w:tab w:val="clear" w:pos="930"/>
        </w:tabs>
        <w:ind w:left="0" w:firstLine="420" w:firstLineChars="200"/>
        <w:rPr>
          <w:rFonts w:hAnsi="宋体" w:eastAsia="宋体"/>
          <w:color w:val="000000" w:themeColor="text1"/>
          <w14:textFill>
            <w14:solidFill>
              <w14:schemeClr w14:val="tx1"/>
            </w14:solidFill>
          </w14:textFill>
        </w:rPr>
      </w:pPr>
      <w:r>
        <w:rPr>
          <w:rFonts w:hAnsi="宋体" w:eastAsia="宋体"/>
          <w:color w:val="000000" w:themeColor="text1"/>
          <w14:textFill>
            <w14:solidFill>
              <w14:schemeClr w14:val="tx1"/>
            </w14:solidFill>
          </w14:textFill>
        </w:rPr>
        <w:t>直管的直度应符合表</w:t>
      </w:r>
      <w:r>
        <w:rPr>
          <w:rFonts w:hint="eastAsia" w:eastAsia="宋体"/>
          <w:color w:val="000000" w:themeColor="text1"/>
          <w14:textFill>
            <w14:solidFill>
              <w14:schemeClr w14:val="tx1"/>
            </w14:solidFill>
          </w14:textFill>
        </w:rPr>
        <w:t>5</w:t>
      </w:r>
      <w:r>
        <w:rPr>
          <w:rFonts w:hAnsi="宋体" w:eastAsia="宋体"/>
          <w:color w:val="000000" w:themeColor="text1"/>
          <w14:textFill>
            <w14:solidFill>
              <w14:schemeClr w14:val="tx1"/>
            </w14:solidFill>
          </w14:textFill>
        </w:rPr>
        <w:t>的规定，</w:t>
      </w:r>
      <w:r>
        <w:rPr>
          <w:rFonts w:hint="eastAsia" w:hAnsi="宋体" w:eastAsia="宋体"/>
          <w:color w:val="000000" w:themeColor="text1"/>
          <w14:textFill>
            <w14:solidFill>
              <w14:schemeClr w14:val="tx1"/>
            </w14:solidFill>
          </w14:textFill>
        </w:rPr>
        <w:t>全长直度不应超过每米直度与总长度（m）的乘积</w:t>
      </w:r>
      <w:r>
        <w:rPr>
          <w:rFonts w:hAnsi="宋体" w:eastAsia="宋体"/>
          <w:color w:val="000000" w:themeColor="text1"/>
          <w14:textFill>
            <w14:solidFill>
              <w14:schemeClr w14:val="tx1"/>
            </w14:solidFill>
          </w14:textFill>
        </w:rPr>
        <w:t>。</w:t>
      </w:r>
    </w:p>
    <w:p>
      <w:pPr>
        <w:pStyle w:val="61"/>
        <w:tabs>
          <w:tab w:val="clear" w:pos="930"/>
        </w:tabs>
        <w:ind w:left="0" w:firstLine="2730" w:firstLineChars="1300"/>
        <w:rPr>
          <w:rFonts w:eastAsia="宋体"/>
          <w:color w:val="000000" w:themeColor="text1"/>
          <w14:textFill>
            <w14:solidFill>
              <w14:schemeClr w14:val="tx1"/>
            </w14:solidFill>
          </w14:textFill>
        </w:rPr>
      </w:pPr>
      <w:r>
        <w:rPr>
          <w:rFonts w:ascii="Times New Roman" w:hAnsi="宋体" w:eastAsia="宋体"/>
          <w:color w:val="000000" w:themeColor="text1"/>
          <w14:textFill>
            <w14:solidFill>
              <w14:schemeClr w14:val="tx1"/>
            </w14:solidFill>
          </w14:textFill>
        </w:rPr>
        <w:t>表</w:t>
      </w:r>
      <w:r>
        <w:rPr>
          <w:rFonts w:hint="eastAsia" w:ascii="Times New Roman" w:eastAsia="宋体"/>
          <w:color w:val="000000" w:themeColor="text1"/>
          <w14:textFill>
            <w14:solidFill>
              <w14:schemeClr w14:val="tx1"/>
            </w14:solidFill>
          </w14:textFill>
        </w:rPr>
        <w:t>5</w:t>
      </w:r>
      <w:r>
        <w:rPr>
          <w:rFonts w:ascii="Times New Roman" w:eastAsia="宋体"/>
          <w:color w:val="000000" w:themeColor="text1"/>
          <w14:textFill>
            <w14:solidFill>
              <w14:schemeClr w14:val="tx1"/>
            </w14:solidFill>
          </w14:textFill>
        </w:rPr>
        <w:t xml:space="preserve">  </w:t>
      </w:r>
      <w:r>
        <w:rPr>
          <w:rStyle w:val="59"/>
          <w:rFonts w:ascii="Times New Roman" w:eastAsia="宋体"/>
          <w:color w:val="000000" w:themeColor="text1"/>
          <w14:textFill>
            <w14:solidFill>
              <w14:schemeClr w14:val="tx1"/>
            </w14:solidFill>
          </w14:textFill>
        </w:rPr>
        <w:t xml:space="preserve"> </w:t>
      </w:r>
      <w:r>
        <w:rPr>
          <w:rFonts w:ascii="Times New Roman" w:hAnsi="宋体" w:eastAsia="宋体"/>
          <w:color w:val="000000" w:themeColor="text1"/>
          <w14:textFill>
            <w14:solidFill>
              <w14:schemeClr w14:val="tx1"/>
            </w14:solidFill>
          </w14:textFill>
        </w:rPr>
        <w:t>管材的直度</w:t>
      </w:r>
      <w:r>
        <w:rPr>
          <w:rFonts w:ascii="Times New Roman" w:eastAsia="宋体"/>
          <w:color w:val="000000" w:themeColor="text1"/>
          <w14:textFill>
            <w14:solidFill>
              <w14:schemeClr w14:val="tx1"/>
            </w14:solidFill>
          </w14:textFill>
        </w:rPr>
        <w:t xml:space="preserve">                         </w:t>
      </w:r>
      <w:r>
        <w:rPr>
          <w:rFonts w:ascii="Times New Roman" w:hAnsi="宋体" w:eastAsia="宋体"/>
          <w:color w:val="000000" w:themeColor="text1"/>
          <w14:textFill>
            <w14:solidFill>
              <w14:schemeClr w14:val="tx1"/>
            </w14:solidFill>
          </w14:textFill>
        </w:rPr>
        <w:t>单位为毫米</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5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654" w:type="dxa"/>
            <w:vAlign w:val="center"/>
          </w:tcPr>
          <w:p>
            <w:pPr>
              <w:ind w:right="25" w:rightChars="12"/>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公称外径</w:t>
            </w:r>
          </w:p>
        </w:tc>
        <w:tc>
          <w:tcPr>
            <w:tcW w:w="5385" w:type="dxa"/>
          </w:tcPr>
          <w:p>
            <w:pPr>
              <w:ind w:right="25" w:rightChars="12"/>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每米</w:t>
            </w:r>
            <w:r>
              <w:rPr>
                <w:rFonts w:hAnsi="宋体"/>
                <w:color w:val="000000" w:themeColor="text1"/>
                <w:sz w:val="18"/>
                <w:szCs w:val="18"/>
                <w14:textFill>
                  <w14:solidFill>
                    <w14:schemeClr w14:val="tx1"/>
                  </w14:solidFill>
                </w14:textFill>
              </w:rPr>
              <w:t>直度</w:t>
            </w:r>
            <w:r>
              <w:rPr>
                <w:color w:val="000000" w:themeColor="text1"/>
                <w:sz w:val="18"/>
                <w:szCs w:val="18"/>
                <w14:textFill>
                  <w14:solidFill>
                    <w14:schemeClr w14:val="tx1"/>
                  </w14:solidFill>
                </w14:textFill>
              </w:rPr>
              <w:t xml:space="preserve"> , </w:t>
            </w:r>
            <w:r>
              <w:rPr>
                <w:rFonts w:hAnsi="宋体"/>
                <w:color w:val="000000" w:themeColor="text1"/>
                <w:sz w:val="18"/>
                <w:szCs w:val="18"/>
                <w14:textFill>
                  <w14:solidFill>
                    <w14:schemeClr w14:val="tx1"/>
                  </w14:solidFill>
                </w14:textFill>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4" w:type="dxa"/>
          </w:tcPr>
          <w:p>
            <w:pPr>
              <w:ind w:right="25" w:rightChars="12"/>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80</w:t>
            </w:r>
          </w:p>
        </w:tc>
        <w:tc>
          <w:tcPr>
            <w:tcW w:w="5385" w:type="dxa"/>
          </w:tcPr>
          <w:p>
            <w:pPr>
              <w:ind w:right="25" w:rightChars="12"/>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4" w:type="dxa"/>
          </w:tcPr>
          <w:p>
            <w:pPr>
              <w:ind w:right="25" w:rightChars="12"/>
              <w:jc w:val="center"/>
              <w:rPr>
                <w:rFonts w:ascii="宋体" w:hAnsi="宋体"/>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&gt;</w:t>
            </w:r>
            <w:r>
              <w:rPr>
                <w:rFonts w:hint="eastAsia"/>
                <w:color w:val="000000" w:themeColor="text1"/>
                <w:sz w:val="18"/>
                <w:szCs w:val="18"/>
                <w14:textFill>
                  <w14:solidFill>
                    <w14:schemeClr w14:val="tx1"/>
                  </w14:solidFill>
                </w14:textFill>
              </w:rPr>
              <w:t>80</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150</w:t>
            </w:r>
          </w:p>
        </w:tc>
        <w:tc>
          <w:tcPr>
            <w:tcW w:w="5385" w:type="dxa"/>
          </w:tcPr>
          <w:p>
            <w:pPr>
              <w:ind w:right="25" w:rightChars="12"/>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4" w:type="dxa"/>
          </w:tcPr>
          <w:p>
            <w:pPr>
              <w:ind w:right="25" w:rightChars="12"/>
              <w:jc w:val="center"/>
              <w:rPr>
                <w:rFonts w:ascii="宋体" w:hAnsi="宋体"/>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&gt;</w:t>
            </w:r>
            <w:r>
              <w:rPr>
                <w:rFonts w:hint="eastAsia"/>
                <w:color w:val="000000" w:themeColor="text1"/>
                <w:sz w:val="18"/>
                <w:szCs w:val="18"/>
                <w14:textFill>
                  <w14:solidFill>
                    <w14:schemeClr w14:val="tx1"/>
                  </w14:solidFill>
                </w14:textFill>
              </w:rPr>
              <w:t>150</w:t>
            </w:r>
          </w:p>
        </w:tc>
        <w:tc>
          <w:tcPr>
            <w:tcW w:w="5385" w:type="dxa"/>
          </w:tcPr>
          <w:p>
            <w:pPr>
              <w:ind w:right="25" w:rightChars="12"/>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4</w:t>
            </w:r>
          </w:p>
        </w:tc>
      </w:tr>
    </w:tbl>
    <w:p>
      <w:pPr>
        <w:spacing w:line="300" w:lineRule="auto"/>
        <w:ind w:firstLine="420" w:firstLineChars="200"/>
        <w:contextualSpacing/>
        <w:rPr>
          <w:color w:val="000000" w:themeColor="text1"/>
          <w:szCs w:val="21"/>
          <w14:textFill>
            <w14:solidFill>
              <w14:schemeClr w14:val="tx1"/>
            </w14:solidFill>
          </w14:textFill>
        </w:rPr>
      </w:pPr>
    </w:p>
    <w:p>
      <w:pPr>
        <w:spacing w:line="300" w:lineRule="auto"/>
        <w:ind w:firstLine="420" w:firstLineChars="200"/>
        <w:contextualSpacing/>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4.2.5圆度</w:t>
      </w:r>
    </w:p>
    <w:p>
      <w:pPr>
        <w:spacing w:line="300" w:lineRule="auto"/>
        <w:ind w:firstLine="420" w:firstLineChars="200"/>
        <w:contextualSpacing/>
        <w:rPr>
          <w:rFonts w:asciiTheme="minorEastAsia" w:hAnsiTheme="min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管材的圆度应不大于公称外径的2%。</w:t>
      </w:r>
    </w:p>
    <w:p>
      <w:pPr>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4.2.6切斜度</w:t>
      </w:r>
    </w:p>
    <w:p>
      <w:pPr>
        <w:rPr>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 xml:space="preserve">   4.2.6.1管</w:t>
      </w:r>
      <w:r>
        <w:rPr>
          <w:rFonts w:hint="eastAsia"/>
          <w:color w:val="000000" w:themeColor="text1"/>
          <w:szCs w:val="21"/>
          <w14:textFill>
            <w14:solidFill>
              <w14:schemeClr w14:val="tx1"/>
            </w14:solidFill>
          </w14:textFill>
        </w:rPr>
        <w:t>材端部应锯切平整，切口在不使管材长度超出允许偏差的条件下，管材的切斜度应符合表3的规定。</w:t>
      </w:r>
    </w:p>
    <w:p>
      <w:pPr>
        <w:ind w:firstLine="420" w:firstLineChars="200"/>
        <w:rPr>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4.2.6.2 当用户有要求</w:t>
      </w:r>
      <w:r>
        <w:rPr>
          <w:rFonts w:hint="eastAsia"/>
          <w:color w:val="000000" w:themeColor="text1"/>
          <w:szCs w:val="21"/>
          <w14:textFill>
            <w14:solidFill>
              <w14:schemeClr w14:val="tx1"/>
            </w14:solidFill>
          </w14:textFill>
        </w:rPr>
        <w:t>管端为加工焊接坡口时，管材的端口应符合相应的焊接坡口型式及几何尺寸规范要求。</w:t>
      </w:r>
    </w:p>
    <w:p>
      <w:pPr>
        <w:jc w:val="center"/>
        <w:rPr>
          <w:rFonts w:ascii="黑体" w:eastAsia="黑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rFonts w:hint="eastAsia" w:ascii="黑体" w:eastAsia="黑体"/>
          <w:color w:val="000000" w:themeColor="text1"/>
          <w:szCs w:val="21"/>
          <w14:textFill>
            <w14:solidFill>
              <w14:schemeClr w14:val="tx1"/>
            </w14:solidFill>
          </w14:textFill>
        </w:rPr>
        <w:t>表3　　管材端部的切斜度             单位为毫米</w:t>
      </w:r>
    </w:p>
    <w:tbl>
      <w:tblPr>
        <w:tblStyle w:val="11"/>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37" w:type="dxa"/>
            <w:vAlign w:val="center"/>
          </w:tcPr>
          <w:p>
            <w:pPr>
              <w:ind w:firstLine="270" w:firstLineChars="1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公称外径</w:t>
            </w:r>
          </w:p>
        </w:tc>
        <w:tc>
          <w:tcPr>
            <w:tcW w:w="4778" w:type="dxa"/>
            <w:vAlign w:val="center"/>
          </w:tcPr>
          <w:p>
            <w:pPr>
              <w:ind w:firstLine="270" w:firstLineChars="1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切斜度，不大于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37" w:type="dxa"/>
            <w:vAlign w:val="center"/>
          </w:tcPr>
          <w:p>
            <w:pPr>
              <w:ind w:firstLine="270" w:firstLineChars="1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4～30</w:t>
            </w:r>
          </w:p>
        </w:tc>
        <w:tc>
          <w:tcPr>
            <w:tcW w:w="4778" w:type="dxa"/>
            <w:vAlign w:val="center"/>
          </w:tcPr>
          <w:p>
            <w:pPr>
              <w:ind w:firstLine="270" w:firstLineChars="1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公称外径的0.50%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37" w:type="dxa"/>
            <w:vAlign w:val="center"/>
          </w:tcPr>
          <w:p>
            <w:pPr>
              <w:ind w:firstLine="270" w:firstLineChars="1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＞30～108</w:t>
            </w:r>
          </w:p>
        </w:tc>
        <w:tc>
          <w:tcPr>
            <w:tcW w:w="4778" w:type="dxa"/>
            <w:vAlign w:val="center"/>
          </w:tcPr>
          <w:p>
            <w:pPr>
              <w:ind w:firstLine="270" w:firstLineChars="1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公称外径的1.4%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37" w:type="dxa"/>
            <w:vAlign w:val="center"/>
          </w:tcPr>
          <w:p>
            <w:pPr>
              <w:ind w:firstLine="270" w:firstLineChars="1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＞108</w:t>
            </w:r>
          </w:p>
        </w:tc>
        <w:tc>
          <w:tcPr>
            <w:tcW w:w="4778" w:type="dxa"/>
            <w:vAlign w:val="center"/>
          </w:tcPr>
          <w:p>
            <w:pPr>
              <w:ind w:firstLine="270" w:firstLineChars="1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公称外径的2.0%</w:t>
            </w:r>
          </w:p>
        </w:tc>
      </w:tr>
    </w:tbl>
    <w:p>
      <w:pPr>
        <w:spacing w:line="300" w:lineRule="auto"/>
        <w:ind w:firstLine="420" w:firstLineChars="200"/>
        <w:contextualSpacing/>
        <w:rPr>
          <w:rFonts w:asciiTheme="minorEastAsia" w:hAnsiTheme="minorEastAsia"/>
          <w:color w:val="000000" w:themeColor="text1"/>
          <w:szCs w:val="21"/>
          <w14:textFill>
            <w14:solidFill>
              <w14:schemeClr w14:val="tx1"/>
            </w14:solidFill>
          </w14:textFill>
        </w:rPr>
      </w:pPr>
    </w:p>
    <w:p>
      <w:pPr>
        <w:spacing w:line="300" w:lineRule="auto"/>
        <w:ind w:firstLine="420" w:firstLineChars="200"/>
        <w:contextualSpacing/>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4.2.7</w:t>
      </w:r>
      <w:r>
        <w:rPr>
          <w:rFonts w:hint="eastAsia"/>
          <w:color w:val="000000" w:themeColor="text1"/>
          <w14:textFill>
            <w14:solidFill>
              <w14:schemeClr w14:val="tx1"/>
            </w14:solidFill>
          </w14:textFill>
        </w:rPr>
        <w:t>室温拉伸力学性能</w:t>
      </w:r>
    </w:p>
    <w:p>
      <w:pPr>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力学性能是衡量导电用铜棒的重要指标之一，是衡量其抗变形能力和断裂能力的指标，质量稳定产品合格的产品需要具备一定的抗变形能力。力学性能可以通过拉伸试验进行测试，测得抗拉强度和断后伸长率。基于生产实际情况和客户不同侧重点需求，标准还规定了硬度（维氏硬度），同时还规定了屈服强度。为确定管材的力学性能指标，编制小组在编制前收集了</w:t>
      </w:r>
      <w:r>
        <w:rPr>
          <w:rFonts w:hint="eastAsia" w:ascii="宋体" w:hAnsi="宋体" w:eastAsia="宋体"/>
          <w:color w:val="000000" w:themeColor="text1"/>
          <w14:textFill>
            <w14:solidFill>
              <w14:schemeClr w14:val="tx1"/>
            </w14:solidFill>
          </w14:textFill>
        </w:rPr>
        <w:t>浙江海亮股份有限公司 江阴新华宏铜业有限公司 无锡隆达金属材料有限公司 上虞金鹰铜业有限公司 江苏萃隆精密铜管股份有限公司、金龙精密铜管集团股份有限公司</w:t>
      </w:r>
      <w:r>
        <w:rPr>
          <w:rFonts w:hint="eastAsia" w:asciiTheme="minorEastAsia" w:hAnsiTheme="minorEastAsia"/>
          <w:color w:val="000000" w:themeColor="text1"/>
          <w:szCs w:val="21"/>
          <w14:textFill>
            <w14:solidFill>
              <w14:schemeClr w14:val="tx1"/>
            </w14:solidFill>
          </w14:textFill>
        </w:rPr>
        <w:t>等生产单位的生产实测数据，主要指标为抗拉强度</w:t>
      </w:r>
      <w:r>
        <w:rPr>
          <w:rFonts w:asciiTheme="minorEastAsia" w:hAnsiTheme="minorEastAsia"/>
          <w:color w:val="000000" w:themeColor="text1"/>
          <w:szCs w:val="21"/>
          <w14:textFill>
            <w14:solidFill>
              <w14:schemeClr w14:val="tx1"/>
            </w14:solidFill>
          </w14:textFill>
        </w:rPr>
        <w:t>Rm</w:t>
      </w:r>
      <w:r>
        <w:rPr>
          <w:rFonts w:hint="eastAsia" w:asciiTheme="minorEastAsia" w:hAnsiTheme="minorEastAsia"/>
          <w:color w:val="000000" w:themeColor="text1"/>
          <w:szCs w:val="21"/>
          <w14:textFill>
            <w14:solidFill>
              <w14:schemeClr w14:val="tx1"/>
            </w14:solidFill>
          </w14:textFill>
        </w:rPr>
        <w:t>、规定塑性延伸强度</w:t>
      </w:r>
      <w:r>
        <w:rPr>
          <w:rFonts w:asciiTheme="minorEastAsia" w:hAnsiTheme="minorEastAsia"/>
          <w:color w:val="000000" w:themeColor="text1"/>
          <w:szCs w:val="21"/>
          <w14:textFill>
            <w14:solidFill>
              <w14:schemeClr w14:val="tx1"/>
            </w14:solidFill>
          </w14:textFill>
        </w:rPr>
        <w:t>R</w:t>
      </w:r>
      <w:r>
        <w:rPr>
          <w:rFonts w:hint="eastAsia" w:asciiTheme="minorEastAsia" w:hAnsiTheme="minorEastAsia"/>
          <w:color w:val="000000" w:themeColor="text1"/>
          <w:szCs w:val="21"/>
          <w14:textFill>
            <w14:solidFill>
              <w14:schemeClr w14:val="tx1"/>
            </w14:solidFill>
          </w14:textFill>
        </w:rPr>
        <w:t>p、伸长率%和硬度</w:t>
      </w:r>
      <w:r>
        <w:rPr>
          <w:rFonts w:asciiTheme="minorEastAsia" w:hAnsiTheme="minorEastAsia"/>
          <w:color w:val="000000" w:themeColor="text1"/>
          <w:szCs w:val="21"/>
          <w14:textFill>
            <w14:solidFill>
              <w14:schemeClr w14:val="tx1"/>
            </w14:solidFill>
          </w14:textFill>
        </w:rPr>
        <w:t>HV</w:t>
      </w:r>
      <w:r>
        <w:rPr>
          <w:rFonts w:hint="eastAsia" w:asciiTheme="minorEastAsia" w:hAnsiTheme="minorEastAsia"/>
          <w:color w:val="000000" w:themeColor="text1"/>
          <w:szCs w:val="21"/>
          <w14:textFill>
            <w14:solidFill>
              <w14:schemeClr w14:val="tx1"/>
            </w14:solidFill>
          </w14:textFill>
        </w:rPr>
        <w:t>，具体指标数据见附表1-3。</w:t>
      </w:r>
    </w:p>
    <w:p>
      <w:pPr>
        <w:ind w:right="25" w:rightChars="12" w:firstLine="435"/>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为保证各项性能指标的合理性，编制小组对收集数据进行了整理、分析和研究，具体分析内容如下：</w:t>
      </w:r>
    </w:p>
    <w:p>
      <w:pPr>
        <w:ind w:firstLine="42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4.2.7.1  </w:t>
      </w:r>
      <w:r>
        <w:rPr>
          <w:b/>
          <w:color w:val="000000" w:themeColor="text1"/>
          <w14:textFill>
            <w14:solidFill>
              <w14:schemeClr w14:val="tx1"/>
            </w14:solidFill>
          </w14:textFill>
        </w:rPr>
        <w:t>BFe10-1-1铜管性能</w:t>
      </w:r>
      <w:r>
        <w:rPr>
          <w:rFonts w:hint="eastAsia"/>
          <w:b/>
          <w:color w:val="000000" w:themeColor="text1"/>
          <w14:textFill>
            <w14:solidFill>
              <w14:schemeClr w14:val="tx1"/>
            </w14:solidFill>
          </w14:textFill>
        </w:rPr>
        <w:t>频数和频率分析</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抗拉强度频数和频率分布表及直方图如下：</w:t>
      </w:r>
    </w:p>
    <w:p>
      <w:pPr>
        <w:jc w:val="cente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表4  实测</w:t>
      </w:r>
      <w:r>
        <w:rPr>
          <w:color w:val="000000" w:themeColor="text1"/>
          <w14:textFill>
            <w14:solidFill>
              <w14:schemeClr w14:val="tx1"/>
            </w14:solidFill>
          </w14:textFill>
        </w:rPr>
        <w:t>BFe10-1-1</w:t>
      </w:r>
      <w:r>
        <w:rPr>
          <w:rFonts w:hint="eastAsia"/>
          <w:color w:val="000000" w:themeColor="text1"/>
          <w14:textFill>
            <w14:solidFill>
              <w14:schemeClr w14:val="tx1"/>
            </w14:solidFill>
          </w14:textFill>
        </w:rPr>
        <w:t xml:space="preserve"> O60 抗拉强度频数和频率分布表</w:t>
      </w:r>
    </w:p>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drawing>
          <wp:inline distT="0" distB="0" distL="0" distR="0">
            <wp:extent cx="4876800" cy="4648200"/>
            <wp:effectExtent l="0" t="0" r="0" b="0"/>
            <wp:docPr id="2" name="图片 2" descr="D:\Documents and Settings\88003400\My Documents\Tencent Files\583990029\Image\C2C\Image1\2@2I$`2KP1PL(2$ZL3L87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ocuments and Settings\88003400\My Documents\Tencent Files\583990029\Image\C2C\Image1\2@2I$`2KP1PL(2$ZL3L87IU.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76800" cy="4648200"/>
                    </a:xfrm>
                    <a:prstGeom prst="rect">
                      <a:avLst/>
                    </a:prstGeom>
                    <a:noFill/>
                    <a:ln>
                      <a:noFill/>
                    </a:ln>
                  </pic:spPr>
                </pic:pic>
              </a:graphicData>
            </a:graphic>
          </wp:inline>
        </w:drawing>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图1 实测</w:t>
      </w:r>
      <w:r>
        <w:rPr>
          <w:color w:val="000000" w:themeColor="text1"/>
          <w14:textFill>
            <w14:solidFill>
              <w14:schemeClr w14:val="tx1"/>
            </w14:solidFill>
          </w14:textFill>
        </w:rPr>
        <w:t>BFe10-1-1</w:t>
      </w:r>
      <w:r>
        <w:rPr>
          <w:rFonts w:hint="eastAsia"/>
          <w:color w:val="000000" w:themeColor="text1"/>
          <w14:textFill>
            <w14:solidFill>
              <w14:schemeClr w14:val="tx1"/>
            </w14:solidFill>
          </w14:textFill>
        </w:rPr>
        <w:t xml:space="preserve"> O60 抗拉强度频数直方图</w:t>
      </w:r>
    </w:p>
    <w:p>
      <w:pPr>
        <w:ind w:firstLine="420" w:firstLineChars="200"/>
        <w:rPr>
          <w:rFonts w:asciiTheme="minorEastAsia" w:hAnsiTheme="minorEastAsia"/>
          <w:color w:val="000000" w:themeColor="text1"/>
          <w:szCs w:val="21"/>
          <w14:textFill>
            <w14:solidFill>
              <w14:schemeClr w14:val="tx1"/>
            </w14:solidFill>
          </w14:textFill>
        </w:rPr>
      </w:pPr>
    </w:p>
    <w:p>
      <w:pPr>
        <w:ind w:firstLine="420" w:firstLineChars="200"/>
        <w:rPr>
          <w:rFonts w:ascii="宋体" w:hAnsi="宋体" w:eastAsia="宋体"/>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根据</w:t>
      </w:r>
      <w:r>
        <w:rPr>
          <w:rFonts w:hint="eastAsia"/>
          <w:color w:val="000000" w:themeColor="text1"/>
          <w14:textFill>
            <w14:solidFill>
              <w14:schemeClr w14:val="tx1"/>
            </w14:solidFill>
          </w14:textFill>
        </w:rPr>
        <w:t>实测</w:t>
      </w:r>
      <w:r>
        <w:rPr>
          <w:color w:val="000000" w:themeColor="text1"/>
          <w14:textFill>
            <w14:solidFill>
              <w14:schemeClr w14:val="tx1"/>
            </w14:solidFill>
          </w14:textFill>
        </w:rPr>
        <w:t>BFe10-1-1</w:t>
      </w:r>
      <w:r>
        <w:rPr>
          <w:rFonts w:hint="eastAsia"/>
          <w:color w:val="000000" w:themeColor="text1"/>
          <w14:textFill>
            <w14:solidFill>
              <w14:schemeClr w14:val="tx1"/>
            </w14:solidFill>
          </w14:textFill>
        </w:rPr>
        <w:t xml:space="preserve"> O60 抗拉强度频数和频率分布表及分布图的分析，可以看出，该牌号共收集到420个数据，有97%的数据是集中的分布在317</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345之间，有1%的数据分布在345</w:t>
      </w:r>
      <w:r>
        <w:rPr>
          <w:rFonts w:hint="eastAsia" w:ascii="宋体" w:hAnsi="宋体" w:eastAsia="宋体"/>
          <w:color w:val="000000" w:themeColor="text1"/>
          <w14:textFill>
            <w14:solidFill>
              <w14:schemeClr w14:val="tx1"/>
            </w14:solidFill>
          </w14:textFill>
        </w:rPr>
        <w:t>～352之间，有2%的数据分布在303～310之间，该标准GB/T 26291-1010版中该牌号抗拉强度为≥270，经对比分析，本版抗拉强度确定为≥290 Mpa。</w:t>
      </w:r>
    </w:p>
    <w:p>
      <w:pPr>
        <w:tabs>
          <w:tab w:val="left" w:pos="7470"/>
        </w:tabs>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规定非比例延伸强度频数和频率分布表及直方图如下：</w:t>
      </w:r>
      <w:r>
        <w:rPr>
          <w:color w:val="000000" w:themeColor="text1"/>
          <w14:textFill>
            <w14:solidFill>
              <w14:schemeClr w14:val="tx1"/>
            </w14:solidFill>
          </w14:textFill>
        </w:rPr>
        <w:tab/>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表5  实测</w:t>
      </w:r>
      <w:r>
        <w:rPr>
          <w:color w:val="000000" w:themeColor="text1"/>
          <w14:textFill>
            <w14:solidFill>
              <w14:schemeClr w14:val="tx1"/>
            </w14:solidFill>
          </w14:textFill>
        </w:rPr>
        <w:t>BFe10-1-1</w:t>
      </w:r>
      <w:r>
        <w:rPr>
          <w:rFonts w:hint="eastAsia"/>
          <w:color w:val="000000" w:themeColor="text1"/>
          <w14:textFill>
            <w14:solidFill>
              <w14:schemeClr w14:val="tx1"/>
            </w14:solidFill>
          </w14:textFill>
        </w:rPr>
        <w:t xml:space="preserve"> O60 规定非比例延伸强度频数和频率分布表</w:t>
      </w:r>
    </w:p>
    <w:tbl>
      <w:tblPr>
        <w:tblStyle w:val="11"/>
        <w:tblW w:w="8516" w:type="dxa"/>
        <w:jc w:val="center"/>
        <w:tblInd w:w="108" w:type="dxa"/>
        <w:tblLayout w:type="fixed"/>
        <w:tblCellMar>
          <w:top w:w="0" w:type="dxa"/>
          <w:left w:w="108" w:type="dxa"/>
          <w:bottom w:w="0" w:type="dxa"/>
          <w:right w:w="108" w:type="dxa"/>
        </w:tblCellMar>
      </w:tblPr>
      <w:tblGrid>
        <w:gridCol w:w="1296"/>
        <w:gridCol w:w="1080"/>
        <w:gridCol w:w="1080"/>
        <w:gridCol w:w="1720"/>
        <w:gridCol w:w="1080"/>
        <w:gridCol w:w="1180"/>
        <w:gridCol w:w="1080"/>
      </w:tblGrid>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序号</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分割点</w:t>
            </w:r>
          </w:p>
        </w:tc>
        <w:tc>
          <w:tcPr>
            <w:tcW w:w="1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组</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频数</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频率</w:t>
            </w: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96</w:t>
            </w:r>
          </w:p>
        </w:tc>
        <w:tc>
          <w:tcPr>
            <w:tcW w:w="172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[88,96]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11</w:t>
            </w:r>
          </w:p>
        </w:tc>
        <w:tc>
          <w:tcPr>
            <w:tcW w:w="11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0.03 </w:t>
            </w: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104</w:t>
            </w:r>
          </w:p>
        </w:tc>
        <w:tc>
          <w:tcPr>
            <w:tcW w:w="172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[96,104]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8</w:t>
            </w:r>
          </w:p>
        </w:tc>
        <w:tc>
          <w:tcPr>
            <w:tcW w:w="11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0.02 </w:t>
            </w: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112</w:t>
            </w:r>
          </w:p>
        </w:tc>
        <w:tc>
          <w:tcPr>
            <w:tcW w:w="172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[104,112]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w:t>
            </w:r>
          </w:p>
        </w:tc>
        <w:tc>
          <w:tcPr>
            <w:tcW w:w="11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0.01 </w:t>
            </w: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120</w:t>
            </w:r>
          </w:p>
        </w:tc>
        <w:tc>
          <w:tcPr>
            <w:tcW w:w="172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[112,120]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227</w:t>
            </w:r>
          </w:p>
        </w:tc>
        <w:tc>
          <w:tcPr>
            <w:tcW w:w="11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0.54 </w:t>
            </w: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128</w:t>
            </w:r>
          </w:p>
        </w:tc>
        <w:tc>
          <w:tcPr>
            <w:tcW w:w="172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[120,128]</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118</w:t>
            </w:r>
          </w:p>
        </w:tc>
        <w:tc>
          <w:tcPr>
            <w:tcW w:w="11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0.28 </w:t>
            </w: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136</w:t>
            </w:r>
          </w:p>
        </w:tc>
        <w:tc>
          <w:tcPr>
            <w:tcW w:w="172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[128,136]</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46</w:t>
            </w:r>
          </w:p>
        </w:tc>
        <w:tc>
          <w:tcPr>
            <w:tcW w:w="11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0.11 </w:t>
            </w: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144</w:t>
            </w:r>
          </w:p>
        </w:tc>
        <w:tc>
          <w:tcPr>
            <w:tcW w:w="172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[136,144]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w:t>
            </w:r>
          </w:p>
        </w:tc>
        <w:tc>
          <w:tcPr>
            <w:tcW w:w="11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0.02 </w:t>
            </w: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合计</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w:t>
            </w:r>
          </w:p>
        </w:tc>
        <w:tc>
          <w:tcPr>
            <w:tcW w:w="172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420</w:t>
            </w:r>
          </w:p>
        </w:tc>
        <w:tc>
          <w:tcPr>
            <w:tcW w:w="11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w:t>
            </w: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72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1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72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1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color w:val="000000" w:themeColor="text1"/>
                <w:sz w:val="22"/>
                <w14:textFill>
                  <w14:solidFill>
                    <w14:schemeClr w14:val="tx1"/>
                  </w14:solidFill>
                </w14:textFill>
              </w:rPr>
            </w:pPr>
            <w:r>
              <w:rPr>
                <w:color w:val="000000" w:themeColor="text1"/>
                <w:sz w:val="22"/>
                <w14:textFill>
                  <w14:solidFill>
                    <w14:schemeClr w14:val="tx1"/>
                  </w14:solidFill>
                </w14:textFill>
              </w:rPr>
              <w:drawing>
                <wp:anchor distT="0" distB="0" distL="114300" distR="114300" simplePos="0" relativeHeight="251663360" behindDoc="0" locked="0" layoutInCell="1" allowOverlap="1">
                  <wp:simplePos x="0" y="0"/>
                  <wp:positionH relativeFrom="column">
                    <wp:posOffset>691515</wp:posOffset>
                  </wp:positionH>
                  <wp:positionV relativeFrom="paragraph">
                    <wp:posOffset>-5715</wp:posOffset>
                  </wp:positionV>
                  <wp:extent cx="4219575" cy="2571750"/>
                  <wp:effectExtent l="0" t="0" r="9525" b="1905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tbl>
            <w:tblPr>
              <w:tblStyle w:val="11"/>
              <w:tblW w:w="1080" w:type="dxa"/>
              <w:tblCellSpacing w:w="0" w:type="dxa"/>
              <w:tblInd w:w="0" w:type="dxa"/>
              <w:tblLayout w:type="fixed"/>
              <w:tblCellMar>
                <w:top w:w="0" w:type="dxa"/>
                <w:left w:w="0" w:type="dxa"/>
                <w:bottom w:w="0" w:type="dxa"/>
                <w:right w:w="0" w:type="dxa"/>
              </w:tblCellMar>
            </w:tblPr>
            <w:tblGrid>
              <w:gridCol w:w="1080"/>
            </w:tblGrid>
            <w:tr>
              <w:tblPrEx>
                <w:tblLayout w:type="fixed"/>
                <w:tblCellMar>
                  <w:top w:w="0" w:type="dxa"/>
                  <w:left w:w="0" w:type="dxa"/>
                  <w:bottom w:w="0" w:type="dxa"/>
                  <w:right w:w="0" w:type="dxa"/>
                </w:tblCellMar>
              </w:tblPrEx>
              <w:trPr>
                <w:trHeight w:val="285" w:hRule="atLeast"/>
                <w:tblCellSpacing w:w="0" w:type="dxa"/>
              </w:trPr>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bl>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72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1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72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1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72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1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72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1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72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1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72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1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72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1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72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1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      </w:t>
            </w: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72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1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72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1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72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1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72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1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72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1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c>
          <w:tcPr>
            <w:tcW w:w="1080" w:type="dxa"/>
            <w:tcBorders>
              <w:top w:val="nil"/>
              <w:left w:val="nil"/>
              <w:bottom w:val="nil"/>
              <w:right w:val="nil"/>
            </w:tcBorders>
            <w:shd w:val="clear" w:color="auto" w:fill="auto"/>
            <w:noWrap/>
            <w:vAlign w:val="bottom"/>
          </w:tcPr>
          <w:p>
            <w:pPr>
              <w:rPr>
                <w:rFonts w:ascii="宋体" w:hAnsi="宋体" w:eastAsia="宋体" w:cs="宋体"/>
                <w:color w:val="000000" w:themeColor="text1"/>
                <w:sz w:val="22"/>
                <w14:textFill>
                  <w14:solidFill>
                    <w14:schemeClr w14:val="tx1"/>
                  </w14:solidFill>
                </w14:textFill>
              </w:rPr>
            </w:pPr>
          </w:p>
        </w:tc>
      </w:tr>
    </w:tbl>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图2 实测</w:t>
      </w:r>
      <w:r>
        <w:rPr>
          <w:color w:val="000000" w:themeColor="text1"/>
          <w14:textFill>
            <w14:solidFill>
              <w14:schemeClr w14:val="tx1"/>
            </w14:solidFill>
          </w14:textFill>
        </w:rPr>
        <w:t>BFe10-1-1</w:t>
      </w:r>
      <w:r>
        <w:rPr>
          <w:rFonts w:hint="eastAsia"/>
          <w:color w:val="000000" w:themeColor="text1"/>
          <w14:textFill>
            <w14:solidFill>
              <w14:schemeClr w14:val="tx1"/>
            </w14:solidFill>
          </w14:textFill>
        </w:rPr>
        <w:t xml:space="preserve"> O60 规定非比例延伸强度频数直方图</w:t>
      </w:r>
    </w:p>
    <w:p>
      <w:pPr>
        <w:ind w:firstLine="420" w:firstLineChars="200"/>
        <w:rPr>
          <w:rFonts w:ascii="宋体" w:hAnsi="宋体" w:eastAsia="宋体"/>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根据</w:t>
      </w:r>
      <w:r>
        <w:rPr>
          <w:rFonts w:hint="eastAsia"/>
          <w:color w:val="000000" w:themeColor="text1"/>
          <w14:textFill>
            <w14:solidFill>
              <w14:schemeClr w14:val="tx1"/>
            </w14:solidFill>
          </w14:textFill>
        </w:rPr>
        <w:t>实测</w:t>
      </w:r>
      <w:r>
        <w:rPr>
          <w:color w:val="000000" w:themeColor="text1"/>
          <w14:textFill>
            <w14:solidFill>
              <w14:schemeClr w14:val="tx1"/>
            </w14:solidFill>
          </w14:textFill>
        </w:rPr>
        <w:t>BFe10-1-1</w:t>
      </w:r>
      <w:r>
        <w:rPr>
          <w:rFonts w:hint="eastAsia"/>
          <w:color w:val="000000" w:themeColor="text1"/>
          <w14:textFill>
            <w14:solidFill>
              <w14:schemeClr w14:val="tx1"/>
            </w14:solidFill>
          </w14:textFill>
        </w:rPr>
        <w:t xml:space="preserve"> O60 规定非比例延伸强度频数和频率分布表及分布图的分析，可以看出，该牌号共收集到420个数据，有93%的数据是集中的分布在120</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136之间，有3%的数据分布在88</w:t>
      </w:r>
      <w:r>
        <w:rPr>
          <w:rFonts w:hint="eastAsia" w:ascii="宋体" w:hAnsi="宋体" w:eastAsia="宋体"/>
          <w:color w:val="000000" w:themeColor="text1"/>
          <w14:textFill>
            <w14:solidFill>
              <w14:schemeClr w14:val="tx1"/>
            </w14:solidFill>
          </w14:textFill>
        </w:rPr>
        <w:t>～96之间，有2%的数据分布在96～104之间，有1%</w:t>
      </w:r>
      <w:r>
        <w:rPr>
          <w:rFonts w:hint="eastAsia"/>
          <w:color w:val="000000" w:themeColor="text1"/>
          <w14:textFill>
            <w14:solidFill>
              <w14:schemeClr w14:val="tx1"/>
            </w14:solidFill>
          </w14:textFill>
        </w:rPr>
        <w:t>数据分布在104</w:t>
      </w:r>
      <w:r>
        <w:rPr>
          <w:rFonts w:hint="eastAsia" w:ascii="宋体" w:hAnsi="宋体" w:eastAsia="宋体"/>
          <w:color w:val="000000" w:themeColor="text1"/>
          <w14:textFill>
            <w14:solidFill>
              <w14:schemeClr w14:val="tx1"/>
            </w14:solidFill>
          </w14:textFill>
        </w:rPr>
        <w:t>～112之间，有2%</w:t>
      </w:r>
      <w:r>
        <w:rPr>
          <w:rFonts w:hint="eastAsia"/>
          <w:color w:val="000000" w:themeColor="text1"/>
          <w14:textFill>
            <w14:solidFill>
              <w14:schemeClr w14:val="tx1"/>
            </w14:solidFill>
          </w14:textFill>
        </w:rPr>
        <w:t>数据分布在136</w:t>
      </w:r>
      <w:r>
        <w:rPr>
          <w:rFonts w:hint="eastAsia" w:ascii="宋体" w:hAnsi="宋体" w:eastAsia="宋体"/>
          <w:color w:val="000000" w:themeColor="text1"/>
          <w14:textFill>
            <w14:solidFill>
              <w14:schemeClr w14:val="tx1"/>
            </w14:solidFill>
          </w14:textFill>
        </w:rPr>
        <w:t>～144之间，该标准GB/T 26291-1010版中该牌号规定非比例延伸强度为≥105，经对比分析，本版规定非比例延伸强度确定为≥90 Mpa。</w:t>
      </w:r>
    </w:p>
    <w:p>
      <w:pPr>
        <w:tabs>
          <w:tab w:val="left" w:pos="7470"/>
        </w:tabs>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断后伸长率频数和频率分布表及直方图如下：</w:t>
      </w:r>
      <w:r>
        <w:rPr>
          <w:color w:val="000000" w:themeColor="text1"/>
          <w14:textFill>
            <w14:solidFill>
              <w14:schemeClr w14:val="tx1"/>
            </w14:solidFill>
          </w14:textFill>
        </w:rPr>
        <w:tab/>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表6  实测</w:t>
      </w:r>
      <w:r>
        <w:rPr>
          <w:color w:val="000000" w:themeColor="text1"/>
          <w14:textFill>
            <w14:solidFill>
              <w14:schemeClr w14:val="tx1"/>
            </w14:solidFill>
          </w14:textFill>
        </w:rPr>
        <w:t>BFe10-1-1</w:t>
      </w:r>
      <w:r>
        <w:rPr>
          <w:rFonts w:hint="eastAsia"/>
          <w:color w:val="000000" w:themeColor="text1"/>
          <w14:textFill>
            <w14:solidFill>
              <w14:schemeClr w14:val="tx1"/>
            </w14:solidFill>
          </w14:textFill>
        </w:rPr>
        <w:t xml:space="preserve"> O60 断后伸长率频数和频率分布表</w:t>
      </w:r>
    </w:p>
    <w:tbl>
      <w:tblPr>
        <w:tblStyle w:val="11"/>
        <w:tblW w:w="8516" w:type="dxa"/>
        <w:jc w:val="center"/>
        <w:tblInd w:w="108" w:type="dxa"/>
        <w:tblLayout w:type="fixed"/>
        <w:tblCellMar>
          <w:top w:w="0" w:type="dxa"/>
          <w:left w:w="108" w:type="dxa"/>
          <w:bottom w:w="0" w:type="dxa"/>
          <w:right w:w="108" w:type="dxa"/>
        </w:tblCellMar>
      </w:tblPr>
      <w:tblGrid>
        <w:gridCol w:w="1296"/>
        <w:gridCol w:w="1080"/>
        <w:gridCol w:w="1080"/>
        <w:gridCol w:w="1720"/>
        <w:gridCol w:w="1080"/>
        <w:gridCol w:w="1180"/>
        <w:gridCol w:w="1080"/>
      </w:tblGrid>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序号</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分割点</w:t>
            </w:r>
          </w:p>
        </w:tc>
        <w:tc>
          <w:tcPr>
            <w:tcW w:w="1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组</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频数</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频率</w:t>
            </w:r>
          </w:p>
        </w:tc>
        <w:tc>
          <w:tcPr>
            <w:tcW w:w="1080"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p>
        </w:tc>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36.6</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[35,36.6]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11</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0.03 </w:t>
            </w:r>
          </w:p>
        </w:tc>
        <w:tc>
          <w:tcPr>
            <w:tcW w:w="1080"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p>
        </w:tc>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38.2</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[36.6,38.2]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31</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0.10 </w:t>
            </w:r>
          </w:p>
        </w:tc>
        <w:tc>
          <w:tcPr>
            <w:tcW w:w="1080"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p>
        </w:tc>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39.8</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[38.2,39.8]</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39</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0.12 </w:t>
            </w:r>
          </w:p>
        </w:tc>
        <w:tc>
          <w:tcPr>
            <w:tcW w:w="1080"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p>
        </w:tc>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41.4</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[39.8,41.4]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54</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0.17 </w:t>
            </w:r>
          </w:p>
        </w:tc>
        <w:tc>
          <w:tcPr>
            <w:tcW w:w="1080"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p>
        </w:tc>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43</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[41.4,43]</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150</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0.47 </w:t>
            </w:r>
          </w:p>
        </w:tc>
        <w:tc>
          <w:tcPr>
            <w:tcW w:w="1080"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p>
        </w:tc>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44.6</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[43,44.6]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24</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0.08 </w:t>
            </w:r>
          </w:p>
        </w:tc>
        <w:tc>
          <w:tcPr>
            <w:tcW w:w="1080"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p>
        </w:tc>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46.2</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[44.6,46.2]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0.03 </w:t>
            </w:r>
          </w:p>
        </w:tc>
        <w:tc>
          <w:tcPr>
            <w:tcW w:w="1080"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jc w:val="center"/>
        </w:trPr>
        <w:tc>
          <w:tcPr>
            <w:tcW w:w="1296"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p>
        </w:tc>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合计</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319</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080" w:type="dxa"/>
            <w:tcBorders>
              <w:top w:val="nil"/>
              <w:left w:val="nil"/>
              <w:bottom w:val="nil"/>
              <w:right w:val="nil"/>
            </w:tcBorders>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p>
        </w:tc>
      </w:tr>
    </w:tbl>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4419600" cy="24288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419756" cy="2428875"/>
                    </a:xfrm>
                    <a:prstGeom prst="rect">
                      <a:avLst/>
                    </a:prstGeom>
                    <a:noFill/>
                    <a:ln>
                      <a:noFill/>
                    </a:ln>
                  </pic:spPr>
                </pic:pic>
              </a:graphicData>
            </a:graphic>
          </wp:inline>
        </w:drawing>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图3 实测</w:t>
      </w:r>
      <w:r>
        <w:rPr>
          <w:color w:val="000000" w:themeColor="text1"/>
          <w14:textFill>
            <w14:solidFill>
              <w14:schemeClr w14:val="tx1"/>
            </w14:solidFill>
          </w14:textFill>
        </w:rPr>
        <w:t>BFe10-1-1</w:t>
      </w:r>
      <w:r>
        <w:rPr>
          <w:rFonts w:hint="eastAsia"/>
          <w:color w:val="000000" w:themeColor="text1"/>
          <w14:textFill>
            <w14:solidFill>
              <w14:schemeClr w14:val="tx1"/>
            </w14:solidFill>
          </w14:textFill>
        </w:rPr>
        <w:t xml:space="preserve"> O60 断后伸长率频数直方图</w:t>
      </w:r>
    </w:p>
    <w:p>
      <w:pPr>
        <w:ind w:firstLine="420" w:firstLineChars="200"/>
        <w:rPr>
          <w:rFonts w:ascii="宋体" w:hAnsi="宋体" w:eastAsia="宋体"/>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根据</w:t>
      </w:r>
      <w:r>
        <w:rPr>
          <w:rFonts w:hint="eastAsia"/>
          <w:color w:val="000000" w:themeColor="text1"/>
          <w14:textFill>
            <w14:solidFill>
              <w14:schemeClr w14:val="tx1"/>
            </w14:solidFill>
          </w14:textFill>
        </w:rPr>
        <w:t>实测</w:t>
      </w:r>
      <w:r>
        <w:rPr>
          <w:color w:val="000000" w:themeColor="text1"/>
          <w14:textFill>
            <w14:solidFill>
              <w14:schemeClr w14:val="tx1"/>
            </w14:solidFill>
          </w14:textFill>
        </w:rPr>
        <w:t>BFe10-1-1</w:t>
      </w:r>
      <w:r>
        <w:rPr>
          <w:rFonts w:hint="eastAsia"/>
          <w:color w:val="000000" w:themeColor="text1"/>
          <w14:textFill>
            <w14:solidFill>
              <w14:schemeClr w14:val="tx1"/>
            </w14:solidFill>
          </w14:textFill>
        </w:rPr>
        <w:t xml:space="preserve"> O60 规定非比例延伸强度频数和频率分布表及分布图的分析，可以看出，该牌号共收集到319个有效数据，有94%的数据是集中的分布在33.6</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44.6之间，有3%的数据分布在35</w:t>
      </w:r>
      <w:r>
        <w:rPr>
          <w:rFonts w:hint="eastAsia" w:ascii="宋体" w:hAnsi="宋体" w:eastAsia="宋体"/>
          <w:color w:val="000000" w:themeColor="text1"/>
          <w14:textFill>
            <w14:solidFill>
              <w14:schemeClr w14:val="tx1"/>
            </w14:solidFill>
          </w14:textFill>
        </w:rPr>
        <w:t>～36.6之间，有3%的数据分布在44.6～46.2之间，该标准GB/T 26291-1010版中该牌号断后伸长率为≥35，经对比分析，本版断后伸长率确定为≥35。</w:t>
      </w:r>
    </w:p>
    <w:p>
      <w:pPr>
        <w:tabs>
          <w:tab w:val="left" w:pos="7470"/>
        </w:tabs>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维氏硬度率频数和频率分布表及直方图如下：</w:t>
      </w:r>
      <w:r>
        <w:rPr>
          <w:color w:val="000000" w:themeColor="text1"/>
          <w14:textFill>
            <w14:solidFill>
              <w14:schemeClr w14:val="tx1"/>
            </w14:solidFill>
          </w14:textFill>
        </w:rPr>
        <w:tab/>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表7  实测</w:t>
      </w:r>
      <w:r>
        <w:rPr>
          <w:color w:val="000000" w:themeColor="text1"/>
          <w14:textFill>
            <w14:solidFill>
              <w14:schemeClr w14:val="tx1"/>
            </w14:solidFill>
          </w14:textFill>
        </w:rPr>
        <w:t>BFe10-1-1</w:t>
      </w:r>
      <w:r>
        <w:rPr>
          <w:rFonts w:hint="eastAsia"/>
          <w:color w:val="000000" w:themeColor="text1"/>
          <w14:textFill>
            <w14:solidFill>
              <w14:schemeClr w14:val="tx1"/>
            </w14:solidFill>
          </w14:textFill>
        </w:rPr>
        <w:t xml:space="preserve"> O60 维氏硬度频数和频率分布表</w:t>
      </w:r>
    </w:p>
    <w:p>
      <w:pPr>
        <w:jc w:val="center"/>
        <w:rPr>
          <w:rFonts w:asciiTheme="minorEastAsia" w:hAnsiTheme="minorEastAsia"/>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0" distR="0">
            <wp:extent cx="4810125" cy="4467225"/>
            <wp:effectExtent l="0" t="0" r="952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10125" cy="4467225"/>
                    </a:xfrm>
                    <a:prstGeom prst="rect">
                      <a:avLst/>
                    </a:prstGeom>
                    <a:noFill/>
                    <a:ln>
                      <a:noFill/>
                    </a:ln>
                  </pic:spPr>
                </pic:pic>
              </a:graphicData>
            </a:graphic>
          </wp:inline>
        </w:drawing>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图4 实测</w:t>
      </w:r>
      <w:r>
        <w:rPr>
          <w:color w:val="000000" w:themeColor="text1"/>
          <w14:textFill>
            <w14:solidFill>
              <w14:schemeClr w14:val="tx1"/>
            </w14:solidFill>
          </w14:textFill>
        </w:rPr>
        <w:t>BFe10-1-1</w:t>
      </w:r>
      <w:r>
        <w:rPr>
          <w:rFonts w:hint="eastAsia"/>
          <w:color w:val="000000" w:themeColor="text1"/>
          <w14:textFill>
            <w14:solidFill>
              <w14:schemeClr w14:val="tx1"/>
            </w14:solidFill>
          </w14:textFill>
        </w:rPr>
        <w:t xml:space="preserve"> O60 维氏硬度频数直方图</w:t>
      </w:r>
    </w:p>
    <w:p>
      <w:pPr>
        <w:ind w:firstLine="420" w:firstLineChars="200"/>
        <w:rPr>
          <w:rFonts w:ascii="宋体" w:hAnsi="宋体" w:eastAsia="宋体"/>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根据</w:t>
      </w:r>
      <w:r>
        <w:rPr>
          <w:rFonts w:hint="eastAsia"/>
          <w:color w:val="000000" w:themeColor="text1"/>
          <w14:textFill>
            <w14:solidFill>
              <w14:schemeClr w14:val="tx1"/>
            </w14:solidFill>
          </w14:textFill>
        </w:rPr>
        <w:t>实测</w:t>
      </w:r>
      <w:r>
        <w:rPr>
          <w:color w:val="000000" w:themeColor="text1"/>
          <w14:textFill>
            <w14:solidFill>
              <w14:schemeClr w14:val="tx1"/>
            </w14:solidFill>
          </w14:textFill>
        </w:rPr>
        <w:t>BFe10-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维氏硬度频数和频率分布表及分布图的分析，可以看出，该牌号共收集到160个有效数据，有99%的数据是集中的分布在76.5</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84之间，有1%的数据分布在75</w:t>
      </w:r>
      <w:r>
        <w:rPr>
          <w:rFonts w:hint="eastAsia" w:ascii="宋体" w:hAnsi="宋体" w:eastAsia="宋体"/>
          <w:color w:val="000000" w:themeColor="text1"/>
          <w14:textFill>
            <w14:solidFill>
              <w14:schemeClr w14:val="tx1"/>
            </w14:solidFill>
          </w14:textFill>
        </w:rPr>
        <w:t>～76.5之间，该标准GB/T 26291-1010版中没有规定维氏硬度指标，本版新增了维氏硬度指标，经对比分析，本版指标确定为75～110。</w:t>
      </w:r>
    </w:p>
    <w:p>
      <w:pPr>
        <w:ind w:firstLine="42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4.2.7.2  </w:t>
      </w:r>
      <w:r>
        <w:rPr>
          <w:b/>
          <w:color w:val="000000" w:themeColor="text1"/>
          <w14:textFill>
            <w14:solidFill>
              <w14:schemeClr w14:val="tx1"/>
            </w14:solidFill>
          </w14:textFill>
        </w:rPr>
        <w:t>BFe10-1</w:t>
      </w:r>
      <w:r>
        <w:rPr>
          <w:rFonts w:hint="eastAsia"/>
          <w:b/>
          <w:color w:val="000000" w:themeColor="text1"/>
          <w14:textFill>
            <w14:solidFill>
              <w14:schemeClr w14:val="tx1"/>
            </w14:solidFill>
          </w14:textFill>
        </w:rPr>
        <w:t>.6</w:t>
      </w:r>
      <w:r>
        <w:rPr>
          <w:b/>
          <w:color w:val="000000" w:themeColor="text1"/>
          <w14:textFill>
            <w14:solidFill>
              <w14:schemeClr w14:val="tx1"/>
            </w14:solidFill>
          </w14:textFill>
        </w:rPr>
        <w:t>-1铜管性能</w:t>
      </w:r>
      <w:r>
        <w:rPr>
          <w:rFonts w:hint="eastAsia"/>
          <w:b/>
          <w:color w:val="000000" w:themeColor="text1"/>
          <w14:textFill>
            <w14:solidFill>
              <w14:schemeClr w14:val="tx1"/>
            </w14:solidFill>
          </w14:textFill>
        </w:rPr>
        <w:t>频数和频率分析</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公称外径</w:t>
      </w:r>
      <w:r>
        <w:rPr>
          <w:rFonts w:hint="eastAsia" w:asciiTheme="minorEastAsia" w:hAnsiTheme="minorEastAsia"/>
          <w:color w:val="000000" w:themeColor="text1"/>
          <w14:textFill>
            <w14:solidFill>
              <w14:schemeClr w14:val="tx1"/>
            </w14:solidFill>
          </w14:textFill>
        </w:rPr>
        <w:t>≥</w:t>
      </w:r>
      <w:r>
        <w:rPr>
          <w:rFonts w:hint="eastAsia"/>
          <w:color w:val="000000" w:themeColor="text1"/>
          <w14:textFill>
            <w14:solidFill>
              <w14:schemeClr w14:val="tx1"/>
            </w14:solidFill>
          </w14:textFill>
        </w:rPr>
        <w:t>115mm管材的抗拉强度频数和频率分布表及直方图如下：</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表8  实测</w:t>
      </w:r>
      <w:r>
        <w:rPr>
          <w:color w:val="000000" w:themeColor="text1"/>
          <w14:textFill>
            <w14:solidFill>
              <w14:schemeClr w14:val="tx1"/>
            </w14:solidFill>
          </w14:textFill>
        </w:rPr>
        <w:t>BFe10-1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抗拉强度频数和频率分布表</w:t>
      </w:r>
    </w:p>
    <w:p>
      <w:pPr>
        <w:jc w:val="center"/>
        <w:rPr>
          <w:rFonts w:asciiTheme="minorEastAsia" w:hAnsiTheme="minorEastAsia"/>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0" distR="0">
            <wp:extent cx="4810125" cy="44672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10125" cy="4467225"/>
                    </a:xfrm>
                    <a:prstGeom prst="rect">
                      <a:avLst/>
                    </a:prstGeom>
                    <a:noFill/>
                    <a:ln>
                      <a:noFill/>
                    </a:ln>
                  </pic:spPr>
                </pic:pic>
              </a:graphicData>
            </a:graphic>
          </wp:inline>
        </w:drawing>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图5 实测</w:t>
      </w:r>
      <w:r>
        <w:rPr>
          <w:color w:val="000000" w:themeColor="text1"/>
          <w14:textFill>
            <w14:solidFill>
              <w14:schemeClr w14:val="tx1"/>
            </w14:solidFill>
          </w14:textFill>
        </w:rPr>
        <w:t>BFe10-1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抗拉强度频数直方图</w:t>
      </w:r>
    </w:p>
    <w:p>
      <w:pPr>
        <w:ind w:firstLine="420" w:firstLineChars="200"/>
        <w:rPr>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根据</w:t>
      </w:r>
      <w:r>
        <w:rPr>
          <w:rFonts w:hint="eastAsia"/>
          <w:color w:val="000000" w:themeColor="text1"/>
          <w14:textFill>
            <w14:solidFill>
              <w14:schemeClr w14:val="tx1"/>
            </w14:solidFill>
          </w14:textFill>
        </w:rPr>
        <w:t>实测</w:t>
      </w:r>
      <w:r>
        <w:rPr>
          <w:color w:val="000000" w:themeColor="text1"/>
          <w14:textFill>
            <w14:solidFill>
              <w14:schemeClr w14:val="tx1"/>
            </w14:solidFill>
          </w14:textFill>
        </w:rPr>
        <w:t>BFe10-</w:t>
      </w:r>
      <w:r>
        <w:rPr>
          <w:rFonts w:hint="eastAsia"/>
          <w:color w:val="000000" w:themeColor="text1"/>
          <w14:textFill>
            <w14:solidFill>
              <w14:schemeClr w14:val="tx1"/>
            </w14:solidFill>
          </w14:textFill>
        </w:rPr>
        <w:t>1.6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抗拉强度频数和频率分布表及分布图的分析，可以看出，该牌号共收集到160个有效数据，该组数据集中在308-350之间，分布比较均匀，</w:t>
      </w:r>
      <w:r>
        <w:rPr>
          <w:rFonts w:hint="eastAsia" w:ascii="宋体" w:hAnsi="宋体" w:eastAsia="宋体"/>
          <w:color w:val="000000" w:themeColor="text1"/>
          <w14:textFill>
            <w14:solidFill>
              <w14:schemeClr w14:val="tx1"/>
            </w14:solidFill>
          </w14:textFill>
        </w:rPr>
        <w:t>该标准GB/T 26291-1010版中该牌号抗拉强度为≥270，经对比分析，本版抗拉强度确定为≥290。</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公称外径</w:t>
      </w:r>
      <w:r>
        <w:rPr>
          <w:rFonts w:hint="eastAsia" w:asciiTheme="minorEastAsia" w:hAnsiTheme="minorEastAsia"/>
          <w:color w:val="000000" w:themeColor="text1"/>
          <w14:textFill>
            <w14:solidFill>
              <w14:schemeClr w14:val="tx1"/>
            </w14:solidFill>
          </w14:textFill>
        </w:rPr>
        <w:t>≥</w:t>
      </w:r>
      <w:r>
        <w:rPr>
          <w:rFonts w:hint="eastAsia"/>
          <w:color w:val="000000" w:themeColor="text1"/>
          <w14:textFill>
            <w14:solidFill>
              <w14:schemeClr w14:val="tx1"/>
            </w14:solidFill>
          </w14:textFill>
        </w:rPr>
        <w:t>115mm规定非比例拉伸强度频数和频率分布表及直方图如下：</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表9  实测</w:t>
      </w:r>
      <w:r>
        <w:rPr>
          <w:color w:val="000000" w:themeColor="text1"/>
          <w14:textFill>
            <w14:solidFill>
              <w14:schemeClr w14:val="tx1"/>
            </w14:solidFill>
          </w14:textFill>
        </w:rPr>
        <w:t>BFe10-1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规定非比例拉伸强度频数和频率分布表</w:t>
      </w:r>
    </w:p>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drawing>
          <wp:inline distT="0" distB="0" distL="0" distR="0">
            <wp:extent cx="4905375" cy="1685925"/>
            <wp:effectExtent l="0" t="0" r="9525" b="9525"/>
            <wp:docPr id="30" name="图片 30" descr="D:\Documents and Settings\88003400\Application Data\Tencent\Users\583990029\QQ\WinTemp\RichOle\$G~L@ZBYN9NTK(SBGU4ZC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D:\Documents and Settings\88003400\Application Data\Tencent\Users\583990029\QQ\WinTemp\RichOle\$G~L@ZBYN9NTK(SBGU4ZC2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905375" cy="1685925"/>
                    </a:xfrm>
                    <a:prstGeom prst="rect">
                      <a:avLst/>
                    </a:prstGeom>
                    <a:noFill/>
                    <a:ln>
                      <a:noFill/>
                    </a:ln>
                  </pic:spPr>
                </pic:pic>
              </a:graphicData>
            </a:graphic>
          </wp:inline>
        </w:drawing>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drawing>
          <wp:inline distT="0" distB="0" distL="0" distR="0">
            <wp:extent cx="4810125" cy="28765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t="35608"/>
                    <a:stretch>
                      <a:fillRect/>
                    </a:stretch>
                  </pic:blipFill>
                  <pic:spPr>
                    <a:xfrm>
                      <a:off x="0" y="0"/>
                      <a:ext cx="4810125" cy="2876550"/>
                    </a:xfrm>
                    <a:prstGeom prst="rect">
                      <a:avLst/>
                    </a:prstGeom>
                    <a:noFill/>
                    <a:ln>
                      <a:noFill/>
                    </a:ln>
                  </pic:spPr>
                </pic:pic>
              </a:graphicData>
            </a:graphic>
          </wp:inline>
        </w:drawing>
      </w:r>
      <w:r>
        <w:rPr>
          <w:rFonts w:hint="eastAsia"/>
          <w:color w:val="000000" w:themeColor="text1"/>
          <w14:textFill>
            <w14:solidFill>
              <w14:schemeClr w14:val="tx1"/>
            </w14:solidFill>
          </w14:textFill>
        </w:rPr>
        <w:t xml:space="preserve"> </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图6 实测</w:t>
      </w:r>
      <w:r>
        <w:rPr>
          <w:color w:val="000000" w:themeColor="text1"/>
          <w14:textFill>
            <w14:solidFill>
              <w14:schemeClr w14:val="tx1"/>
            </w14:solidFill>
          </w14:textFill>
        </w:rPr>
        <w:t>BFe10-1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规定非比例拉伸强度频数直方图</w:t>
      </w:r>
    </w:p>
    <w:p>
      <w:pPr>
        <w:ind w:firstLine="420" w:firstLineChars="200"/>
        <w:rPr>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根据</w:t>
      </w:r>
      <w:r>
        <w:rPr>
          <w:rFonts w:hint="eastAsia"/>
          <w:color w:val="000000" w:themeColor="text1"/>
          <w14:textFill>
            <w14:solidFill>
              <w14:schemeClr w14:val="tx1"/>
            </w14:solidFill>
          </w14:textFill>
        </w:rPr>
        <w:t>实测</w:t>
      </w:r>
      <w:r>
        <w:rPr>
          <w:color w:val="000000" w:themeColor="text1"/>
          <w14:textFill>
            <w14:solidFill>
              <w14:schemeClr w14:val="tx1"/>
            </w14:solidFill>
          </w14:textFill>
        </w:rPr>
        <w:t>BFe10-</w:t>
      </w:r>
      <w:r>
        <w:rPr>
          <w:rFonts w:hint="eastAsia"/>
          <w:color w:val="000000" w:themeColor="text1"/>
          <w14:textFill>
            <w14:solidFill>
              <w14:schemeClr w14:val="tx1"/>
            </w14:solidFill>
          </w14:textFill>
        </w:rPr>
        <w:t>1.6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规定非比例拉伸强度频数和频率分布表及分布图的分析，可以看出，该牌号共收集到160个有效数据，该组数据集中在100-148之间，分布比较均匀，</w:t>
      </w:r>
      <w:r>
        <w:rPr>
          <w:rFonts w:hint="eastAsia" w:ascii="宋体" w:hAnsi="宋体" w:eastAsia="宋体"/>
          <w:color w:val="000000" w:themeColor="text1"/>
          <w14:textFill>
            <w14:solidFill>
              <w14:schemeClr w14:val="tx1"/>
            </w14:solidFill>
          </w14:textFill>
        </w:rPr>
        <w:t>该标准GB/T 26291-1010版中该牌号</w:t>
      </w:r>
      <w:r>
        <w:rPr>
          <w:rFonts w:hint="eastAsia"/>
          <w:color w:val="000000" w:themeColor="text1"/>
          <w14:textFill>
            <w14:solidFill>
              <w14:schemeClr w14:val="tx1"/>
            </w14:solidFill>
          </w14:textFill>
        </w:rPr>
        <w:t>规定非比例拉伸强度</w:t>
      </w:r>
      <w:r>
        <w:rPr>
          <w:rFonts w:hint="eastAsia" w:ascii="宋体" w:hAnsi="宋体" w:eastAsia="宋体"/>
          <w:color w:val="000000" w:themeColor="text1"/>
          <w14:textFill>
            <w14:solidFill>
              <w14:schemeClr w14:val="tx1"/>
            </w14:solidFill>
          </w14:textFill>
        </w:rPr>
        <w:t>为≥90，经对比分析，本版</w:t>
      </w:r>
      <w:r>
        <w:rPr>
          <w:rFonts w:hint="eastAsia"/>
          <w:color w:val="000000" w:themeColor="text1"/>
          <w14:textFill>
            <w14:solidFill>
              <w14:schemeClr w14:val="tx1"/>
            </w14:solidFill>
          </w14:textFill>
        </w:rPr>
        <w:t>规定非比例拉伸强度</w:t>
      </w:r>
      <w:r>
        <w:rPr>
          <w:rFonts w:hint="eastAsia" w:ascii="宋体" w:hAnsi="宋体" w:eastAsia="宋体"/>
          <w:color w:val="000000" w:themeColor="text1"/>
          <w14:textFill>
            <w14:solidFill>
              <w14:schemeClr w14:val="tx1"/>
            </w14:solidFill>
          </w14:textFill>
        </w:rPr>
        <w:t>确定为≥90。</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公称外径</w:t>
      </w:r>
      <w:r>
        <w:rPr>
          <w:rFonts w:hint="eastAsia" w:asciiTheme="minorEastAsia" w:hAnsiTheme="minorEastAsia"/>
          <w:color w:val="000000" w:themeColor="text1"/>
          <w14:textFill>
            <w14:solidFill>
              <w14:schemeClr w14:val="tx1"/>
            </w14:solidFill>
          </w14:textFill>
        </w:rPr>
        <w:t>≥</w:t>
      </w:r>
      <w:r>
        <w:rPr>
          <w:rFonts w:hint="eastAsia"/>
          <w:color w:val="000000" w:themeColor="text1"/>
          <w14:textFill>
            <w14:solidFill>
              <w14:schemeClr w14:val="tx1"/>
            </w14:solidFill>
          </w14:textFill>
        </w:rPr>
        <w:t>115mm断后伸长率频数和频率分布表及直方图如下：</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表10  实测</w:t>
      </w:r>
      <w:r>
        <w:rPr>
          <w:color w:val="000000" w:themeColor="text1"/>
          <w14:textFill>
            <w14:solidFill>
              <w14:schemeClr w14:val="tx1"/>
            </w14:solidFill>
          </w14:textFill>
        </w:rPr>
        <w:t>BFe10-1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断后伸长率频数和频率分布表</w:t>
      </w:r>
    </w:p>
    <w:p>
      <w:pPr>
        <w:jc w:val="center"/>
        <w:rPr>
          <w:rFonts w:asciiTheme="minorEastAsia" w:hAnsiTheme="minorEastAsia"/>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0" distR="0">
            <wp:extent cx="4810125" cy="15525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810125" cy="1552575"/>
                    </a:xfrm>
                    <a:prstGeom prst="rect">
                      <a:avLst/>
                    </a:prstGeom>
                    <a:noFill/>
                    <a:ln>
                      <a:noFill/>
                    </a:ln>
                  </pic:spPr>
                </pic:pic>
              </a:graphicData>
            </a:graphic>
          </wp:inline>
        </w:drawing>
      </w:r>
    </w:p>
    <w:p>
      <w:pPr>
        <w:jc w:val="center"/>
        <w:rPr>
          <w:rFonts w:asciiTheme="minorEastAsia" w:hAnsiTheme="minorEastAsia"/>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0" distR="0">
            <wp:extent cx="4810125" cy="27527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10125" cy="2752725"/>
                    </a:xfrm>
                    <a:prstGeom prst="rect">
                      <a:avLst/>
                    </a:prstGeom>
                    <a:noFill/>
                    <a:ln>
                      <a:noFill/>
                    </a:ln>
                  </pic:spPr>
                </pic:pic>
              </a:graphicData>
            </a:graphic>
          </wp:inline>
        </w:drawing>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图7 实测</w:t>
      </w:r>
      <w:r>
        <w:rPr>
          <w:color w:val="000000" w:themeColor="text1"/>
          <w14:textFill>
            <w14:solidFill>
              <w14:schemeClr w14:val="tx1"/>
            </w14:solidFill>
          </w14:textFill>
        </w:rPr>
        <w:t>BFe10-1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断后伸长率频数直方图</w:t>
      </w:r>
    </w:p>
    <w:p>
      <w:pPr>
        <w:ind w:firstLine="420" w:firstLineChars="200"/>
        <w:rPr>
          <w:rFonts w:ascii="宋体" w:hAnsi="宋体" w:eastAsia="宋体"/>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根据</w:t>
      </w:r>
      <w:r>
        <w:rPr>
          <w:rFonts w:hint="eastAsia"/>
          <w:color w:val="000000" w:themeColor="text1"/>
          <w14:textFill>
            <w14:solidFill>
              <w14:schemeClr w14:val="tx1"/>
            </w14:solidFill>
          </w14:textFill>
        </w:rPr>
        <w:t>实测</w:t>
      </w:r>
      <w:r>
        <w:rPr>
          <w:color w:val="000000" w:themeColor="text1"/>
          <w14:textFill>
            <w14:solidFill>
              <w14:schemeClr w14:val="tx1"/>
            </w14:solidFill>
          </w14:textFill>
        </w:rPr>
        <w:t>BFe10-</w:t>
      </w:r>
      <w:r>
        <w:rPr>
          <w:rFonts w:hint="eastAsia"/>
          <w:color w:val="000000" w:themeColor="text1"/>
          <w14:textFill>
            <w14:solidFill>
              <w14:schemeClr w14:val="tx1"/>
            </w14:solidFill>
          </w14:textFill>
        </w:rPr>
        <w:t>1.6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断后伸长率频数和频率分布表及分布图的分析，可以看出，该牌号共收集到160个有效数据，有97%的数据是集中的分布在37.5</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45之间，有2%的数据分布在36</w:t>
      </w:r>
      <w:r>
        <w:rPr>
          <w:rFonts w:hint="eastAsia" w:ascii="宋体" w:hAnsi="宋体" w:eastAsia="宋体"/>
          <w:color w:val="000000" w:themeColor="text1"/>
          <w14:textFill>
            <w14:solidFill>
              <w14:schemeClr w14:val="tx1"/>
            </w14:solidFill>
          </w14:textFill>
        </w:rPr>
        <w:t>～37.5之间，有1%的数据分布在45～46.5之间，该标准GB/T 26291-1010版中该牌号断后伸长率为≥35，经对比分析，本版断后伸长率确定为≥35。</w:t>
      </w:r>
    </w:p>
    <w:p>
      <w:pPr>
        <w:tabs>
          <w:tab w:val="left" w:pos="7470"/>
        </w:tabs>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维氏硬度率频数和频率分布表及直方图如下：</w:t>
      </w:r>
      <w:r>
        <w:rPr>
          <w:color w:val="000000" w:themeColor="text1"/>
          <w14:textFill>
            <w14:solidFill>
              <w14:schemeClr w14:val="tx1"/>
            </w14:solidFill>
          </w14:textFill>
        </w:rPr>
        <w:tab/>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表11  实测</w:t>
      </w:r>
      <w:r>
        <w:rPr>
          <w:color w:val="000000" w:themeColor="text1"/>
          <w14:textFill>
            <w14:solidFill>
              <w14:schemeClr w14:val="tx1"/>
            </w14:solidFill>
          </w14:textFill>
        </w:rPr>
        <w:t>BFe10-</w:t>
      </w:r>
      <w:r>
        <w:rPr>
          <w:rFonts w:hint="eastAsia"/>
          <w:color w:val="000000" w:themeColor="text1"/>
          <w14:textFill>
            <w14:solidFill>
              <w14:schemeClr w14:val="tx1"/>
            </w14:solidFill>
          </w14:textFill>
        </w:rPr>
        <w:t>1.6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维氏硬度频数和频率分布表</w:t>
      </w:r>
    </w:p>
    <w:p>
      <w:pPr>
        <w:jc w:val="center"/>
        <w:rPr>
          <w:rFonts w:asciiTheme="minorEastAsia" w:hAnsiTheme="minor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4810125" cy="44672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810125" cy="4467225"/>
                    </a:xfrm>
                    <a:prstGeom prst="rect">
                      <a:avLst/>
                    </a:prstGeom>
                    <a:noFill/>
                    <a:ln>
                      <a:noFill/>
                    </a:ln>
                  </pic:spPr>
                </pic:pic>
              </a:graphicData>
            </a:graphic>
          </wp:inline>
        </w:drawing>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图8 实测</w:t>
      </w:r>
      <w:r>
        <w:rPr>
          <w:color w:val="000000" w:themeColor="text1"/>
          <w14:textFill>
            <w14:solidFill>
              <w14:schemeClr w14:val="tx1"/>
            </w14:solidFill>
          </w14:textFill>
        </w:rPr>
        <w:t>BFe10-1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维氏硬度率频数直方图</w:t>
      </w:r>
    </w:p>
    <w:p>
      <w:pPr>
        <w:ind w:firstLine="420" w:firstLineChars="200"/>
        <w:rPr>
          <w:rFonts w:ascii="宋体" w:hAnsi="宋体" w:eastAsia="宋体"/>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根据</w:t>
      </w:r>
      <w:r>
        <w:rPr>
          <w:rFonts w:hint="eastAsia"/>
          <w:color w:val="000000" w:themeColor="text1"/>
          <w14:textFill>
            <w14:solidFill>
              <w14:schemeClr w14:val="tx1"/>
            </w14:solidFill>
          </w14:textFill>
        </w:rPr>
        <w:t>实测</w:t>
      </w:r>
      <w:r>
        <w:rPr>
          <w:color w:val="000000" w:themeColor="text1"/>
          <w14:textFill>
            <w14:solidFill>
              <w14:schemeClr w14:val="tx1"/>
            </w14:solidFill>
          </w14:textFill>
        </w:rPr>
        <w:t>BFe10-</w:t>
      </w:r>
      <w:r>
        <w:rPr>
          <w:rFonts w:hint="eastAsia"/>
          <w:color w:val="000000" w:themeColor="text1"/>
          <w14:textFill>
            <w14:solidFill>
              <w14:schemeClr w14:val="tx1"/>
            </w14:solidFill>
          </w14:textFill>
        </w:rPr>
        <w:t>1.6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维氏硬度频数和频率分布表及分布图的分析，可以看出，该牌号共收集到160个有效数据，有99%的数据是集中的分布在76.5</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84之间，有1%的数据分布在75</w:t>
      </w:r>
      <w:r>
        <w:rPr>
          <w:rFonts w:hint="eastAsia" w:ascii="宋体" w:hAnsi="宋体" w:eastAsia="宋体"/>
          <w:color w:val="000000" w:themeColor="text1"/>
          <w14:textFill>
            <w14:solidFill>
              <w14:schemeClr w14:val="tx1"/>
            </w14:solidFill>
          </w14:textFill>
        </w:rPr>
        <w:t>～76.5之间，该标准GB/T 26291-1010版中没有规定维氏硬度指标，本版新增了维氏硬度指标，经对比分析，本版指标确定为75～110。</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公称外径</w:t>
      </w:r>
      <w:r>
        <w:rPr>
          <w:rFonts w:hint="eastAsia" w:asciiTheme="minorEastAsia" w:hAnsiTheme="minorEastAsia"/>
          <w:color w:val="000000" w:themeColor="text1"/>
          <w14:textFill>
            <w14:solidFill>
              <w14:schemeClr w14:val="tx1"/>
            </w14:solidFill>
          </w14:textFill>
        </w:rPr>
        <w:t>≤</w:t>
      </w:r>
      <w:r>
        <w:rPr>
          <w:rFonts w:hint="eastAsia"/>
          <w:color w:val="000000" w:themeColor="text1"/>
          <w14:textFill>
            <w14:solidFill>
              <w14:schemeClr w14:val="tx1"/>
            </w14:solidFill>
          </w14:textFill>
        </w:rPr>
        <w:t>115mm管材的抗拉强度频数和频率分布表及直方图如下：</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表12  实测</w:t>
      </w:r>
      <w:r>
        <w:rPr>
          <w:color w:val="000000" w:themeColor="text1"/>
          <w14:textFill>
            <w14:solidFill>
              <w14:schemeClr w14:val="tx1"/>
            </w14:solidFill>
          </w14:textFill>
        </w:rPr>
        <w:t>BFe10-1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抗拉强度频数和频率分布表</w:t>
      </w:r>
    </w:p>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drawing>
          <wp:inline distT="0" distB="0" distL="0" distR="0">
            <wp:extent cx="4924425" cy="1704975"/>
            <wp:effectExtent l="0" t="0" r="9525" b="9525"/>
            <wp:docPr id="31" name="图片 31" descr="D:\Documents and Settings\88003400\Application Data\Tencent\Users\583990029\QQ\WinTemp\RichOle\QGBT]JNCG~39A@X%C9SL{U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D:\Documents and Settings\88003400\Application Data\Tencent\Users\583990029\QQ\WinTemp\RichOle\QGBT]JNCG~39A@X%C9SL{U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24425" cy="1704975"/>
                    </a:xfrm>
                    <a:prstGeom prst="rect">
                      <a:avLst/>
                    </a:prstGeom>
                    <a:noFill/>
                    <a:ln>
                      <a:noFill/>
                    </a:ln>
                  </pic:spPr>
                </pic:pic>
              </a:graphicData>
            </a:graphic>
          </wp:inline>
        </w:drawing>
      </w:r>
    </w:p>
    <w:p>
      <w:pPr>
        <w:jc w:val="center"/>
        <w:rPr>
          <w:color w:val="000000" w:themeColor="text1"/>
          <w14:textFill>
            <w14:solidFill>
              <w14:schemeClr w14:val="tx1"/>
            </w14:solidFill>
          </w14:textFill>
        </w:rPr>
      </w:pPr>
    </w:p>
    <w:p>
      <w:pPr>
        <w:jc w:val="center"/>
        <w:rPr>
          <w:rFonts w:asciiTheme="minorEastAsia" w:hAnsiTheme="minor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4810125" cy="283845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a:extLst>
                        <a:ext uri="{28A0092B-C50C-407E-A947-70E740481C1C}">
                          <a14:useLocalDpi xmlns:a14="http://schemas.microsoft.com/office/drawing/2010/main" val="0"/>
                        </a:ext>
                      </a:extLst>
                    </a:blip>
                    <a:srcRect t="36460"/>
                    <a:stretch>
                      <a:fillRect/>
                    </a:stretch>
                  </pic:blipFill>
                  <pic:spPr>
                    <a:xfrm>
                      <a:off x="0" y="0"/>
                      <a:ext cx="4810125" cy="2838450"/>
                    </a:xfrm>
                    <a:prstGeom prst="rect">
                      <a:avLst/>
                    </a:prstGeom>
                    <a:noFill/>
                    <a:ln>
                      <a:noFill/>
                    </a:ln>
                  </pic:spPr>
                </pic:pic>
              </a:graphicData>
            </a:graphic>
          </wp:inline>
        </w:drawing>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图8 实测</w:t>
      </w:r>
      <w:r>
        <w:rPr>
          <w:color w:val="000000" w:themeColor="text1"/>
          <w14:textFill>
            <w14:solidFill>
              <w14:schemeClr w14:val="tx1"/>
            </w14:solidFill>
          </w14:textFill>
        </w:rPr>
        <w:t>BFe10-1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O60抗拉强度率频数直方图</w:t>
      </w:r>
    </w:p>
    <w:p>
      <w:pPr>
        <w:ind w:firstLine="420" w:firstLineChars="200"/>
        <w:rPr>
          <w:rFonts w:ascii="宋体" w:hAnsi="宋体" w:eastAsia="宋体"/>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根据</w:t>
      </w:r>
      <w:r>
        <w:rPr>
          <w:rFonts w:hint="eastAsia"/>
          <w:color w:val="000000" w:themeColor="text1"/>
          <w14:textFill>
            <w14:solidFill>
              <w14:schemeClr w14:val="tx1"/>
            </w14:solidFill>
          </w14:textFill>
        </w:rPr>
        <w:t>实测</w:t>
      </w:r>
      <w:r>
        <w:rPr>
          <w:color w:val="000000" w:themeColor="text1"/>
          <w14:textFill>
            <w14:solidFill>
              <w14:schemeClr w14:val="tx1"/>
            </w14:solidFill>
          </w14:textFill>
        </w:rPr>
        <w:t>BFe10-</w:t>
      </w:r>
      <w:r>
        <w:rPr>
          <w:rFonts w:hint="eastAsia"/>
          <w:color w:val="000000" w:themeColor="text1"/>
          <w14:textFill>
            <w14:solidFill>
              <w14:schemeClr w14:val="tx1"/>
            </w14:solidFill>
          </w14:textFill>
        </w:rPr>
        <w:t>1.6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抗拉强度频数和频率分布表及分布图的分析，可以看出，该牌号共收集到160个有效数据，有33%的数据分布在312</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336之间，有62%的数据分布在348</w:t>
      </w:r>
      <w:r>
        <w:rPr>
          <w:rFonts w:hint="eastAsia" w:ascii="宋体" w:hAnsi="宋体" w:eastAsia="宋体"/>
          <w:color w:val="000000" w:themeColor="text1"/>
          <w14:textFill>
            <w14:solidFill>
              <w14:schemeClr w14:val="tx1"/>
            </w14:solidFill>
          </w14:textFill>
        </w:rPr>
        <w:t>～384之间，</w:t>
      </w:r>
      <w:r>
        <w:rPr>
          <w:rFonts w:hint="eastAsia"/>
          <w:color w:val="000000" w:themeColor="text1"/>
          <w14:textFill>
            <w14:solidFill>
              <w14:schemeClr w14:val="tx1"/>
            </w14:solidFill>
          </w14:textFill>
        </w:rPr>
        <w:t>有4%的数据分布在336</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348之间，有1%的数据分布在300</w:t>
      </w:r>
      <w:r>
        <w:rPr>
          <w:rFonts w:hint="eastAsia" w:ascii="宋体" w:hAnsi="宋体" w:eastAsia="宋体"/>
          <w:color w:val="000000" w:themeColor="text1"/>
          <w14:textFill>
            <w14:solidFill>
              <w14:schemeClr w14:val="tx1"/>
            </w14:solidFill>
          </w14:textFill>
        </w:rPr>
        <w:t>～312之间，该标准GB/T 26291-1010版中该牌号抗拉强度为≥270，经对比分析，本版抗拉强度确定为≥290。</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公称外径</w:t>
      </w:r>
      <w:r>
        <w:rPr>
          <w:rFonts w:hint="eastAsia" w:asciiTheme="minorEastAsia" w:hAnsiTheme="minorEastAsia"/>
          <w:color w:val="000000" w:themeColor="text1"/>
          <w14:textFill>
            <w14:solidFill>
              <w14:schemeClr w14:val="tx1"/>
            </w14:solidFill>
          </w14:textFill>
        </w:rPr>
        <w:t>≤</w:t>
      </w:r>
      <w:r>
        <w:rPr>
          <w:rFonts w:hint="eastAsia"/>
          <w:color w:val="000000" w:themeColor="text1"/>
          <w14:textFill>
            <w14:solidFill>
              <w14:schemeClr w14:val="tx1"/>
            </w14:solidFill>
          </w14:textFill>
        </w:rPr>
        <w:t>115mm规定非比例拉伸强度频数和频率分布表及直方图如下：</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表13  实测</w:t>
      </w:r>
      <w:r>
        <w:rPr>
          <w:color w:val="000000" w:themeColor="text1"/>
          <w14:textFill>
            <w14:solidFill>
              <w14:schemeClr w14:val="tx1"/>
            </w14:solidFill>
          </w14:textFill>
        </w:rPr>
        <w:t>BFe10-1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规定非比例延伸强度频数和频率分布表</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4810125" cy="155257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10125" cy="1552575"/>
                    </a:xfrm>
                    <a:prstGeom prst="rect">
                      <a:avLst/>
                    </a:prstGeom>
                    <a:noFill/>
                    <a:ln>
                      <a:noFill/>
                    </a:ln>
                  </pic:spPr>
                </pic:pic>
              </a:graphicData>
            </a:graphic>
          </wp:inline>
        </w:drawing>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4810125" cy="292417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810125" cy="2924175"/>
                    </a:xfrm>
                    <a:prstGeom prst="rect">
                      <a:avLst/>
                    </a:prstGeom>
                    <a:noFill/>
                    <a:ln>
                      <a:noFill/>
                    </a:ln>
                  </pic:spPr>
                </pic:pic>
              </a:graphicData>
            </a:graphic>
          </wp:inline>
        </w:drawing>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图9 实测</w:t>
      </w:r>
      <w:r>
        <w:rPr>
          <w:color w:val="000000" w:themeColor="text1"/>
          <w14:textFill>
            <w14:solidFill>
              <w14:schemeClr w14:val="tx1"/>
            </w14:solidFill>
          </w14:textFill>
        </w:rPr>
        <w:t>BFe10-1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O60规定非比例延伸强度率频数直方图</w:t>
      </w:r>
    </w:p>
    <w:p>
      <w:pPr>
        <w:ind w:firstLine="420" w:firstLineChars="200"/>
        <w:rPr>
          <w:rFonts w:ascii="宋体" w:hAnsi="宋体" w:eastAsia="宋体"/>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根据</w:t>
      </w:r>
      <w:r>
        <w:rPr>
          <w:rFonts w:hint="eastAsia"/>
          <w:color w:val="000000" w:themeColor="text1"/>
          <w14:textFill>
            <w14:solidFill>
              <w14:schemeClr w14:val="tx1"/>
            </w14:solidFill>
          </w14:textFill>
        </w:rPr>
        <w:t>实测</w:t>
      </w:r>
      <w:r>
        <w:rPr>
          <w:color w:val="000000" w:themeColor="text1"/>
          <w14:textFill>
            <w14:solidFill>
              <w14:schemeClr w14:val="tx1"/>
            </w14:solidFill>
          </w14:textFill>
        </w:rPr>
        <w:t>BFe10-</w:t>
      </w:r>
      <w:r>
        <w:rPr>
          <w:rFonts w:hint="eastAsia"/>
          <w:color w:val="000000" w:themeColor="text1"/>
          <w14:textFill>
            <w14:solidFill>
              <w14:schemeClr w14:val="tx1"/>
            </w14:solidFill>
          </w14:textFill>
        </w:rPr>
        <w:t>1.6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抗拉强度频数和频率分布表及分布图的分析，可以看出，该牌号共收集到160个有效数据，有96%的数据集中分布在113</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153之间，有3%的数据分布在153</w:t>
      </w:r>
      <w:r>
        <w:rPr>
          <w:rFonts w:hint="eastAsia" w:ascii="宋体" w:hAnsi="宋体" w:eastAsia="宋体"/>
          <w:color w:val="000000" w:themeColor="text1"/>
          <w14:textFill>
            <w14:solidFill>
              <w14:schemeClr w14:val="tx1"/>
            </w14:solidFill>
          </w14:textFill>
        </w:rPr>
        <w:t>～161之间，</w:t>
      </w:r>
      <w:r>
        <w:rPr>
          <w:rFonts w:hint="eastAsia"/>
          <w:color w:val="000000" w:themeColor="text1"/>
          <w14:textFill>
            <w14:solidFill>
              <w14:schemeClr w14:val="tx1"/>
            </w14:solidFill>
          </w14:textFill>
        </w:rPr>
        <w:t>有1%的数据分布在105</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113之间，</w:t>
      </w:r>
      <w:r>
        <w:rPr>
          <w:rFonts w:hint="eastAsia" w:ascii="宋体" w:hAnsi="宋体" w:eastAsia="宋体"/>
          <w:color w:val="000000" w:themeColor="text1"/>
          <w14:textFill>
            <w14:solidFill>
              <w14:schemeClr w14:val="tx1"/>
            </w14:solidFill>
          </w14:textFill>
        </w:rPr>
        <w:t>该标准GB/T 26291-1010版中该牌号规定非比例延伸强度为≥105，经对比分析，本版规定非比例延伸强度确定为≥105。</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公称外径</w:t>
      </w:r>
      <w:r>
        <w:rPr>
          <w:rFonts w:hint="eastAsia" w:asciiTheme="minorEastAsia" w:hAnsiTheme="minorEastAsia"/>
          <w:color w:val="000000" w:themeColor="text1"/>
          <w14:textFill>
            <w14:solidFill>
              <w14:schemeClr w14:val="tx1"/>
            </w14:solidFill>
          </w14:textFill>
        </w:rPr>
        <w:t>≤</w:t>
      </w:r>
      <w:r>
        <w:rPr>
          <w:rFonts w:hint="eastAsia"/>
          <w:color w:val="000000" w:themeColor="text1"/>
          <w14:textFill>
            <w14:solidFill>
              <w14:schemeClr w14:val="tx1"/>
            </w14:solidFill>
          </w14:textFill>
        </w:rPr>
        <w:t>115mm断后伸长率频数和频率分布表及直方图如下：</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表14  实测</w:t>
      </w:r>
      <w:r>
        <w:rPr>
          <w:color w:val="000000" w:themeColor="text1"/>
          <w14:textFill>
            <w14:solidFill>
              <w14:schemeClr w14:val="tx1"/>
            </w14:solidFill>
          </w14:textFill>
        </w:rPr>
        <w:t>BFe10-1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断后伸长率频数和频率分布表</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4810125" cy="44672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810125" cy="4467225"/>
                    </a:xfrm>
                    <a:prstGeom prst="rect">
                      <a:avLst/>
                    </a:prstGeom>
                    <a:noFill/>
                    <a:ln>
                      <a:noFill/>
                    </a:ln>
                  </pic:spPr>
                </pic:pic>
              </a:graphicData>
            </a:graphic>
          </wp:inline>
        </w:drawing>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图10 实测</w:t>
      </w:r>
      <w:r>
        <w:rPr>
          <w:color w:val="000000" w:themeColor="text1"/>
          <w14:textFill>
            <w14:solidFill>
              <w14:schemeClr w14:val="tx1"/>
            </w14:solidFill>
          </w14:textFill>
        </w:rPr>
        <w:t>BFe10-1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O60断后伸长率频数直方图</w:t>
      </w:r>
    </w:p>
    <w:p>
      <w:pPr>
        <w:ind w:firstLine="420" w:firstLineChars="200"/>
        <w:rPr>
          <w:rFonts w:ascii="宋体" w:hAnsi="宋体" w:eastAsia="宋体"/>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根据</w:t>
      </w:r>
      <w:r>
        <w:rPr>
          <w:rFonts w:hint="eastAsia"/>
          <w:color w:val="000000" w:themeColor="text1"/>
          <w14:textFill>
            <w14:solidFill>
              <w14:schemeClr w14:val="tx1"/>
            </w14:solidFill>
          </w14:textFill>
        </w:rPr>
        <w:t>实测</w:t>
      </w:r>
      <w:r>
        <w:rPr>
          <w:color w:val="000000" w:themeColor="text1"/>
          <w14:textFill>
            <w14:solidFill>
              <w14:schemeClr w14:val="tx1"/>
            </w14:solidFill>
          </w14:textFill>
        </w:rPr>
        <w:t>BFe10-</w:t>
      </w:r>
      <w:r>
        <w:rPr>
          <w:rFonts w:hint="eastAsia"/>
          <w:color w:val="000000" w:themeColor="text1"/>
          <w14:textFill>
            <w14:solidFill>
              <w14:schemeClr w14:val="tx1"/>
            </w14:solidFill>
          </w14:textFill>
        </w:rPr>
        <w:t>1.6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断后伸长率频数和频率分布表及分布图的分析，可以看出，该牌号共收集到130个有效数据，有93%的数据集中分布在35</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41之间，有2%的数据分布在41</w:t>
      </w:r>
      <w:r>
        <w:rPr>
          <w:rFonts w:hint="eastAsia" w:ascii="宋体" w:hAnsi="宋体" w:eastAsia="宋体"/>
          <w:color w:val="000000" w:themeColor="text1"/>
          <w14:textFill>
            <w14:solidFill>
              <w14:schemeClr w14:val="tx1"/>
            </w14:solidFill>
          </w14:textFill>
        </w:rPr>
        <w:t>～42.5之间，</w:t>
      </w:r>
      <w:r>
        <w:rPr>
          <w:rFonts w:hint="eastAsia"/>
          <w:color w:val="000000" w:themeColor="text1"/>
          <w14:textFill>
            <w14:solidFill>
              <w14:schemeClr w14:val="tx1"/>
            </w14:solidFill>
          </w14:textFill>
        </w:rPr>
        <w:t>有5%的数据分布在42.5</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44之间，</w:t>
      </w:r>
      <w:r>
        <w:rPr>
          <w:rFonts w:hint="eastAsia" w:ascii="宋体" w:hAnsi="宋体" w:eastAsia="宋体"/>
          <w:color w:val="000000" w:themeColor="text1"/>
          <w14:textFill>
            <w14:solidFill>
              <w14:schemeClr w14:val="tx1"/>
            </w14:solidFill>
          </w14:textFill>
        </w:rPr>
        <w:t>该标准GB/T 26291-1010版中该牌号断后伸长率为≥35，经对比分析，本版断后伸长率确定为≥35。</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公称外径</w:t>
      </w:r>
      <w:r>
        <w:rPr>
          <w:rFonts w:hint="eastAsia" w:asciiTheme="minorEastAsia" w:hAnsiTheme="minorEastAsia"/>
          <w:color w:val="000000" w:themeColor="text1"/>
          <w14:textFill>
            <w14:solidFill>
              <w14:schemeClr w14:val="tx1"/>
            </w14:solidFill>
          </w14:textFill>
        </w:rPr>
        <w:t>≤</w:t>
      </w:r>
      <w:r>
        <w:rPr>
          <w:rFonts w:hint="eastAsia"/>
          <w:color w:val="000000" w:themeColor="text1"/>
          <w14:textFill>
            <w14:solidFill>
              <w14:schemeClr w14:val="tx1"/>
            </w14:solidFill>
          </w14:textFill>
        </w:rPr>
        <w:t>115mm维氏硬度频数和频率分布表及直方图如下：</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表14  实测</w:t>
      </w:r>
      <w:r>
        <w:rPr>
          <w:color w:val="000000" w:themeColor="text1"/>
          <w14:textFill>
            <w14:solidFill>
              <w14:schemeClr w14:val="tx1"/>
            </w14:solidFill>
          </w14:textFill>
        </w:rPr>
        <w:t>BFe10-1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维氏硬度频数和频率分布表</w:t>
      </w:r>
    </w:p>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drawing>
          <wp:inline distT="0" distB="0" distL="0" distR="0">
            <wp:extent cx="5133975" cy="1762125"/>
            <wp:effectExtent l="0" t="0" r="9525" b="9525"/>
            <wp:docPr id="32" name="图片 32" descr="D:\Documents and Settings\88003400\Application Data\Tencent\Users\583990029\QQ\WinTemp\RichOle\H1VR2HQ@)Q)}RF9VI)@JX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D:\Documents and Settings\88003400\Application Data\Tencent\Users\583990029\QQ\WinTemp\RichOle\H1VR2HQ@)Q)}RF9VI)@JXD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133975" cy="1762125"/>
                    </a:xfrm>
                    <a:prstGeom prst="rect">
                      <a:avLst/>
                    </a:prstGeom>
                    <a:noFill/>
                    <a:ln>
                      <a:noFill/>
                    </a:ln>
                  </pic:spPr>
                </pic:pic>
              </a:graphicData>
            </a:graphic>
          </wp:inline>
        </w:drawing>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038725" cy="28575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1">
                      <a:extLst>
                        <a:ext uri="{28A0092B-C50C-407E-A947-70E740481C1C}">
                          <a14:useLocalDpi xmlns:a14="http://schemas.microsoft.com/office/drawing/2010/main" val="0"/>
                        </a:ext>
                      </a:extLst>
                    </a:blip>
                    <a:srcRect t="36034"/>
                    <a:stretch>
                      <a:fillRect/>
                    </a:stretch>
                  </pic:blipFill>
                  <pic:spPr>
                    <a:xfrm>
                      <a:off x="0" y="0"/>
                      <a:ext cx="5038725" cy="2857500"/>
                    </a:xfrm>
                    <a:prstGeom prst="rect">
                      <a:avLst/>
                    </a:prstGeom>
                    <a:noFill/>
                    <a:ln>
                      <a:noFill/>
                    </a:ln>
                  </pic:spPr>
                </pic:pic>
              </a:graphicData>
            </a:graphic>
          </wp:inline>
        </w:drawing>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图11 实测</w:t>
      </w:r>
      <w:r>
        <w:rPr>
          <w:color w:val="000000" w:themeColor="text1"/>
          <w14:textFill>
            <w14:solidFill>
              <w14:schemeClr w14:val="tx1"/>
            </w14:solidFill>
          </w14:textFill>
        </w:rPr>
        <w:t>BFe10-1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O60维氏硬度频数直方图</w:t>
      </w:r>
    </w:p>
    <w:p>
      <w:pPr>
        <w:ind w:firstLine="420" w:firstLineChars="200"/>
        <w:rPr>
          <w:rFonts w:ascii="宋体" w:hAnsi="宋体" w:eastAsia="宋体"/>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根据</w:t>
      </w:r>
      <w:r>
        <w:rPr>
          <w:rFonts w:hint="eastAsia"/>
          <w:color w:val="000000" w:themeColor="text1"/>
          <w14:textFill>
            <w14:solidFill>
              <w14:schemeClr w14:val="tx1"/>
            </w14:solidFill>
          </w14:textFill>
        </w:rPr>
        <w:t>实测</w:t>
      </w:r>
      <w:r>
        <w:rPr>
          <w:color w:val="000000" w:themeColor="text1"/>
          <w14:textFill>
            <w14:solidFill>
              <w14:schemeClr w14:val="tx1"/>
            </w14:solidFill>
          </w14:textFill>
        </w:rPr>
        <w:t>BFe10-</w:t>
      </w:r>
      <w:r>
        <w:rPr>
          <w:rFonts w:hint="eastAsia"/>
          <w:color w:val="000000" w:themeColor="text1"/>
          <w14:textFill>
            <w14:solidFill>
              <w14:schemeClr w14:val="tx1"/>
            </w14:solidFill>
          </w14:textFill>
        </w:rPr>
        <w:t>1.6</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维氏硬度频数和频率分布表及分布图的分析，可以看出，该牌号共收集到159个有效数据，有97%的数据集中分布在76.3</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82.8之间，有2%的数据分布在75</w:t>
      </w:r>
      <w:r>
        <w:rPr>
          <w:rFonts w:hint="eastAsia" w:ascii="宋体" w:hAnsi="宋体" w:eastAsia="宋体"/>
          <w:color w:val="000000" w:themeColor="text1"/>
          <w14:textFill>
            <w14:solidFill>
              <w14:schemeClr w14:val="tx1"/>
            </w14:solidFill>
          </w14:textFill>
        </w:rPr>
        <w:t>～76.3之间，</w:t>
      </w:r>
      <w:r>
        <w:rPr>
          <w:rFonts w:hint="eastAsia"/>
          <w:color w:val="000000" w:themeColor="text1"/>
          <w14:textFill>
            <w14:solidFill>
              <w14:schemeClr w14:val="tx1"/>
            </w14:solidFill>
          </w14:textFill>
        </w:rPr>
        <w:t>有1%的数据分布在82.8</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84.1之间，</w:t>
      </w:r>
      <w:r>
        <w:rPr>
          <w:rFonts w:hint="eastAsia" w:ascii="宋体" w:hAnsi="宋体" w:eastAsia="宋体"/>
          <w:color w:val="000000" w:themeColor="text1"/>
          <w14:textFill>
            <w14:solidFill>
              <w14:schemeClr w14:val="tx1"/>
            </w14:solidFill>
          </w14:textFill>
        </w:rPr>
        <w:t>该标准GB/T 26291-1010版中没有关于维氏硬度指标的规定，经数据分析，本版维氏硬度指标确定为75～110。</w:t>
      </w:r>
    </w:p>
    <w:p>
      <w:pPr>
        <w:ind w:firstLine="42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4.2.7.3  </w:t>
      </w:r>
      <w:r>
        <w:rPr>
          <w:b/>
          <w:color w:val="000000" w:themeColor="text1"/>
          <w14:textFill>
            <w14:solidFill>
              <w14:schemeClr w14:val="tx1"/>
            </w14:solidFill>
          </w14:textFill>
        </w:rPr>
        <w:t>BFe</w:t>
      </w: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0-</w:t>
      </w:r>
      <w:r>
        <w:rPr>
          <w:rFonts w:hint="eastAsia"/>
          <w:b/>
          <w:color w:val="000000" w:themeColor="text1"/>
          <w14:textFill>
            <w14:solidFill>
              <w14:schemeClr w14:val="tx1"/>
            </w14:solidFill>
          </w14:textFill>
        </w:rPr>
        <w:t>1</w:t>
      </w:r>
      <w:r>
        <w:rPr>
          <w:b/>
          <w:color w:val="000000" w:themeColor="text1"/>
          <w14:textFill>
            <w14:solidFill>
              <w14:schemeClr w14:val="tx1"/>
            </w14:solidFill>
          </w14:textFill>
        </w:rPr>
        <w:t>-1铜管性能</w:t>
      </w:r>
      <w:r>
        <w:rPr>
          <w:rFonts w:hint="eastAsia"/>
          <w:b/>
          <w:color w:val="000000" w:themeColor="text1"/>
          <w14:textFill>
            <w14:solidFill>
              <w14:schemeClr w14:val="tx1"/>
            </w14:solidFill>
          </w14:textFill>
        </w:rPr>
        <w:t>频数和频率分析</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公称外径</w:t>
      </w:r>
      <w:r>
        <w:rPr>
          <w:rFonts w:hint="eastAsia" w:asciiTheme="minorEastAsia" w:hAnsiTheme="minorEastAsia"/>
          <w:color w:val="000000" w:themeColor="text1"/>
          <w14:textFill>
            <w14:solidFill>
              <w14:schemeClr w14:val="tx1"/>
            </w14:solidFill>
          </w14:textFill>
        </w:rPr>
        <w:t>≤</w:t>
      </w:r>
      <w:r>
        <w:rPr>
          <w:rFonts w:hint="eastAsia"/>
          <w:color w:val="000000" w:themeColor="text1"/>
          <w14:textFill>
            <w14:solidFill>
              <w14:schemeClr w14:val="tx1"/>
            </w14:solidFill>
          </w14:textFill>
        </w:rPr>
        <w:t>115mm管材的抗拉强度频数和频率分布表及直方图如下：</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表15  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0-1-1</w:t>
      </w:r>
      <w:r>
        <w:rPr>
          <w:rFonts w:hint="eastAsia"/>
          <w:color w:val="000000" w:themeColor="text1"/>
          <w14:textFill>
            <w14:solidFill>
              <w14:schemeClr w14:val="tx1"/>
            </w14:solidFill>
          </w14:textFill>
        </w:rPr>
        <w:t xml:space="preserve"> O60 抗拉强度频数和频率分布表</w:t>
      </w:r>
    </w:p>
    <w:p>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886325" cy="15525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886325" cy="1552575"/>
                    </a:xfrm>
                    <a:prstGeom prst="rect">
                      <a:avLst/>
                    </a:prstGeom>
                    <a:noFill/>
                    <a:ln>
                      <a:noFill/>
                    </a:ln>
                  </pic:spPr>
                </pic:pic>
              </a:graphicData>
            </a:graphic>
          </wp:inline>
        </w:drawing>
      </w:r>
    </w:p>
    <w:p>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886325" cy="275272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86325" cy="2752725"/>
                    </a:xfrm>
                    <a:prstGeom prst="rect">
                      <a:avLst/>
                    </a:prstGeom>
                    <a:noFill/>
                    <a:ln>
                      <a:noFill/>
                    </a:ln>
                  </pic:spPr>
                </pic:pic>
              </a:graphicData>
            </a:graphic>
          </wp:inline>
        </w:drawing>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图12 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0-1-1</w:t>
      </w:r>
      <w:r>
        <w:rPr>
          <w:rFonts w:hint="eastAsia"/>
          <w:color w:val="000000" w:themeColor="text1"/>
          <w14:textFill>
            <w14:solidFill>
              <w14:schemeClr w14:val="tx1"/>
            </w14:solidFill>
          </w14:textFill>
        </w:rPr>
        <w:t xml:space="preserve"> O60抗拉强度频数直方图</w:t>
      </w:r>
    </w:p>
    <w:p>
      <w:pPr>
        <w:ind w:firstLine="420" w:firstLineChars="200"/>
        <w:rPr>
          <w:rFonts w:ascii="宋体" w:hAnsi="宋体" w:eastAsia="宋体"/>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根据</w:t>
      </w:r>
      <w:r>
        <w:rPr>
          <w:rFonts w:hint="eastAsia"/>
          <w:color w:val="000000" w:themeColor="text1"/>
          <w14:textFill>
            <w14:solidFill>
              <w14:schemeClr w14:val="tx1"/>
            </w14:solidFill>
          </w14:textFill>
        </w:rPr>
        <w:t>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抗拉强度频数和频率分布表及分布图的分析，可以看出，该牌号共收集到80个有效数据，有98%的数据集中分布在400</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440之间，有1%的数据分布在390</w:t>
      </w:r>
      <w:r>
        <w:rPr>
          <w:rFonts w:hint="eastAsia" w:ascii="宋体" w:hAnsi="宋体" w:eastAsia="宋体"/>
          <w:color w:val="000000" w:themeColor="text1"/>
          <w14:textFill>
            <w14:solidFill>
              <w14:schemeClr w14:val="tx1"/>
            </w14:solidFill>
          </w14:textFill>
        </w:rPr>
        <w:t>～400之间，</w:t>
      </w:r>
      <w:r>
        <w:rPr>
          <w:rFonts w:hint="eastAsia"/>
          <w:color w:val="000000" w:themeColor="text1"/>
          <w14:textFill>
            <w14:solidFill>
              <w14:schemeClr w14:val="tx1"/>
            </w14:solidFill>
          </w14:textFill>
        </w:rPr>
        <w:t>有1%的数据分布在440</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450之间，</w:t>
      </w:r>
      <w:r>
        <w:rPr>
          <w:rFonts w:hint="eastAsia" w:ascii="宋体" w:hAnsi="宋体" w:eastAsia="宋体"/>
          <w:color w:val="000000" w:themeColor="text1"/>
          <w14:textFill>
            <w14:solidFill>
              <w14:schemeClr w14:val="tx1"/>
            </w14:solidFill>
          </w14:textFill>
        </w:rPr>
        <w:t>该标准GB/T 26291-1010版中该牌号抗拉强度为≥345，经数据对比分析，本版抗拉强度指标确定为≥390。</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公称外径</w:t>
      </w:r>
      <w:r>
        <w:rPr>
          <w:rFonts w:hint="eastAsia" w:asciiTheme="minorEastAsia" w:hAnsiTheme="minorEastAsia"/>
          <w:color w:val="000000" w:themeColor="text1"/>
          <w14:textFill>
            <w14:solidFill>
              <w14:schemeClr w14:val="tx1"/>
            </w14:solidFill>
          </w14:textFill>
        </w:rPr>
        <w:t>≤</w:t>
      </w:r>
      <w:r>
        <w:rPr>
          <w:rFonts w:hint="eastAsia"/>
          <w:color w:val="000000" w:themeColor="text1"/>
          <w14:textFill>
            <w14:solidFill>
              <w14:schemeClr w14:val="tx1"/>
            </w14:solidFill>
          </w14:textFill>
        </w:rPr>
        <w:t>115mm管材的规定非比例延伸强度频数和频率分布表及直方图如下：</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表15  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0-1-1</w:t>
      </w:r>
      <w:r>
        <w:rPr>
          <w:rFonts w:hint="eastAsia"/>
          <w:color w:val="000000" w:themeColor="text1"/>
          <w14:textFill>
            <w14:solidFill>
              <w14:schemeClr w14:val="tx1"/>
            </w14:solidFill>
          </w14:textFill>
        </w:rPr>
        <w:t xml:space="preserve"> O60 规定非比例延伸强度频数和频率分布表</w:t>
      </w:r>
    </w:p>
    <w:p>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886325" cy="446722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86325" cy="4467225"/>
                    </a:xfrm>
                    <a:prstGeom prst="rect">
                      <a:avLst/>
                    </a:prstGeom>
                    <a:noFill/>
                    <a:ln>
                      <a:noFill/>
                    </a:ln>
                  </pic:spPr>
                </pic:pic>
              </a:graphicData>
            </a:graphic>
          </wp:inline>
        </w:drawing>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图13 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0-1-1</w:t>
      </w:r>
      <w:r>
        <w:rPr>
          <w:rFonts w:hint="eastAsia"/>
          <w:color w:val="000000" w:themeColor="text1"/>
          <w14:textFill>
            <w14:solidFill>
              <w14:schemeClr w14:val="tx1"/>
            </w14:solidFill>
          </w14:textFill>
        </w:rPr>
        <w:t xml:space="preserve"> O60规定非比例延伸强度频数直方图</w:t>
      </w:r>
    </w:p>
    <w:p>
      <w:pPr>
        <w:ind w:firstLine="420" w:firstLineChars="200"/>
        <w:rPr>
          <w:rFonts w:ascii="宋体" w:hAnsi="宋体" w:eastAsia="宋体"/>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根据</w:t>
      </w:r>
      <w:r>
        <w:rPr>
          <w:rFonts w:hint="eastAsia"/>
          <w:color w:val="000000" w:themeColor="text1"/>
          <w14:textFill>
            <w14:solidFill>
              <w14:schemeClr w14:val="tx1"/>
            </w14:solidFill>
          </w14:textFill>
        </w:rPr>
        <w:t>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规定非比例延伸强度频数和频率分布表及分布图的分析，可以看出，该牌号共收集到80个有效数据，有93%的数据集中分布在154</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175之间，有3%的数据分布在147</w:t>
      </w:r>
      <w:r>
        <w:rPr>
          <w:rFonts w:hint="eastAsia" w:ascii="宋体" w:hAnsi="宋体" w:eastAsia="宋体"/>
          <w:color w:val="000000" w:themeColor="text1"/>
          <w14:textFill>
            <w14:solidFill>
              <w14:schemeClr w14:val="tx1"/>
            </w14:solidFill>
          </w14:textFill>
        </w:rPr>
        <w:t>～154之间，</w:t>
      </w:r>
      <w:r>
        <w:rPr>
          <w:rFonts w:hint="eastAsia"/>
          <w:color w:val="000000" w:themeColor="text1"/>
          <w14:textFill>
            <w14:solidFill>
              <w14:schemeClr w14:val="tx1"/>
            </w14:solidFill>
          </w14:textFill>
        </w:rPr>
        <w:t>有4%的数据分布在175</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182之间，</w:t>
      </w:r>
      <w:r>
        <w:rPr>
          <w:rFonts w:hint="eastAsia" w:ascii="宋体" w:hAnsi="宋体" w:eastAsia="宋体"/>
          <w:color w:val="000000" w:themeColor="text1"/>
          <w14:textFill>
            <w14:solidFill>
              <w14:schemeClr w14:val="tx1"/>
            </w14:solidFill>
          </w14:textFill>
        </w:rPr>
        <w:t>该标准GB/T 26291-1010版中该牌号</w:t>
      </w:r>
      <w:r>
        <w:rPr>
          <w:rFonts w:hint="eastAsia"/>
          <w:color w:val="000000" w:themeColor="text1"/>
          <w14:textFill>
            <w14:solidFill>
              <w14:schemeClr w14:val="tx1"/>
            </w14:solidFill>
          </w14:textFill>
        </w:rPr>
        <w:t>规定非比例延伸强度</w:t>
      </w:r>
      <w:r>
        <w:rPr>
          <w:rFonts w:hint="eastAsia" w:ascii="宋体" w:hAnsi="宋体" w:eastAsia="宋体"/>
          <w:color w:val="000000" w:themeColor="text1"/>
          <w14:textFill>
            <w14:solidFill>
              <w14:schemeClr w14:val="tx1"/>
            </w14:solidFill>
          </w14:textFill>
        </w:rPr>
        <w:t>为≥125，经数据对比分析，本版</w:t>
      </w:r>
      <w:r>
        <w:rPr>
          <w:rFonts w:hint="eastAsia"/>
          <w:color w:val="000000" w:themeColor="text1"/>
          <w14:textFill>
            <w14:solidFill>
              <w14:schemeClr w14:val="tx1"/>
            </w14:solidFill>
          </w14:textFill>
        </w:rPr>
        <w:t>规定非比例延伸强度</w:t>
      </w:r>
      <w:r>
        <w:rPr>
          <w:rFonts w:hint="eastAsia" w:ascii="宋体" w:hAnsi="宋体" w:eastAsia="宋体"/>
          <w:color w:val="000000" w:themeColor="text1"/>
          <w14:textFill>
            <w14:solidFill>
              <w14:schemeClr w14:val="tx1"/>
            </w14:solidFill>
          </w14:textFill>
        </w:rPr>
        <w:t>指标确定为≥140。</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公称外径</w:t>
      </w:r>
      <w:r>
        <w:rPr>
          <w:rFonts w:hint="eastAsia" w:asciiTheme="minorEastAsia" w:hAnsiTheme="minorEastAsia"/>
          <w:color w:val="000000" w:themeColor="text1"/>
          <w14:textFill>
            <w14:solidFill>
              <w14:schemeClr w14:val="tx1"/>
            </w14:solidFill>
          </w14:textFill>
        </w:rPr>
        <w:t>≤</w:t>
      </w:r>
      <w:r>
        <w:rPr>
          <w:rFonts w:hint="eastAsia"/>
          <w:color w:val="000000" w:themeColor="text1"/>
          <w14:textFill>
            <w14:solidFill>
              <w14:schemeClr w14:val="tx1"/>
            </w14:solidFill>
          </w14:textFill>
        </w:rPr>
        <w:t>115mm管材的断后伸长率频数和频率分布表及直方图如下：</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表16  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0-1-1</w:t>
      </w:r>
      <w:r>
        <w:rPr>
          <w:rFonts w:hint="eastAsia"/>
          <w:color w:val="000000" w:themeColor="text1"/>
          <w14:textFill>
            <w14:solidFill>
              <w14:schemeClr w14:val="tx1"/>
            </w14:solidFill>
          </w14:textFill>
        </w:rPr>
        <w:t xml:space="preserve"> O60 断后伸长率频数和频率分布表</w:t>
      </w:r>
    </w:p>
    <w:p>
      <w:pPr>
        <w:jc w:val="center"/>
        <w:rPr>
          <w:rFonts w:asciiTheme="minorEastAsia" w:hAnsiTheme="minor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4886325" cy="446722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886325" cy="4467225"/>
                    </a:xfrm>
                    <a:prstGeom prst="rect">
                      <a:avLst/>
                    </a:prstGeom>
                    <a:noFill/>
                    <a:ln>
                      <a:noFill/>
                    </a:ln>
                  </pic:spPr>
                </pic:pic>
              </a:graphicData>
            </a:graphic>
          </wp:inline>
        </w:drawing>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图14 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0-1-1</w:t>
      </w:r>
      <w:r>
        <w:rPr>
          <w:rFonts w:hint="eastAsia"/>
          <w:color w:val="000000" w:themeColor="text1"/>
          <w14:textFill>
            <w14:solidFill>
              <w14:schemeClr w14:val="tx1"/>
            </w14:solidFill>
          </w14:textFill>
        </w:rPr>
        <w:t xml:space="preserve"> O60断后伸长率频数直方图</w:t>
      </w:r>
    </w:p>
    <w:p>
      <w:pPr>
        <w:ind w:firstLine="420" w:firstLineChars="200"/>
        <w:rPr>
          <w:rFonts w:ascii="宋体" w:hAnsi="宋体" w:eastAsia="宋体"/>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根据</w:t>
      </w:r>
      <w:r>
        <w:rPr>
          <w:rFonts w:hint="eastAsia"/>
          <w:color w:val="000000" w:themeColor="text1"/>
          <w14:textFill>
            <w14:solidFill>
              <w14:schemeClr w14:val="tx1"/>
            </w14:solidFill>
          </w14:textFill>
        </w:rPr>
        <w:t>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O60断后伸长率频数和频率分布表及分布图的分析，可以看出，该牌号共收集到80个有效数据，有99%的数据集中分布在35.5</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40之间，有1%的数据分布在41.5</w:t>
      </w:r>
      <w:r>
        <w:rPr>
          <w:rFonts w:hint="eastAsia" w:ascii="宋体" w:hAnsi="宋体" w:eastAsia="宋体"/>
          <w:color w:val="000000" w:themeColor="text1"/>
          <w14:textFill>
            <w14:solidFill>
              <w14:schemeClr w14:val="tx1"/>
            </w14:solidFill>
          </w14:textFill>
        </w:rPr>
        <w:t>～43之间，该标准GB/T 26291-1010版中该牌号</w:t>
      </w:r>
      <w:r>
        <w:rPr>
          <w:rFonts w:hint="eastAsia"/>
          <w:color w:val="000000" w:themeColor="text1"/>
          <w14:textFill>
            <w14:solidFill>
              <w14:schemeClr w14:val="tx1"/>
            </w14:solidFill>
          </w14:textFill>
        </w:rPr>
        <w:t>断后伸长率</w:t>
      </w:r>
      <w:r>
        <w:rPr>
          <w:rFonts w:hint="eastAsia" w:ascii="宋体" w:hAnsi="宋体" w:eastAsia="宋体"/>
          <w:color w:val="000000" w:themeColor="text1"/>
          <w14:textFill>
            <w14:solidFill>
              <w14:schemeClr w14:val="tx1"/>
            </w14:solidFill>
          </w14:textFill>
        </w:rPr>
        <w:t>为≥30，经数据对比分析，本版</w:t>
      </w:r>
      <w:r>
        <w:rPr>
          <w:rFonts w:hint="eastAsia"/>
          <w:color w:val="000000" w:themeColor="text1"/>
          <w14:textFill>
            <w14:solidFill>
              <w14:schemeClr w14:val="tx1"/>
            </w14:solidFill>
          </w14:textFill>
        </w:rPr>
        <w:t>规定断后伸长率</w:t>
      </w:r>
      <w:r>
        <w:rPr>
          <w:rFonts w:hint="eastAsia" w:ascii="宋体" w:hAnsi="宋体" w:eastAsia="宋体"/>
          <w:color w:val="000000" w:themeColor="text1"/>
          <w14:textFill>
            <w14:solidFill>
              <w14:schemeClr w14:val="tx1"/>
            </w14:solidFill>
          </w14:textFill>
        </w:rPr>
        <w:t>指标确定为≥35。</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公称外径</w:t>
      </w:r>
      <w:r>
        <w:rPr>
          <w:rFonts w:hint="eastAsia" w:asciiTheme="minorEastAsia" w:hAnsiTheme="minorEastAsia"/>
          <w:color w:val="000000" w:themeColor="text1"/>
          <w14:textFill>
            <w14:solidFill>
              <w14:schemeClr w14:val="tx1"/>
            </w14:solidFill>
          </w14:textFill>
        </w:rPr>
        <w:t>≤</w:t>
      </w:r>
      <w:r>
        <w:rPr>
          <w:rFonts w:hint="eastAsia"/>
          <w:color w:val="000000" w:themeColor="text1"/>
          <w14:textFill>
            <w14:solidFill>
              <w14:schemeClr w14:val="tx1"/>
            </w14:solidFill>
          </w14:textFill>
        </w:rPr>
        <w:t>115mm管材的维氏硬度频数和频率分布表及直方图如下：</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表17  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0-1-1</w:t>
      </w:r>
      <w:r>
        <w:rPr>
          <w:rFonts w:hint="eastAsia"/>
          <w:color w:val="000000" w:themeColor="text1"/>
          <w14:textFill>
            <w14:solidFill>
              <w14:schemeClr w14:val="tx1"/>
            </w14:solidFill>
          </w14:textFill>
        </w:rPr>
        <w:t xml:space="preserve"> O60 维氏硬度频数和频率分布表</w:t>
      </w:r>
    </w:p>
    <w:p>
      <w:pPr>
        <w:jc w:val="center"/>
        <w:rPr>
          <w:rFonts w:asciiTheme="minorEastAsia" w:hAnsiTheme="minor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4886325" cy="155257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886325" cy="1552575"/>
                    </a:xfrm>
                    <a:prstGeom prst="rect">
                      <a:avLst/>
                    </a:prstGeom>
                    <a:noFill/>
                    <a:ln>
                      <a:noFill/>
                    </a:ln>
                  </pic:spPr>
                </pic:pic>
              </a:graphicData>
            </a:graphic>
          </wp:inline>
        </w:drawing>
      </w:r>
    </w:p>
    <w:p>
      <w:pPr>
        <w:jc w:val="center"/>
        <w:rPr>
          <w:rFonts w:asciiTheme="minorEastAsia" w:hAnsiTheme="minorEastAsia"/>
          <w:color w:val="000000" w:themeColor="text1"/>
          <w:szCs w:val="21"/>
          <w14:textFill>
            <w14:solidFill>
              <w14:schemeClr w14:val="tx1"/>
            </w14:solidFill>
          </w14:textFill>
        </w:rPr>
      </w:pPr>
    </w:p>
    <w:p>
      <w:pPr>
        <w:jc w:val="center"/>
        <w:rPr>
          <w:rFonts w:asciiTheme="minorEastAsia" w:hAnsiTheme="minorEastAsia"/>
          <w:color w:val="000000" w:themeColor="text1"/>
          <w:szCs w:val="21"/>
          <w14:textFill>
            <w14:solidFill>
              <w14:schemeClr w14:val="tx1"/>
            </w14:solidFill>
          </w14:textFill>
        </w:rPr>
      </w:pPr>
    </w:p>
    <w:p>
      <w:pPr>
        <w:jc w:val="center"/>
        <w:rPr>
          <w:rFonts w:asciiTheme="minorEastAsia" w:hAnsiTheme="minorEastAsia"/>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0" distR="0">
            <wp:extent cx="4886325" cy="275272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886325" cy="2752725"/>
                    </a:xfrm>
                    <a:prstGeom prst="rect">
                      <a:avLst/>
                    </a:prstGeom>
                    <a:noFill/>
                    <a:ln>
                      <a:noFill/>
                    </a:ln>
                  </pic:spPr>
                </pic:pic>
              </a:graphicData>
            </a:graphic>
          </wp:inline>
        </w:drawing>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图15 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0-1-1</w:t>
      </w:r>
      <w:r>
        <w:rPr>
          <w:rFonts w:hint="eastAsia"/>
          <w:color w:val="000000" w:themeColor="text1"/>
          <w14:textFill>
            <w14:solidFill>
              <w14:schemeClr w14:val="tx1"/>
            </w14:solidFill>
          </w14:textFill>
        </w:rPr>
        <w:t xml:space="preserve"> O60维氏硬度频数直方图</w:t>
      </w:r>
    </w:p>
    <w:p>
      <w:pPr>
        <w:ind w:firstLine="420" w:firstLineChars="200"/>
        <w:rPr>
          <w:rFonts w:ascii="宋体" w:hAnsi="宋体" w:eastAsia="宋体"/>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根据</w:t>
      </w:r>
      <w:r>
        <w:rPr>
          <w:rFonts w:hint="eastAsia"/>
          <w:color w:val="000000" w:themeColor="text1"/>
          <w14:textFill>
            <w14:solidFill>
              <w14:schemeClr w14:val="tx1"/>
            </w14:solidFill>
          </w14:textFill>
        </w:rPr>
        <w:t>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O60维氏硬度频数和频率分布表及分布图的分析，可以看出，该牌号共收集到80个有效数据，有98%的数据集中分布在115</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130之间，有1%的数据分布在110</w:t>
      </w:r>
      <w:r>
        <w:rPr>
          <w:rFonts w:hint="eastAsia" w:ascii="宋体" w:hAnsi="宋体" w:eastAsia="宋体"/>
          <w:color w:val="000000" w:themeColor="text1"/>
          <w14:textFill>
            <w14:solidFill>
              <w14:schemeClr w14:val="tx1"/>
            </w14:solidFill>
          </w14:textFill>
        </w:rPr>
        <w:t>～115之间，</w:t>
      </w:r>
      <w:r>
        <w:rPr>
          <w:rFonts w:hint="eastAsia"/>
          <w:color w:val="000000" w:themeColor="text1"/>
          <w14:textFill>
            <w14:solidFill>
              <w14:schemeClr w14:val="tx1"/>
            </w14:solidFill>
          </w14:textFill>
        </w:rPr>
        <w:t>有1%的数据分布在130</w:t>
      </w:r>
      <w:r>
        <w:rPr>
          <w:rFonts w:hint="eastAsia" w:ascii="宋体" w:hAnsi="宋体" w:eastAsia="宋体"/>
          <w:color w:val="000000" w:themeColor="text1"/>
          <w14:textFill>
            <w14:solidFill>
              <w14:schemeClr w14:val="tx1"/>
            </w14:solidFill>
          </w14:textFill>
        </w:rPr>
        <w:t>～135之间，该标准GB/T 26291-1010版中该牌号</w:t>
      </w:r>
      <w:r>
        <w:rPr>
          <w:rFonts w:hint="eastAsia"/>
          <w:color w:val="000000" w:themeColor="text1"/>
          <w14:textFill>
            <w14:solidFill>
              <w14:schemeClr w14:val="tx1"/>
            </w14:solidFill>
          </w14:textFill>
        </w:rPr>
        <w:t>没有规定该指标</w:t>
      </w:r>
      <w:r>
        <w:rPr>
          <w:rFonts w:hint="eastAsia" w:ascii="宋体" w:hAnsi="宋体" w:eastAsia="宋体"/>
          <w:color w:val="000000" w:themeColor="text1"/>
          <w14:textFill>
            <w14:solidFill>
              <w14:schemeClr w14:val="tx1"/>
            </w14:solidFill>
          </w14:textFill>
        </w:rPr>
        <w:t>，经数据分析，本版</w:t>
      </w:r>
      <w:r>
        <w:rPr>
          <w:rFonts w:hint="eastAsia"/>
          <w:color w:val="000000" w:themeColor="text1"/>
          <w14:textFill>
            <w14:solidFill>
              <w14:schemeClr w14:val="tx1"/>
            </w14:solidFill>
          </w14:textFill>
        </w:rPr>
        <w:t>维氏硬度</w:t>
      </w:r>
      <w:r>
        <w:rPr>
          <w:rFonts w:hint="eastAsia" w:ascii="宋体" w:hAnsi="宋体" w:eastAsia="宋体"/>
          <w:color w:val="000000" w:themeColor="text1"/>
          <w14:textFill>
            <w14:solidFill>
              <w14:schemeClr w14:val="tx1"/>
            </w14:solidFill>
          </w14:textFill>
        </w:rPr>
        <w:t>指标确定为100～140。</w:t>
      </w:r>
    </w:p>
    <w:p>
      <w:pPr>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公称外径≥115mm管材的抗拉强度频数和频率分布表及直方图如下：</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表18  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0-1-1</w:t>
      </w:r>
      <w:r>
        <w:rPr>
          <w:rFonts w:hint="eastAsia"/>
          <w:color w:val="000000" w:themeColor="text1"/>
          <w14:textFill>
            <w14:solidFill>
              <w14:schemeClr w14:val="tx1"/>
            </w14:solidFill>
          </w14:textFill>
        </w:rPr>
        <w:t xml:space="preserve"> O60 抗拉强度频数和频率分布表</w:t>
      </w:r>
    </w:p>
    <w:p>
      <w:pPr>
        <w:jc w:val="center"/>
        <w:rPr>
          <w:rFonts w:asciiTheme="minorEastAsia" w:hAnsiTheme="minorEastAsia"/>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0" distR="0">
            <wp:extent cx="4810125" cy="446722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810125" cy="4467225"/>
                    </a:xfrm>
                    <a:prstGeom prst="rect">
                      <a:avLst/>
                    </a:prstGeom>
                    <a:noFill/>
                    <a:ln>
                      <a:noFill/>
                    </a:ln>
                  </pic:spPr>
                </pic:pic>
              </a:graphicData>
            </a:graphic>
          </wp:inline>
        </w:drawing>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图16 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0-1-1</w:t>
      </w:r>
      <w:r>
        <w:rPr>
          <w:rFonts w:hint="eastAsia"/>
          <w:color w:val="000000" w:themeColor="text1"/>
          <w14:textFill>
            <w14:solidFill>
              <w14:schemeClr w14:val="tx1"/>
            </w14:solidFill>
          </w14:textFill>
        </w:rPr>
        <w:t xml:space="preserve"> O60抗拉强度频数直方图</w:t>
      </w:r>
    </w:p>
    <w:p>
      <w:pPr>
        <w:jc w:val="center"/>
        <w:rPr>
          <w:rFonts w:asciiTheme="minorEastAsia" w:hAnsiTheme="minorEastAsia"/>
          <w:color w:val="000000" w:themeColor="text1"/>
          <w:szCs w:val="21"/>
          <w14:textFill>
            <w14:solidFill>
              <w14:schemeClr w14:val="tx1"/>
            </w14:solidFill>
          </w14:textFill>
        </w:rPr>
      </w:pPr>
    </w:p>
    <w:p>
      <w:pPr>
        <w:ind w:firstLine="420" w:firstLineChars="200"/>
        <w:rPr>
          <w:rFonts w:ascii="宋体" w:hAnsi="宋体" w:eastAsia="宋体"/>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根据</w:t>
      </w:r>
      <w:r>
        <w:rPr>
          <w:rFonts w:hint="eastAsia"/>
          <w:color w:val="000000" w:themeColor="text1"/>
          <w14:textFill>
            <w14:solidFill>
              <w14:schemeClr w14:val="tx1"/>
            </w14:solidFill>
          </w14:textFill>
        </w:rPr>
        <w:t>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抗拉强度频数和频率分布表及分布图的分析，可以看出，该牌号共收集到99个有效数据，有94%的数据集中分布在410</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440之间，有3%的数据分布在400</w:t>
      </w:r>
      <w:r>
        <w:rPr>
          <w:rFonts w:hint="eastAsia" w:ascii="宋体" w:hAnsi="宋体" w:eastAsia="宋体"/>
          <w:color w:val="000000" w:themeColor="text1"/>
          <w14:textFill>
            <w14:solidFill>
              <w14:schemeClr w14:val="tx1"/>
            </w14:solidFill>
          </w14:textFill>
        </w:rPr>
        <w:t>～410之间，</w:t>
      </w:r>
      <w:r>
        <w:rPr>
          <w:rFonts w:hint="eastAsia"/>
          <w:color w:val="000000" w:themeColor="text1"/>
          <w14:textFill>
            <w14:solidFill>
              <w14:schemeClr w14:val="tx1"/>
            </w14:solidFill>
          </w14:textFill>
        </w:rPr>
        <w:t>有3%的数据分布在440</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450之间，</w:t>
      </w:r>
      <w:r>
        <w:rPr>
          <w:rFonts w:hint="eastAsia" w:ascii="宋体" w:hAnsi="宋体" w:eastAsia="宋体"/>
          <w:color w:val="000000" w:themeColor="text1"/>
          <w14:textFill>
            <w14:solidFill>
              <w14:schemeClr w14:val="tx1"/>
            </w14:solidFill>
          </w14:textFill>
        </w:rPr>
        <w:t>该标准GB/T 26291-1010版中该牌号抗拉强度为≥345，经数据对比分析，本版抗拉强度指标确定为≥390。</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公称外径</w:t>
      </w:r>
      <w:r>
        <w:rPr>
          <w:rFonts w:hint="eastAsia" w:asciiTheme="minorEastAsia" w:hAnsiTheme="minorEastAsia"/>
          <w:color w:val="000000" w:themeColor="text1"/>
          <w14:textFill>
            <w14:solidFill>
              <w14:schemeClr w14:val="tx1"/>
            </w14:solidFill>
          </w14:textFill>
        </w:rPr>
        <w:t>≥</w:t>
      </w:r>
      <w:r>
        <w:rPr>
          <w:rFonts w:hint="eastAsia"/>
          <w:color w:val="000000" w:themeColor="text1"/>
          <w14:textFill>
            <w14:solidFill>
              <w14:schemeClr w14:val="tx1"/>
            </w14:solidFill>
          </w14:textFill>
        </w:rPr>
        <w:t>115mm管材的规定非比例延伸强度频数和频率分布表及直方图如下：</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表19  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0-1-1</w:t>
      </w:r>
      <w:r>
        <w:rPr>
          <w:rFonts w:hint="eastAsia"/>
          <w:color w:val="000000" w:themeColor="text1"/>
          <w14:textFill>
            <w14:solidFill>
              <w14:schemeClr w14:val="tx1"/>
            </w14:solidFill>
          </w14:textFill>
        </w:rPr>
        <w:t xml:space="preserve"> O60 规定非比例延伸强度频数和频率分布表</w:t>
      </w:r>
    </w:p>
    <w:p>
      <w:pPr>
        <w:jc w:val="center"/>
        <w:rPr>
          <w:rFonts w:asciiTheme="minorEastAsia" w:hAnsiTheme="minor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4810125" cy="4467225"/>
            <wp:effectExtent l="0" t="0" r="952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810125" cy="4467225"/>
                    </a:xfrm>
                    <a:prstGeom prst="rect">
                      <a:avLst/>
                    </a:prstGeom>
                    <a:noFill/>
                    <a:ln>
                      <a:noFill/>
                    </a:ln>
                  </pic:spPr>
                </pic:pic>
              </a:graphicData>
            </a:graphic>
          </wp:inline>
        </w:drawing>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图17 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0-1-1</w:t>
      </w:r>
      <w:r>
        <w:rPr>
          <w:rFonts w:hint="eastAsia"/>
          <w:color w:val="000000" w:themeColor="text1"/>
          <w14:textFill>
            <w14:solidFill>
              <w14:schemeClr w14:val="tx1"/>
            </w14:solidFill>
          </w14:textFill>
        </w:rPr>
        <w:t xml:space="preserve"> O60规定非比例延伸强度频数直方图</w:t>
      </w:r>
    </w:p>
    <w:p>
      <w:pPr>
        <w:ind w:firstLine="420" w:firstLineChars="200"/>
        <w:rPr>
          <w:rFonts w:ascii="宋体" w:hAnsi="宋体" w:eastAsia="宋体"/>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根据</w:t>
      </w:r>
      <w:r>
        <w:rPr>
          <w:rFonts w:hint="eastAsia"/>
          <w:color w:val="000000" w:themeColor="text1"/>
          <w14:textFill>
            <w14:solidFill>
              <w14:schemeClr w14:val="tx1"/>
            </w14:solidFill>
          </w14:textFill>
        </w:rPr>
        <w:t>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 规定非比例延伸强度频数和频率分布表及分布图的分析，可以看出，该牌号共收集到99个有效数据，有93%的数据集中分布在152</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180之间，有2%的数据分布在145</w:t>
      </w:r>
      <w:r>
        <w:rPr>
          <w:rFonts w:hint="eastAsia" w:ascii="宋体" w:hAnsi="宋体" w:eastAsia="宋体"/>
          <w:color w:val="000000" w:themeColor="text1"/>
          <w14:textFill>
            <w14:solidFill>
              <w14:schemeClr w14:val="tx1"/>
            </w14:solidFill>
          </w14:textFill>
        </w:rPr>
        <w:t>～152之间，</w:t>
      </w:r>
      <w:r>
        <w:rPr>
          <w:rFonts w:hint="eastAsia"/>
          <w:color w:val="000000" w:themeColor="text1"/>
          <w14:textFill>
            <w14:solidFill>
              <w14:schemeClr w14:val="tx1"/>
            </w14:solidFill>
          </w14:textFill>
        </w:rPr>
        <w:t>有5%的数据分布在180</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187之间，</w:t>
      </w:r>
      <w:r>
        <w:rPr>
          <w:rFonts w:hint="eastAsia" w:ascii="宋体" w:hAnsi="宋体" w:eastAsia="宋体"/>
          <w:color w:val="000000" w:themeColor="text1"/>
          <w14:textFill>
            <w14:solidFill>
              <w14:schemeClr w14:val="tx1"/>
            </w14:solidFill>
          </w14:textFill>
        </w:rPr>
        <w:t>该标准GB/T 26291-1010版中该牌号</w:t>
      </w:r>
      <w:r>
        <w:rPr>
          <w:rFonts w:hint="eastAsia"/>
          <w:color w:val="000000" w:themeColor="text1"/>
          <w14:textFill>
            <w14:solidFill>
              <w14:schemeClr w14:val="tx1"/>
            </w14:solidFill>
          </w14:textFill>
        </w:rPr>
        <w:t>规定非比例延伸强度</w:t>
      </w:r>
      <w:r>
        <w:rPr>
          <w:rFonts w:hint="eastAsia" w:ascii="宋体" w:hAnsi="宋体" w:eastAsia="宋体"/>
          <w:color w:val="000000" w:themeColor="text1"/>
          <w14:textFill>
            <w14:solidFill>
              <w14:schemeClr w14:val="tx1"/>
            </w14:solidFill>
          </w14:textFill>
        </w:rPr>
        <w:t>为≥110，经数据对比分析，本版</w:t>
      </w:r>
      <w:r>
        <w:rPr>
          <w:rFonts w:hint="eastAsia"/>
          <w:color w:val="000000" w:themeColor="text1"/>
          <w14:textFill>
            <w14:solidFill>
              <w14:schemeClr w14:val="tx1"/>
            </w14:solidFill>
          </w14:textFill>
        </w:rPr>
        <w:t>规定非比例延伸强度</w:t>
      </w:r>
      <w:r>
        <w:rPr>
          <w:rFonts w:hint="eastAsia" w:ascii="宋体" w:hAnsi="宋体" w:eastAsia="宋体"/>
          <w:color w:val="000000" w:themeColor="text1"/>
          <w14:textFill>
            <w14:solidFill>
              <w14:schemeClr w14:val="tx1"/>
            </w14:solidFill>
          </w14:textFill>
        </w:rPr>
        <w:t>指标确定为≥140。</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公称外径</w:t>
      </w:r>
      <w:r>
        <w:rPr>
          <w:rFonts w:hint="eastAsia" w:asciiTheme="minorEastAsia" w:hAnsiTheme="minorEastAsia"/>
          <w:color w:val="000000" w:themeColor="text1"/>
          <w14:textFill>
            <w14:solidFill>
              <w14:schemeClr w14:val="tx1"/>
            </w14:solidFill>
          </w14:textFill>
        </w:rPr>
        <w:t>≥</w:t>
      </w:r>
      <w:r>
        <w:rPr>
          <w:rFonts w:hint="eastAsia"/>
          <w:color w:val="000000" w:themeColor="text1"/>
          <w14:textFill>
            <w14:solidFill>
              <w14:schemeClr w14:val="tx1"/>
            </w14:solidFill>
          </w14:textFill>
        </w:rPr>
        <w:t>115mm管材的断后伸长率频数和频率分布表及直方图如下：</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表20  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0-1-1</w:t>
      </w:r>
      <w:r>
        <w:rPr>
          <w:rFonts w:hint="eastAsia"/>
          <w:color w:val="000000" w:themeColor="text1"/>
          <w14:textFill>
            <w14:solidFill>
              <w14:schemeClr w14:val="tx1"/>
            </w14:solidFill>
          </w14:textFill>
        </w:rPr>
        <w:t xml:space="preserve"> O60 断后伸长率频数和频率分布表</w:t>
      </w:r>
    </w:p>
    <w:p>
      <w:pPr>
        <w:jc w:val="center"/>
        <w:rPr>
          <w:rFonts w:asciiTheme="minorEastAsia" w:hAnsiTheme="minor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4962525" cy="1552575"/>
            <wp:effectExtent l="0" t="0" r="9525"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962525" cy="1552575"/>
                    </a:xfrm>
                    <a:prstGeom prst="rect">
                      <a:avLst/>
                    </a:prstGeom>
                    <a:noFill/>
                    <a:ln>
                      <a:noFill/>
                    </a:ln>
                  </pic:spPr>
                </pic:pic>
              </a:graphicData>
            </a:graphic>
          </wp:inline>
        </w:drawing>
      </w:r>
    </w:p>
    <w:p>
      <w:pPr>
        <w:jc w:val="center"/>
        <w:rPr>
          <w:rFonts w:asciiTheme="minorEastAsia" w:hAnsiTheme="minorEastAsia"/>
          <w:color w:val="000000" w:themeColor="text1"/>
          <w:szCs w:val="21"/>
          <w14:textFill>
            <w14:solidFill>
              <w14:schemeClr w14:val="tx1"/>
            </w14:solidFill>
          </w14:textFill>
        </w:rPr>
      </w:pPr>
    </w:p>
    <w:p>
      <w:pPr>
        <w:jc w:val="center"/>
        <w:rPr>
          <w:rFonts w:asciiTheme="minorEastAsia" w:hAnsiTheme="minorEastAsia"/>
          <w:color w:val="000000" w:themeColor="text1"/>
          <w:szCs w:val="21"/>
          <w14:textFill>
            <w14:solidFill>
              <w14:schemeClr w14:val="tx1"/>
            </w14:solidFill>
          </w14:textFill>
        </w:rPr>
      </w:pPr>
    </w:p>
    <w:p>
      <w:pPr>
        <w:jc w:val="center"/>
        <w:rPr>
          <w:rFonts w:asciiTheme="minorEastAsia" w:hAnsiTheme="minor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4962525" cy="2752725"/>
            <wp:effectExtent l="0" t="0" r="952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962525" cy="2752725"/>
                    </a:xfrm>
                    <a:prstGeom prst="rect">
                      <a:avLst/>
                    </a:prstGeom>
                    <a:noFill/>
                    <a:ln>
                      <a:noFill/>
                    </a:ln>
                  </pic:spPr>
                </pic:pic>
              </a:graphicData>
            </a:graphic>
          </wp:inline>
        </w:drawing>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图17 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0-1-1</w:t>
      </w:r>
      <w:r>
        <w:rPr>
          <w:rFonts w:hint="eastAsia"/>
          <w:color w:val="000000" w:themeColor="text1"/>
          <w14:textFill>
            <w14:solidFill>
              <w14:schemeClr w14:val="tx1"/>
            </w14:solidFill>
          </w14:textFill>
        </w:rPr>
        <w:t xml:space="preserve"> O60断后伸长率频数直方图</w:t>
      </w:r>
    </w:p>
    <w:p>
      <w:pPr>
        <w:ind w:firstLine="420" w:firstLineChars="200"/>
        <w:rPr>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根据</w:t>
      </w:r>
      <w:r>
        <w:rPr>
          <w:rFonts w:hint="eastAsia"/>
          <w:color w:val="000000" w:themeColor="text1"/>
          <w14:textFill>
            <w14:solidFill>
              <w14:schemeClr w14:val="tx1"/>
            </w14:solidFill>
          </w14:textFill>
        </w:rPr>
        <w:t>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O60断后伸长率频数和频率分布表及分布图的分析，可以看出，该牌号共收集到99个有效数据，经过数据分析发现，该组数据的频数分布比较平均，平均分布在35</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44.1之间，</w:t>
      </w:r>
      <w:r>
        <w:rPr>
          <w:rFonts w:hint="eastAsia" w:ascii="宋体" w:hAnsi="宋体" w:eastAsia="宋体"/>
          <w:color w:val="000000" w:themeColor="text1"/>
          <w14:textFill>
            <w14:solidFill>
              <w14:schemeClr w14:val="tx1"/>
            </w14:solidFill>
          </w14:textFill>
        </w:rPr>
        <w:t>该标准GB/T 26291-1010版中该牌号</w:t>
      </w:r>
      <w:r>
        <w:rPr>
          <w:rFonts w:hint="eastAsia"/>
          <w:color w:val="000000" w:themeColor="text1"/>
          <w14:textFill>
            <w14:solidFill>
              <w14:schemeClr w14:val="tx1"/>
            </w14:solidFill>
          </w14:textFill>
        </w:rPr>
        <w:t>断后伸长率</w:t>
      </w:r>
      <w:r>
        <w:rPr>
          <w:rFonts w:hint="eastAsia" w:ascii="宋体" w:hAnsi="宋体" w:eastAsia="宋体"/>
          <w:color w:val="000000" w:themeColor="text1"/>
          <w14:textFill>
            <w14:solidFill>
              <w14:schemeClr w14:val="tx1"/>
            </w14:solidFill>
          </w14:textFill>
        </w:rPr>
        <w:t>为≥30，经数据对比分析，本版</w:t>
      </w:r>
      <w:r>
        <w:rPr>
          <w:rFonts w:hint="eastAsia"/>
          <w:color w:val="000000" w:themeColor="text1"/>
          <w14:textFill>
            <w14:solidFill>
              <w14:schemeClr w14:val="tx1"/>
            </w14:solidFill>
          </w14:textFill>
        </w:rPr>
        <w:t>规定断后伸长率</w:t>
      </w:r>
      <w:r>
        <w:rPr>
          <w:rFonts w:hint="eastAsia" w:ascii="宋体" w:hAnsi="宋体" w:eastAsia="宋体"/>
          <w:color w:val="000000" w:themeColor="text1"/>
          <w14:textFill>
            <w14:solidFill>
              <w14:schemeClr w14:val="tx1"/>
            </w14:solidFill>
          </w14:textFill>
        </w:rPr>
        <w:t>指标确定为≥35。</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公称外径</w:t>
      </w:r>
      <w:r>
        <w:rPr>
          <w:rFonts w:hint="eastAsia" w:asciiTheme="minorEastAsia" w:hAnsiTheme="minorEastAsia"/>
          <w:color w:val="000000" w:themeColor="text1"/>
          <w14:textFill>
            <w14:solidFill>
              <w14:schemeClr w14:val="tx1"/>
            </w14:solidFill>
          </w14:textFill>
        </w:rPr>
        <w:t>≥</w:t>
      </w:r>
      <w:r>
        <w:rPr>
          <w:rFonts w:hint="eastAsia"/>
          <w:color w:val="000000" w:themeColor="text1"/>
          <w14:textFill>
            <w14:solidFill>
              <w14:schemeClr w14:val="tx1"/>
            </w14:solidFill>
          </w14:textFill>
        </w:rPr>
        <w:t>115mm管材的维氏硬度频数和频率分布表及直方图如下：</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表21  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0-1-1</w:t>
      </w:r>
      <w:r>
        <w:rPr>
          <w:rFonts w:hint="eastAsia"/>
          <w:color w:val="000000" w:themeColor="text1"/>
          <w14:textFill>
            <w14:solidFill>
              <w14:schemeClr w14:val="tx1"/>
            </w14:solidFill>
          </w14:textFill>
        </w:rPr>
        <w:t xml:space="preserve"> O60 维氏硬度频数和频率分布表</w:t>
      </w:r>
    </w:p>
    <w:p>
      <w:pPr>
        <w:jc w:val="center"/>
        <w:rPr>
          <w:rFonts w:asciiTheme="minorEastAsia" w:hAnsiTheme="minor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4962525" cy="446722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962525" cy="4467225"/>
                    </a:xfrm>
                    <a:prstGeom prst="rect">
                      <a:avLst/>
                    </a:prstGeom>
                    <a:noFill/>
                    <a:ln>
                      <a:noFill/>
                    </a:ln>
                  </pic:spPr>
                </pic:pic>
              </a:graphicData>
            </a:graphic>
          </wp:inline>
        </w:drawing>
      </w:r>
    </w:p>
    <w:p>
      <w:pPr>
        <w:jc w:val="center"/>
        <w:rPr>
          <w:rFonts w:asciiTheme="minorEastAsia" w:hAnsiTheme="minor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图18 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0-1-1</w:t>
      </w:r>
      <w:r>
        <w:rPr>
          <w:rFonts w:hint="eastAsia"/>
          <w:color w:val="000000" w:themeColor="text1"/>
          <w14:textFill>
            <w14:solidFill>
              <w14:schemeClr w14:val="tx1"/>
            </w14:solidFill>
          </w14:textFill>
        </w:rPr>
        <w:t xml:space="preserve"> O60维氏硬度频数直方图</w:t>
      </w:r>
    </w:p>
    <w:p>
      <w:pPr>
        <w:jc w:val="center"/>
        <w:rPr>
          <w:rFonts w:asciiTheme="minorEastAsia" w:hAnsiTheme="minorEastAsia"/>
          <w:color w:val="000000" w:themeColor="text1"/>
          <w:szCs w:val="21"/>
          <w14:textFill>
            <w14:solidFill>
              <w14:schemeClr w14:val="tx1"/>
            </w14:solidFill>
          </w14:textFill>
        </w:rPr>
      </w:pPr>
    </w:p>
    <w:p>
      <w:pPr>
        <w:ind w:firstLine="420" w:firstLineChars="200"/>
        <w:rPr>
          <w:rFonts w:ascii="宋体" w:hAnsi="宋体" w:eastAsia="宋体"/>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根据</w:t>
      </w:r>
      <w:r>
        <w:rPr>
          <w:rFonts w:hint="eastAsia"/>
          <w:color w:val="000000" w:themeColor="text1"/>
          <w14:textFill>
            <w14:solidFill>
              <w14:schemeClr w14:val="tx1"/>
            </w14:solidFill>
          </w14:textFill>
        </w:rPr>
        <w:t>实测</w:t>
      </w:r>
      <w:r>
        <w:rPr>
          <w:color w:val="000000" w:themeColor="text1"/>
          <w14:textFill>
            <w14:solidFill>
              <w14:schemeClr w14:val="tx1"/>
            </w14:solidFill>
          </w14:textFill>
        </w:rPr>
        <w:t>BFe</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O60维氏硬度频数和频率分布表及分布图的分析，可以看出，该牌号共收集到99个有效数据，有91%的数据集中分布在116</w:t>
      </w:r>
      <w:r>
        <w:rPr>
          <w:rFonts w:hint="eastAsia"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128之间，有4%的数据分布在113</w:t>
      </w:r>
      <w:r>
        <w:rPr>
          <w:rFonts w:hint="eastAsia" w:ascii="宋体" w:hAnsi="宋体" w:eastAsia="宋体"/>
          <w:color w:val="000000" w:themeColor="text1"/>
          <w14:textFill>
            <w14:solidFill>
              <w14:schemeClr w14:val="tx1"/>
            </w14:solidFill>
          </w14:textFill>
        </w:rPr>
        <w:t>～116之间，</w:t>
      </w:r>
      <w:r>
        <w:rPr>
          <w:rFonts w:hint="eastAsia"/>
          <w:color w:val="000000" w:themeColor="text1"/>
          <w14:textFill>
            <w14:solidFill>
              <w14:schemeClr w14:val="tx1"/>
            </w14:solidFill>
          </w14:textFill>
        </w:rPr>
        <w:t>有5%的数据分布在128</w:t>
      </w:r>
      <w:r>
        <w:rPr>
          <w:rFonts w:hint="eastAsia" w:ascii="宋体" w:hAnsi="宋体" w:eastAsia="宋体"/>
          <w:color w:val="000000" w:themeColor="text1"/>
          <w14:textFill>
            <w14:solidFill>
              <w14:schemeClr w14:val="tx1"/>
            </w14:solidFill>
          </w14:textFill>
        </w:rPr>
        <w:t>～131之间，该标准GB/T 26291-1010版中该牌号</w:t>
      </w:r>
      <w:r>
        <w:rPr>
          <w:rFonts w:hint="eastAsia"/>
          <w:color w:val="000000" w:themeColor="text1"/>
          <w14:textFill>
            <w14:solidFill>
              <w14:schemeClr w14:val="tx1"/>
            </w14:solidFill>
          </w14:textFill>
        </w:rPr>
        <w:t>没有规定该指标</w:t>
      </w:r>
      <w:r>
        <w:rPr>
          <w:rFonts w:hint="eastAsia" w:ascii="宋体" w:hAnsi="宋体" w:eastAsia="宋体"/>
          <w:color w:val="000000" w:themeColor="text1"/>
          <w14:textFill>
            <w14:solidFill>
              <w14:schemeClr w14:val="tx1"/>
            </w14:solidFill>
          </w14:textFill>
        </w:rPr>
        <w:t>，经数据分析，本版</w:t>
      </w:r>
      <w:r>
        <w:rPr>
          <w:rFonts w:hint="eastAsia"/>
          <w:color w:val="000000" w:themeColor="text1"/>
          <w14:textFill>
            <w14:solidFill>
              <w14:schemeClr w14:val="tx1"/>
            </w14:solidFill>
          </w14:textFill>
        </w:rPr>
        <w:t>维氏硬度</w:t>
      </w:r>
      <w:r>
        <w:rPr>
          <w:rFonts w:hint="eastAsia" w:ascii="宋体" w:hAnsi="宋体" w:eastAsia="宋体"/>
          <w:color w:val="000000" w:themeColor="text1"/>
          <w14:textFill>
            <w14:solidFill>
              <w14:schemeClr w14:val="tx1"/>
            </w14:solidFill>
          </w14:textFill>
        </w:rPr>
        <w:t>指标确定为100～140。</w:t>
      </w:r>
    </w:p>
    <w:p>
      <w:pPr>
        <w:ind w:firstLine="42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4.2.7.4  各牌号</w:t>
      </w:r>
      <w:r>
        <w:rPr>
          <w:b/>
          <w:color w:val="000000" w:themeColor="text1"/>
          <w14:textFill>
            <w14:solidFill>
              <w14:schemeClr w14:val="tx1"/>
            </w14:solidFill>
          </w14:textFill>
        </w:rPr>
        <w:t>铜管性能</w:t>
      </w:r>
      <w:r>
        <w:rPr>
          <w:rFonts w:hint="eastAsia"/>
          <w:b/>
          <w:color w:val="000000" w:themeColor="text1"/>
          <w14:textFill>
            <w14:solidFill>
              <w14:schemeClr w14:val="tx1"/>
            </w14:solidFill>
          </w14:textFill>
        </w:rPr>
        <w:t>指标的确定</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经以上数据分析，本版标准对管材力学性能指标进行了如下规定：</w:t>
      </w:r>
    </w:p>
    <w:p>
      <w:pPr>
        <w:jc w:val="center"/>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表22　　管材的力学性能</w:t>
      </w:r>
    </w:p>
    <w:tbl>
      <w:tblPr>
        <w:tblStyle w:val="11"/>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1"/>
        <w:gridCol w:w="1291"/>
        <w:gridCol w:w="1292"/>
        <w:gridCol w:w="1291"/>
        <w:gridCol w:w="129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1"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牌号</w:t>
            </w:r>
          </w:p>
        </w:tc>
        <w:tc>
          <w:tcPr>
            <w:tcW w:w="1291"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状态</w:t>
            </w:r>
          </w:p>
        </w:tc>
        <w:tc>
          <w:tcPr>
            <w:tcW w:w="1291"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公称外径</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mm</w:t>
            </w:r>
          </w:p>
        </w:tc>
        <w:tc>
          <w:tcPr>
            <w:tcW w:w="1292"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抗拉强度Rm</w:t>
            </w:r>
          </w:p>
          <w:p>
            <w:pPr>
              <w:ind w:firstLine="270" w:firstLineChars="1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MPa</w:t>
            </w:r>
          </w:p>
        </w:tc>
        <w:tc>
          <w:tcPr>
            <w:tcW w:w="1291"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规定非比例延伸强度Rp</w:t>
            </w:r>
            <w:r>
              <w:rPr>
                <w:rFonts w:hint="eastAsia" w:ascii="宋体" w:hAnsi="宋体"/>
                <w:color w:val="000000" w:themeColor="text1"/>
                <w:sz w:val="18"/>
                <w:szCs w:val="18"/>
                <w:vertAlign w:val="subscript"/>
                <w14:textFill>
                  <w14:solidFill>
                    <w14:schemeClr w14:val="tx1"/>
                  </w14:solidFill>
                </w14:textFill>
              </w:rPr>
              <w:t>0.2</w:t>
            </w:r>
          </w:p>
          <w:p>
            <w:pPr>
              <w:ind w:firstLine="270" w:firstLineChars="1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MPa</w:t>
            </w:r>
          </w:p>
        </w:tc>
        <w:tc>
          <w:tcPr>
            <w:tcW w:w="1291"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断后伸长率 A</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1292"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硬度</w:t>
            </w:r>
          </w:p>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1"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BFe10-1-1</w:t>
            </w:r>
          </w:p>
        </w:tc>
        <w:tc>
          <w:tcPr>
            <w:tcW w:w="1291"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软化退火（O60）</w:t>
            </w:r>
          </w:p>
        </w:tc>
        <w:tc>
          <w:tcPr>
            <w:tcW w:w="1291"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所有规格</w:t>
            </w:r>
          </w:p>
        </w:tc>
        <w:tc>
          <w:tcPr>
            <w:tcW w:w="1292"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≥290</w:t>
            </w:r>
          </w:p>
        </w:tc>
        <w:tc>
          <w:tcPr>
            <w:tcW w:w="1291"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≥90</w:t>
            </w:r>
          </w:p>
        </w:tc>
        <w:tc>
          <w:tcPr>
            <w:tcW w:w="1291"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≥35</w:t>
            </w:r>
          </w:p>
        </w:tc>
        <w:tc>
          <w:tcPr>
            <w:tcW w:w="1292"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1" w:type="dxa"/>
            <w:vMerge w:val="restar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BFe10-1.6-1</w:t>
            </w:r>
          </w:p>
        </w:tc>
        <w:tc>
          <w:tcPr>
            <w:tcW w:w="1291" w:type="dxa"/>
            <w:vMerge w:val="restar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软化退火（O60）</w:t>
            </w:r>
          </w:p>
        </w:tc>
        <w:tc>
          <w:tcPr>
            <w:tcW w:w="1291"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＜115</w:t>
            </w:r>
          </w:p>
        </w:tc>
        <w:tc>
          <w:tcPr>
            <w:tcW w:w="1292"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≥290</w:t>
            </w:r>
          </w:p>
        </w:tc>
        <w:tc>
          <w:tcPr>
            <w:tcW w:w="1291"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≥105</w:t>
            </w:r>
          </w:p>
        </w:tc>
        <w:tc>
          <w:tcPr>
            <w:tcW w:w="1291"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≥35</w:t>
            </w:r>
          </w:p>
        </w:tc>
        <w:tc>
          <w:tcPr>
            <w:tcW w:w="1292" w:type="dxa"/>
            <w:vMerge w:val="restart"/>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1" w:type="dxa"/>
            <w:vMerge w:val="continue"/>
            <w:vAlign w:val="center"/>
          </w:tcPr>
          <w:p>
            <w:pPr>
              <w:ind w:firstLine="270" w:firstLineChars="150"/>
              <w:jc w:val="center"/>
              <w:rPr>
                <w:rFonts w:ascii="宋体" w:hAnsi="宋体"/>
                <w:color w:val="000000" w:themeColor="text1"/>
                <w:sz w:val="18"/>
                <w:szCs w:val="18"/>
                <w14:textFill>
                  <w14:solidFill>
                    <w14:schemeClr w14:val="tx1"/>
                  </w14:solidFill>
                </w14:textFill>
              </w:rPr>
            </w:pPr>
          </w:p>
        </w:tc>
        <w:tc>
          <w:tcPr>
            <w:tcW w:w="1291" w:type="dxa"/>
            <w:vMerge w:val="continue"/>
            <w:vAlign w:val="center"/>
          </w:tcPr>
          <w:p>
            <w:pPr>
              <w:ind w:firstLine="270" w:firstLineChars="150"/>
              <w:jc w:val="center"/>
              <w:rPr>
                <w:rFonts w:ascii="宋体" w:hAnsi="宋体"/>
                <w:color w:val="000000" w:themeColor="text1"/>
                <w:sz w:val="18"/>
                <w:szCs w:val="18"/>
                <w14:textFill>
                  <w14:solidFill>
                    <w14:schemeClr w14:val="tx1"/>
                  </w14:solidFill>
                </w14:textFill>
              </w:rPr>
            </w:pPr>
          </w:p>
        </w:tc>
        <w:tc>
          <w:tcPr>
            <w:tcW w:w="1291"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≥115</w:t>
            </w:r>
          </w:p>
        </w:tc>
        <w:tc>
          <w:tcPr>
            <w:tcW w:w="1292"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≥290</w:t>
            </w:r>
          </w:p>
        </w:tc>
        <w:tc>
          <w:tcPr>
            <w:tcW w:w="1291"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≥90</w:t>
            </w:r>
          </w:p>
        </w:tc>
        <w:tc>
          <w:tcPr>
            <w:tcW w:w="1291"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≥35</w:t>
            </w:r>
          </w:p>
        </w:tc>
        <w:tc>
          <w:tcPr>
            <w:tcW w:w="1292" w:type="dxa"/>
            <w:vMerge w:val="continue"/>
            <w:vAlign w:val="center"/>
          </w:tcPr>
          <w:p>
            <w:pPr>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1" w:type="dxa"/>
            <w:vAlign w:val="center"/>
          </w:tcPr>
          <w:p>
            <w:pPr>
              <w:ind w:firstLine="90" w:firstLineChars="5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BFe30-1-1</w:t>
            </w:r>
          </w:p>
        </w:tc>
        <w:tc>
          <w:tcPr>
            <w:tcW w:w="1291" w:type="dxa"/>
            <w:vAlign w:val="center"/>
          </w:tcPr>
          <w:p>
            <w:pPr>
              <w:ind w:firstLine="270" w:firstLineChars="15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软化退火（O60）</w:t>
            </w:r>
          </w:p>
        </w:tc>
        <w:tc>
          <w:tcPr>
            <w:tcW w:w="1291"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所有规格</w:t>
            </w:r>
          </w:p>
        </w:tc>
        <w:tc>
          <w:tcPr>
            <w:tcW w:w="1292"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≥390</w:t>
            </w:r>
          </w:p>
        </w:tc>
        <w:tc>
          <w:tcPr>
            <w:tcW w:w="1291"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≥140</w:t>
            </w:r>
          </w:p>
        </w:tc>
        <w:tc>
          <w:tcPr>
            <w:tcW w:w="1291"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≥35</w:t>
            </w:r>
          </w:p>
        </w:tc>
        <w:tc>
          <w:tcPr>
            <w:tcW w:w="1292"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100-140</w:t>
            </w:r>
          </w:p>
        </w:tc>
      </w:tr>
    </w:tbl>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4.2.8工艺性能</w:t>
      </w:r>
    </w:p>
    <w:p>
      <w:pPr>
        <w:ind w:firstLine="420" w:firstLineChars="200"/>
        <w:rPr>
          <w:rFonts w:hAnsi="宋体"/>
          <w:color w:val="000000" w:themeColor="text1"/>
          <w:kern w:val="0"/>
          <w:szCs w:val="20"/>
          <w14:textFill>
            <w14:solidFill>
              <w14:schemeClr w14:val="tx1"/>
            </w14:solidFill>
          </w14:textFill>
        </w:rPr>
      </w:pPr>
      <w:r>
        <w:rPr>
          <w:rFonts w:hint="eastAsia" w:hAnsi="宋体"/>
          <w:color w:val="000000" w:themeColor="text1"/>
          <w:kern w:val="0"/>
          <w:szCs w:val="20"/>
          <w14:textFill>
            <w14:solidFill>
              <w14:schemeClr w14:val="tx1"/>
            </w14:solidFill>
          </w14:textFill>
        </w:rPr>
        <w:t>当需方有要求时，管材应进行扩口试验、压扁试验或双向折弯试验。其中扩口和压扁试验是在规格上进行互补的试验方法，该两个方法检测的都是管材外表面的试验情况，而双向折弯试验检测的是管材内外表面的试验情况，属于扩口和压扁试验后的加严试验，具体规定如下：</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4.2.8.1 扩口试验</w:t>
      </w:r>
    </w:p>
    <w:p>
      <w:pPr>
        <w:ind w:firstLine="420" w:firstLineChars="200"/>
        <w:rPr>
          <w:color w:val="000000"/>
          <w:szCs w:val="21"/>
        </w:rPr>
      </w:pPr>
      <w:r>
        <w:rPr>
          <w:rFonts w:hint="eastAsia"/>
          <w:color w:val="000000"/>
          <w:szCs w:val="21"/>
        </w:rPr>
        <w:t>外径不大于108mm的管材可进行扩口试验。试验时顶心锥度为45°，扩口率不小于30%，试验后管材不应出现肉眼可见的裂纹或破损。</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4.2.8.2 压扁试验</w:t>
      </w:r>
    </w:p>
    <w:p>
      <w:pPr>
        <w:pStyle w:val="44"/>
        <w:ind w:firstLine="420"/>
        <w:rPr>
          <w:rFonts w:ascii="Times New Roman" w:hAnsi="宋体"/>
          <w:color w:val="000000"/>
        </w:rPr>
      </w:pPr>
      <w:r>
        <w:rPr>
          <w:rFonts w:hint="eastAsia"/>
          <w:color w:val="000000"/>
          <w:szCs w:val="21"/>
        </w:rPr>
        <w:t>管材应进行压扁试验，试验时</w:t>
      </w:r>
      <w:r>
        <w:rPr>
          <w:rFonts w:ascii="Times New Roman" w:hAnsi="宋体"/>
          <w:color w:val="000000"/>
        </w:rPr>
        <w:t>压</w:t>
      </w:r>
      <w:r>
        <w:rPr>
          <w:rFonts w:hint="eastAsia" w:ascii="Times New Roman" w:hAnsi="宋体"/>
          <w:color w:val="000000"/>
        </w:rPr>
        <w:t>扁</w:t>
      </w:r>
      <w:r>
        <w:rPr>
          <w:rFonts w:ascii="Times New Roman" w:hAnsi="宋体"/>
          <w:color w:val="000000"/>
        </w:rPr>
        <w:t>至两壁间距离等于壁厚，试</w:t>
      </w:r>
      <w:r>
        <w:rPr>
          <w:rFonts w:hint="eastAsia" w:ascii="Times New Roman" w:hAnsi="宋体"/>
          <w:color w:val="000000"/>
        </w:rPr>
        <w:t>验后</w:t>
      </w:r>
      <w:r>
        <w:rPr>
          <w:rFonts w:ascii="Times New Roman" w:hAnsi="宋体"/>
          <w:color w:val="000000"/>
        </w:rPr>
        <w:t>不应</w:t>
      </w:r>
      <w:r>
        <w:rPr>
          <w:rFonts w:hint="eastAsia" w:ascii="Times New Roman" w:hAnsi="宋体"/>
          <w:color w:val="000000"/>
        </w:rPr>
        <w:t>出现</w:t>
      </w:r>
      <w:r>
        <w:rPr>
          <w:rFonts w:ascii="Times New Roman" w:hAnsi="宋体"/>
          <w:color w:val="000000"/>
        </w:rPr>
        <w:t>肉眼可见的裂纹或</w:t>
      </w:r>
      <w:r>
        <w:rPr>
          <w:rFonts w:hint="eastAsia"/>
          <w:color w:val="000000"/>
          <w:szCs w:val="21"/>
        </w:rPr>
        <w:t>破损</w:t>
      </w:r>
      <w:r>
        <w:rPr>
          <w:rFonts w:ascii="Times New Roman" w:hAnsi="宋体"/>
          <w:color w:val="000000"/>
        </w:rPr>
        <w:t>。</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4.2.8.3双向折弯试验</w:t>
      </w:r>
    </w:p>
    <w:p>
      <w:pPr>
        <w:pStyle w:val="44"/>
        <w:ind w:firstLine="420"/>
        <w:rPr>
          <w:rFonts w:ascii="Times New Roman" w:hAnsi="宋体"/>
          <w:color w:val="0070C0"/>
        </w:rPr>
      </w:pPr>
      <w:r>
        <w:rPr>
          <w:rFonts w:hint="eastAsia"/>
          <w:color w:val="0070C0"/>
          <w:szCs w:val="21"/>
        </w:rPr>
        <w:t>管材应进行双向折弯试验，试验时将试样两端180</w:t>
      </w:r>
      <w:r>
        <w:rPr>
          <w:color w:val="0070C0"/>
          <w:szCs w:val="21"/>
          <w:vertAlign w:val="superscript"/>
        </w:rPr>
        <w:t>°</w:t>
      </w:r>
      <w:r>
        <w:rPr>
          <w:rFonts w:hint="eastAsia"/>
          <w:color w:val="0070C0"/>
          <w:szCs w:val="21"/>
        </w:rPr>
        <w:t>折弯，折弯后不应出现</w:t>
      </w:r>
      <w:r>
        <w:rPr>
          <w:rFonts w:ascii="Times New Roman" w:hAnsi="宋体"/>
          <w:color w:val="0070C0"/>
        </w:rPr>
        <w:t>肉眼可见的裂纹或</w:t>
      </w:r>
      <w:r>
        <w:rPr>
          <w:rFonts w:hint="eastAsia"/>
          <w:color w:val="0070C0"/>
          <w:szCs w:val="21"/>
        </w:rPr>
        <w:t>破损</w:t>
      </w:r>
      <w:r>
        <w:rPr>
          <w:rFonts w:ascii="Times New Roman" w:hAnsi="宋体"/>
          <w:color w:val="0070C0"/>
        </w:rPr>
        <w:t>。</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4.2.9晶粒度</w:t>
      </w:r>
    </w:p>
    <w:p>
      <w:pPr>
        <w:ind w:firstLine="315" w:firstLineChars="1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管材的平均晶粒度为0.010 mm～0.045mm。</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4.2.10 非破坏性试验</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每根管材均应进行涡流探伤或水压试验。</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4.2.10.1涡流探伤</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管材进行涡流探伤检验时，其人工标准缺陷（钻孔直径）应符合GB/T 5248中表4的规定进行。超出标准规格范围的管材，采用水压试验。</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4.2.10.2 水压试验</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管材的最大工作压力按（1）式计算。</w:t>
      </w:r>
    </w:p>
    <w:p>
      <w:pPr>
        <w:ind w:firstLine="4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管材进行水压试验时，其试验压力按（2）式计算。在该压力下，持续10S～15S后，管材应无渗漏和永久变形，最大试验压力不超过6.9 N/mm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，如超出由双方协商确定。</w:t>
      </w:r>
    </w:p>
    <w:p>
      <w:pPr>
        <w:spacing w:line="300" w:lineRule="exact"/>
        <w:ind w:right="25" w:rightChars="12"/>
        <w:rPr>
          <w:rFonts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2</w:t>
      </w:r>
      <w:r>
        <w:rPr>
          <w:rFonts w:hint="eastAsia" w:ascii="宋体" w:hAnsi="宋体"/>
          <w:i/>
          <w:iCs/>
          <w:color w:val="000000" w:themeColor="text1"/>
          <w:sz w:val="24"/>
          <w14:textFill>
            <w14:solidFill>
              <w14:schemeClr w14:val="tx1"/>
            </w14:solidFill>
          </w14:textFill>
        </w:rPr>
        <w:t>S</w:t>
      </w:r>
      <w:r>
        <w:rPr>
          <w:rFonts w:hint="eastAsia" w:ascii="宋体" w:hAnsi="宋体"/>
          <w:color w:val="000000" w:themeColor="text1"/>
          <w:sz w:val="24"/>
          <w14:textFill>
            <w14:solidFill>
              <w14:schemeClr w14:val="tx1"/>
            </w14:solidFill>
          </w14:textFill>
        </w:rPr>
        <w:t>•</w:t>
      </w:r>
      <w:r>
        <w:rPr>
          <w:rFonts w:hint="eastAsia" w:ascii="宋体" w:hAnsi="宋体"/>
          <w:i/>
          <w:iCs/>
          <w:color w:val="000000" w:themeColor="text1"/>
          <w:sz w:val="24"/>
          <w14:textFill>
            <w14:solidFill>
              <w14:schemeClr w14:val="tx1"/>
            </w14:solidFill>
          </w14:textFill>
        </w:rPr>
        <w:t>t</w:t>
      </w:r>
    </w:p>
    <w:p>
      <w:pPr>
        <w:spacing w:line="300" w:lineRule="exact"/>
        <w:ind w:right="25" w:rightChars="12" w:firstLine="2640" w:firstLineChars="1100"/>
        <w:rPr>
          <w:rFonts w:ascii="宋体" w:hAnsi="宋体"/>
          <w:color w:val="000000" w:themeColor="text1"/>
          <w:sz w:val="24"/>
          <w14:textFill>
            <w14:solidFill>
              <w14:schemeClr w14:val="tx1"/>
            </w14:solidFill>
          </w14:textFill>
        </w:rPr>
      </w:pPr>
      <w:r>
        <w:rPr>
          <w:rFonts w:ascii="MingLiU" w:hAnsi="宋体" w:eastAsia="MingLiU"/>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121920</wp:posOffset>
                </wp:positionV>
                <wp:extent cx="800100" cy="0"/>
                <wp:effectExtent l="7620" t="6985" r="11430" b="120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3pt;margin-top:9.6pt;height:0pt;width:63pt;z-index:251659264;mso-width-relative:page;mso-height-relative:page;" filled="f" stroked="t" coordsize="21600,21600" o:gfxdata="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tO6tUAAAAJAQAADwAAAAAAAAABACAAAAAiAAAAZHJzL2Rvd25yZXYu&#10;eG1sUEsBAhQAFAAAAAgAh07iQMpRA1zFAQAAWwMAAA4AAAAAAAAAAQAgAAAAJAEAAGRycy9lMm9E&#10;b2MueG1sUEsFBgAAAAAGAAYAWQEAAFsFAAAAAA==&#10;">
                <v:fill on="f" focussize="0,0"/>
                <v:stroke color="#000000" joinstyle="round"/>
                <v:imagedata o:title=""/>
                <o:lock v:ext="edit" aspectratio="f"/>
              </v:line>
            </w:pict>
          </mc:Fallback>
        </mc:AlternateContent>
      </w:r>
      <w:r>
        <w:rPr>
          <w:rFonts w:ascii="MingLiU" w:hAnsi="宋体" w:eastAsia="MingLiU"/>
          <w:color w:val="000000" w:themeColor="text1"/>
          <w:sz w:val="24"/>
          <w14:textFill>
            <w14:solidFill>
              <w14:schemeClr w14:val="tx1"/>
            </w14:solidFill>
          </w14:textFill>
        </w:rPr>
        <w:t>p</w:t>
      </w:r>
      <w:r>
        <w:rPr>
          <w:rFonts w:hint="eastAsia" w:ascii="MingLiU" w:hAnsi="宋体" w:eastAsia="MingLiU"/>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……………………(1)</w:t>
      </w:r>
    </w:p>
    <w:p>
      <w:pPr>
        <w:spacing w:line="300" w:lineRule="exact"/>
        <w:ind w:right="25" w:rightChars="1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D-0.8</w:t>
      </w:r>
      <w:r>
        <w:rPr>
          <w:rFonts w:hint="eastAsia" w:ascii="宋体" w:hAnsi="宋体"/>
          <w:i/>
          <w:iCs/>
          <w:color w:val="000000" w:themeColor="text1"/>
          <w:sz w:val="24"/>
          <w14:textFill>
            <w14:solidFill>
              <w14:schemeClr w14:val="tx1"/>
            </w14:solidFill>
          </w14:textFill>
        </w:rPr>
        <w:t>t</w:t>
      </w:r>
    </w:p>
    <w:p>
      <w:pPr>
        <w:spacing w:line="480" w:lineRule="auto"/>
        <w:ind w:firstLine="2394" w:firstLineChars="114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szCs w:val="21"/>
          <w14:textFill>
            <w14:solidFill>
              <w14:schemeClr w14:val="tx1"/>
            </w14:solidFill>
          </w14:textFill>
        </w:rPr>
        <w:t>p</w:t>
      </w:r>
      <w:r>
        <w:rPr>
          <w:color w:val="000000" w:themeColor="text1"/>
          <w:szCs w:val="21"/>
          <w:vertAlign w:val="subscript"/>
          <w14:textFill>
            <w14:solidFill>
              <w14:schemeClr w14:val="tx1"/>
            </w14:solidFill>
          </w14:textFill>
        </w:rPr>
        <w:fldChar w:fldCharType="begin"/>
      </w:r>
      <w:r>
        <w:rPr>
          <w:color w:val="000000" w:themeColor="text1"/>
          <w:szCs w:val="21"/>
          <w:vertAlign w:val="subscript"/>
          <w14:textFill>
            <w14:solidFill>
              <w14:schemeClr w14:val="tx1"/>
            </w14:solidFill>
          </w14:textFill>
        </w:rPr>
        <w:instrText xml:space="preserve"> QUOTE </w:instrText>
      </w:r>
      <m:oMath>
        <m:r>
          <m:rPr>
            <m:sty m:val="p"/>
          </m:rPr>
          <w:rPr>
            <w:rFonts w:ascii="Cambria Math" w:hAnsi="Cambria Math" w:cs="Cambria Math"/>
            <w:color w:val="000000" w:themeColor="text1"/>
            <w14:textFill>
              <w14:solidFill>
                <w14:schemeClr w14:val="tx1"/>
              </w14:solidFill>
            </w14:textFill>
          </w:rPr>
          <m:t xml:space="preserve"> p</m:t>
        </m:r>
      </m:oMath>
      <w:r>
        <w:rPr>
          <w:color w:val="000000" w:themeColor="text1"/>
          <w:szCs w:val="21"/>
          <w:vertAlign w:val="subscript"/>
          <w14:textFill>
            <w14:solidFill>
              <w14:schemeClr w14:val="tx1"/>
            </w14:solidFill>
          </w14:textFill>
        </w:rPr>
        <w:instrText xml:space="preserve"> </w:instrText>
      </w:r>
      <w:r>
        <w:rPr>
          <w:color w:val="000000" w:themeColor="text1"/>
          <w:szCs w:val="21"/>
          <w:vertAlign w:val="subscript"/>
          <w14:textFill>
            <w14:solidFill>
              <w14:schemeClr w14:val="tx1"/>
            </w14:solidFill>
          </w14:textFill>
        </w:rPr>
        <w:fldChar w:fldCharType="end"/>
      </w:r>
      <w:r>
        <w:rPr>
          <w:rFonts w:hint="eastAsia"/>
          <w:color w:val="000000" w:themeColor="text1"/>
          <w:szCs w:val="21"/>
          <w:vertAlign w:val="subscript"/>
          <w14:textFill>
            <w14:solidFill>
              <w14:schemeClr w14:val="tx1"/>
            </w14:solidFill>
          </w14:textFill>
        </w:rPr>
        <w:t xml:space="preserve"> t</w:t>
      </w:r>
      <w:r>
        <w:rPr>
          <w:rFonts w:hint="eastAsia"/>
          <w:color w:val="000000" w:themeColor="text1"/>
          <w:szCs w:val="21"/>
          <w14:textFill>
            <w14:solidFill>
              <w14:schemeClr w14:val="tx1"/>
            </w14:solidFill>
          </w14:textFill>
        </w:rPr>
        <w:t>=np              -------------------------　 (2)</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式</w:t>
      </w:r>
      <w:r>
        <w:rPr>
          <w:rFonts w:hint="eastAsia" w:ascii="宋体" w:hAnsi="宋体"/>
          <w:color w:val="000000" w:themeColor="text1"/>
          <w:sz w:val="24"/>
          <w14:textFill>
            <w14:solidFill>
              <w14:schemeClr w14:val="tx1"/>
            </w14:solidFill>
          </w14:textFill>
        </w:rPr>
        <w:t>(1)、</w:t>
      </w:r>
      <w:r>
        <w:rPr>
          <w:rFonts w:hint="eastAsia"/>
          <w:color w:val="000000" w:themeColor="text1"/>
          <w:szCs w:val="21"/>
          <w14:textFill>
            <w14:solidFill>
              <w14:schemeClr w14:val="tx1"/>
            </w14:solidFill>
          </w14:textFill>
        </w:rPr>
        <w:t>(2)中：　p　　――最大工作压力，单位为牛顿每平方毫米（N/mm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p</w:t>
      </w:r>
      <w:r>
        <w:rPr>
          <w:rFonts w:hint="eastAsia"/>
          <w:color w:val="000000" w:themeColor="text1"/>
          <w:szCs w:val="21"/>
          <w:vertAlign w:val="subscript"/>
          <w14:textFill>
            <w14:solidFill>
              <w14:schemeClr w14:val="tx1"/>
            </w14:solidFill>
          </w14:textFill>
        </w:rPr>
        <w:t>t</w:t>
      </w:r>
      <w:r>
        <w:rPr>
          <w:rFonts w:hint="eastAsia"/>
          <w:color w:val="000000" w:themeColor="text1"/>
          <w:szCs w:val="21"/>
          <w14:textFill>
            <w14:solidFill>
              <w14:schemeClr w14:val="tx1"/>
            </w14:solidFill>
          </w14:textFill>
        </w:rPr>
        <w:t xml:space="preserve">   ――试验压力，单位为牛顿每平方毫米（N/mm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t    ――管材名义壁厚，单位为毫米（mm）；</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D　 ――管材公称外径，单位为毫米（mm）；</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n　  ――安全系数（1.50～1.65）；</w:t>
      </w:r>
    </w:p>
    <w:p>
      <w:pPr>
        <w:ind w:left="2625" w:hanging="2625" w:hangingChars="12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S　  ――材料允许应力。室温条件下，取表6中相应牌号及状态</w:t>
      </w:r>
      <w:r>
        <w:rPr>
          <w:rFonts w:hint="eastAsia" w:ascii="宋体" w:hAnsi="宋体"/>
          <w:color w:val="000000" w:themeColor="text1"/>
          <w:szCs w:val="21"/>
          <w14:textFill>
            <w14:solidFill>
              <w14:schemeClr w14:val="tx1"/>
            </w14:solidFill>
          </w14:textFill>
        </w:rPr>
        <w:t>Rp</w:t>
      </w:r>
      <w:r>
        <w:rPr>
          <w:rFonts w:hint="eastAsia" w:ascii="宋体" w:hAnsi="宋体"/>
          <w:color w:val="000000" w:themeColor="text1"/>
          <w:szCs w:val="21"/>
          <w:vertAlign w:val="subscript"/>
          <w14:textFill>
            <w14:solidFill>
              <w14:schemeClr w14:val="tx1"/>
            </w14:solidFill>
          </w14:textFill>
        </w:rPr>
        <w:t>0.2</w:t>
      </w:r>
      <w:r>
        <w:rPr>
          <w:rFonts w:hint="eastAsia"/>
          <w:color w:val="000000" w:themeColor="text1"/>
          <w:szCs w:val="21"/>
          <w14:textFill>
            <w14:solidFill>
              <w14:schemeClr w14:val="tx1"/>
            </w14:solidFill>
          </w14:textFill>
        </w:rPr>
        <w:t>最小值的50%。</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4.2.11电化学腐蚀性能试验</w:t>
      </w:r>
    </w:p>
    <w:p>
      <w:pPr>
        <w:pStyle w:val="44"/>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管材</w:t>
      </w:r>
      <w:r>
        <w:rPr>
          <w:rFonts w:hint="eastAsia"/>
          <w:color w:val="000000" w:themeColor="text1"/>
          <w:szCs w:val="21"/>
          <w14:textFill>
            <w14:solidFill>
              <w14:schemeClr w14:val="tx1"/>
            </w14:solidFill>
          </w14:textFill>
        </w:rPr>
        <w:t>应进行电化学腐蚀性能试验，试验</w:t>
      </w:r>
      <w:r>
        <w:rPr>
          <w:rFonts w:hint="eastAsia"/>
          <w:color w:val="000000" w:themeColor="text1"/>
          <w14:textFill>
            <w14:solidFill>
              <w14:schemeClr w14:val="tx1"/>
            </w14:solidFill>
          </w14:textFill>
        </w:rPr>
        <w:t>结果要求</w:t>
      </w:r>
      <w:r>
        <w:rPr>
          <w:rFonts w:hint="eastAsia" w:hAnsi="宋体"/>
          <w:color w:val="000000" w:themeColor="text1"/>
          <w14:textFill>
            <w14:solidFill>
              <w14:schemeClr w14:val="tx1"/>
            </w14:solidFill>
          </w14:textFill>
        </w:rPr>
        <w:t>Δ</w:t>
      </w:r>
      <w:r>
        <w:rPr>
          <w:rFonts w:hint="eastAsia"/>
          <w:color w:val="000000" w:themeColor="text1"/>
          <w14:textFill>
            <w14:solidFill>
              <w14:schemeClr w14:val="tx1"/>
            </w14:solidFill>
          </w14:textFill>
        </w:rPr>
        <w:t>E</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0.07V。</w:t>
      </w:r>
    </w:p>
    <w:p>
      <w:pPr>
        <w:pStyle w:val="20"/>
        <w:numPr>
          <w:ilvl w:val="2"/>
          <w:numId w:val="8"/>
        </w:numPr>
        <w:ind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表面质量</w:t>
      </w:r>
    </w:p>
    <w:p>
      <w:pPr>
        <w:pStyle w:val="61"/>
        <w:tabs>
          <w:tab w:val="clear" w:pos="930"/>
        </w:tabs>
        <w:ind w:left="0" w:firstLine="420" w:firstLineChars="200"/>
        <w:rPr>
          <w:rFonts w:eastAsia="宋体"/>
          <w:color w:val="000000" w:themeColor="text1"/>
          <w14:textFill>
            <w14:solidFill>
              <w14:schemeClr w14:val="tx1"/>
            </w14:solidFill>
          </w14:textFill>
        </w:rPr>
      </w:pPr>
      <w:r>
        <w:rPr>
          <w:rFonts w:hAnsi="宋体" w:eastAsia="宋体"/>
          <w:color w:val="000000" w:themeColor="text1"/>
          <w14:textFill>
            <w14:solidFill>
              <w14:schemeClr w14:val="tx1"/>
            </w14:solidFill>
          </w14:textFill>
        </w:rPr>
        <w:t>管材内外表面应光滑、清洁，不应有影响使用的有害缺陷。</w:t>
      </w:r>
    </w:p>
    <w:p>
      <w:pPr>
        <w:pStyle w:val="20"/>
        <w:numPr>
          <w:ilvl w:val="0"/>
          <w:numId w:val="6"/>
        </w:numPr>
        <w:spacing w:line="300" w:lineRule="auto"/>
        <w:ind w:firstLine="420"/>
        <w:contextualSpacing/>
        <w:rPr>
          <w:rFonts w:ascii="黑体" w:hAnsi="黑体" w:eastAsia="黑体"/>
          <w:color w:val="000000" w:themeColor="text1"/>
          <w:szCs w:val="21"/>
          <w:highlight w:val="yellow"/>
          <w14:textFill>
            <w14:solidFill>
              <w14:schemeClr w14:val="tx1"/>
            </w14:solidFill>
          </w14:textFill>
        </w:rPr>
      </w:pPr>
      <w:r>
        <w:rPr>
          <w:rFonts w:hint="eastAsia" w:ascii="黑体" w:hAnsi="黑体" w:eastAsia="黑体"/>
          <w:color w:val="000000" w:themeColor="text1"/>
          <w:szCs w:val="21"/>
          <w:highlight w:val="yellow"/>
          <w14:textFill>
            <w14:solidFill>
              <w14:schemeClr w14:val="tx1"/>
            </w14:solidFill>
          </w14:textFill>
        </w:rPr>
        <w:t>标准水平分析：</w:t>
      </w:r>
      <w:r>
        <w:rPr>
          <w:rFonts w:ascii="黑体" w:hAnsi="黑体" w:eastAsia="黑体"/>
          <w:color w:val="000000" w:themeColor="text1"/>
          <w:szCs w:val="21"/>
          <w:highlight w:val="yellow"/>
          <w14:textFill>
            <w14:solidFill>
              <w14:schemeClr w14:val="tx1"/>
            </w14:solidFill>
          </w14:textFill>
        </w:rPr>
        <w:t xml:space="preserve"> </w:t>
      </w:r>
    </w:p>
    <w:p>
      <w:pPr>
        <w:pStyle w:val="20"/>
        <w:spacing w:line="300" w:lineRule="auto"/>
        <w:contextualSpacing/>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经查阅，与本标准相关的国内外相关资料有：GJB 8757-2015《舰船用白铜管材规范》、DIN 86019-2006《管道用拉制CuNi10Fe1.6Mn无缝管与精密管的尺寸》、MIL-T-16420K(SH)1988《铜镍合金无缝管及焊接管》，本标准与上述标准对比情况见附表1。</w:t>
      </w:r>
    </w:p>
    <w:p>
      <w:pPr>
        <w:pStyle w:val="20"/>
        <w:spacing w:line="300" w:lineRule="auto"/>
        <w:contextualSpacing/>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通过对比，本标准在平均外径允许偏差、平均壁厚允许偏差、直度、圆度、抗拉强度、规定塑性延伸强度、断后伸长率等方面的指标均高于或等同于国内外相关标准，本标准还规定了扩口试验、压扁试验、双向折弯试验等工艺性能试验、涡流探伤和水压试验等非破坏性试验和耐腐蚀性试验，相较于其他标准，本标准在工艺性能试验、非破坏性试验和耐腐蚀性试验等方面的检测更加全面，更具科学性，所以本标准技术水平达到了国际先进。</w:t>
      </w:r>
    </w:p>
    <w:p>
      <w:pPr>
        <w:pStyle w:val="20"/>
        <w:numPr>
          <w:ilvl w:val="0"/>
          <w:numId w:val="6"/>
        </w:numPr>
        <w:spacing w:line="300" w:lineRule="auto"/>
        <w:ind w:firstLine="42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与现行相关法律、法规、规章及相关标准，特别是强制性标准的协调性：</w:t>
      </w:r>
    </w:p>
    <w:p>
      <w:pPr>
        <w:pStyle w:val="20"/>
        <w:spacing w:line="300" w:lineRule="auto"/>
        <w:contextualSpacing/>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本标准的制定过程、技术指标的选定、检验项目的设置符合现行法律、法规和强制性国家标准的规定。</w:t>
      </w:r>
    </w:p>
    <w:p>
      <w:pPr>
        <w:pStyle w:val="20"/>
        <w:numPr>
          <w:ilvl w:val="0"/>
          <w:numId w:val="6"/>
        </w:numPr>
        <w:spacing w:line="300" w:lineRule="auto"/>
        <w:ind w:firstLine="42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重大分歧意见的处理经过和依据</w:t>
      </w:r>
    </w:p>
    <w:p>
      <w:pPr>
        <w:pStyle w:val="20"/>
        <w:spacing w:line="30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无</w:t>
      </w:r>
    </w:p>
    <w:p>
      <w:pPr>
        <w:pStyle w:val="20"/>
        <w:numPr>
          <w:ilvl w:val="0"/>
          <w:numId w:val="6"/>
        </w:numPr>
        <w:spacing w:line="300" w:lineRule="auto"/>
        <w:ind w:firstLine="42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标准作为强制性或推荐性标准的建议</w:t>
      </w:r>
    </w:p>
    <w:p>
      <w:pPr>
        <w:pStyle w:val="20"/>
        <w:spacing w:line="30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本标准建议作为推荐性行业标准</w:t>
      </w:r>
    </w:p>
    <w:p>
      <w:pPr>
        <w:pStyle w:val="20"/>
        <w:numPr>
          <w:ilvl w:val="0"/>
          <w:numId w:val="6"/>
        </w:numPr>
        <w:spacing w:line="300" w:lineRule="auto"/>
        <w:ind w:firstLine="42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贯彻标准的要求和措施建议</w:t>
      </w:r>
    </w:p>
    <w:p>
      <w:pPr>
        <w:pStyle w:val="20"/>
        <w:numPr>
          <w:ilvl w:val="0"/>
          <w:numId w:val="6"/>
        </w:numPr>
        <w:spacing w:line="300" w:lineRule="auto"/>
        <w:ind w:firstLine="42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废止现行有关标准的建议</w:t>
      </w:r>
    </w:p>
    <w:p>
      <w:pPr>
        <w:ind w:firstLine="525" w:firstLineChars="250"/>
        <w:rPr>
          <w:rFonts w:ascii="宋体" w:hAnsi="宋体"/>
          <w:color w:val="000000" w:themeColor="text1"/>
          <w:kern w:val="0"/>
          <w:szCs w:val="20"/>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建议废止原标准：</w:t>
      </w:r>
      <w:r>
        <w:rPr>
          <w:rFonts w:hint="eastAsia" w:ascii="宋体" w:hAnsi="宋体"/>
          <w:color w:val="000000" w:themeColor="text1"/>
          <w:kern w:val="0"/>
          <w:szCs w:val="20"/>
          <w14:textFill>
            <w14:solidFill>
              <w14:schemeClr w14:val="tx1"/>
            </w14:solidFill>
          </w14:textFill>
        </w:rPr>
        <w:t>GB/T 26291-2010</w:t>
      </w:r>
      <w:r>
        <w:rPr>
          <w:rFonts w:hint="eastAsia" w:asciiTheme="majorEastAsia" w:hAnsiTheme="majorEastAsia" w:eastAsiaTheme="majorEastAsia"/>
          <w:color w:val="000000" w:themeColor="text1"/>
          <w:szCs w:val="21"/>
          <w14:textFill>
            <w14:solidFill>
              <w14:schemeClr w14:val="tx1"/>
            </w14:solidFill>
          </w14:textFill>
        </w:rPr>
        <w:t>《舰船用铜镍合金无缝管》</w:t>
      </w:r>
    </w:p>
    <w:p>
      <w:pPr>
        <w:spacing w:line="300" w:lineRule="auto"/>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11  预期效果</w:t>
      </w:r>
    </w:p>
    <w:p>
      <w:pPr>
        <w:spacing w:line="300" w:lineRule="auto"/>
        <w:rPr>
          <w:rFonts w:asciiTheme="minorEastAsia" w:hAnsiTheme="minorEastAsia"/>
          <w:color w:val="000000" w:themeColor="text1"/>
          <w:szCs w:val="21"/>
          <w14:textFill>
            <w14:solidFill>
              <w14:schemeClr w14:val="tx1"/>
            </w14:solidFill>
          </w14:textFill>
        </w:rPr>
      </w:pPr>
    </w:p>
    <w:p>
      <w:pPr>
        <w:pStyle w:val="20"/>
        <w:spacing w:line="300" w:lineRule="auto"/>
        <w:ind w:left="42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2019.3.15</w:t>
      </w:r>
    </w:p>
    <w:p>
      <w:pPr>
        <w:pStyle w:val="20"/>
        <w:spacing w:line="300" w:lineRule="auto"/>
        <w:ind w:left="420"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w:t>
      </w:r>
      <w:r>
        <w:rPr>
          <w:rFonts w:hint="eastAsia" w:asciiTheme="majorEastAsia" w:hAnsiTheme="majorEastAsia" w:eastAsiaTheme="majorEastAsia"/>
          <w:color w:val="000000" w:themeColor="text1"/>
          <w:szCs w:val="21"/>
          <w14:textFill>
            <w14:solidFill>
              <w14:schemeClr w14:val="tx1"/>
            </w14:solidFill>
          </w14:textFill>
        </w:rPr>
        <w:t>舰船用铜镍合金无缝管</w:t>
      </w:r>
      <w:r>
        <w:rPr>
          <w:rFonts w:hint="eastAsia" w:asciiTheme="minorEastAsia" w:hAnsiTheme="minorEastAsia"/>
          <w:color w:val="000000" w:themeColor="text1"/>
          <w:szCs w:val="21"/>
          <w14:textFill>
            <w14:solidFill>
              <w14:schemeClr w14:val="tx1"/>
            </w14:solidFill>
          </w14:textFill>
        </w:rPr>
        <w:t>编制小组</w:t>
      </w:r>
    </w:p>
    <w:p>
      <w:pPr>
        <w:spacing w:line="300" w:lineRule="auto"/>
        <w:jc w:val="left"/>
        <w:rPr>
          <w:rFonts w:asciiTheme="minorEastAsia" w:hAnsiTheme="minorEastAsia"/>
          <w:color w:val="000000" w:themeColor="text1"/>
          <w:szCs w:val="21"/>
          <w14:textFill>
            <w14:solidFill>
              <w14:schemeClr w14:val="tx1"/>
            </w14:solidFill>
          </w14:textFill>
        </w:rPr>
      </w:pPr>
    </w:p>
    <w:p>
      <w:pPr>
        <w:spacing w:line="300" w:lineRule="auto"/>
        <w:jc w:val="left"/>
        <w:rPr>
          <w:rFonts w:asciiTheme="minorEastAsia" w:hAnsiTheme="minorEastAsia"/>
          <w:color w:val="000000" w:themeColor="text1"/>
          <w:szCs w:val="21"/>
          <w14:textFill>
            <w14:solidFill>
              <w14:schemeClr w14:val="tx1"/>
            </w14:solidFill>
          </w14:textFill>
        </w:rPr>
      </w:pPr>
    </w:p>
    <w:p>
      <w:pPr>
        <w:spacing w:line="300" w:lineRule="auto"/>
        <w:jc w:val="left"/>
        <w:rPr>
          <w:rFonts w:asciiTheme="minorEastAsia" w:hAnsiTheme="minorEastAsia"/>
          <w:color w:val="000000" w:themeColor="text1"/>
          <w:szCs w:val="21"/>
          <w14:textFill>
            <w14:solidFill>
              <w14:schemeClr w14:val="tx1"/>
            </w14:solidFill>
          </w14:textFill>
        </w:rPr>
      </w:pPr>
    </w:p>
    <w:p>
      <w:pPr>
        <w:spacing w:line="300" w:lineRule="auto"/>
        <w:jc w:val="left"/>
        <w:rPr>
          <w:rFonts w:asciiTheme="minorEastAsia" w:hAnsiTheme="minorEastAsia"/>
          <w:color w:val="000000" w:themeColor="text1"/>
          <w:szCs w:val="21"/>
          <w14:textFill>
            <w14:solidFill>
              <w14:schemeClr w14:val="tx1"/>
            </w14:solidFill>
          </w14:textFill>
        </w:rPr>
      </w:pPr>
    </w:p>
    <w:p>
      <w:pPr>
        <w:spacing w:line="300" w:lineRule="auto"/>
        <w:jc w:val="left"/>
        <w:rPr>
          <w:rFonts w:asciiTheme="minorEastAsia" w:hAnsiTheme="minorEastAsia"/>
          <w:color w:val="000000" w:themeColor="text1"/>
          <w:szCs w:val="21"/>
          <w14:textFill>
            <w14:solidFill>
              <w14:schemeClr w14:val="tx1"/>
            </w14:solidFill>
          </w14:textFill>
        </w:rPr>
        <w:sectPr>
          <w:footerReference r:id="rId3" w:type="default"/>
          <w:pgSz w:w="11906" w:h="16838"/>
          <w:pgMar w:top="1247" w:right="1247" w:bottom="1247" w:left="1247" w:header="851" w:footer="992" w:gutter="0"/>
          <w:cols w:space="425" w:num="1"/>
          <w:docGrid w:type="lines" w:linePitch="312" w:charSpace="0"/>
        </w:sectPr>
      </w:pPr>
    </w:p>
    <w:p>
      <w:pPr>
        <w:spacing w:line="300" w:lineRule="auto"/>
        <w:jc w:val="left"/>
        <w:rPr>
          <w:rFonts w:ascii="宋体" w:hAnsi="宋体"/>
          <w:color w:val="000000" w:themeColor="text1"/>
          <w:kern w:val="0"/>
          <w:szCs w:val="20"/>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附表1：</w:t>
      </w:r>
      <w:r>
        <w:rPr>
          <w:rFonts w:hint="eastAsia" w:ascii="宋体" w:hAnsi="宋体"/>
          <w:color w:val="000000" w:themeColor="text1"/>
          <w:kern w:val="0"/>
          <w:szCs w:val="20"/>
          <w14:textFill>
            <w14:solidFill>
              <w14:schemeClr w14:val="tx1"/>
            </w14:solidFill>
          </w14:textFill>
        </w:rPr>
        <w:t>GB/T 26291-XXXX与国内外相关标准对比表</w:t>
      </w:r>
    </w:p>
    <w:tbl>
      <w:tblPr>
        <w:tblStyle w:val="12"/>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3685"/>
        <w:gridCol w:w="3544"/>
        <w:gridCol w:w="2552"/>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gridSpan w:val="2"/>
            <w:vAlign w:val="center"/>
          </w:tcPr>
          <w:p>
            <w:pPr>
              <w:spacing w:line="300" w:lineRule="auto"/>
              <w:jc w:val="center"/>
              <w:rPr>
                <w:rFonts w:eastAsia="宋体" w:cs="Times New Roman" w:asciiTheme="minorEastAsia" w:hAnsiTheme="minorEastAsia"/>
                <w:b/>
                <w:color w:val="000000" w:themeColor="text1"/>
                <w:kern w:val="0"/>
                <w:sz w:val="20"/>
                <w:szCs w:val="21"/>
                <w14:textFill>
                  <w14:solidFill>
                    <w14:schemeClr w14:val="tx1"/>
                  </w14:solidFill>
                </w14:textFill>
              </w:rPr>
            </w:pPr>
            <w:r>
              <w:rPr>
                <w:rFonts w:hint="eastAsia" w:eastAsia="宋体" w:cs="Times New Roman" w:asciiTheme="minorEastAsia" w:hAnsiTheme="minorEastAsia"/>
                <w:b/>
                <w:color w:val="000000" w:themeColor="text1"/>
                <w:kern w:val="0"/>
                <w:sz w:val="20"/>
                <w:szCs w:val="21"/>
                <w14:textFill>
                  <w14:solidFill>
                    <w14:schemeClr w14:val="tx1"/>
                  </w14:solidFill>
                </w14:textFill>
              </w:rPr>
              <w:t>项目</w:t>
            </w:r>
          </w:p>
        </w:tc>
        <w:tc>
          <w:tcPr>
            <w:tcW w:w="3685" w:type="dxa"/>
            <w:vAlign w:val="center"/>
          </w:tcPr>
          <w:p>
            <w:pPr>
              <w:spacing w:line="300" w:lineRule="auto"/>
              <w:jc w:val="center"/>
              <w:rPr>
                <w:rFonts w:eastAsia="宋体" w:cs="Times New Roman" w:asciiTheme="minorEastAsia" w:hAnsiTheme="minorEastAsia"/>
                <w:b/>
                <w:color w:val="000000" w:themeColor="text1"/>
                <w:kern w:val="0"/>
                <w:sz w:val="20"/>
                <w:szCs w:val="21"/>
                <w14:textFill>
                  <w14:solidFill>
                    <w14:schemeClr w14:val="tx1"/>
                  </w14:solidFill>
                </w14:textFill>
              </w:rPr>
            </w:pPr>
            <w:r>
              <w:rPr>
                <w:rFonts w:hint="eastAsia" w:ascii="宋体" w:hAnsi="宋体" w:eastAsia="宋体" w:cs="Times New Roman"/>
                <w:b/>
                <w:color w:val="000000" w:themeColor="text1"/>
                <w:kern w:val="0"/>
                <w:sz w:val="20"/>
                <w:szCs w:val="20"/>
                <w14:textFill>
                  <w14:solidFill>
                    <w14:schemeClr w14:val="tx1"/>
                  </w14:solidFill>
                </w14:textFill>
              </w:rPr>
              <w:t>GB/T 26291-XXXX</w:t>
            </w:r>
          </w:p>
        </w:tc>
        <w:tc>
          <w:tcPr>
            <w:tcW w:w="3544" w:type="dxa"/>
            <w:vAlign w:val="center"/>
          </w:tcPr>
          <w:p>
            <w:pPr>
              <w:spacing w:line="300" w:lineRule="auto"/>
              <w:jc w:val="center"/>
              <w:rPr>
                <w:rFonts w:eastAsia="宋体" w:cs="Times New Roman" w:asciiTheme="minorEastAsia" w:hAnsiTheme="minorEastAsia"/>
                <w:b/>
                <w:color w:val="000000" w:themeColor="text1"/>
                <w:kern w:val="0"/>
                <w:sz w:val="20"/>
                <w:szCs w:val="21"/>
                <w14:textFill>
                  <w14:solidFill>
                    <w14:schemeClr w14:val="tx1"/>
                  </w14:solidFill>
                </w14:textFill>
              </w:rPr>
            </w:pPr>
            <w:r>
              <w:rPr>
                <w:rFonts w:hint="eastAsia" w:ascii="Times New Roman" w:hAnsi="宋体" w:eastAsia="宋体" w:cs="Times New Roman"/>
                <w:b/>
                <w:color w:val="000000" w:themeColor="text1"/>
                <w:kern w:val="0"/>
                <w:sz w:val="20"/>
                <w:szCs w:val="20"/>
                <w14:textFill>
                  <w14:solidFill>
                    <w14:schemeClr w14:val="tx1"/>
                  </w14:solidFill>
                </w14:textFill>
              </w:rPr>
              <w:t>GJB 8757-2015</w:t>
            </w:r>
          </w:p>
        </w:tc>
        <w:tc>
          <w:tcPr>
            <w:tcW w:w="2552" w:type="dxa"/>
            <w:vAlign w:val="center"/>
          </w:tcPr>
          <w:p>
            <w:pPr>
              <w:spacing w:line="300" w:lineRule="auto"/>
              <w:jc w:val="center"/>
              <w:rPr>
                <w:rFonts w:eastAsia="宋体" w:cs="Times New Roman" w:asciiTheme="minorEastAsia" w:hAnsiTheme="minorEastAsia"/>
                <w:b/>
                <w:color w:val="000000" w:themeColor="text1"/>
                <w:kern w:val="0"/>
                <w:sz w:val="20"/>
                <w:szCs w:val="21"/>
                <w14:textFill>
                  <w14:solidFill>
                    <w14:schemeClr w14:val="tx1"/>
                  </w14:solidFill>
                </w14:textFill>
              </w:rPr>
            </w:pPr>
            <w:r>
              <w:rPr>
                <w:rFonts w:hint="eastAsia" w:ascii="Times New Roman" w:hAnsi="宋体" w:eastAsia="宋体" w:cs="Times New Roman"/>
                <w:b/>
                <w:color w:val="000000" w:themeColor="text1"/>
                <w:kern w:val="0"/>
                <w:sz w:val="20"/>
                <w:szCs w:val="20"/>
                <w14:textFill>
                  <w14:solidFill>
                    <w14:schemeClr w14:val="tx1"/>
                  </w14:solidFill>
                </w14:textFill>
              </w:rPr>
              <w:t>DIN 86019-2006</w:t>
            </w:r>
          </w:p>
        </w:tc>
        <w:tc>
          <w:tcPr>
            <w:tcW w:w="2686" w:type="dxa"/>
            <w:vAlign w:val="center"/>
          </w:tcPr>
          <w:p>
            <w:pPr>
              <w:spacing w:line="300" w:lineRule="auto"/>
              <w:jc w:val="center"/>
              <w:rPr>
                <w:rFonts w:eastAsia="宋体" w:cs="Times New Roman" w:asciiTheme="minorEastAsia" w:hAnsiTheme="minorEastAsia"/>
                <w:b/>
                <w:color w:val="000000" w:themeColor="text1"/>
                <w:kern w:val="0"/>
                <w:sz w:val="20"/>
                <w:szCs w:val="21"/>
                <w14:textFill>
                  <w14:solidFill>
                    <w14:schemeClr w14:val="tx1"/>
                  </w14:solidFill>
                </w14:textFill>
              </w:rPr>
            </w:pPr>
            <w:r>
              <w:rPr>
                <w:rFonts w:hint="eastAsia" w:ascii="Times New Roman" w:hAnsi="宋体" w:eastAsia="宋体" w:cs="Times New Roman"/>
                <w:b/>
                <w:color w:val="000000" w:themeColor="text1"/>
                <w:kern w:val="0"/>
                <w:sz w:val="20"/>
                <w:szCs w:val="20"/>
                <w14:textFill>
                  <w14:solidFill>
                    <w14:schemeClr w14:val="tx1"/>
                  </w14:solidFill>
                </w14:textFill>
              </w:rPr>
              <w:t>MIL-T-16420K(SH)1988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gridSpan w:val="2"/>
            <w:vAlign w:val="center"/>
          </w:tcPr>
          <w:p>
            <w:pPr>
              <w:spacing w:line="300" w:lineRule="auto"/>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牌号</w:t>
            </w:r>
          </w:p>
        </w:tc>
        <w:tc>
          <w:tcPr>
            <w:tcW w:w="3685" w:type="dxa"/>
            <w:vAlign w:val="center"/>
          </w:tcPr>
          <w:p>
            <w:pPr>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BFe10-1-1</w:t>
            </w:r>
          </w:p>
          <w:p>
            <w:pPr>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BFe10-1.6-1</w:t>
            </w:r>
          </w:p>
          <w:p>
            <w:pPr>
              <w:spacing w:line="300" w:lineRule="auto"/>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ascii="宋体" w:hAnsi="宋体" w:eastAsia="宋体" w:cs="Times New Roman"/>
                <w:color w:val="000000"/>
                <w:kern w:val="0"/>
                <w:sz w:val="18"/>
                <w:szCs w:val="18"/>
              </w:rPr>
              <w:t>BFe30-1-1</w:t>
            </w:r>
          </w:p>
        </w:tc>
        <w:tc>
          <w:tcPr>
            <w:tcW w:w="3544" w:type="dxa"/>
            <w:vAlign w:val="center"/>
          </w:tcPr>
          <w:p>
            <w:pPr>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BFe10-1.6-1</w:t>
            </w:r>
          </w:p>
        </w:tc>
        <w:tc>
          <w:tcPr>
            <w:tcW w:w="2552" w:type="dxa"/>
            <w:vAlign w:val="center"/>
          </w:tcPr>
          <w:p>
            <w:pPr>
              <w:spacing w:line="300" w:lineRule="auto"/>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cs="Times New Roman" w:asciiTheme="majorEastAsia" w:hAnsiTheme="majorEastAsia" w:eastAsiaTheme="majorEastAsia"/>
                <w:color w:val="000000" w:themeColor="text1"/>
                <w:kern w:val="0"/>
                <w:sz w:val="20"/>
                <w:szCs w:val="21"/>
                <w14:textFill>
                  <w14:solidFill>
                    <w14:schemeClr w14:val="tx1"/>
                  </w14:solidFill>
                </w14:textFill>
              </w:rPr>
              <w:t>CuNi10Fe1.6Mn</w:t>
            </w:r>
          </w:p>
        </w:tc>
        <w:tc>
          <w:tcPr>
            <w:tcW w:w="2686" w:type="dxa"/>
            <w:vAlign w:val="center"/>
          </w:tcPr>
          <w:p>
            <w:pPr>
              <w:spacing w:line="300" w:lineRule="auto"/>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C71500、C70600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gridSpan w:val="2"/>
            <w:vAlign w:val="center"/>
          </w:tcPr>
          <w:p>
            <w:pPr>
              <w:spacing w:line="300" w:lineRule="auto"/>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状态</w:t>
            </w:r>
          </w:p>
        </w:tc>
        <w:tc>
          <w:tcPr>
            <w:tcW w:w="3685" w:type="dxa"/>
            <w:vAlign w:val="center"/>
          </w:tcPr>
          <w:p>
            <w:pPr>
              <w:spacing w:line="300" w:lineRule="auto"/>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O60</w:t>
            </w:r>
          </w:p>
        </w:tc>
        <w:tc>
          <w:tcPr>
            <w:tcW w:w="3544" w:type="dxa"/>
            <w:vAlign w:val="center"/>
          </w:tcPr>
          <w:p>
            <w:pPr>
              <w:spacing w:line="300" w:lineRule="auto"/>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O60</w:t>
            </w:r>
          </w:p>
        </w:tc>
        <w:tc>
          <w:tcPr>
            <w:tcW w:w="2552" w:type="dxa"/>
            <w:vAlign w:val="center"/>
          </w:tcPr>
          <w:p>
            <w:pPr>
              <w:spacing w:line="300" w:lineRule="auto"/>
              <w:jc w:val="center"/>
              <w:rPr>
                <w:rFonts w:eastAsia="宋体" w:cs="Times New Roman" w:asciiTheme="minorEastAsia" w:hAnsiTheme="minorEastAsia"/>
                <w:color w:val="000000" w:themeColor="text1"/>
                <w:kern w:val="0"/>
                <w:sz w:val="20"/>
                <w:szCs w:val="21"/>
                <w14:textFill>
                  <w14:solidFill>
                    <w14:schemeClr w14:val="tx1"/>
                  </w14:solidFill>
                </w14:textFill>
              </w:rPr>
            </w:pPr>
          </w:p>
        </w:tc>
        <w:tc>
          <w:tcPr>
            <w:tcW w:w="2686" w:type="dxa"/>
            <w:vAlign w:val="center"/>
          </w:tcPr>
          <w:p>
            <w:pPr>
              <w:spacing w:line="300" w:lineRule="auto"/>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O60、H55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gridSpan w:val="2"/>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规格</w:t>
            </w:r>
          </w:p>
        </w:tc>
        <w:tc>
          <w:tcPr>
            <w:tcW w:w="3685" w:type="dxa"/>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直管：外径：</w:t>
            </w:r>
            <w:r>
              <w:rPr>
                <w:rFonts w:hint="eastAsia" w:ascii="宋体" w:hAnsi="宋体" w:eastAsia="宋体" w:cs="Times New Roman"/>
                <w:color w:val="000000"/>
                <w:kern w:val="0"/>
                <w:sz w:val="18"/>
                <w:szCs w:val="18"/>
              </w:rPr>
              <w:t>4～458mm，壁厚：0.4～12.7mm</w:t>
            </w:r>
          </w:p>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盘管：外径：</w:t>
            </w:r>
            <w:r>
              <w:rPr>
                <w:rFonts w:hint="eastAsia" w:ascii="宋体" w:hAnsi="宋体" w:eastAsia="宋体" w:cs="Times New Roman"/>
                <w:color w:val="000000"/>
                <w:kern w:val="0"/>
                <w:sz w:val="18"/>
                <w:szCs w:val="18"/>
              </w:rPr>
              <w:t>4～16mm，壁厚：0.4～2.0mm</w:t>
            </w:r>
          </w:p>
        </w:tc>
        <w:tc>
          <w:tcPr>
            <w:tcW w:w="3544" w:type="dxa"/>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直管：外径：</w:t>
            </w:r>
            <w:r>
              <w:rPr>
                <w:rFonts w:hint="eastAsia" w:ascii="宋体" w:hAnsi="宋体" w:eastAsia="宋体" w:cs="Times New Roman"/>
                <w:color w:val="000000"/>
                <w:kern w:val="0"/>
                <w:sz w:val="18"/>
                <w:szCs w:val="18"/>
              </w:rPr>
              <w:t>8～159mm，壁厚：1.0～3.5mm</w:t>
            </w:r>
          </w:p>
        </w:tc>
        <w:tc>
          <w:tcPr>
            <w:tcW w:w="2552" w:type="dxa"/>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直管：外径：</w:t>
            </w:r>
            <w:r>
              <w:rPr>
                <w:rFonts w:hint="eastAsia" w:ascii="宋体" w:hAnsi="宋体" w:eastAsia="宋体" w:cs="Times New Roman"/>
                <w:color w:val="000000"/>
                <w:kern w:val="0"/>
                <w:sz w:val="18"/>
                <w:szCs w:val="18"/>
              </w:rPr>
              <w:t>8～419mm，壁厚：1.0～4.0mm</w:t>
            </w:r>
          </w:p>
        </w:tc>
        <w:tc>
          <w:tcPr>
            <w:tcW w:w="2686" w:type="dxa"/>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直管：外径：</w:t>
            </w:r>
            <w:r>
              <w:rPr>
                <w:rFonts w:hint="eastAsia" w:ascii="宋体" w:hAnsi="宋体" w:eastAsia="宋体" w:cs="Times New Roman"/>
                <w:color w:val="000000"/>
                <w:kern w:val="0"/>
                <w:sz w:val="18"/>
                <w:szCs w:val="18"/>
              </w:rPr>
              <w:t>3.18～323.85mm，壁厚：0.89～10.80mm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尺寸允许偏差</w:t>
            </w:r>
          </w:p>
        </w:tc>
        <w:tc>
          <w:tcPr>
            <w:tcW w:w="1418" w:type="dxa"/>
            <w:vAlign w:val="center"/>
          </w:tcPr>
          <w:p>
            <w:pPr>
              <w:jc w:val="center"/>
              <w:rPr>
                <w:rFonts w:eastAsia="宋体" w:cs="Times New Roman" w:asciiTheme="minorEastAsia" w:hAnsiTheme="minorEastAsia"/>
                <w:b/>
                <w:color w:val="000000" w:themeColor="text1"/>
                <w:kern w:val="0"/>
                <w:sz w:val="20"/>
                <w:szCs w:val="21"/>
                <w14:textFill>
                  <w14:solidFill>
                    <w14:schemeClr w14:val="tx1"/>
                  </w14:solidFill>
                </w14:textFill>
              </w:rPr>
            </w:pPr>
            <w:r>
              <w:rPr>
                <w:rFonts w:hint="eastAsia" w:eastAsia="宋体" w:cs="Times New Roman" w:asciiTheme="minorEastAsia" w:hAnsiTheme="minorEastAsia"/>
                <w:b/>
                <w:color w:val="000000" w:themeColor="text1"/>
                <w:kern w:val="0"/>
                <w:sz w:val="20"/>
                <w:szCs w:val="21"/>
                <w14:textFill>
                  <w14:solidFill>
                    <w14:schemeClr w14:val="tx1"/>
                  </w14:solidFill>
                </w14:textFill>
              </w:rPr>
              <w:t>平均外径允许偏差</w:t>
            </w:r>
          </w:p>
        </w:tc>
        <w:tc>
          <w:tcPr>
            <w:tcW w:w="3685" w:type="dxa"/>
            <w:vAlign w:val="center"/>
          </w:tcPr>
          <w:p>
            <w:pPr>
              <w:jc w:val="center"/>
              <w:rPr>
                <w:rFonts w:hint="eastAsia" w:ascii="宋体" w:hAnsi="宋体" w:eastAsia="宋体" w:cs="Times New Roman"/>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外径</w:t>
            </w:r>
            <w:r>
              <w:rPr>
                <w:rFonts w:hint="eastAsia" w:ascii="宋体" w:hAnsi="宋体" w:eastAsia="宋体" w:cs="Times New Roman"/>
                <w:color w:val="000000" w:themeColor="text1"/>
                <w:kern w:val="0"/>
                <w:sz w:val="20"/>
                <w:szCs w:val="21"/>
                <w14:textFill>
                  <w14:solidFill>
                    <w14:schemeClr w14:val="tx1"/>
                  </w14:solidFill>
                </w14:textFill>
              </w:rPr>
              <w:t>≤</w:t>
            </w:r>
            <w:r>
              <w:rPr>
                <w:rFonts w:hint="eastAsia" w:eastAsia="宋体" w:cs="Times New Roman" w:asciiTheme="minorEastAsia" w:hAnsiTheme="minorEastAsia"/>
                <w:color w:val="000000" w:themeColor="text1"/>
                <w:kern w:val="0"/>
                <w:sz w:val="20"/>
                <w:szCs w:val="21"/>
                <w14:textFill>
                  <w14:solidFill>
                    <w14:schemeClr w14:val="tx1"/>
                  </w14:solidFill>
                </w14:textFill>
              </w:rPr>
              <w:t>159mm时：平均外径允许偏差</w:t>
            </w:r>
            <w:r>
              <w:rPr>
                <w:rFonts w:hint="eastAsia" w:ascii="宋体" w:hAnsi="宋体" w:eastAsia="宋体" w:cs="Times New Roman"/>
                <w:color w:val="000000" w:themeColor="text1"/>
                <w:kern w:val="0"/>
                <w:sz w:val="20"/>
                <w:szCs w:val="21"/>
                <w14:textFill>
                  <w14:solidFill>
                    <w14:schemeClr w14:val="tx1"/>
                  </w14:solidFill>
                </w14:textFill>
              </w:rPr>
              <w:t>≤公称外径的±0.3%；</w:t>
            </w:r>
          </w:p>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外径&gt;159</w:t>
            </w:r>
            <w:r>
              <w:rPr>
                <w:rFonts w:hint="eastAsia" w:ascii="宋体" w:hAnsi="宋体" w:eastAsia="宋体" w:cs="Times New Roman"/>
                <w:color w:val="000000"/>
                <w:kern w:val="0"/>
                <w:sz w:val="18"/>
                <w:szCs w:val="18"/>
              </w:rPr>
              <w:t>～458mm时：</w:t>
            </w:r>
            <w:r>
              <w:rPr>
                <w:rFonts w:hint="eastAsia" w:eastAsia="宋体" w:cs="Times New Roman" w:asciiTheme="minorEastAsia" w:hAnsiTheme="minorEastAsia"/>
                <w:color w:val="000000" w:themeColor="text1"/>
                <w:kern w:val="0"/>
                <w:sz w:val="20"/>
                <w:szCs w:val="21"/>
                <w14:textFill>
                  <w14:solidFill>
                    <w14:schemeClr w14:val="tx1"/>
                  </w14:solidFill>
                </w14:textFill>
              </w:rPr>
              <w:t>平均外径允许偏差</w:t>
            </w:r>
            <w:r>
              <w:rPr>
                <w:rFonts w:hint="eastAsia" w:ascii="宋体" w:hAnsi="宋体" w:eastAsia="宋体" w:cs="Times New Roman"/>
                <w:color w:val="000000" w:themeColor="text1"/>
                <w:kern w:val="0"/>
                <w:sz w:val="20"/>
                <w:szCs w:val="21"/>
                <w14:textFill>
                  <w14:solidFill>
                    <w14:schemeClr w14:val="tx1"/>
                  </w14:solidFill>
                </w14:textFill>
              </w:rPr>
              <w:t>≤公称外径的±0.4%</w:t>
            </w:r>
          </w:p>
        </w:tc>
        <w:tc>
          <w:tcPr>
            <w:tcW w:w="3544" w:type="dxa"/>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外径</w:t>
            </w:r>
            <w:r>
              <w:rPr>
                <w:rFonts w:hint="eastAsia" w:ascii="宋体" w:hAnsi="宋体" w:eastAsia="宋体" w:cs="Times New Roman"/>
                <w:color w:val="000000" w:themeColor="text1"/>
                <w:kern w:val="0"/>
                <w:sz w:val="20"/>
                <w:szCs w:val="21"/>
                <w14:textFill>
                  <w14:solidFill>
                    <w14:schemeClr w14:val="tx1"/>
                  </w14:solidFill>
                </w14:textFill>
              </w:rPr>
              <w:t>≤</w:t>
            </w:r>
            <w:r>
              <w:rPr>
                <w:rFonts w:hint="eastAsia" w:eastAsia="宋体" w:cs="Times New Roman" w:asciiTheme="minorEastAsia" w:hAnsiTheme="minorEastAsia"/>
                <w:color w:val="000000" w:themeColor="text1"/>
                <w:kern w:val="0"/>
                <w:sz w:val="20"/>
                <w:szCs w:val="21"/>
                <w14:textFill>
                  <w14:solidFill>
                    <w14:schemeClr w14:val="tx1"/>
                  </w14:solidFill>
                </w14:textFill>
              </w:rPr>
              <w:t>159mm时：平均外径允许偏差</w:t>
            </w:r>
            <w:r>
              <w:rPr>
                <w:rFonts w:hint="eastAsia" w:ascii="宋体" w:hAnsi="宋体" w:eastAsia="宋体" w:cs="Times New Roman"/>
                <w:color w:val="000000" w:themeColor="text1"/>
                <w:kern w:val="0"/>
                <w:sz w:val="20"/>
                <w:szCs w:val="21"/>
                <w14:textFill>
                  <w14:solidFill>
                    <w14:schemeClr w14:val="tx1"/>
                  </w14:solidFill>
                </w14:textFill>
              </w:rPr>
              <w:t>≤公称外径的±0.4%</w:t>
            </w:r>
          </w:p>
        </w:tc>
        <w:tc>
          <w:tcPr>
            <w:tcW w:w="2552" w:type="dxa"/>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平均外径允许偏差</w:t>
            </w:r>
            <w:r>
              <w:rPr>
                <w:rFonts w:hint="eastAsia" w:ascii="宋体" w:hAnsi="宋体" w:eastAsia="宋体" w:cs="Times New Roman"/>
                <w:color w:val="000000" w:themeColor="text1"/>
                <w:kern w:val="0"/>
                <w:sz w:val="20"/>
                <w:szCs w:val="21"/>
                <w14:textFill>
                  <w14:solidFill>
                    <w14:schemeClr w14:val="tx1"/>
                  </w14:solidFill>
                </w14:textFill>
              </w:rPr>
              <w:t>≤公称外径的±0.4%</w:t>
            </w:r>
          </w:p>
        </w:tc>
        <w:tc>
          <w:tcPr>
            <w:tcW w:w="2686" w:type="dxa"/>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平均外径允许偏差：全部负公差</w:t>
            </w:r>
            <w:r>
              <w:rPr>
                <w:rFonts w:hint="eastAsia" w:ascii="宋体" w:hAnsi="宋体" w:eastAsia="宋体" w:cs="Times New Roman"/>
                <w:color w:val="000000" w:themeColor="text1"/>
                <w:kern w:val="0"/>
                <w:sz w:val="2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p>
        </w:tc>
        <w:tc>
          <w:tcPr>
            <w:tcW w:w="1418" w:type="dxa"/>
            <w:vAlign w:val="center"/>
          </w:tcPr>
          <w:p>
            <w:pPr>
              <w:jc w:val="center"/>
              <w:rPr>
                <w:rFonts w:eastAsia="宋体" w:cs="Times New Roman" w:asciiTheme="minorEastAsia" w:hAnsiTheme="minorEastAsia"/>
                <w:b/>
                <w:color w:val="000000" w:themeColor="text1"/>
                <w:kern w:val="0"/>
                <w:sz w:val="20"/>
                <w:szCs w:val="21"/>
                <w14:textFill>
                  <w14:solidFill>
                    <w14:schemeClr w14:val="tx1"/>
                  </w14:solidFill>
                </w14:textFill>
              </w:rPr>
            </w:pPr>
            <w:r>
              <w:rPr>
                <w:rFonts w:hint="eastAsia" w:eastAsia="宋体" w:cs="Times New Roman" w:asciiTheme="minorEastAsia" w:hAnsiTheme="minorEastAsia"/>
                <w:b/>
                <w:color w:val="000000" w:themeColor="text1"/>
                <w:kern w:val="0"/>
                <w:sz w:val="20"/>
                <w:szCs w:val="21"/>
                <w14:textFill>
                  <w14:solidFill>
                    <w14:schemeClr w14:val="tx1"/>
                  </w14:solidFill>
                </w14:textFill>
              </w:rPr>
              <w:t>平均壁厚允许偏差</w:t>
            </w:r>
          </w:p>
        </w:tc>
        <w:tc>
          <w:tcPr>
            <w:tcW w:w="3685" w:type="dxa"/>
            <w:vAlign w:val="center"/>
          </w:tcPr>
          <w:p>
            <w:pPr>
              <w:jc w:val="center"/>
              <w:rPr>
                <w:rFonts w:hint="eastAsia" w:ascii="Times New Roman" w:hAnsi="Times New Roman" w:eastAsia="宋体" w:cs="Times New Roman"/>
                <w:color w:val="000000"/>
                <w:kern w:val="0"/>
                <w:sz w:val="18"/>
                <w:szCs w:val="18"/>
              </w:rPr>
            </w:pPr>
            <w:r>
              <w:rPr>
                <w:rFonts w:hint="eastAsia" w:eastAsia="宋体" w:cs="Times New Roman" w:asciiTheme="minorEastAsia" w:hAnsiTheme="minorEastAsia"/>
                <w:color w:val="000000" w:themeColor="text1"/>
                <w:kern w:val="0"/>
                <w:sz w:val="20"/>
                <w:szCs w:val="21"/>
                <w14:textFill>
                  <w14:solidFill>
                    <w14:schemeClr w14:val="tx1"/>
                  </w14:solidFill>
                </w14:textFill>
              </w:rPr>
              <w:t>外径</w:t>
            </w:r>
            <w:r>
              <w:rPr>
                <w:rFonts w:hint="eastAsia" w:ascii="宋体" w:hAnsi="宋体" w:eastAsia="宋体" w:cs="Times New Roman"/>
                <w:color w:val="000000" w:themeColor="text1"/>
                <w:kern w:val="0"/>
                <w:sz w:val="20"/>
                <w:szCs w:val="21"/>
                <w14:textFill>
                  <w14:solidFill>
                    <w14:schemeClr w14:val="tx1"/>
                  </w14:solidFill>
                </w14:textFill>
              </w:rPr>
              <w:t>≤</w:t>
            </w:r>
            <w:r>
              <w:rPr>
                <w:rFonts w:hint="eastAsia" w:eastAsia="宋体" w:cs="Times New Roman" w:asciiTheme="minorEastAsia" w:hAnsiTheme="minorEastAsia"/>
                <w:color w:val="000000" w:themeColor="text1"/>
                <w:kern w:val="0"/>
                <w:sz w:val="20"/>
                <w:szCs w:val="21"/>
                <w14:textFill>
                  <w14:solidFill>
                    <w14:schemeClr w14:val="tx1"/>
                  </w14:solidFill>
                </w14:textFill>
              </w:rPr>
              <w:t>159mm时：</w:t>
            </w:r>
            <w:r>
              <w:rPr>
                <w:rFonts w:ascii="Times New Roman" w:hAnsi="Times New Roman" w:eastAsia="宋体" w:cs="Times New Roman"/>
                <w:color w:val="000000"/>
                <w:kern w:val="0"/>
                <w:sz w:val="18"/>
                <w:szCs w:val="18"/>
              </w:rPr>
              <w:t>±</w:t>
            </w:r>
            <w:r>
              <w:rPr>
                <w:rFonts w:hint="eastAsia" w:ascii="Times New Roman" w:hAnsi="Times New Roman" w:eastAsia="宋体" w:cs="Times New Roman"/>
                <w:color w:val="000000"/>
                <w:kern w:val="0"/>
                <w:sz w:val="18"/>
                <w:szCs w:val="18"/>
              </w:rPr>
              <w:t>公称壁厚的10%</w:t>
            </w:r>
          </w:p>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kern w:val="0"/>
                <w:sz w:val="18"/>
                <w:szCs w:val="18"/>
              </w:rPr>
              <w:t>外径</w:t>
            </w:r>
            <w:r>
              <w:rPr>
                <w:rFonts w:ascii="Times New Roman" w:hAnsi="Times New Roman" w:eastAsia="宋体" w:cs="Times New Roman"/>
                <w:color w:val="000000"/>
                <w:kern w:val="0"/>
                <w:sz w:val="18"/>
                <w:szCs w:val="18"/>
              </w:rPr>
              <w:t>&gt;</w:t>
            </w:r>
            <w:r>
              <w:rPr>
                <w:rFonts w:hint="eastAsia" w:ascii="Times New Roman" w:hAnsi="Times New Roman" w:eastAsia="宋体" w:cs="Times New Roman"/>
                <w:color w:val="000000"/>
                <w:kern w:val="0"/>
                <w:sz w:val="18"/>
                <w:szCs w:val="18"/>
              </w:rPr>
              <w:t>159</w:t>
            </w:r>
            <w:r>
              <w:rPr>
                <w:rFonts w:ascii="Times New Roman" w:hAnsi="宋体" w:eastAsia="宋体" w:cs="Times New Roman"/>
                <w:color w:val="000000"/>
                <w:kern w:val="0"/>
                <w:sz w:val="18"/>
                <w:szCs w:val="18"/>
              </w:rPr>
              <w:t>～</w:t>
            </w:r>
            <w:r>
              <w:rPr>
                <w:rFonts w:hint="eastAsia" w:ascii="Times New Roman" w:hAnsi="Times New Roman" w:eastAsia="宋体" w:cs="Times New Roman"/>
                <w:color w:val="000000"/>
                <w:kern w:val="0"/>
                <w:sz w:val="18"/>
                <w:szCs w:val="18"/>
              </w:rPr>
              <w:t>458mm时：</w:t>
            </w:r>
            <w:r>
              <w:rPr>
                <w:rFonts w:eastAsia="宋体" w:cs="Times New Roman" w:asciiTheme="minorEastAsia" w:hAnsiTheme="minorEastAsia"/>
                <w:color w:val="000000" w:themeColor="text1"/>
                <w:kern w:val="0"/>
                <w:sz w:val="20"/>
                <w:szCs w:val="21"/>
                <w14:textFill>
                  <w14:solidFill>
                    <w14:schemeClr w14:val="tx1"/>
                  </w14:solidFill>
                </w14:textFill>
              </w:rPr>
              <w:t xml:space="preserve"> </w:t>
            </w:r>
            <w:r>
              <w:rPr>
                <w:rFonts w:ascii="Times New Roman" w:hAnsi="Times New Roman" w:eastAsia="宋体" w:cs="Times New Roman"/>
                <w:color w:val="000000"/>
                <w:kern w:val="0"/>
                <w:sz w:val="18"/>
                <w:szCs w:val="18"/>
              </w:rPr>
              <w:t>±</w:t>
            </w:r>
            <w:r>
              <w:rPr>
                <w:rFonts w:hint="eastAsia" w:ascii="Times New Roman" w:hAnsi="Times New Roman" w:eastAsia="宋体" w:cs="Times New Roman"/>
                <w:color w:val="000000"/>
                <w:kern w:val="0"/>
                <w:sz w:val="18"/>
                <w:szCs w:val="18"/>
              </w:rPr>
              <w:t>公称壁厚的12%</w:t>
            </w:r>
          </w:p>
        </w:tc>
        <w:tc>
          <w:tcPr>
            <w:tcW w:w="3544" w:type="dxa"/>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ascii="Times New Roman" w:hAnsi="Times New Roman" w:eastAsia="宋体" w:cs="Times New Roman"/>
                <w:color w:val="000000"/>
                <w:kern w:val="0"/>
                <w:sz w:val="18"/>
                <w:szCs w:val="18"/>
              </w:rPr>
              <w:t>±</w:t>
            </w:r>
            <w:r>
              <w:rPr>
                <w:rFonts w:hint="eastAsia" w:ascii="Times New Roman" w:hAnsi="Times New Roman" w:eastAsia="宋体" w:cs="Times New Roman"/>
                <w:color w:val="000000"/>
                <w:kern w:val="0"/>
                <w:sz w:val="18"/>
                <w:szCs w:val="18"/>
              </w:rPr>
              <w:t>公称壁厚的12%</w:t>
            </w:r>
          </w:p>
        </w:tc>
        <w:tc>
          <w:tcPr>
            <w:tcW w:w="2552" w:type="dxa"/>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ascii="Times New Roman" w:hAnsi="Times New Roman" w:eastAsia="宋体" w:cs="Times New Roman"/>
                <w:color w:val="000000"/>
                <w:kern w:val="0"/>
                <w:sz w:val="18"/>
                <w:szCs w:val="18"/>
              </w:rPr>
              <w:t>±</w:t>
            </w:r>
            <w:r>
              <w:rPr>
                <w:rFonts w:hint="eastAsia" w:ascii="Times New Roman" w:hAnsi="Times New Roman" w:eastAsia="宋体" w:cs="Times New Roman"/>
                <w:color w:val="000000"/>
                <w:kern w:val="0"/>
                <w:sz w:val="18"/>
                <w:szCs w:val="18"/>
              </w:rPr>
              <w:t>公称壁厚的12%</w:t>
            </w:r>
          </w:p>
        </w:tc>
        <w:tc>
          <w:tcPr>
            <w:tcW w:w="2686" w:type="dxa"/>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不小于公称壁厚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p>
        </w:tc>
        <w:tc>
          <w:tcPr>
            <w:tcW w:w="1418" w:type="dxa"/>
            <w:vAlign w:val="center"/>
          </w:tcPr>
          <w:p>
            <w:pPr>
              <w:jc w:val="center"/>
              <w:rPr>
                <w:rFonts w:eastAsia="宋体" w:cs="Times New Roman" w:asciiTheme="minorEastAsia" w:hAnsiTheme="minorEastAsia"/>
                <w:b/>
                <w:color w:val="000000" w:themeColor="text1"/>
                <w:kern w:val="0"/>
                <w:sz w:val="20"/>
                <w:szCs w:val="21"/>
                <w14:textFill>
                  <w14:solidFill>
                    <w14:schemeClr w14:val="tx1"/>
                  </w14:solidFill>
                </w14:textFill>
              </w:rPr>
            </w:pPr>
            <w:r>
              <w:rPr>
                <w:rFonts w:hint="eastAsia" w:eastAsia="宋体" w:cs="Times New Roman" w:asciiTheme="minorEastAsia" w:hAnsiTheme="minorEastAsia"/>
                <w:b/>
                <w:color w:val="000000" w:themeColor="text1"/>
                <w:kern w:val="0"/>
                <w:sz w:val="20"/>
                <w:szCs w:val="21"/>
                <w14:textFill>
                  <w14:solidFill>
                    <w14:schemeClr w14:val="tx1"/>
                  </w14:solidFill>
                </w14:textFill>
              </w:rPr>
              <w:t>直度</w:t>
            </w:r>
          </w:p>
        </w:tc>
        <w:tc>
          <w:tcPr>
            <w:tcW w:w="3685" w:type="dxa"/>
            <w:vAlign w:val="center"/>
          </w:tcPr>
          <w:p>
            <w:pPr>
              <w:jc w:val="center"/>
              <w:rPr>
                <w:rFonts w:hint="eastAsia" w:ascii="宋体" w:hAnsi="宋体" w:eastAsia="宋体" w:cs="Times New Roman"/>
                <w:color w:val="000000"/>
                <w:kern w:val="0"/>
                <w:sz w:val="18"/>
                <w:szCs w:val="18"/>
              </w:rPr>
            </w:pPr>
            <w:r>
              <w:rPr>
                <w:rFonts w:hint="eastAsia" w:eastAsia="宋体" w:cs="Times New Roman" w:asciiTheme="minorEastAsia" w:hAnsiTheme="minorEastAsia"/>
                <w:color w:val="000000" w:themeColor="text1"/>
                <w:kern w:val="0"/>
                <w:sz w:val="20"/>
                <w:szCs w:val="21"/>
                <w14:textFill>
                  <w14:solidFill>
                    <w14:schemeClr w14:val="tx1"/>
                  </w14:solidFill>
                </w14:textFill>
              </w:rPr>
              <w:t>外径</w:t>
            </w:r>
            <w:r>
              <w:rPr>
                <w:rFonts w:hint="eastAsia" w:ascii="宋体" w:hAnsi="宋体" w:eastAsia="宋体" w:cs="Times New Roman"/>
                <w:color w:val="000000"/>
                <w:kern w:val="0"/>
                <w:sz w:val="18"/>
                <w:szCs w:val="18"/>
              </w:rPr>
              <w:t>≤</w:t>
            </w:r>
            <w:r>
              <w:rPr>
                <w:rFonts w:hint="eastAsia" w:ascii="Times New Roman" w:hAnsi="Times New Roman" w:eastAsia="宋体" w:cs="Times New Roman"/>
                <w:color w:val="000000"/>
                <w:kern w:val="0"/>
                <w:sz w:val="18"/>
                <w:szCs w:val="18"/>
              </w:rPr>
              <w:t>80mm时：</w:t>
            </w:r>
            <w:r>
              <w:rPr>
                <w:rFonts w:hint="eastAsia" w:ascii="宋体" w:hAnsi="宋体" w:eastAsia="宋体" w:cs="Times New Roman"/>
                <w:color w:val="000000"/>
                <w:kern w:val="0"/>
                <w:sz w:val="18"/>
                <w:szCs w:val="18"/>
              </w:rPr>
              <w:t>≤2mm；</w:t>
            </w:r>
          </w:p>
          <w:p>
            <w:pPr>
              <w:jc w:val="center"/>
              <w:rPr>
                <w:rFonts w:hint="eastAsia" w:ascii="宋体" w:hAnsi="宋体" w:eastAsia="宋体" w:cs="Times New Roman"/>
                <w:color w:val="000000"/>
                <w:kern w:val="0"/>
                <w:sz w:val="18"/>
                <w:szCs w:val="18"/>
              </w:rPr>
            </w:pPr>
            <w:r>
              <w:rPr>
                <w:rFonts w:hint="eastAsia" w:eastAsia="宋体" w:cs="Times New Roman" w:asciiTheme="minorEastAsia" w:hAnsiTheme="minorEastAsia"/>
                <w:color w:val="000000" w:themeColor="text1"/>
                <w:kern w:val="0"/>
                <w:sz w:val="20"/>
                <w:szCs w:val="21"/>
                <w14:textFill>
                  <w14:solidFill>
                    <w14:schemeClr w14:val="tx1"/>
                  </w14:solidFill>
                </w14:textFill>
              </w:rPr>
              <w:t>外径</w:t>
            </w:r>
            <w:r>
              <w:rPr>
                <w:rFonts w:ascii="Times New Roman" w:hAnsi="Times New Roman" w:eastAsia="宋体" w:cs="Times New Roman"/>
                <w:color w:val="000000"/>
                <w:kern w:val="0"/>
                <w:sz w:val="18"/>
                <w:szCs w:val="18"/>
              </w:rPr>
              <w:t>&gt;</w:t>
            </w:r>
            <w:r>
              <w:rPr>
                <w:rFonts w:hint="eastAsia" w:ascii="Times New Roman" w:hAnsi="Times New Roman" w:eastAsia="宋体" w:cs="Times New Roman"/>
                <w:color w:val="000000"/>
                <w:kern w:val="0"/>
                <w:sz w:val="18"/>
                <w:szCs w:val="18"/>
              </w:rPr>
              <w:t>80</w:t>
            </w:r>
            <w:r>
              <w:rPr>
                <w:rFonts w:ascii="Times New Roman" w:hAnsi="Times New Roman" w:eastAsia="宋体" w:cs="Times New Roman"/>
                <w:color w:val="000000"/>
                <w:kern w:val="0"/>
                <w:sz w:val="18"/>
                <w:szCs w:val="18"/>
              </w:rPr>
              <w:t>~</w:t>
            </w:r>
            <w:r>
              <w:rPr>
                <w:rFonts w:hint="eastAsia" w:ascii="Times New Roman" w:hAnsi="Times New Roman" w:eastAsia="宋体" w:cs="Times New Roman"/>
                <w:color w:val="000000"/>
                <w:kern w:val="0"/>
                <w:sz w:val="18"/>
                <w:szCs w:val="18"/>
              </w:rPr>
              <w:t>150 mm时：</w:t>
            </w:r>
            <w:r>
              <w:rPr>
                <w:rFonts w:hint="eastAsia" w:ascii="宋体" w:hAnsi="宋体" w:eastAsia="宋体" w:cs="Times New Roman"/>
                <w:color w:val="000000"/>
                <w:kern w:val="0"/>
                <w:sz w:val="18"/>
                <w:szCs w:val="18"/>
              </w:rPr>
              <w:t>≤3mm；</w:t>
            </w:r>
          </w:p>
          <w:p>
            <w:pPr>
              <w:jc w:val="center"/>
              <w:rPr>
                <w:rFonts w:ascii="宋体" w:hAnsi="宋体" w:eastAsia="宋体" w:cs="Times New Roman"/>
                <w:color w:val="000000"/>
                <w:kern w:val="0"/>
                <w:sz w:val="18"/>
                <w:szCs w:val="18"/>
              </w:rPr>
            </w:pPr>
            <w:r>
              <w:rPr>
                <w:rFonts w:hint="eastAsia" w:eastAsia="宋体" w:cs="Times New Roman" w:asciiTheme="minorEastAsia" w:hAnsiTheme="minorEastAsia"/>
                <w:color w:val="000000" w:themeColor="text1"/>
                <w:kern w:val="0"/>
                <w:sz w:val="20"/>
                <w:szCs w:val="21"/>
                <w14:textFill>
                  <w14:solidFill>
                    <w14:schemeClr w14:val="tx1"/>
                  </w14:solidFill>
                </w14:textFill>
              </w:rPr>
              <w:t>外径</w:t>
            </w:r>
            <w:r>
              <w:rPr>
                <w:rFonts w:ascii="Times New Roman" w:hAnsi="Times New Roman" w:eastAsia="宋体" w:cs="Times New Roman"/>
                <w:color w:val="000000"/>
                <w:kern w:val="0"/>
                <w:sz w:val="18"/>
                <w:szCs w:val="18"/>
              </w:rPr>
              <w:t>&gt;</w:t>
            </w:r>
            <w:r>
              <w:rPr>
                <w:rFonts w:hint="eastAsia" w:ascii="Times New Roman" w:hAnsi="Times New Roman" w:eastAsia="宋体" w:cs="Times New Roman"/>
                <w:color w:val="000000"/>
                <w:kern w:val="0"/>
                <w:sz w:val="18"/>
                <w:szCs w:val="18"/>
              </w:rPr>
              <w:t>150时：</w:t>
            </w:r>
            <w:r>
              <w:rPr>
                <w:rFonts w:hint="eastAsia" w:ascii="宋体" w:hAnsi="宋体" w:eastAsia="宋体" w:cs="Times New Roman"/>
                <w:color w:val="000000"/>
                <w:kern w:val="0"/>
                <w:sz w:val="18"/>
                <w:szCs w:val="18"/>
              </w:rPr>
              <w:t>≤4mm</w:t>
            </w:r>
          </w:p>
        </w:tc>
        <w:tc>
          <w:tcPr>
            <w:tcW w:w="3544" w:type="dxa"/>
            <w:vAlign w:val="center"/>
          </w:tcPr>
          <w:p>
            <w:pPr>
              <w:jc w:val="center"/>
              <w:rPr>
                <w:rFonts w:hint="eastAsia" w:ascii="宋体" w:hAnsi="宋体" w:eastAsia="宋体" w:cs="Times New Roman"/>
                <w:color w:val="000000"/>
                <w:kern w:val="0"/>
                <w:sz w:val="18"/>
                <w:szCs w:val="18"/>
              </w:rPr>
            </w:pPr>
            <w:r>
              <w:rPr>
                <w:rFonts w:hint="eastAsia" w:eastAsia="宋体" w:cs="Times New Roman" w:asciiTheme="minorEastAsia" w:hAnsiTheme="minorEastAsia"/>
                <w:color w:val="000000" w:themeColor="text1"/>
                <w:kern w:val="0"/>
                <w:sz w:val="20"/>
                <w:szCs w:val="21"/>
                <w14:textFill>
                  <w14:solidFill>
                    <w14:schemeClr w14:val="tx1"/>
                  </w14:solidFill>
                </w14:textFill>
              </w:rPr>
              <w:t>外径</w:t>
            </w:r>
            <w:r>
              <w:rPr>
                <w:rFonts w:hint="eastAsia" w:ascii="宋体" w:hAnsi="宋体" w:eastAsia="宋体" w:cs="Times New Roman"/>
                <w:color w:val="000000"/>
                <w:kern w:val="0"/>
                <w:sz w:val="18"/>
                <w:szCs w:val="18"/>
              </w:rPr>
              <w:t>≤</w:t>
            </w:r>
            <w:r>
              <w:rPr>
                <w:rFonts w:hint="eastAsia" w:ascii="Times New Roman" w:hAnsi="Times New Roman" w:eastAsia="宋体" w:cs="Times New Roman"/>
                <w:color w:val="000000"/>
                <w:kern w:val="0"/>
                <w:sz w:val="18"/>
                <w:szCs w:val="18"/>
              </w:rPr>
              <w:t>89mm时：</w:t>
            </w:r>
            <w:r>
              <w:rPr>
                <w:rFonts w:hint="eastAsia" w:ascii="宋体" w:hAnsi="宋体" w:eastAsia="宋体" w:cs="Times New Roman"/>
                <w:color w:val="000000"/>
                <w:kern w:val="0"/>
                <w:sz w:val="18"/>
                <w:szCs w:val="18"/>
              </w:rPr>
              <w:t>≤4‰长度（相当于8～24 mm）；</w:t>
            </w:r>
          </w:p>
          <w:p>
            <w:pPr>
              <w:jc w:val="center"/>
              <w:rPr>
                <w:rFonts w:ascii="宋体" w:hAnsi="宋体" w:eastAsia="宋体" w:cs="Times New Roman"/>
                <w:color w:val="000000"/>
                <w:kern w:val="0"/>
                <w:sz w:val="18"/>
                <w:szCs w:val="18"/>
              </w:rPr>
            </w:pPr>
            <w:r>
              <w:rPr>
                <w:rFonts w:hint="eastAsia" w:eastAsia="宋体" w:cs="Times New Roman" w:asciiTheme="minorEastAsia" w:hAnsiTheme="minorEastAsia"/>
                <w:color w:val="000000" w:themeColor="text1"/>
                <w:kern w:val="0"/>
                <w:sz w:val="20"/>
                <w:szCs w:val="21"/>
                <w14:textFill>
                  <w14:solidFill>
                    <w14:schemeClr w14:val="tx1"/>
                  </w14:solidFill>
                </w14:textFill>
              </w:rPr>
              <w:t>外径</w:t>
            </w:r>
            <w:r>
              <w:rPr>
                <w:rFonts w:hint="eastAsia" w:ascii="宋体" w:hAnsi="宋体" w:eastAsia="宋体" w:cs="Times New Roman"/>
                <w:color w:val="000000"/>
                <w:kern w:val="0"/>
                <w:sz w:val="18"/>
                <w:szCs w:val="18"/>
              </w:rPr>
              <w:t>≥</w:t>
            </w:r>
            <w:r>
              <w:rPr>
                <w:rFonts w:hint="eastAsia" w:ascii="Times New Roman" w:hAnsi="Times New Roman" w:eastAsia="宋体" w:cs="Times New Roman"/>
                <w:color w:val="000000"/>
                <w:kern w:val="0"/>
                <w:sz w:val="18"/>
                <w:szCs w:val="18"/>
              </w:rPr>
              <w:t>89mm时：</w:t>
            </w:r>
            <w:r>
              <w:rPr>
                <w:rFonts w:hint="eastAsia" w:ascii="宋体" w:hAnsi="宋体" w:eastAsia="宋体" w:cs="Times New Roman"/>
                <w:color w:val="000000"/>
                <w:kern w:val="0"/>
                <w:sz w:val="18"/>
                <w:szCs w:val="18"/>
              </w:rPr>
              <w:t>≤6‰长度（相当于12～36mm）</w:t>
            </w:r>
          </w:p>
        </w:tc>
        <w:tc>
          <w:tcPr>
            <w:tcW w:w="2552" w:type="dxa"/>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2</w:t>
            </w:r>
            <w:r>
              <w:rPr>
                <w:rFonts w:hint="eastAsia" w:ascii="宋体" w:hAnsi="宋体" w:eastAsia="宋体" w:cs="Times New Roman"/>
                <w:color w:val="000000"/>
                <w:kern w:val="0"/>
                <w:sz w:val="18"/>
                <w:szCs w:val="18"/>
              </w:rPr>
              <w:t>～6mm</w:t>
            </w:r>
          </w:p>
        </w:tc>
        <w:tc>
          <w:tcPr>
            <w:tcW w:w="2686" w:type="dxa"/>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4</w:t>
            </w:r>
            <w:r>
              <w:rPr>
                <w:rFonts w:hint="eastAsia" w:ascii="宋体" w:hAnsi="宋体" w:eastAsia="宋体" w:cs="Times New Roman"/>
                <w:color w:val="000000"/>
                <w:kern w:val="0"/>
                <w:sz w:val="18"/>
                <w:szCs w:val="18"/>
              </w:rPr>
              <w:t>～12.7mm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p>
        </w:tc>
        <w:tc>
          <w:tcPr>
            <w:tcW w:w="1418" w:type="dxa"/>
            <w:vAlign w:val="center"/>
          </w:tcPr>
          <w:p>
            <w:pPr>
              <w:jc w:val="center"/>
              <w:rPr>
                <w:rFonts w:eastAsia="宋体" w:cs="Times New Roman" w:asciiTheme="minorEastAsia" w:hAnsiTheme="minorEastAsia"/>
                <w:b/>
                <w:color w:val="000000" w:themeColor="text1"/>
                <w:kern w:val="0"/>
                <w:sz w:val="20"/>
                <w:szCs w:val="21"/>
                <w14:textFill>
                  <w14:solidFill>
                    <w14:schemeClr w14:val="tx1"/>
                  </w14:solidFill>
                </w14:textFill>
              </w:rPr>
            </w:pPr>
            <w:r>
              <w:rPr>
                <w:rFonts w:hint="eastAsia" w:eastAsia="宋体" w:cs="Times New Roman" w:asciiTheme="minorEastAsia" w:hAnsiTheme="minorEastAsia"/>
                <w:b/>
                <w:color w:val="000000" w:themeColor="text1"/>
                <w:kern w:val="0"/>
                <w:sz w:val="20"/>
                <w:szCs w:val="21"/>
                <w14:textFill>
                  <w14:solidFill>
                    <w14:schemeClr w14:val="tx1"/>
                  </w14:solidFill>
                </w14:textFill>
              </w:rPr>
              <w:t>圆度</w:t>
            </w:r>
          </w:p>
        </w:tc>
        <w:tc>
          <w:tcPr>
            <w:tcW w:w="3685" w:type="dxa"/>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ascii="宋体" w:hAnsi="宋体" w:eastAsia="宋体" w:cs="Times New Roman"/>
                <w:color w:val="000000"/>
                <w:kern w:val="0"/>
                <w:sz w:val="18"/>
                <w:szCs w:val="18"/>
              </w:rPr>
              <w:t>≤</w:t>
            </w:r>
            <w:r>
              <w:rPr>
                <w:rFonts w:hint="eastAsia" w:ascii="Times New Roman" w:hAnsi="Times New Roman" w:eastAsia="宋体" w:cs="Times New Roman"/>
                <w:color w:val="000000"/>
                <w:kern w:val="0"/>
                <w:sz w:val="20"/>
                <w:szCs w:val="21"/>
              </w:rPr>
              <w:t>公称外径的2%</w:t>
            </w:r>
          </w:p>
        </w:tc>
        <w:tc>
          <w:tcPr>
            <w:tcW w:w="3544" w:type="dxa"/>
            <w:vAlign w:val="center"/>
          </w:tcPr>
          <w:p>
            <w:pPr>
              <w:jc w:val="center"/>
              <w:rPr>
                <w:rFonts w:hint="eastAsia" w:ascii="宋体" w:hAnsi="宋体" w:eastAsia="宋体" w:cs="Times New Roman"/>
                <w:color w:val="000000"/>
                <w:kern w:val="0"/>
                <w:sz w:val="18"/>
                <w:szCs w:val="18"/>
              </w:rPr>
            </w:pPr>
            <w:r>
              <w:rPr>
                <w:rFonts w:hint="eastAsia" w:eastAsia="宋体" w:cs="Times New Roman" w:asciiTheme="minorEastAsia" w:hAnsiTheme="minorEastAsia"/>
                <w:color w:val="000000" w:themeColor="text1"/>
                <w:kern w:val="0"/>
                <w:sz w:val="20"/>
                <w:szCs w:val="21"/>
                <w14:textFill>
                  <w14:solidFill>
                    <w14:schemeClr w14:val="tx1"/>
                  </w14:solidFill>
                </w14:textFill>
              </w:rPr>
              <w:t>外径</w:t>
            </w:r>
            <w:r>
              <w:rPr>
                <w:rFonts w:hint="eastAsia" w:ascii="宋体" w:hAnsi="宋体" w:eastAsia="宋体" w:cs="Times New Roman"/>
                <w:color w:val="000000"/>
                <w:kern w:val="0"/>
                <w:sz w:val="18"/>
                <w:szCs w:val="18"/>
              </w:rPr>
              <w:t>≤</w:t>
            </w:r>
            <w:r>
              <w:rPr>
                <w:rFonts w:hint="eastAsia" w:ascii="Times New Roman" w:hAnsi="Times New Roman" w:eastAsia="宋体" w:cs="Times New Roman"/>
                <w:color w:val="000000"/>
                <w:kern w:val="0"/>
                <w:sz w:val="18"/>
                <w:szCs w:val="18"/>
              </w:rPr>
              <w:t>38mm时：</w:t>
            </w:r>
            <w:r>
              <w:rPr>
                <w:rFonts w:hint="eastAsia" w:ascii="宋体" w:hAnsi="宋体" w:eastAsia="宋体" w:cs="Times New Roman"/>
                <w:color w:val="000000"/>
                <w:kern w:val="0"/>
                <w:sz w:val="18"/>
                <w:szCs w:val="18"/>
              </w:rPr>
              <w:t>≤外径允许偏差；</w:t>
            </w:r>
          </w:p>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外径</w:t>
            </w:r>
            <w:r>
              <w:rPr>
                <w:rFonts w:hint="eastAsia" w:ascii="宋体" w:hAnsi="宋体" w:eastAsia="宋体" w:cs="Times New Roman"/>
                <w:color w:val="000000"/>
                <w:kern w:val="0"/>
                <w:sz w:val="18"/>
                <w:szCs w:val="18"/>
              </w:rPr>
              <w:t>≥</w:t>
            </w:r>
            <w:r>
              <w:rPr>
                <w:rFonts w:hint="eastAsia" w:ascii="Times New Roman" w:hAnsi="Times New Roman" w:eastAsia="宋体" w:cs="Times New Roman"/>
                <w:color w:val="000000"/>
                <w:kern w:val="0"/>
                <w:sz w:val="18"/>
                <w:szCs w:val="18"/>
              </w:rPr>
              <w:t>38mm时：</w:t>
            </w:r>
            <w:r>
              <w:rPr>
                <w:rFonts w:hint="eastAsia" w:ascii="宋体" w:hAnsi="宋体" w:eastAsia="宋体" w:cs="Times New Roman"/>
                <w:color w:val="000000"/>
                <w:kern w:val="0"/>
                <w:sz w:val="18"/>
                <w:szCs w:val="18"/>
              </w:rPr>
              <w:t>≤公称壁厚（相当于公称外径的3%）</w:t>
            </w:r>
          </w:p>
        </w:tc>
        <w:tc>
          <w:tcPr>
            <w:tcW w:w="2552" w:type="dxa"/>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ascii="宋体" w:hAnsi="宋体" w:eastAsia="宋体" w:cs="Times New Roman"/>
                <w:color w:val="000000"/>
                <w:kern w:val="0"/>
                <w:sz w:val="18"/>
                <w:szCs w:val="18"/>
              </w:rPr>
              <w:t>≤</w:t>
            </w:r>
            <w:r>
              <w:rPr>
                <w:rFonts w:hint="eastAsia" w:ascii="Times New Roman" w:hAnsi="Times New Roman" w:eastAsia="宋体" w:cs="Times New Roman"/>
                <w:color w:val="000000"/>
                <w:kern w:val="0"/>
                <w:sz w:val="20"/>
                <w:szCs w:val="21"/>
              </w:rPr>
              <w:t>公称外径的2%</w:t>
            </w:r>
          </w:p>
        </w:tc>
        <w:tc>
          <w:tcPr>
            <w:tcW w:w="2686" w:type="dxa"/>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ascii="宋体" w:hAnsi="宋体" w:eastAsia="宋体" w:cs="Times New Roman"/>
                <w:color w:val="000000"/>
                <w:kern w:val="0"/>
                <w:sz w:val="18"/>
                <w:szCs w:val="18"/>
              </w:rPr>
              <w:t>≤</w:t>
            </w:r>
            <w:r>
              <w:rPr>
                <w:rFonts w:hint="eastAsia" w:ascii="Times New Roman" w:hAnsi="Times New Roman" w:eastAsia="宋体" w:cs="Times New Roman"/>
                <w:color w:val="000000"/>
                <w:kern w:val="0"/>
                <w:sz w:val="20"/>
                <w:szCs w:val="21"/>
              </w:rPr>
              <w:t>公称外径的2%</w:t>
            </w:r>
            <w:r>
              <w:rPr>
                <w:rFonts w:hint="eastAsia" w:ascii="宋体" w:hAnsi="宋体" w:eastAsia="宋体" w:cs="Times New Roman"/>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力学性能</w:t>
            </w:r>
          </w:p>
        </w:tc>
        <w:tc>
          <w:tcPr>
            <w:tcW w:w="1418" w:type="dxa"/>
            <w:vAlign w:val="center"/>
          </w:tcPr>
          <w:p>
            <w:pPr>
              <w:jc w:val="center"/>
              <w:rPr>
                <w:rFonts w:hint="eastAsia" w:eastAsia="宋体" w:cs="Times New Roman" w:asciiTheme="minorEastAsia" w:hAnsiTheme="minorEastAsia"/>
                <w:b/>
                <w:color w:val="000000" w:themeColor="text1"/>
                <w:kern w:val="0"/>
                <w:sz w:val="20"/>
                <w:szCs w:val="21"/>
                <w14:textFill>
                  <w14:solidFill>
                    <w14:schemeClr w14:val="tx1"/>
                  </w14:solidFill>
                </w14:textFill>
              </w:rPr>
            </w:pPr>
            <w:r>
              <w:rPr>
                <w:rFonts w:hint="eastAsia" w:eastAsia="宋体" w:cs="Times New Roman" w:asciiTheme="minorEastAsia" w:hAnsiTheme="minorEastAsia"/>
                <w:b/>
                <w:color w:val="000000" w:themeColor="text1"/>
                <w:kern w:val="0"/>
                <w:sz w:val="20"/>
                <w:szCs w:val="21"/>
                <w14:textFill>
                  <w14:solidFill>
                    <w14:schemeClr w14:val="tx1"/>
                  </w14:solidFill>
                </w14:textFill>
              </w:rPr>
              <w:t>抗拉强度</w:t>
            </w:r>
          </w:p>
        </w:tc>
        <w:tc>
          <w:tcPr>
            <w:tcW w:w="3685" w:type="dxa"/>
            <w:vAlign w:val="center"/>
          </w:tcPr>
          <w:p>
            <w:pPr>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≥290</w:t>
            </w:r>
            <w:r>
              <w:rPr>
                <w:rFonts w:hint="eastAsia" w:ascii="Times New Roman" w:hAnsi="Times New Roman" w:eastAsia="宋体" w:cs="Times New Roman"/>
                <w:color w:val="000000"/>
                <w:kern w:val="0"/>
                <w:sz w:val="18"/>
                <w:szCs w:val="18"/>
              </w:rPr>
              <w:t xml:space="preserve"> MPa</w:t>
            </w:r>
          </w:p>
        </w:tc>
        <w:tc>
          <w:tcPr>
            <w:tcW w:w="3544" w:type="dxa"/>
            <w:vAlign w:val="center"/>
          </w:tcPr>
          <w:p>
            <w:pPr>
              <w:jc w:val="center"/>
              <w:rPr>
                <w:rFonts w:hint="eastAsia" w:eastAsia="宋体" w:cs="Times New Roman" w:asciiTheme="minorEastAsia" w:hAnsiTheme="minorEastAsia"/>
                <w:color w:val="000000" w:themeColor="text1"/>
                <w:kern w:val="0"/>
                <w:sz w:val="20"/>
                <w:szCs w:val="21"/>
                <w14:textFill>
                  <w14:solidFill>
                    <w14:schemeClr w14:val="tx1"/>
                  </w14:solidFill>
                </w14:textFill>
              </w:rPr>
            </w:pPr>
            <w:r>
              <w:rPr>
                <w:rFonts w:hint="eastAsia" w:ascii="宋体" w:hAnsi="宋体" w:eastAsia="宋体" w:cs="Times New Roman"/>
                <w:color w:val="000000"/>
                <w:kern w:val="0"/>
                <w:sz w:val="18"/>
                <w:szCs w:val="18"/>
              </w:rPr>
              <w:t>≥290</w:t>
            </w:r>
            <w:r>
              <w:rPr>
                <w:rFonts w:hint="eastAsia" w:ascii="Times New Roman" w:hAnsi="Times New Roman" w:eastAsia="宋体" w:cs="Times New Roman"/>
                <w:color w:val="000000"/>
                <w:kern w:val="0"/>
                <w:sz w:val="18"/>
                <w:szCs w:val="18"/>
              </w:rPr>
              <w:t xml:space="preserve"> MPa</w:t>
            </w:r>
          </w:p>
        </w:tc>
        <w:tc>
          <w:tcPr>
            <w:tcW w:w="2552" w:type="dxa"/>
            <w:vAlign w:val="center"/>
          </w:tcPr>
          <w:p>
            <w:pPr>
              <w:jc w:val="center"/>
              <w:rPr>
                <w:rFonts w:hint="eastAsia" w:ascii="宋体" w:hAnsi="宋体" w:eastAsia="宋体" w:cs="Times New Roman"/>
                <w:color w:val="000000"/>
                <w:kern w:val="0"/>
                <w:sz w:val="18"/>
                <w:szCs w:val="18"/>
              </w:rPr>
            </w:pPr>
          </w:p>
        </w:tc>
        <w:tc>
          <w:tcPr>
            <w:tcW w:w="2686" w:type="dxa"/>
            <w:vAlign w:val="center"/>
          </w:tcPr>
          <w:p>
            <w:pPr>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≥220</w:t>
            </w:r>
            <w:r>
              <w:rPr>
                <w:rFonts w:hint="eastAsia" w:ascii="Times New Roman" w:hAnsi="Times New Roman" w:eastAsia="宋体" w:cs="Times New Roman"/>
                <w:color w:val="000000"/>
                <w:kern w:val="0"/>
                <w:sz w:val="18"/>
                <w:szCs w:val="18"/>
              </w:rPr>
              <w:t xml:space="preserve">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p>
        </w:tc>
        <w:tc>
          <w:tcPr>
            <w:tcW w:w="1418" w:type="dxa"/>
            <w:vAlign w:val="center"/>
          </w:tcPr>
          <w:p>
            <w:pPr>
              <w:pStyle w:val="44"/>
              <w:ind w:firstLine="0" w:firstLineChars="0"/>
              <w:jc w:val="center"/>
              <w:rPr>
                <w:rFonts w:hint="eastAsia" w:ascii="Times New Roman"/>
                <w:b/>
                <w:color w:val="000000"/>
                <w:sz w:val="18"/>
                <w:szCs w:val="18"/>
              </w:rPr>
            </w:pPr>
            <w:r>
              <w:rPr>
                <w:rFonts w:hint="eastAsia" w:ascii="Times New Roman"/>
                <w:b/>
                <w:color w:val="000000"/>
                <w:sz w:val="18"/>
                <w:szCs w:val="18"/>
              </w:rPr>
              <w:t>规定塑性延伸强度</w:t>
            </w:r>
            <w:r>
              <w:rPr>
                <w:rFonts w:hint="eastAsia" w:hAnsi="宋体"/>
                <w:b/>
                <w:color w:val="000000"/>
                <w:sz w:val="18"/>
                <w:szCs w:val="18"/>
              </w:rPr>
              <w:t>Rp</w:t>
            </w:r>
            <w:r>
              <w:rPr>
                <w:rFonts w:hint="eastAsia" w:hAnsi="宋体"/>
                <w:b/>
                <w:color w:val="000000"/>
                <w:sz w:val="18"/>
                <w:szCs w:val="18"/>
                <w:vertAlign w:val="subscript"/>
              </w:rPr>
              <w:t>0.2</w:t>
            </w:r>
          </w:p>
          <w:p>
            <w:pPr>
              <w:jc w:val="center"/>
              <w:rPr>
                <w:rFonts w:hint="eastAsia" w:eastAsia="宋体" w:cs="Times New Roman" w:asciiTheme="minorEastAsia" w:hAnsiTheme="minorEastAsia"/>
                <w:b/>
                <w:color w:val="000000" w:themeColor="text1"/>
                <w:kern w:val="0"/>
                <w:sz w:val="20"/>
                <w:szCs w:val="21"/>
                <w14:textFill>
                  <w14:solidFill>
                    <w14:schemeClr w14:val="tx1"/>
                  </w14:solidFill>
                </w14:textFill>
              </w:rPr>
            </w:pPr>
            <w:r>
              <w:rPr>
                <w:rFonts w:hint="eastAsia" w:ascii="Times New Roman" w:hAnsi="Times New Roman" w:eastAsia="宋体" w:cs="Times New Roman"/>
                <w:b/>
                <w:color w:val="000000"/>
                <w:kern w:val="0"/>
                <w:sz w:val="18"/>
                <w:szCs w:val="18"/>
              </w:rPr>
              <w:t>MPa</w:t>
            </w:r>
          </w:p>
        </w:tc>
        <w:tc>
          <w:tcPr>
            <w:tcW w:w="3685" w:type="dxa"/>
            <w:vAlign w:val="center"/>
          </w:tcPr>
          <w:p>
            <w:pPr>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外径＜115mm时：≥105</w:t>
            </w:r>
            <w:r>
              <w:rPr>
                <w:rFonts w:hint="eastAsia" w:ascii="Times New Roman" w:hAnsi="Times New Roman" w:eastAsia="宋体" w:cs="Times New Roman"/>
                <w:color w:val="000000"/>
                <w:kern w:val="0"/>
                <w:sz w:val="18"/>
                <w:szCs w:val="18"/>
              </w:rPr>
              <w:t xml:space="preserve"> MPa</w:t>
            </w:r>
          </w:p>
          <w:p>
            <w:pPr>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外径≥115mm时：≥90</w:t>
            </w:r>
            <w:r>
              <w:rPr>
                <w:rFonts w:hint="eastAsia" w:ascii="Times New Roman" w:hAnsi="Times New Roman" w:eastAsia="宋体" w:cs="Times New Roman"/>
                <w:color w:val="000000"/>
                <w:kern w:val="0"/>
                <w:sz w:val="18"/>
                <w:szCs w:val="18"/>
              </w:rPr>
              <w:t xml:space="preserve"> MPa</w:t>
            </w:r>
          </w:p>
        </w:tc>
        <w:tc>
          <w:tcPr>
            <w:tcW w:w="3544" w:type="dxa"/>
            <w:vAlign w:val="center"/>
          </w:tcPr>
          <w:p>
            <w:pPr>
              <w:jc w:val="center"/>
              <w:rPr>
                <w:rFonts w:hint="eastAsia" w:ascii="宋体" w:hAnsi="宋体" w:eastAsia="宋体" w:cs="Times New Roman"/>
                <w:color w:val="000000"/>
                <w:kern w:val="0"/>
                <w:sz w:val="18"/>
                <w:szCs w:val="18"/>
              </w:rPr>
            </w:pPr>
          </w:p>
        </w:tc>
        <w:tc>
          <w:tcPr>
            <w:tcW w:w="2552" w:type="dxa"/>
            <w:vAlign w:val="center"/>
          </w:tcPr>
          <w:p>
            <w:pPr>
              <w:jc w:val="center"/>
              <w:rPr>
                <w:rFonts w:hint="eastAsia" w:ascii="宋体" w:hAnsi="宋体" w:eastAsia="宋体" w:cs="Times New Roman"/>
                <w:color w:val="000000"/>
                <w:kern w:val="0"/>
                <w:sz w:val="18"/>
                <w:szCs w:val="18"/>
              </w:rPr>
            </w:pPr>
          </w:p>
        </w:tc>
        <w:tc>
          <w:tcPr>
            <w:tcW w:w="2686" w:type="dxa"/>
            <w:vAlign w:val="center"/>
          </w:tcPr>
          <w:p>
            <w:pPr>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外径＜115mm时：≥80</w:t>
            </w:r>
            <w:r>
              <w:rPr>
                <w:rFonts w:hint="eastAsia" w:ascii="Times New Roman" w:hAnsi="Times New Roman" w:eastAsia="宋体" w:cs="Times New Roman"/>
                <w:color w:val="000000"/>
                <w:kern w:val="0"/>
                <w:sz w:val="18"/>
                <w:szCs w:val="18"/>
              </w:rPr>
              <w:t xml:space="preserve"> MPa</w:t>
            </w:r>
          </w:p>
          <w:p>
            <w:pPr>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外径≥115mm时：≥70</w:t>
            </w:r>
            <w:r>
              <w:rPr>
                <w:rFonts w:hint="eastAsia" w:ascii="Times New Roman" w:hAnsi="Times New Roman" w:eastAsia="宋体" w:cs="Times New Roman"/>
                <w:color w:val="000000"/>
                <w:kern w:val="0"/>
                <w:sz w:val="18"/>
                <w:szCs w:val="18"/>
              </w:rPr>
              <w:t xml:space="preserve">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p>
        </w:tc>
        <w:tc>
          <w:tcPr>
            <w:tcW w:w="1418" w:type="dxa"/>
            <w:vAlign w:val="center"/>
          </w:tcPr>
          <w:p>
            <w:pPr>
              <w:pStyle w:val="44"/>
              <w:ind w:firstLine="0" w:firstLineChars="0"/>
              <w:jc w:val="center"/>
              <w:rPr>
                <w:rFonts w:hint="eastAsia" w:ascii="Times New Roman"/>
                <w:b/>
                <w:color w:val="000000"/>
                <w:sz w:val="18"/>
                <w:szCs w:val="18"/>
              </w:rPr>
            </w:pPr>
            <w:r>
              <w:rPr>
                <w:rFonts w:hint="eastAsia" w:ascii="Times New Roman"/>
                <w:b/>
                <w:color w:val="000000"/>
                <w:sz w:val="18"/>
                <w:szCs w:val="18"/>
              </w:rPr>
              <w:t>断后伸长率</w:t>
            </w:r>
          </w:p>
        </w:tc>
        <w:tc>
          <w:tcPr>
            <w:tcW w:w="3685" w:type="dxa"/>
            <w:vAlign w:val="center"/>
          </w:tcPr>
          <w:p>
            <w:pPr>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≥35%</w:t>
            </w:r>
          </w:p>
        </w:tc>
        <w:tc>
          <w:tcPr>
            <w:tcW w:w="3544" w:type="dxa"/>
            <w:vAlign w:val="center"/>
          </w:tcPr>
          <w:p>
            <w:pPr>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≥30%</w:t>
            </w:r>
          </w:p>
        </w:tc>
        <w:tc>
          <w:tcPr>
            <w:tcW w:w="2552" w:type="dxa"/>
            <w:vAlign w:val="center"/>
          </w:tcPr>
          <w:p>
            <w:pPr>
              <w:jc w:val="center"/>
              <w:rPr>
                <w:rFonts w:hint="eastAsia" w:ascii="宋体" w:hAnsi="宋体" w:eastAsia="宋体" w:cs="Times New Roman"/>
                <w:color w:val="000000"/>
                <w:kern w:val="0"/>
                <w:sz w:val="18"/>
                <w:szCs w:val="18"/>
              </w:rPr>
            </w:pPr>
          </w:p>
        </w:tc>
        <w:tc>
          <w:tcPr>
            <w:tcW w:w="2686" w:type="dxa"/>
            <w:vAlign w:val="center"/>
          </w:tcPr>
          <w:p>
            <w:pPr>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675" w:type="dxa"/>
            <w:vMerge w:val="restart"/>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工艺性能</w:t>
            </w:r>
          </w:p>
        </w:tc>
        <w:tc>
          <w:tcPr>
            <w:tcW w:w="1418" w:type="dxa"/>
            <w:vAlign w:val="center"/>
          </w:tcPr>
          <w:p>
            <w:pPr>
              <w:pStyle w:val="44"/>
              <w:ind w:firstLine="0" w:firstLineChars="0"/>
              <w:jc w:val="center"/>
              <w:rPr>
                <w:rFonts w:hint="eastAsia" w:ascii="Times New Roman"/>
                <w:b/>
                <w:color w:val="000000"/>
                <w:sz w:val="18"/>
                <w:szCs w:val="18"/>
              </w:rPr>
            </w:pPr>
            <w:r>
              <w:rPr>
                <w:rFonts w:hint="eastAsia" w:ascii="Times New Roman"/>
                <w:b/>
                <w:color w:val="000000"/>
                <w:sz w:val="18"/>
                <w:szCs w:val="18"/>
              </w:rPr>
              <w:t>扩口试验</w:t>
            </w:r>
          </w:p>
        </w:tc>
        <w:tc>
          <w:tcPr>
            <w:tcW w:w="3685" w:type="dxa"/>
            <w:vAlign w:val="center"/>
          </w:tcPr>
          <w:p>
            <w:pPr>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w:t>
            </w:r>
          </w:p>
        </w:tc>
        <w:tc>
          <w:tcPr>
            <w:tcW w:w="3544" w:type="dxa"/>
            <w:vAlign w:val="center"/>
          </w:tcPr>
          <w:p>
            <w:pPr>
              <w:jc w:val="center"/>
              <w:rPr>
                <w:rFonts w:hint="eastAsia" w:ascii="宋体" w:hAnsi="宋体" w:eastAsia="宋体" w:cs="Times New Roman"/>
                <w:color w:val="000000"/>
                <w:kern w:val="0"/>
                <w:sz w:val="18"/>
                <w:szCs w:val="18"/>
              </w:rPr>
            </w:pPr>
          </w:p>
        </w:tc>
        <w:tc>
          <w:tcPr>
            <w:tcW w:w="2552" w:type="dxa"/>
            <w:vAlign w:val="center"/>
          </w:tcPr>
          <w:p>
            <w:pPr>
              <w:jc w:val="center"/>
              <w:rPr>
                <w:rFonts w:hint="eastAsia" w:ascii="宋体" w:hAnsi="宋体" w:eastAsia="宋体" w:cs="Times New Roman"/>
                <w:color w:val="000000"/>
                <w:kern w:val="0"/>
                <w:sz w:val="18"/>
                <w:szCs w:val="18"/>
              </w:rPr>
            </w:pPr>
          </w:p>
        </w:tc>
        <w:tc>
          <w:tcPr>
            <w:tcW w:w="2686" w:type="dxa"/>
            <w:vAlign w:val="center"/>
          </w:tcPr>
          <w:p>
            <w:pPr>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p>
        </w:tc>
        <w:tc>
          <w:tcPr>
            <w:tcW w:w="1418" w:type="dxa"/>
            <w:vAlign w:val="center"/>
          </w:tcPr>
          <w:p>
            <w:pPr>
              <w:pStyle w:val="44"/>
              <w:ind w:firstLine="0" w:firstLineChars="0"/>
              <w:jc w:val="center"/>
              <w:rPr>
                <w:rFonts w:hint="eastAsia" w:ascii="Times New Roman"/>
                <w:b/>
                <w:color w:val="000000"/>
                <w:sz w:val="18"/>
                <w:szCs w:val="18"/>
              </w:rPr>
            </w:pPr>
            <w:r>
              <w:rPr>
                <w:rFonts w:hint="eastAsia" w:ascii="Times New Roman"/>
                <w:b/>
                <w:color w:val="000000"/>
                <w:sz w:val="18"/>
                <w:szCs w:val="18"/>
              </w:rPr>
              <w:t>压扁试验</w:t>
            </w:r>
          </w:p>
        </w:tc>
        <w:tc>
          <w:tcPr>
            <w:tcW w:w="3685" w:type="dxa"/>
            <w:vAlign w:val="center"/>
          </w:tcPr>
          <w:p>
            <w:pPr>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w:t>
            </w:r>
          </w:p>
        </w:tc>
        <w:tc>
          <w:tcPr>
            <w:tcW w:w="3544" w:type="dxa"/>
            <w:vAlign w:val="center"/>
          </w:tcPr>
          <w:p>
            <w:pPr>
              <w:jc w:val="center"/>
              <w:rPr>
                <w:rFonts w:hint="eastAsia" w:ascii="宋体" w:hAnsi="宋体" w:eastAsia="宋体" w:cs="Times New Roman"/>
                <w:color w:val="000000"/>
                <w:kern w:val="0"/>
                <w:sz w:val="18"/>
                <w:szCs w:val="18"/>
              </w:rPr>
            </w:pPr>
          </w:p>
        </w:tc>
        <w:tc>
          <w:tcPr>
            <w:tcW w:w="2552" w:type="dxa"/>
            <w:vAlign w:val="center"/>
          </w:tcPr>
          <w:p>
            <w:pPr>
              <w:jc w:val="center"/>
              <w:rPr>
                <w:rFonts w:hint="eastAsia" w:ascii="宋体" w:hAnsi="宋体" w:eastAsia="宋体" w:cs="Times New Roman"/>
                <w:color w:val="000000"/>
                <w:kern w:val="0"/>
                <w:sz w:val="18"/>
                <w:szCs w:val="18"/>
              </w:rPr>
            </w:pPr>
          </w:p>
        </w:tc>
        <w:tc>
          <w:tcPr>
            <w:tcW w:w="2686" w:type="dxa"/>
            <w:vAlign w:val="center"/>
          </w:tcPr>
          <w:p>
            <w:pPr>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p>
        </w:tc>
        <w:tc>
          <w:tcPr>
            <w:tcW w:w="1418" w:type="dxa"/>
            <w:vAlign w:val="center"/>
          </w:tcPr>
          <w:p>
            <w:pPr>
              <w:pStyle w:val="44"/>
              <w:ind w:firstLine="0" w:firstLineChars="0"/>
              <w:jc w:val="center"/>
              <w:rPr>
                <w:rFonts w:hint="eastAsia" w:ascii="Times New Roman"/>
                <w:b/>
                <w:color w:val="000000"/>
                <w:sz w:val="18"/>
                <w:szCs w:val="18"/>
              </w:rPr>
            </w:pPr>
            <w:r>
              <w:rPr>
                <w:rFonts w:hint="eastAsia" w:ascii="Times New Roman"/>
                <w:b/>
                <w:color w:val="000000"/>
                <w:sz w:val="18"/>
                <w:szCs w:val="18"/>
              </w:rPr>
              <w:t>双向折弯试验</w:t>
            </w:r>
          </w:p>
        </w:tc>
        <w:tc>
          <w:tcPr>
            <w:tcW w:w="3685" w:type="dxa"/>
            <w:vAlign w:val="center"/>
          </w:tcPr>
          <w:p>
            <w:pPr>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w:t>
            </w:r>
          </w:p>
        </w:tc>
        <w:tc>
          <w:tcPr>
            <w:tcW w:w="3544" w:type="dxa"/>
            <w:vAlign w:val="center"/>
          </w:tcPr>
          <w:p>
            <w:pPr>
              <w:jc w:val="center"/>
              <w:rPr>
                <w:rFonts w:hint="eastAsia" w:ascii="宋体" w:hAnsi="宋体" w:eastAsia="宋体" w:cs="Times New Roman"/>
                <w:color w:val="000000"/>
                <w:kern w:val="0"/>
                <w:sz w:val="18"/>
                <w:szCs w:val="18"/>
              </w:rPr>
            </w:pPr>
          </w:p>
        </w:tc>
        <w:tc>
          <w:tcPr>
            <w:tcW w:w="2552" w:type="dxa"/>
            <w:vAlign w:val="center"/>
          </w:tcPr>
          <w:p>
            <w:pPr>
              <w:jc w:val="center"/>
              <w:rPr>
                <w:rFonts w:hint="eastAsia" w:ascii="宋体" w:hAnsi="宋体" w:eastAsia="宋体" w:cs="Times New Roman"/>
                <w:color w:val="000000"/>
                <w:kern w:val="0"/>
                <w:sz w:val="18"/>
                <w:szCs w:val="18"/>
              </w:rPr>
            </w:pPr>
          </w:p>
        </w:tc>
        <w:tc>
          <w:tcPr>
            <w:tcW w:w="2686" w:type="dxa"/>
            <w:vAlign w:val="center"/>
          </w:tcPr>
          <w:p>
            <w:pPr>
              <w:jc w:val="center"/>
              <w:rPr>
                <w:rFonts w:hint="eastAsia" w:ascii="宋体" w:hAnsi="宋体" w:eastAsia="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r>
              <w:rPr>
                <w:rFonts w:hint="eastAsia" w:eastAsia="宋体" w:cs="Times New Roman" w:asciiTheme="minorEastAsia" w:hAnsiTheme="minorEastAsia"/>
                <w:color w:val="000000" w:themeColor="text1"/>
                <w:kern w:val="0"/>
                <w:sz w:val="20"/>
                <w:szCs w:val="21"/>
                <w14:textFill>
                  <w14:solidFill>
                    <w14:schemeClr w14:val="tx1"/>
                  </w14:solidFill>
                </w14:textFill>
              </w:rPr>
              <w:t>非破坏性试验</w:t>
            </w:r>
          </w:p>
        </w:tc>
        <w:tc>
          <w:tcPr>
            <w:tcW w:w="1418" w:type="dxa"/>
            <w:vAlign w:val="center"/>
          </w:tcPr>
          <w:p>
            <w:pPr>
              <w:pStyle w:val="44"/>
              <w:ind w:firstLine="0" w:firstLineChars="0"/>
              <w:jc w:val="center"/>
              <w:rPr>
                <w:rFonts w:hint="eastAsia" w:ascii="Times New Roman"/>
                <w:b/>
                <w:color w:val="000000"/>
                <w:sz w:val="18"/>
                <w:szCs w:val="18"/>
              </w:rPr>
            </w:pPr>
            <w:r>
              <w:rPr>
                <w:rFonts w:hint="eastAsia" w:ascii="Times New Roman"/>
                <w:b/>
                <w:color w:val="000000"/>
                <w:sz w:val="18"/>
                <w:szCs w:val="18"/>
              </w:rPr>
              <w:t>涡流探伤</w:t>
            </w:r>
          </w:p>
        </w:tc>
        <w:tc>
          <w:tcPr>
            <w:tcW w:w="3685" w:type="dxa"/>
            <w:vAlign w:val="center"/>
          </w:tcPr>
          <w:p>
            <w:pPr>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w:t>
            </w:r>
          </w:p>
        </w:tc>
        <w:tc>
          <w:tcPr>
            <w:tcW w:w="3544" w:type="dxa"/>
            <w:vAlign w:val="center"/>
          </w:tcPr>
          <w:p>
            <w:pPr>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w:t>
            </w:r>
          </w:p>
        </w:tc>
        <w:tc>
          <w:tcPr>
            <w:tcW w:w="2552" w:type="dxa"/>
            <w:vAlign w:val="center"/>
          </w:tcPr>
          <w:p>
            <w:pPr>
              <w:jc w:val="center"/>
              <w:rPr>
                <w:rFonts w:hint="eastAsia" w:ascii="宋体" w:hAnsi="宋体" w:eastAsia="宋体" w:cs="Times New Roman"/>
                <w:color w:val="000000"/>
                <w:kern w:val="0"/>
                <w:sz w:val="18"/>
                <w:szCs w:val="18"/>
              </w:rPr>
            </w:pPr>
          </w:p>
        </w:tc>
        <w:tc>
          <w:tcPr>
            <w:tcW w:w="2686" w:type="dxa"/>
            <w:vAlign w:val="center"/>
          </w:tcPr>
          <w:p>
            <w:pPr>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continue"/>
            <w:vAlign w:val="center"/>
          </w:tcPr>
          <w:p>
            <w:pPr>
              <w:jc w:val="center"/>
              <w:rPr>
                <w:rFonts w:eastAsia="宋体" w:cs="Times New Roman" w:asciiTheme="minorEastAsia" w:hAnsiTheme="minorEastAsia"/>
                <w:color w:val="000000" w:themeColor="text1"/>
                <w:kern w:val="0"/>
                <w:sz w:val="20"/>
                <w:szCs w:val="21"/>
                <w14:textFill>
                  <w14:solidFill>
                    <w14:schemeClr w14:val="tx1"/>
                  </w14:solidFill>
                </w14:textFill>
              </w:rPr>
            </w:pPr>
          </w:p>
        </w:tc>
        <w:tc>
          <w:tcPr>
            <w:tcW w:w="1418" w:type="dxa"/>
            <w:vAlign w:val="center"/>
          </w:tcPr>
          <w:p>
            <w:pPr>
              <w:pStyle w:val="44"/>
              <w:ind w:firstLine="0" w:firstLineChars="0"/>
              <w:jc w:val="center"/>
              <w:rPr>
                <w:rFonts w:hint="eastAsia" w:ascii="Times New Roman"/>
                <w:b/>
                <w:color w:val="000000"/>
                <w:sz w:val="18"/>
                <w:szCs w:val="18"/>
              </w:rPr>
            </w:pPr>
            <w:r>
              <w:rPr>
                <w:rFonts w:hint="eastAsia" w:ascii="Times New Roman"/>
                <w:b/>
                <w:color w:val="000000"/>
                <w:sz w:val="18"/>
                <w:szCs w:val="18"/>
              </w:rPr>
              <w:t>水压试验</w:t>
            </w:r>
          </w:p>
        </w:tc>
        <w:tc>
          <w:tcPr>
            <w:tcW w:w="3685" w:type="dxa"/>
            <w:vAlign w:val="center"/>
          </w:tcPr>
          <w:p>
            <w:pPr>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w:t>
            </w:r>
          </w:p>
        </w:tc>
        <w:tc>
          <w:tcPr>
            <w:tcW w:w="3544" w:type="dxa"/>
            <w:vAlign w:val="center"/>
          </w:tcPr>
          <w:p>
            <w:pPr>
              <w:jc w:val="center"/>
              <w:rPr>
                <w:rFonts w:hint="eastAsia" w:ascii="宋体" w:hAnsi="宋体" w:eastAsia="宋体" w:cs="Times New Roman"/>
                <w:color w:val="000000"/>
                <w:kern w:val="0"/>
                <w:sz w:val="18"/>
                <w:szCs w:val="18"/>
              </w:rPr>
            </w:pPr>
          </w:p>
        </w:tc>
        <w:tc>
          <w:tcPr>
            <w:tcW w:w="2552" w:type="dxa"/>
            <w:vAlign w:val="center"/>
          </w:tcPr>
          <w:p>
            <w:pPr>
              <w:jc w:val="center"/>
              <w:rPr>
                <w:rFonts w:hint="eastAsia" w:ascii="宋体" w:hAnsi="宋体" w:eastAsia="宋体" w:cs="Times New Roman"/>
                <w:color w:val="000000"/>
                <w:kern w:val="0"/>
                <w:sz w:val="18"/>
                <w:szCs w:val="18"/>
              </w:rPr>
            </w:pPr>
          </w:p>
        </w:tc>
        <w:tc>
          <w:tcPr>
            <w:tcW w:w="2686" w:type="dxa"/>
            <w:vAlign w:val="center"/>
          </w:tcPr>
          <w:p>
            <w:pPr>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gridSpan w:val="2"/>
            <w:vAlign w:val="center"/>
          </w:tcPr>
          <w:p>
            <w:pPr>
              <w:pStyle w:val="44"/>
              <w:ind w:firstLine="0" w:firstLineChars="0"/>
              <w:jc w:val="center"/>
              <w:rPr>
                <w:rFonts w:hint="eastAsia" w:ascii="Times New Roman"/>
                <w:b/>
                <w:color w:val="000000"/>
                <w:sz w:val="18"/>
                <w:szCs w:val="18"/>
              </w:rPr>
            </w:pPr>
            <w:r>
              <w:rPr>
                <w:rFonts w:hint="eastAsia" w:ascii="Times New Roman"/>
                <w:b/>
                <w:color w:val="000000"/>
                <w:sz w:val="18"/>
                <w:szCs w:val="18"/>
              </w:rPr>
              <w:t>耐腐蚀性能试验</w:t>
            </w:r>
          </w:p>
        </w:tc>
        <w:tc>
          <w:tcPr>
            <w:tcW w:w="3685" w:type="dxa"/>
            <w:vAlign w:val="center"/>
          </w:tcPr>
          <w:p>
            <w:pPr>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w:t>
            </w:r>
          </w:p>
        </w:tc>
        <w:tc>
          <w:tcPr>
            <w:tcW w:w="3544" w:type="dxa"/>
            <w:vAlign w:val="center"/>
          </w:tcPr>
          <w:p>
            <w:pPr>
              <w:jc w:val="center"/>
              <w:rPr>
                <w:rFonts w:hint="eastAsia" w:ascii="宋体" w:hAnsi="宋体" w:eastAsia="宋体" w:cs="Times New Roman"/>
                <w:color w:val="000000"/>
                <w:kern w:val="0"/>
                <w:sz w:val="18"/>
                <w:szCs w:val="18"/>
              </w:rPr>
            </w:pPr>
          </w:p>
        </w:tc>
        <w:tc>
          <w:tcPr>
            <w:tcW w:w="2552" w:type="dxa"/>
            <w:vAlign w:val="center"/>
          </w:tcPr>
          <w:p>
            <w:pPr>
              <w:jc w:val="center"/>
              <w:rPr>
                <w:rFonts w:hint="eastAsia" w:ascii="宋体" w:hAnsi="宋体" w:eastAsia="宋体" w:cs="Times New Roman"/>
                <w:color w:val="000000"/>
                <w:kern w:val="0"/>
                <w:sz w:val="18"/>
                <w:szCs w:val="18"/>
              </w:rPr>
            </w:pPr>
          </w:p>
        </w:tc>
        <w:tc>
          <w:tcPr>
            <w:tcW w:w="2686" w:type="dxa"/>
            <w:vAlign w:val="center"/>
          </w:tcPr>
          <w:p>
            <w:pPr>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w:t>
            </w:r>
          </w:p>
        </w:tc>
      </w:tr>
    </w:tbl>
    <w:p>
      <w:pPr>
        <w:spacing w:line="300" w:lineRule="auto"/>
        <w:jc w:val="left"/>
        <w:rPr>
          <w:rFonts w:asciiTheme="minorEastAsia" w:hAnsiTheme="minorEastAsia"/>
          <w:color w:val="000000" w:themeColor="text1"/>
          <w:szCs w:val="21"/>
          <w14:textFill>
            <w14:solidFill>
              <w14:schemeClr w14:val="tx1"/>
            </w14:solidFill>
          </w14:textFill>
        </w:rPr>
      </w:pPr>
    </w:p>
    <w:p>
      <w:pPr>
        <w:spacing w:line="300" w:lineRule="auto"/>
        <w:jc w:val="left"/>
        <w:rPr>
          <w:rFonts w:asciiTheme="minorEastAsia" w:hAnsiTheme="minorEastAsia"/>
          <w:color w:val="000000" w:themeColor="text1"/>
          <w:szCs w:val="21"/>
          <w14:textFill>
            <w14:solidFill>
              <w14:schemeClr w14:val="tx1"/>
            </w14:solidFill>
          </w14:textFill>
        </w:rPr>
        <w:sectPr>
          <w:pgSz w:w="16838" w:h="11906" w:orient="landscape"/>
          <w:pgMar w:top="1247" w:right="1247" w:bottom="1247" w:left="1247" w:header="851" w:footer="992" w:gutter="0"/>
          <w:cols w:space="425" w:num="1"/>
          <w:docGrid w:linePitch="312" w:charSpace="0"/>
        </w:sectPr>
      </w:pPr>
    </w:p>
    <w:p>
      <w:pPr>
        <w:spacing w:line="300" w:lineRule="auto"/>
        <w:jc w:val="left"/>
        <w:rPr>
          <w:rFonts w:asciiTheme="minorEastAsia" w:hAnsiTheme="minorEastAsia"/>
          <w:color w:val="000000" w:themeColor="text1"/>
          <w:szCs w:val="21"/>
          <w14:textFill>
            <w14:solidFill>
              <w14:schemeClr w14:val="tx1"/>
            </w14:solidFill>
          </w14:textFill>
        </w:rPr>
      </w:pPr>
    </w:p>
    <w:sectPr>
      <w:pgSz w:w="16838" w:h="11906" w:orient="landscape"/>
      <w:pgMar w:top="1247" w:right="1247" w:bottom="1247" w:left="124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444141"/>
      <w:docPartObj>
        <w:docPartGallery w:val="autotext"/>
      </w:docPartObj>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7A5"/>
    <w:multiLevelType w:val="multilevel"/>
    <w:tmpl w:val="04EB67A5"/>
    <w:lvl w:ilvl="0" w:tentative="0">
      <w:start w:val="1"/>
      <w:numFmt w:val="decimal"/>
      <w:lvlText w:val="2.%1"/>
      <w:lvlJc w:val="left"/>
      <w:pPr>
        <w:ind w:left="420" w:hanging="420"/>
      </w:pPr>
      <w:rPr>
        <w:rFonts w:hint="eastAsia"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371E14"/>
    <w:multiLevelType w:val="multilevel"/>
    <w:tmpl w:val="27371E14"/>
    <w:lvl w:ilvl="0" w:tentative="0">
      <w:start w:val="4"/>
      <w:numFmt w:val="decimal"/>
      <w:lvlText w:val="%1"/>
      <w:lvlJc w:val="left"/>
      <w:pPr>
        <w:ind w:left="540" w:hanging="540"/>
      </w:pPr>
      <w:rPr>
        <w:rFonts w:hint="default"/>
      </w:rPr>
    </w:lvl>
    <w:lvl w:ilvl="1" w:tentative="0">
      <w:start w:val="2"/>
      <w:numFmt w:val="decimal"/>
      <w:lvlText w:val="%1.%2"/>
      <w:lvlJc w:val="left"/>
      <w:pPr>
        <w:ind w:left="750" w:hanging="540"/>
      </w:pPr>
      <w:rPr>
        <w:rFonts w:hint="default"/>
      </w:rPr>
    </w:lvl>
    <w:lvl w:ilvl="2" w:tentative="0">
      <w:start w:val="12"/>
      <w:numFmt w:val="decimal"/>
      <w:lvlText w:val="%1.%2.%3"/>
      <w:lvlJc w:val="left"/>
      <w:pPr>
        <w:ind w:left="1140" w:hanging="720"/>
      </w:pPr>
      <w:rPr>
        <w:rFonts w:hint="default"/>
      </w:rPr>
    </w:lvl>
    <w:lvl w:ilvl="3" w:tentative="0">
      <w:start w:val="1"/>
      <w:numFmt w:val="decimal"/>
      <w:lvlText w:val="%1.%2.%3.%4"/>
      <w:lvlJc w:val="left"/>
      <w:pPr>
        <w:ind w:left="1710" w:hanging="1080"/>
      </w:pPr>
      <w:rPr>
        <w:rFonts w:hint="default"/>
      </w:rPr>
    </w:lvl>
    <w:lvl w:ilvl="4" w:tentative="0">
      <w:start w:val="1"/>
      <w:numFmt w:val="decimal"/>
      <w:lvlText w:val="%1.%2.%3.%4.%5"/>
      <w:lvlJc w:val="left"/>
      <w:pPr>
        <w:ind w:left="1920" w:hanging="1080"/>
      </w:pPr>
      <w:rPr>
        <w:rFonts w:hint="default"/>
      </w:rPr>
    </w:lvl>
    <w:lvl w:ilvl="5" w:tentative="0">
      <w:start w:val="1"/>
      <w:numFmt w:val="decimal"/>
      <w:lvlText w:val="%1.%2.%3.%4.%5.%6"/>
      <w:lvlJc w:val="left"/>
      <w:pPr>
        <w:ind w:left="2490" w:hanging="1440"/>
      </w:pPr>
      <w:rPr>
        <w:rFonts w:hint="default"/>
      </w:rPr>
    </w:lvl>
    <w:lvl w:ilvl="6" w:tentative="0">
      <w:start w:val="1"/>
      <w:numFmt w:val="decimal"/>
      <w:lvlText w:val="%1.%2.%3.%4.%5.%6.%7"/>
      <w:lvlJc w:val="left"/>
      <w:pPr>
        <w:ind w:left="2700" w:hanging="1440"/>
      </w:pPr>
      <w:rPr>
        <w:rFonts w:hint="default"/>
      </w:rPr>
    </w:lvl>
    <w:lvl w:ilvl="7" w:tentative="0">
      <w:start w:val="1"/>
      <w:numFmt w:val="decimal"/>
      <w:lvlText w:val="%1.%2.%3.%4.%5.%6.%7.%8"/>
      <w:lvlJc w:val="left"/>
      <w:pPr>
        <w:ind w:left="3270" w:hanging="1800"/>
      </w:pPr>
      <w:rPr>
        <w:rFonts w:hint="default"/>
      </w:rPr>
    </w:lvl>
    <w:lvl w:ilvl="8" w:tentative="0">
      <w:start w:val="1"/>
      <w:numFmt w:val="decimal"/>
      <w:lvlText w:val="%1.%2.%3.%4.%5.%6.%7.%8.%9"/>
      <w:lvlJc w:val="left"/>
      <w:pPr>
        <w:ind w:left="3480" w:hanging="1800"/>
      </w:pPr>
      <w:rPr>
        <w:rFonts w:hint="default"/>
      </w:rPr>
    </w:lvl>
  </w:abstractNum>
  <w:abstractNum w:abstractNumId="2">
    <w:nsid w:val="41BA464F"/>
    <w:multiLevelType w:val="multilevel"/>
    <w:tmpl w:val="41BA464F"/>
    <w:lvl w:ilvl="0" w:tentative="0">
      <w:start w:val="1"/>
      <w:numFmt w:val="decimal"/>
      <w:lvlText w:val="%1"/>
      <w:lvlJc w:val="left"/>
      <w:pPr>
        <w:tabs>
          <w:tab w:val="left" w:pos="0"/>
        </w:tabs>
        <w:ind w:left="0" w:firstLine="0"/>
      </w:pPr>
      <w:rPr>
        <w:rFonts w:hint="eastAsia" w:cs="Times New Roman"/>
        <w:color w:val="auto"/>
      </w:rPr>
    </w:lvl>
    <w:lvl w:ilvl="1" w:tentative="0">
      <w:start w:val="1"/>
      <w:numFmt w:val="decimal"/>
      <w:lvlText w:val="%2）"/>
      <w:lvlJc w:val="left"/>
      <w:pPr>
        <w:tabs>
          <w:tab w:val="left" w:pos="420"/>
        </w:tabs>
        <w:ind w:left="0" w:firstLine="42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6806F7D"/>
    <w:multiLevelType w:val="multilevel"/>
    <w:tmpl w:val="46806F7D"/>
    <w:lvl w:ilvl="0" w:tentative="0">
      <w:start w:val="1"/>
      <w:numFmt w:val="none"/>
      <w:pStyle w:val="46"/>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6D22D8F"/>
    <w:multiLevelType w:val="multilevel"/>
    <w:tmpl w:val="46D22D8F"/>
    <w:lvl w:ilvl="0" w:tentative="0">
      <w:start w:val="1"/>
      <w:numFmt w:val="none"/>
      <w:pStyle w:val="48"/>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302902"/>
    <w:multiLevelType w:val="multilevel"/>
    <w:tmpl w:val="4F302902"/>
    <w:lvl w:ilvl="0" w:tentative="0">
      <w:start w:val="1"/>
      <w:numFmt w:val="none"/>
      <w:pStyle w:val="43"/>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350366A"/>
    <w:multiLevelType w:val="multilevel"/>
    <w:tmpl w:val="6350366A"/>
    <w:lvl w:ilvl="0" w:tentative="0">
      <w:start w:val="1"/>
      <w:numFmt w:val="none"/>
      <w:pStyle w:val="47"/>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6933334"/>
    <w:multiLevelType w:val="multilevel"/>
    <w:tmpl w:val="76933334"/>
    <w:lvl w:ilvl="0" w:tentative="0">
      <w:start w:val="1"/>
      <w:numFmt w:val="none"/>
      <w:pStyle w:val="24"/>
      <w:lvlText w:val="%1——"/>
      <w:lvlJc w:val="left"/>
      <w:pPr>
        <w:tabs>
          <w:tab w:val="left" w:pos="1140"/>
        </w:tabs>
        <w:ind w:left="84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5"/>
  </w:num>
  <w:num w:numId="3">
    <w:abstractNumId w:val="3"/>
  </w:num>
  <w:num w:numId="4">
    <w:abstractNumId w:val="6"/>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74A"/>
    <w:rsid w:val="00025876"/>
    <w:rsid w:val="00033EB6"/>
    <w:rsid w:val="00041112"/>
    <w:rsid w:val="000631C4"/>
    <w:rsid w:val="00063D24"/>
    <w:rsid w:val="0006519D"/>
    <w:rsid w:val="00066BE2"/>
    <w:rsid w:val="00067CC8"/>
    <w:rsid w:val="00076A12"/>
    <w:rsid w:val="000965BC"/>
    <w:rsid w:val="000A6601"/>
    <w:rsid w:val="000B1605"/>
    <w:rsid w:val="000C5471"/>
    <w:rsid w:val="000C6334"/>
    <w:rsid w:val="000D1C25"/>
    <w:rsid w:val="000D2211"/>
    <w:rsid w:val="000E070A"/>
    <w:rsid w:val="000F2A2B"/>
    <w:rsid w:val="000F2E14"/>
    <w:rsid w:val="000F5C6E"/>
    <w:rsid w:val="00100F4B"/>
    <w:rsid w:val="00102F74"/>
    <w:rsid w:val="00103544"/>
    <w:rsid w:val="001056E5"/>
    <w:rsid w:val="00111A35"/>
    <w:rsid w:val="00113E84"/>
    <w:rsid w:val="001227C5"/>
    <w:rsid w:val="00126FA0"/>
    <w:rsid w:val="001414CE"/>
    <w:rsid w:val="00144037"/>
    <w:rsid w:val="00153F32"/>
    <w:rsid w:val="00154262"/>
    <w:rsid w:val="00155CB3"/>
    <w:rsid w:val="001563EA"/>
    <w:rsid w:val="00160A5A"/>
    <w:rsid w:val="00181025"/>
    <w:rsid w:val="0018376E"/>
    <w:rsid w:val="00185827"/>
    <w:rsid w:val="001901C9"/>
    <w:rsid w:val="001902FB"/>
    <w:rsid w:val="001906A9"/>
    <w:rsid w:val="001B10C1"/>
    <w:rsid w:val="001B1659"/>
    <w:rsid w:val="001B7FE4"/>
    <w:rsid w:val="001D157F"/>
    <w:rsid w:val="001D56FA"/>
    <w:rsid w:val="001E15BD"/>
    <w:rsid w:val="001F3ABC"/>
    <w:rsid w:val="002030CA"/>
    <w:rsid w:val="00215E3B"/>
    <w:rsid w:val="002236A6"/>
    <w:rsid w:val="00235C51"/>
    <w:rsid w:val="00245AAF"/>
    <w:rsid w:val="0025434A"/>
    <w:rsid w:val="00267898"/>
    <w:rsid w:val="0027721A"/>
    <w:rsid w:val="00282E48"/>
    <w:rsid w:val="00283272"/>
    <w:rsid w:val="002911D0"/>
    <w:rsid w:val="00292898"/>
    <w:rsid w:val="00296388"/>
    <w:rsid w:val="00297093"/>
    <w:rsid w:val="002A2F32"/>
    <w:rsid w:val="002A3A23"/>
    <w:rsid w:val="002A460E"/>
    <w:rsid w:val="002B0897"/>
    <w:rsid w:val="002B53B1"/>
    <w:rsid w:val="002B6AAA"/>
    <w:rsid w:val="002B6B3B"/>
    <w:rsid w:val="002C12BD"/>
    <w:rsid w:val="002C2248"/>
    <w:rsid w:val="002C2DC4"/>
    <w:rsid w:val="002C56D5"/>
    <w:rsid w:val="002C7B78"/>
    <w:rsid w:val="002E5681"/>
    <w:rsid w:val="002E6A51"/>
    <w:rsid w:val="002F2E4A"/>
    <w:rsid w:val="002F652B"/>
    <w:rsid w:val="00301DD6"/>
    <w:rsid w:val="0031542D"/>
    <w:rsid w:val="00324017"/>
    <w:rsid w:val="0032528C"/>
    <w:rsid w:val="00335B03"/>
    <w:rsid w:val="00340578"/>
    <w:rsid w:val="00340A69"/>
    <w:rsid w:val="00341E50"/>
    <w:rsid w:val="00342213"/>
    <w:rsid w:val="00343915"/>
    <w:rsid w:val="00352243"/>
    <w:rsid w:val="00355130"/>
    <w:rsid w:val="003631E2"/>
    <w:rsid w:val="00364774"/>
    <w:rsid w:val="00390A0A"/>
    <w:rsid w:val="003951E4"/>
    <w:rsid w:val="0039530B"/>
    <w:rsid w:val="0039610D"/>
    <w:rsid w:val="003A2848"/>
    <w:rsid w:val="003B3D63"/>
    <w:rsid w:val="003B6951"/>
    <w:rsid w:val="003C03BB"/>
    <w:rsid w:val="003D39B8"/>
    <w:rsid w:val="003E6023"/>
    <w:rsid w:val="003E7FB9"/>
    <w:rsid w:val="003F0A6C"/>
    <w:rsid w:val="004145EA"/>
    <w:rsid w:val="004306B4"/>
    <w:rsid w:val="004319BA"/>
    <w:rsid w:val="004413B2"/>
    <w:rsid w:val="00446B59"/>
    <w:rsid w:val="00456F34"/>
    <w:rsid w:val="00473170"/>
    <w:rsid w:val="00476EBE"/>
    <w:rsid w:val="0048133D"/>
    <w:rsid w:val="0048350B"/>
    <w:rsid w:val="0048372F"/>
    <w:rsid w:val="00484FB7"/>
    <w:rsid w:val="00497FF6"/>
    <w:rsid w:val="004A409D"/>
    <w:rsid w:val="004A5D8E"/>
    <w:rsid w:val="004B067B"/>
    <w:rsid w:val="004B7AFE"/>
    <w:rsid w:val="004C3EA3"/>
    <w:rsid w:val="004D333F"/>
    <w:rsid w:val="004D3A38"/>
    <w:rsid w:val="004E07CE"/>
    <w:rsid w:val="004E2AE0"/>
    <w:rsid w:val="004E5F66"/>
    <w:rsid w:val="004E5FDC"/>
    <w:rsid w:val="004E6516"/>
    <w:rsid w:val="004F41BD"/>
    <w:rsid w:val="004F46C7"/>
    <w:rsid w:val="004F7820"/>
    <w:rsid w:val="004F79E9"/>
    <w:rsid w:val="0050130D"/>
    <w:rsid w:val="00502283"/>
    <w:rsid w:val="005039D2"/>
    <w:rsid w:val="005055AC"/>
    <w:rsid w:val="005131ED"/>
    <w:rsid w:val="00513ACF"/>
    <w:rsid w:val="00516401"/>
    <w:rsid w:val="005336EB"/>
    <w:rsid w:val="005515EB"/>
    <w:rsid w:val="00552EFB"/>
    <w:rsid w:val="00557291"/>
    <w:rsid w:val="0056050B"/>
    <w:rsid w:val="005622DF"/>
    <w:rsid w:val="00566DDC"/>
    <w:rsid w:val="00575955"/>
    <w:rsid w:val="005921A9"/>
    <w:rsid w:val="00594F71"/>
    <w:rsid w:val="005A0599"/>
    <w:rsid w:val="005C3AA0"/>
    <w:rsid w:val="005C5E10"/>
    <w:rsid w:val="005D2886"/>
    <w:rsid w:val="005D2B3C"/>
    <w:rsid w:val="005D476F"/>
    <w:rsid w:val="005E5551"/>
    <w:rsid w:val="005F2F6D"/>
    <w:rsid w:val="0060148E"/>
    <w:rsid w:val="00604E1F"/>
    <w:rsid w:val="0061515C"/>
    <w:rsid w:val="00616847"/>
    <w:rsid w:val="00624D27"/>
    <w:rsid w:val="0062788C"/>
    <w:rsid w:val="00627C4B"/>
    <w:rsid w:val="00630498"/>
    <w:rsid w:val="00631BD9"/>
    <w:rsid w:val="00631C92"/>
    <w:rsid w:val="00637F1C"/>
    <w:rsid w:val="00641078"/>
    <w:rsid w:val="006417C4"/>
    <w:rsid w:val="00645BD3"/>
    <w:rsid w:val="00647E1C"/>
    <w:rsid w:val="00652407"/>
    <w:rsid w:val="00653EAE"/>
    <w:rsid w:val="0066274A"/>
    <w:rsid w:val="00664E23"/>
    <w:rsid w:val="00677735"/>
    <w:rsid w:val="006861B6"/>
    <w:rsid w:val="00686928"/>
    <w:rsid w:val="00687280"/>
    <w:rsid w:val="00687F69"/>
    <w:rsid w:val="00696373"/>
    <w:rsid w:val="006A0572"/>
    <w:rsid w:val="006A0774"/>
    <w:rsid w:val="006A08DE"/>
    <w:rsid w:val="006A4AC7"/>
    <w:rsid w:val="006B3FC7"/>
    <w:rsid w:val="006B4E8B"/>
    <w:rsid w:val="006D107C"/>
    <w:rsid w:val="006F6612"/>
    <w:rsid w:val="00712B27"/>
    <w:rsid w:val="00717793"/>
    <w:rsid w:val="00721660"/>
    <w:rsid w:val="00722395"/>
    <w:rsid w:val="00724258"/>
    <w:rsid w:val="00726226"/>
    <w:rsid w:val="007415AC"/>
    <w:rsid w:val="00741D6E"/>
    <w:rsid w:val="007519A9"/>
    <w:rsid w:val="0075341D"/>
    <w:rsid w:val="00760DE6"/>
    <w:rsid w:val="007964C1"/>
    <w:rsid w:val="007A57CF"/>
    <w:rsid w:val="007B02C3"/>
    <w:rsid w:val="007C51BD"/>
    <w:rsid w:val="007C55B1"/>
    <w:rsid w:val="007D003C"/>
    <w:rsid w:val="007D0CCC"/>
    <w:rsid w:val="007D0FD0"/>
    <w:rsid w:val="007D53E8"/>
    <w:rsid w:val="007D5927"/>
    <w:rsid w:val="007F57AB"/>
    <w:rsid w:val="007F74F1"/>
    <w:rsid w:val="008036AE"/>
    <w:rsid w:val="00822191"/>
    <w:rsid w:val="00825610"/>
    <w:rsid w:val="00845F87"/>
    <w:rsid w:val="00871BAA"/>
    <w:rsid w:val="008828E0"/>
    <w:rsid w:val="00883A56"/>
    <w:rsid w:val="00883D01"/>
    <w:rsid w:val="0089147F"/>
    <w:rsid w:val="00893750"/>
    <w:rsid w:val="008A3E10"/>
    <w:rsid w:val="008B3E9A"/>
    <w:rsid w:val="008B65D0"/>
    <w:rsid w:val="008B786F"/>
    <w:rsid w:val="008C0A5F"/>
    <w:rsid w:val="008C28CE"/>
    <w:rsid w:val="008C7FF6"/>
    <w:rsid w:val="008F096E"/>
    <w:rsid w:val="008F3463"/>
    <w:rsid w:val="008F5546"/>
    <w:rsid w:val="009034BF"/>
    <w:rsid w:val="00924127"/>
    <w:rsid w:val="00931438"/>
    <w:rsid w:val="00955790"/>
    <w:rsid w:val="0096691E"/>
    <w:rsid w:val="00974687"/>
    <w:rsid w:val="00975A65"/>
    <w:rsid w:val="00976901"/>
    <w:rsid w:val="00987424"/>
    <w:rsid w:val="009A0290"/>
    <w:rsid w:val="009A34D5"/>
    <w:rsid w:val="009B26C9"/>
    <w:rsid w:val="009B4186"/>
    <w:rsid w:val="009C1D20"/>
    <w:rsid w:val="009C1E8E"/>
    <w:rsid w:val="009D6202"/>
    <w:rsid w:val="009F5A4B"/>
    <w:rsid w:val="00A01912"/>
    <w:rsid w:val="00A03DF5"/>
    <w:rsid w:val="00A11164"/>
    <w:rsid w:val="00A253FC"/>
    <w:rsid w:val="00A3469C"/>
    <w:rsid w:val="00A36FDF"/>
    <w:rsid w:val="00A430D7"/>
    <w:rsid w:val="00A61811"/>
    <w:rsid w:val="00A64A7F"/>
    <w:rsid w:val="00A70DB5"/>
    <w:rsid w:val="00A87E96"/>
    <w:rsid w:val="00AA4849"/>
    <w:rsid w:val="00AA65C8"/>
    <w:rsid w:val="00AB1B9F"/>
    <w:rsid w:val="00AB21D0"/>
    <w:rsid w:val="00AB44E3"/>
    <w:rsid w:val="00AB7FDA"/>
    <w:rsid w:val="00AC2AEE"/>
    <w:rsid w:val="00AD4307"/>
    <w:rsid w:val="00AD52D8"/>
    <w:rsid w:val="00AF7A31"/>
    <w:rsid w:val="00B017A6"/>
    <w:rsid w:val="00B07ABA"/>
    <w:rsid w:val="00B206D0"/>
    <w:rsid w:val="00B225F1"/>
    <w:rsid w:val="00B25994"/>
    <w:rsid w:val="00B2768F"/>
    <w:rsid w:val="00B32F05"/>
    <w:rsid w:val="00B41ADD"/>
    <w:rsid w:val="00B46E95"/>
    <w:rsid w:val="00B47E8F"/>
    <w:rsid w:val="00B50FDE"/>
    <w:rsid w:val="00B60385"/>
    <w:rsid w:val="00B62B12"/>
    <w:rsid w:val="00B75B48"/>
    <w:rsid w:val="00B77E0D"/>
    <w:rsid w:val="00B81C65"/>
    <w:rsid w:val="00B90234"/>
    <w:rsid w:val="00BA1BD6"/>
    <w:rsid w:val="00BA5093"/>
    <w:rsid w:val="00BC61B3"/>
    <w:rsid w:val="00BC7E6A"/>
    <w:rsid w:val="00BD4345"/>
    <w:rsid w:val="00BD548A"/>
    <w:rsid w:val="00BE1DA9"/>
    <w:rsid w:val="00BF03AC"/>
    <w:rsid w:val="00BF4CEF"/>
    <w:rsid w:val="00C01FB2"/>
    <w:rsid w:val="00C04279"/>
    <w:rsid w:val="00C148C9"/>
    <w:rsid w:val="00C24688"/>
    <w:rsid w:val="00C27C8A"/>
    <w:rsid w:val="00C31CC9"/>
    <w:rsid w:val="00C3613F"/>
    <w:rsid w:val="00C43BC7"/>
    <w:rsid w:val="00C52BE0"/>
    <w:rsid w:val="00C5657E"/>
    <w:rsid w:val="00C62172"/>
    <w:rsid w:val="00C67B53"/>
    <w:rsid w:val="00C747C7"/>
    <w:rsid w:val="00C9517A"/>
    <w:rsid w:val="00C97C78"/>
    <w:rsid w:val="00CA1E67"/>
    <w:rsid w:val="00CA3828"/>
    <w:rsid w:val="00CB2151"/>
    <w:rsid w:val="00CB4B90"/>
    <w:rsid w:val="00CD446F"/>
    <w:rsid w:val="00CE3201"/>
    <w:rsid w:val="00CF5C0B"/>
    <w:rsid w:val="00CF5C41"/>
    <w:rsid w:val="00CF69C4"/>
    <w:rsid w:val="00D1642F"/>
    <w:rsid w:val="00D216EE"/>
    <w:rsid w:val="00D2384F"/>
    <w:rsid w:val="00D335F2"/>
    <w:rsid w:val="00D339BA"/>
    <w:rsid w:val="00D33D42"/>
    <w:rsid w:val="00D346E1"/>
    <w:rsid w:val="00D37CD9"/>
    <w:rsid w:val="00D43830"/>
    <w:rsid w:val="00D474F6"/>
    <w:rsid w:val="00D64E42"/>
    <w:rsid w:val="00D84C5A"/>
    <w:rsid w:val="00DA1FF4"/>
    <w:rsid w:val="00DA64E3"/>
    <w:rsid w:val="00DB2FCA"/>
    <w:rsid w:val="00DD0A16"/>
    <w:rsid w:val="00DD1D50"/>
    <w:rsid w:val="00DD7326"/>
    <w:rsid w:val="00DD76C3"/>
    <w:rsid w:val="00DD78D5"/>
    <w:rsid w:val="00DE4989"/>
    <w:rsid w:val="00DF1C80"/>
    <w:rsid w:val="00DF2D2C"/>
    <w:rsid w:val="00E07863"/>
    <w:rsid w:val="00E20C98"/>
    <w:rsid w:val="00E238E3"/>
    <w:rsid w:val="00E343CC"/>
    <w:rsid w:val="00E46697"/>
    <w:rsid w:val="00E4703D"/>
    <w:rsid w:val="00E60FE2"/>
    <w:rsid w:val="00E630D2"/>
    <w:rsid w:val="00E641EF"/>
    <w:rsid w:val="00E64878"/>
    <w:rsid w:val="00E72975"/>
    <w:rsid w:val="00E73B56"/>
    <w:rsid w:val="00E83DB2"/>
    <w:rsid w:val="00E91DAE"/>
    <w:rsid w:val="00E93ECF"/>
    <w:rsid w:val="00E9735E"/>
    <w:rsid w:val="00E976B4"/>
    <w:rsid w:val="00E97D5F"/>
    <w:rsid w:val="00EA0DCF"/>
    <w:rsid w:val="00EB3DCA"/>
    <w:rsid w:val="00EC0792"/>
    <w:rsid w:val="00EC2143"/>
    <w:rsid w:val="00EC534C"/>
    <w:rsid w:val="00ED6633"/>
    <w:rsid w:val="00EE371C"/>
    <w:rsid w:val="00F04A96"/>
    <w:rsid w:val="00F05B6A"/>
    <w:rsid w:val="00F06ED5"/>
    <w:rsid w:val="00F102DC"/>
    <w:rsid w:val="00F10A02"/>
    <w:rsid w:val="00F14541"/>
    <w:rsid w:val="00F2476C"/>
    <w:rsid w:val="00F44BE9"/>
    <w:rsid w:val="00F56926"/>
    <w:rsid w:val="00F642B8"/>
    <w:rsid w:val="00F822A0"/>
    <w:rsid w:val="00F852F5"/>
    <w:rsid w:val="00FA3F42"/>
    <w:rsid w:val="00FA462C"/>
    <w:rsid w:val="00FB03D9"/>
    <w:rsid w:val="00FB0FF1"/>
    <w:rsid w:val="00FB6AF1"/>
    <w:rsid w:val="00FC6320"/>
    <w:rsid w:val="00FD162E"/>
    <w:rsid w:val="00FD37A3"/>
    <w:rsid w:val="00FD51F1"/>
    <w:rsid w:val="00FE2CD3"/>
    <w:rsid w:val="00FF26D6"/>
    <w:rsid w:val="3C545199"/>
    <w:rsid w:val="4D9A6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qFormat/>
    <w:uiPriority w:val="0"/>
    <w:pPr>
      <w:keepNext/>
      <w:jc w:val="center"/>
      <w:outlineLvl w:val="1"/>
    </w:pPr>
    <w:rPr>
      <w:rFonts w:ascii="Times New Roman" w:hAnsi="Times New Roman" w:eastAsia="宋体" w:cs="Times New Roman"/>
      <w:sz w:val="32"/>
      <w:szCs w:val="24"/>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54"/>
    <w:uiPriority w:val="0"/>
    <w:pPr>
      <w:jc w:val="left"/>
    </w:pPr>
    <w:rPr>
      <w:rFonts w:ascii="Times New Roman" w:hAnsi="Times New Roman" w:eastAsia="宋体" w:cs="Times New Roman"/>
      <w:szCs w:val="24"/>
    </w:rPr>
  </w:style>
  <w:style w:type="paragraph" w:styleId="4">
    <w:name w:val="Body Text"/>
    <w:basedOn w:val="1"/>
    <w:link w:val="53"/>
    <w:uiPriority w:val="0"/>
    <w:pPr>
      <w:spacing w:after="120"/>
    </w:pPr>
    <w:rPr>
      <w:rFonts w:ascii="Times New Roman" w:hAnsi="Times New Roman" w:eastAsia="宋体" w:cs="Times New Roman"/>
      <w:szCs w:val="24"/>
    </w:rPr>
  </w:style>
  <w:style w:type="paragraph" w:styleId="5">
    <w:name w:val="Body Text Indent"/>
    <w:basedOn w:val="1"/>
    <w:link w:val="51"/>
    <w:uiPriority w:val="0"/>
    <w:pPr>
      <w:ind w:firstLine="359" w:firstLineChars="171"/>
      <w:jc w:val="left"/>
    </w:pPr>
    <w:rPr>
      <w:rFonts w:ascii="Times New Roman" w:hAnsi="Times New Roman" w:eastAsia="宋体" w:cs="Times New Roman"/>
      <w:szCs w:val="24"/>
    </w:rPr>
  </w:style>
  <w:style w:type="paragraph" w:styleId="6">
    <w:name w:val="Date"/>
    <w:basedOn w:val="1"/>
    <w:next w:val="1"/>
    <w:link w:val="26"/>
    <w:unhideWhenUsed/>
    <w:qFormat/>
    <w:uiPriority w:val="0"/>
    <w:pPr>
      <w:ind w:left="100" w:leftChars="2500"/>
    </w:pPr>
  </w:style>
  <w:style w:type="paragraph" w:styleId="7">
    <w:name w:val="Balloon Text"/>
    <w:basedOn w:val="1"/>
    <w:link w:val="23"/>
    <w:unhideWhenUsed/>
    <w:uiPriority w:val="0"/>
    <w:rPr>
      <w:sz w:val="18"/>
      <w:szCs w:val="18"/>
    </w:rPr>
  </w:style>
  <w:style w:type="paragraph" w:styleId="8">
    <w:name w:val="footer"/>
    <w:basedOn w:val="1"/>
    <w:link w:val="22"/>
    <w:unhideWhenUsed/>
    <w:qFormat/>
    <w:uiPriority w:val="0"/>
    <w:pPr>
      <w:tabs>
        <w:tab w:val="center" w:pos="4153"/>
        <w:tab w:val="right" w:pos="8306"/>
      </w:tabs>
      <w:snapToGrid w:val="0"/>
      <w:jc w:val="left"/>
    </w:pPr>
    <w:rPr>
      <w:sz w:val="18"/>
      <w:szCs w:val="18"/>
    </w:rPr>
  </w:style>
  <w:style w:type="paragraph" w:styleId="9">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55"/>
    <w:qFormat/>
    <w:uiPriority w:val="0"/>
    <w:rPr>
      <w:b/>
      <w:bCs/>
    </w:rPr>
  </w:style>
  <w:style w:type="table" w:styleId="12">
    <w:name w:val="Table Grid"/>
    <w:basedOn w:val="11"/>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qFormat/>
    <w:uiPriority w:val="0"/>
    <w:rPr>
      <w:rFonts w:ascii="Times New Roman" w:hAnsi="Times New Roman" w:eastAsia="宋体"/>
      <w:sz w:val="18"/>
    </w:rPr>
  </w:style>
  <w:style w:type="character" w:styleId="15">
    <w:name w:val="FollowedHyperlink"/>
    <w:unhideWhenUsed/>
    <w:qFormat/>
    <w:uiPriority w:val="99"/>
    <w:rPr>
      <w:color w:val="800080"/>
      <w:u w:val="single"/>
    </w:rPr>
  </w:style>
  <w:style w:type="character" w:styleId="16">
    <w:name w:val="HTML Acronym"/>
    <w:basedOn w:val="13"/>
    <w:qFormat/>
    <w:uiPriority w:val="0"/>
  </w:style>
  <w:style w:type="character" w:styleId="17">
    <w:name w:val="Hyperlink"/>
    <w:unhideWhenUsed/>
    <w:qFormat/>
    <w:uiPriority w:val="99"/>
    <w:rPr>
      <w:color w:val="0000FF"/>
      <w:u w:val="single"/>
    </w:rPr>
  </w:style>
  <w:style w:type="character" w:styleId="18">
    <w:name w:val="annotation reference"/>
    <w:qFormat/>
    <w:uiPriority w:val="0"/>
    <w:rPr>
      <w:sz w:val="21"/>
      <w:szCs w:val="21"/>
    </w:rPr>
  </w:style>
  <w:style w:type="character" w:customStyle="1" w:styleId="19">
    <w:name w:val="标题 2 Char"/>
    <w:basedOn w:val="13"/>
    <w:link w:val="2"/>
    <w:qFormat/>
    <w:uiPriority w:val="0"/>
    <w:rPr>
      <w:rFonts w:ascii="Times New Roman" w:hAnsi="Times New Roman" w:eastAsia="宋体" w:cs="Times New Roman"/>
      <w:sz w:val="32"/>
      <w:szCs w:val="24"/>
    </w:rPr>
  </w:style>
  <w:style w:type="paragraph" w:styleId="20">
    <w:name w:val="List Paragraph"/>
    <w:basedOn w:val="1"/>
    <w:qFormat/>
    <w:uiPriority w:val="34"/>
    <w:pPr>
      <w:ind w:firstLine="420" w:firstLineChars="200"/>
    </w:pPr>
  </w:style>
  <w:style w:type="character" w:customStyle="1" w:styleId="21">
    <w:name w:val="页眉 Char"/>
    <w:basedOn w:val="13"/>
    <w:link w:val="9"/>
    <w:uiPriority w:val="0"/>
    <w:rPr>
      <w:sz w:val="18"/>
      <w:szCs w:val="18"/>
    </w:rPr>
  </w:style>
  <w:style w:type="character" w:customStyle="1" w:styleId="22">
    <w:name w:val="页脚 Char"/>
    <w:basedOn w:val="13"/>
    <w:link w:val="8"/>
    <w:uiPriority w:val="0"/>
    <w:rPr>
      <w:sz w:val="18"/>
      <w:szCs w:val="18"/>
    </w:rPr>
  </w:style>
  <w:style w:type="character" w:customStyle="1" w:styleId="23">
    <w:name w:val="批注框文本 Char"/>
    <w:basedOn w:val="13"/>
    <w:link w:val="7"/>
    <w:uiPriority w:val="0"/>
    <w:rPr>
      <w:sz w:val="18"/>
      <w:szCs w:val="18"/>
    </w:rPr>
  </w:style>
  <w:style w:type="paragraph" w:customStyle="1" w:styleId="24">
    <w:name w:val="列项——（一级）"/>
    <w:uiPriority w:val="0"/>
    <w:pPr>
      <w:widowControl w:val="0"/>
      <w:numPr>
        <w:ilvl w:val="0"/>
        <w:numId w:val="1"/>
      </w:numPr>
      <w:jc w:val="both"/>
    </w:pPr>
    <w:rPr>
      <w:rFonts w:ascii="宋体" w:hAnsi="Times New Roman" w:eastAsia="宋体" w:cs="Times New Roman"/>
      <w:kern w:val="0"/>
      <w:sz w:val="21"/>
      <w:szCs w:val="20"/>
      <w:lang w:val="en-US" w:eastAsia="zh-CN" w:bidi="ar-SA"/>
    </w:rPr>
  </w:style>
  <w:style w:type="paragraph" w:customStyle="1" w:styleId="25">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character" w:customStyle="1" w:styleId="26">
    <w:name w:val="日期 Char"/>
    <w:basedOn w:val="13"/>
    <w:link w:val="6"/>
    <w:uiPriority w:val="0"/>
  </w:style>
  <w:style w:type="paragraph" w:customStyle="1" w:styleId="27">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28">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29">
    <w:name w:val="标准书眉_奇数页"/>
    <w:next w:val="1"/>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30">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31">
    <w:name w:val="前言、引言标题"/>
    <w:next w:val="1"/>
    <w:qFormat/>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32">
    <w:name w:val="发布"/>
    <w:uiPriority w:val="0"/>
    <w:rPr>
      <w:rFonts w:ascii="黑体" w:eastAsia="黑体"/>
      <w:spacing w:val="22"/>
      <w:w w:val="100"/>
      <w:position w:val="3"/>
      <w:sz w:val="28"/>
    </w:rPr>
  </w:style>
  <w:style w:type="paragraph" w:customStyle="1" w:styleId="33">
    <w:name w:val="发布部门"/>
    <w:next w:val="1"/>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34">
    <w:name w:val="发布日期"/>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35">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36">
    <w:name w:val="封面标准代替信息"/>
    <w:basedOn w:val="35"/>
    <w:qFormat/>
    <w:uiPriority w:val="0"/>
    <w:pPr>
      <w:spacing w:before="57"/>
    </w:pPr>
    <w:rPr>
      <w:rFonts w:ascii="宋体"/>
      <w:sz w:val="21"/>
    </w:rPr>
  </w:style>
  <w:style w:type="paragraph" w:customStyle="1" w:styleId="3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8">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39">
    <w:name w:val="封面一致性程度标识"/>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40">
    <w:name w:val="封面正文"/>
    <w:uiPriority w:val="0"/>
    <w:pPr>
      <w:jc w:val="both"/>
    </w:pPr>
    <w:rPr>
      <w:rFonts w:ascii="Times New Roman" w:hAnsi="Times New Roman" w:eastAsia="宋体" w:cs="Times New Roman"/>
      <w:kern w:val="0"/>
      <w:sz w:val="20"/>
      <w:szCs w:val="20"/>
      <w:lang w:val="en-US" w:eastAsia="zh-CN" w:bidi="ar-SA"/>
    </w:rPr>
  </w:style>
  <w:style w:type="paragraph" w:customStyle="1" w:styleId="41">
    <w:name w:val="实施日期"/>
    <w:basedOn w:val="34"/>
    <w:uiPriority w:val="0"/>
    <w:pPr>
      <w:framePr w:hSpace="0" w:xAlign="right"/>
      <w:jc w:val="right"/>
    </w:pPr>
  </w:style>
  <w:style w:type="paragraph" w:customStyle="1" w:styleId="42">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43">
    <w:name w:val="附录表标题"/>
    <w:next w:val="44"/>
    <w:uiPriority w:val="0"/>
    <w:pPr>
      <w:numPr>
        <w:ilvl w:val="0"/>
        <w:numId w:val="2"/>
      </w:numPr>
      <w:jc w:val="center"/>
      <w:textAlignment w:val="baseline"/>
    </w:pPr>
    <w:rPr>
      <w:rFonts w:ascii="黑体" w:hAnsi="Times New Roman" w:eastAsia="黑体" w:cs="Times New Roman"/>
      <w:kern w:val="21"/>
      <w:sz w:val="21"/>
      <w:szCs w:val="20"/>
      <w:lang w:val="en-US" w:eastAsia="zh-CN" w:bidi="ar-SA"/>
    </w:rPr>
  </w:style>
  <w:style w:type="paragraph" w:customStyle="1" w:styleId="44">
    <w:name w:val="段"/>
    <w:link w:val="45"/>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45">
    <w:name w:val="段 Char"/>
    <w:link w:val="44"/>
    <w:uiPriority w:val="0"/>
    <w:rPr>
      <w:rFonts w:ascii="宋体" w:hAnsi="Times New Roman" w:eastAsia="宋体" w:cs="Times New Roman"/>
      <w:kern w:val="0"/>
      <w:szCs w:val="20"/>
    </w:rPr>
  </w:style>
  <w:style w:type="paragraph" w:customStyle="1" w:styleId="46">
    <w:name w:val="附录图标题"/>
    <w:next w:val="44"/>
    <w:uiPriority w:val="0"/>
    <w:pPr>
      <w:numPr>
        <w:ilvl w:val="0"/>
        <w:numId w:val="3"/>
      </w:numPr>
      <w:jc w:val="center"/>
    </w:pPr>
    <w:rPr>
      <w:rFonts w:ascii="黑体" w:hAnsi="Times New Roman" w:eastAsia="黑体" w:cs="Times New Roman"/>
      <w:kern w:val="0"/>
      <w:sz w:val="21"/>
      <w:szCs w:val="20"/>
      <w:lang w:val="en-US" w:eastAsia="zh-CN" w:bidi="ar-SA"/>
    </w:rPr>
  </w:style>
  <w:style w:type="paragraph" w:customStyle="1" w:styleId="47">
    <w:name w:val="列项●（二级）"/>
    <w:uiPriority w:val="0"/>
    <w:pPr>
      <w:numPr>
        <w:ilvl w:val="0"/>
        <w:numId w:val="4"/>
      </w:numPr>
      <w:tabs>
        <w:tab w:val="left" w:pos="840"/>
      </w:tabs>
      <w:ind w:left="600" w:leftChars="400" w:hanging="200" w:hangingChars="200"/>
      <w:jc w:val="both"/>
    </w:pPr>
    <w:rPr>
      <w:rFonts w:ascii="宋体" w:hAnsi="Times New Roman" w:eastAsia="宋体" w:cs="Times New Roman"/>
      <w:kern w:val="0"/>
      <w:sz w:val="21"/>
      <w:szCs w:val="20"/>
      <w:lang w:val="en-US" w:eastAsia="zh-CN" w:bidi="ar-SA"/>
    </w:rPr>
  </w:style>
  <w:style w:type="paragraph" w:customStyle="1" w:styleId="48">
    <w:name w:val="列项◆（三级）"/>
    <w:uiPriority w:val="0"/>
    <w:pPr>
      <w:numPr>
        <w:ilvl w:val="0"/>
        <w:numId w:val="5"/>
      </w:numPr>
      <w:ind w:left="800" w:leftChars="600" w:hanging="200" w:hangingChars="200"/>
    </w:pPr>
    <w:rPr>
      <w:rFonts w:ascii="宋体" w:hAnsi="Times New Roman" w:eastAsia="宋体" w:cs="Times New Roman"/>
      <w:kern w:val="0"/>
      <w:sz w:val="21"/>
      <w:szCs w:val="20"/>
      <w:lang w:val="en-US" w:eastAsia="zh-CN" w:bidi="ar-SA"/>
    </w:rPr>
  </w:style>
  <w:style w:type="paragraph" w:customStyle="1" w:styleId="49">
    <w:name w:val="目次、标准名称标题"/>
    <w:basedOn w:val="31"/>
    <w:next w:val="44"/>
    <w:uiPriority w:val="0"/>
    <w:pPr>
      <w:spacing w:line="460" w:lineRule="exact"/>
    </w:pPr>
  </w:style>
  <w:style w:type="paragraph" w:customStyle="1" w:styleId="50">
    <w:name w:val="章标题"/>
    <w:next w:val="44"/>
    <w:uiPriority w:val="0"/>
    <w:pPr>
      <w:spacing w:before="50" w:beforeLines="50" w:after="50" w:afterLines="50"/>
      <w:jc w:val="both"/>
      <w:outlineLvl w:val="1"/>
    </w:pPr>
    <w:rPr>
      <w:rFonts w:ascii="黑体" w:hAnsi="Times New Roman" w:eastAsia="黑体" w:cs="Times New Roman"/>
      <w:kern w:val="0"/>
      <w:sz w:val="21"/>
      <w:szCs w:val="20"/>
      <w:lang w:val="en-US" w:eastAsia="zh-CN" w:bidi="ar-SA"/>
    </w:rPr>
  </w:style>
  <w:style w:type="character" w:customStyle="1" w:styleId="51">
    <w:name w:val="正文文本缩进 Char"/>
    <w:basedOn w:val="13"/>
    <w:link w:val="5"/>
    <w:uiPriority w:val="0"/>
    <w:rPr>
      <w:rFonts w:ascii="Times New Roman" w:hAnsi="Times New Roman" w:eastAsia="宋体" w:cs="Times New Roman"/>
      <w:szCs w:val="24"/>
    </w:rPr>
  </w:style>
  <w:style w:type="paragraph" w:customStyle="1" w:styleId="52">
    <w:name w:val="标准书眉_偶数页"/>
    <w:basedOn w:val="29"/>
    <w:next w:val="1"/>
    <w:uiPriority w:val="0"/>
    <w:pPr>
      <w:jc w:val="left"/>
    </w:pPr>
  </w:style>
  <w:style w:type="character" w:customStyle="1" w:styleId="53">
    <w:name w:val="正文文本 Char"/>
    <w:basedOn w:val="13"/>
    <w:link w:val="4"/>
    <w:uiPriority w:val="0"/>
    <w:rPr>
      <w:rFonts w:ascii="Times New Roman" w:hAnsi="Times New Roman" w:eastAsia="宋体" w:cs="Times New Roman"/>
      <w:szCs w:val="24"/>
    </w:rPr>
  </w:style>
  <w:style w:type="character" w:customStyle="1" w:styleId="54">
    <w:name w:val="批注文字 Char"/>
    <w:basedOn w:val="13"/>
    <w:link w:val="3"/>
    <w:uiPriority w:val="0"/>
    <w:rPr>
      <w:rFonts w:ascii="Times New Roman" w:hAnsi="Times New Roman" w:eastAsia="宋体" w:cs="Times New Roman"/>
      <w:szCs w:val="24"/>
    </w:rPr>
  </w:style>
  <w:style w:type="character" w:customStyle="1" w:styleId="55">
    <w:name w:val="批注主题 Char"/>
    <w:basedOn w:val="54"/>
    <w:link w:val="10"/>
    <w:uiPriority w:val="0"/>
    <w:rPr>
      <w:rFonts w:ascii="Times New Roman" w:hAnsi="Times New Roman" w:eastAsia="宋体" w:cs="Times New Roman"/>
      <w:b/>
      <w:bCs/>
      <w:szCs w:val="24"/>
    </w:rPr>
  </w:style>
  <w:style w:type="paragraph" w:customStyle="1" w:styleId="56">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57">
    <w:name w:val="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58">
    <w:name w:val="正文表标题"/>
    <w:next w:val="44"/>
    <w:link w:val="59"/>
    <w:uiPriority w:val="0"/>
    <w:pPr>
      <w:ind w:left="4095"/>
      <w:jc w:val="center"/>
    </w:pPr>
    <w:rPr>
      <w:rFonts w:ascii="黑体" w:hAnsi="Times New Roman" w:eastAsia="黑体" w:cs="Times New Roman"/>
      <w:kern w:val="0"/>
      <w:sz w:val="21"/>
      <w:szCs w:val="20"/>
      <w:lang w:val="en-US" w:eastAsia="zh-CN" w:bidi="ar-SA"/>
    </w:rPr>
  </w:style>
  <w:style w:type="character" w:customStyle="1" w:styleId="59">
    <w:name w:val="正文表标题 Char"/>
    <w:link w:val="58"/>
    <w:uiPriority w:val="0"/>
    <w:rPr>
      <w:rFonts w:ascii="黑体" w:hAnsi="Times New Roman" w:eastAsia="黑体" w:cs="Times New Roman"/>
      <w:kern w:val="0"/>
      <w:szCs w:val="20"/>
    </w:rPr>
  </w:style>
  <w:style w:type="paragraph" w:customStyle="1" w:styleId="60">
    <w:name w:val="一级条标题"/>
    <w:basedOn w:val="50"/>
    <w:next w:val="44"/>
    <w:qFormat/>
    <w:uiPriority w:val="0"/>
    <w:pPr>
      <w:tabs>
        <w:tab w:val="left" w:pos="860"/>
      </w:tabs>
      <w:spacing w:before="0" w:beforeLines="0" w:after="0" w:afterLines="0"/>
      <w:ind w:left="860" w:hanging="720"/>
      <w:outlineLvl w:val="2"/>
    </w:pPr>
  </w:style>
  <w:style w:type="paragraph" w:customStyle="1" w:styleId="61">
    <w:name w:val="二级条标题"/>
    <w:basedOn w:val="60"/>
    <w:next w:val="44"/>
    <w:qFormat/>
    <w:uiPriority w:val="0"/>
    <w:pPr>
      <w:tabs>
        <w:tab w:val="left" w:pos="930"/>
        <w:tab w:val="clear" w:pos="860"/>
      </w:tabs>
      <w:ind w:left="930"/>
      <w:outlineLvl w:val="3"/>
    </w:pPr>
  </w:style>
  <w:style w:type="paragraph" w:customStyle="1" w:styleId="62">
    <w:name w:val="三级条标题"/>
    <w:basedOn w:val="61"/>
    <w:next w:val="44"/>
    <w:qFormat/>
    <w:uiPriority w:val="0"/>
    <w:pPr>
      <w:tabs>
        <w:tab w:val="left" w:pos="1360"/>
        <w:tab w:val="clear" w:pos="930"/>
      </w:tabs>
      <w:ind w:left="1360" w:hanging="1080"/>
      <w:outlineLvl w:val="4"/>
    </w:pPr>
  </w:style>
  <w:style w:type="paragraph" w:customStyle="1" w:styleId="63">
    <w:name w:val="四级条标题"/>
    <w:basedOn w:val="62"/>
    <w:next w:val="44"/>
    <w:qFormat/>
    <w:uiPriority w:val="0"/>
    <w:pPr>
      <w:tabs>
        <w:tab w:val="left" w:pos="1430"/>
        <w:tab w:val="clear" w:pos="1360"/>
      </w:tabs>
      <w:ind w:left="1430"/>
      <w:outlineLvl w:val="5"/>
    </w:pPr>
  </w:style>
  <w:style w:type="paragraph" w:customStyle="1" w:styleId="64">
    <w:name w:val="五级条标题"/>
    <w:basedOn w:val="63"/>
    <w:next w:val="44"/>
    <w:qFormat/>
    <w:uiPriority w:val="0"/>
    <w:pPr>
      <w:tabs>
        <w:tab w:val="left" w:pos="1500"/>
        <w:tab w:val="clear" w:pos="1430"/>
      </w:tabs>
      <w:ind w:left="1500"/>
      <w:outlineLvl w:val="6"/>
    </w:p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7.emf"/><Relationship Id="rId31" Type="http://schemas.openxmlformats.org/officeDocument/2006/relationships/image" Target="media/image26.emf"/><Relationship Id="rId30" Type="http://schemas.openxmlformats.org/officeDocument/2006/relationships/image" Target="media/image25.emf"/><Relationship Id="rId3" Type="http://schemas.openxmlformats.org/officeDocument/2006/relationships/footer" Target="footer1.xml"/><Relationship Id="rId29" Type="http://schemas.openxmlformats.org/officeDocument/2006/relationships/image" Target="media/image24.emf"/><Relationship Id="rId28" Type="http://schemas.openxmlformats.org/officeDocument/2006/relationships/image" Target="media/image23.emf"/><Relationship Id="rId27" Type="http://schemas.openxmlformats.org/officeDocument/2006/relationships/image" Target="media/image22.emf"/><Relationship Id="rId26" Type="http://schemas.openxmlformats.org/officeDocument/2006/relationships/image" Target="media/image21.emf"/><Relationship Id="rId25" Type="http://schemas.openxmlformats.org/officeDocument/2006/relationships/image" Target="media/image20.emf"/><Relationship Id="rId24" Type="http://schemas.openxmlformats.org/officeDocument/2006/relationships/image" Target="media/image19.emf"/><Relationship Id="rId23" Type="http://schemas.openxmlformats.org/officeDocument/2006/relationships/image" Target="media/image18.emf"/><Relationship Id="rId22" Type="http://schemas.openxmlformats.org/officeDocument/2006/relationships/image" Target="media/image17.emf"/><Relationship Id="rId21" Type="http://schemas.openxmlformats.org/officeDocument/2006/relationships/image" Target="media/image16.emf"/><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emf"/><Relationship Id="rId18" Type="http://schemas.openxmlformats.org/officeDocument/2006/relationships/image" Target="media/image13.emf"/><Relationship Id="rId17" Type="http://schemas.openxmlformats.org/officeDocument/2006/relationships/image" Target="media/image12.emf"/><Relationship Id="rId16" Type="http://schemas.openxmlformats.org/officeDocument/2006/relationships/image" Target="media/image11.emf"/><Relationship Id="rId15" Type="http://schemas.openxmlformats.org/officeDocument/2006/relationships/image" Target="media/image10.png"/><Relationship Id="rId14" Type="http://schemas.openxmlformats.org/officeDocument/2006/relationships/image" Target="media/image9.emf"/><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39759;&#36830;&#36816;\&#26631;&#20934;&#32534;&#20889;\2016\2016&#24180;&#35745;&#21010;&#30003;&#25253;&#26631;&#20934;\&#12298;&#33328;&#33337;&#29992;&#38221;&#38108;&#21512;&#37329;&#26080;&#32541;&#31649;&#12299;&#35752;&#35770;&#31295;\&#33328;&#33337;&#29992;&#31649;&#25968;&#25454;&#35843;&#30740;\&#25968;&#25454;&#25972;&#29702;&#20998;&#265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频数</c:f>
              <c:strCache>
                <c:ptCount val="1"/>
                <c:pt idx="0">
                  <c:v>频数</c:v>
                </c:pt>
              </c:strCache>
            </c:strRef>
          </c:tx>
          <c:invertIfNegative val="0"/>
          <c:dLbls>
            <c:delete val="1"/>
          </c:dLbls>
          <c:cat>
            <c:numRef>
              <c:f>'盘管BFE10-1-1'!$M$5:$M$11</c:f>
              <c:numCache>
                <c:formatCode>General</c:formatCode>
                <c:ptCount val="7"/>
                <c:pt idx="0">
                  <c:v>36.6</c:v>
                </c:pt>
                <c:pt idx="1">
                  <c:v>38.2</c:v>
                </c:pt>
                <c:pt idx="2">
                  <c:v>39.8</c:v>
                </c:pt>
                <c:pt idx="3">
                  <c:v>41.4</c:v>
                </c:pt>
                <c:pt idx="4">
                  <c:v>43</c:v>
                </c:pt>
                <c:pt idx="5">
                  <c:v>44.6</c:v>
                </c:pt>
                <c:pt idx="6">
                  <c:v>46.2</c:v>
                </c:pt>
              </c:numCache>
            </c:numRef>
          </c:cat>
          <c:val>
            <c:numRef>
              <c:f>'盘管BFE10-1-1'!$O$5:$O$11</c:f>
              <c:numCache>
                <c:formatCode>General</c:formatCode>
                <c:ptCount val="7"/>
                <c:pt idx="0">
                  <c:v>11</c:v>
                </c:pt>
                <c:pt idx="1">
                  <c:v>31</c:v>
                </c:pt>
                <c:pt idx="2">
                  <c:v>39</c:v>
                </c:pt>
                <c:pt idx="3">
                  <c:v>54</c:v>
                </c:pt>
                <c:pt idx="4">
                  <c:v>150</c:v>
                </c:pt>
                <c:pt idx="5">
                  <c:v>24</c:v>
                </c:pt>
                <c:pt idx="6">
                  <c:v>10</c:v>
                </c:pt>
              </c:numCache>
            </c:numRef>
          </c:val>
        </c:ser>
        <c:dLbls>
          <c:showLegendKey val="0"/>
          <c:showVal val="0"/>
          <c:showCatName val="0"/>
          <c:showSerName val="0"/>
          <c:showPercent val="0"/>
          <c:showBubbleSize val="0"/>
        </c:dLbls>
        <c:gapWidth val="150"/>
        <c:overlap val="100"/>
        <c:axId val="323063808"/>
        <c:axId val="268424832"/>
      </c:barChart>
      <c:catAx>
        <c:axId val="32306380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8424832"/>
        <c:crosses val="autoZero"/>
        <c:auto val="1"/>
        <c:lblAlgn val="ctr"/>
        <c:lblOffset val="100"/>
        <c:noMultiLvlLbl val="0"/>
      </c:catAx>
      <c:valAx>
        <c:axId val="2684248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3063808"/>
        <c:crosses val="autoZero"/>
        <c:crossBetween val="between"/>
      </c:valAx>
    </c:plotArea>
    <c:legend>
      <c:legendPos val="r"/>
      <c:layout>
        <c:manualLayout>
          <c:xMode val="edge"/>
          <c:yMode val="edge"/>
          <c:x val="0.875043088363955"/>
          <c:y val="0.870178258967629"/>
          <c:w val="0.102734689413823"/>
          <c:h val="0.083717191601049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8.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0" y="0"/>
          <a:ext cx="5285715" cy="2904762"/>
        </a:xfrm>
        <a:prstGeom prst="rect">
          <a:avLst/>
        </a:prstGeom>
      </cdr:spPr>
    </cdr:pic>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8AA3C-FF3C-4D0F-AC48-AC0D20EA50F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2631</Words>
  <Characters>14998</Characters>
  <Lines>124</Lines>
  <Paragraphs>35</Paragraphs>
  <TotalTime>4</TotalTime>
  <ScaleCrop>false</ScaleCrop>
  <LinksUpToDate>false</LinksUpToDate>
  <CharactersWithSpaces>17594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2019-07-15T06:04:00Z</dcterms:created>
  <dc:creator>蒋杰</dc:creator>
  <cp:lastModifiedBy>杨丽娟</cp:lastModifiedBy>
  <cp:lastPrinted>2019-03-25T07:14:00Z</cp:lastPrinted>
  <dcterms:modified xsi:type="dcterms:W3CDTF">2019-07-17T05:11:37Z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