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宋体"/>
          <w:bCs/>
          <w:color w:val="000000"/>
          <w:sz w:val="24"/>
        </w:rPr>
      </w:pPr>
      <w:r>
        <w:rPr>
          <w:rFonts w:hint="eastAsia"/>
          <w:bCs/>
          <w:color w:val="000000"/>
          <w:sz w:val="24"/>
        </w:rPr>
        <w:t>ICS 77. 150. 30</w:t>
      </w:r>
    </w:p>
    <w:p>
      <w:pPr>
        <w:pStyle w:val="2"/>
        <w:rPr>
          <w:rFonts w:hAnsi="Times New Roman" w:eastAsia="宋体"/>
          <w:color w:val="000000"/>
          <w:spacing w:val="-20"/>
          <w:w w:val="130"/>
          <w:sz w:val="180"/>
        </w:rPr>
      </w:pPr>
      <w:bookmarkStart w:id="0" w:name="_1166436869"/>
      <w:bookmarkEnd w:id="0"/>
      <w:bookmarkStart w:id="1" w:name="_1166436938"/>
      <w:bookmarkEnd w:id="1"/>
      <w:r>
        <w:rPr>
          <w:color w:val="000000"/>
          <w:szCs w:val="28"/>
        </w:rPr>
        <w:object>
          <v:shape id="_x0000_i1025" o:spt="75" type="#_x0000_t75" style="height:75.75pt;width:132pt;" o:ole="t" filled="f" o:preferrelative="t" stroked="f" coordsize="21600,21600">
            <v:path/>
            <v:fill on="f" focussize="0,0"/>
            <v:stroke on="f" joinstyle="miter"/>
            <v:imagedata r:id="rId5" o:title=""/>
            <o:lock v:ext="edit" aspectratio="t"/>
            <w10:wrap type="none"/>
            <w10:anchorlock/>
          </v:shape>
          <o:OLEObject Type="Embed" ProgID="Word.Picture.8" ShapeID="_x0000_i1025" DrawAspect="Content" ObjectID="_1468075725" r:id="rId4">
            <o:LockedField>false</o:LockedField>
          </o:OLEObject>
        </w:object>
      </w:r>
    </w:p>
    <w:p>
      <w:pPr>
        <w:pStyle w:val="3"/>
        <w:ind w:left="281" w:right="560" w:hanging="281"/>
        <w:rPr>
          <w:rFonts w:ascii="Times New Roman" w:hAnsi="Times New Roman"/>
          <w:color w:val="000000"/>
          <w:sz w:val="28"/>
          <w:szCs w:val="28"/>
        </w:rPr>
      </w:pPr>
      <w:r>
        <w:rPr>
          <w:rFonts w:ascii="Times New Roman" w:hAnsi="Times New Roman"/>
          <w:color w:val="000000"/>
          <w:sz w:val="28"/>
          <w:szCs w:val="28"/>
        </w:rPr>
        <w:pict>
          <v:shape id="文本框 3" o:spid="_x0000_s1026" o:spt="202" type="#_x0000_t202" style="position:absolute;left:0pt;margin-left:-3.85pt;margin-top:101.5pt;height:39.65pt;width:495.85pt;mso-position-horizontal-relative:margin;mso-position-vertical-relative:margin;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">
            <v:path/>
            <v:fill focussize="0,0"/>
            <v:stroke on="f" joinstyle="miter"/>
            <v:imagedata o:title=""/>
            <o:lock v:ext="edit"/>
            <v:textbox inset="0mm,0mm,0mm,0mm">
              <w:txbxContent>
                <w:p>
                  <w:pPr>
                    <w:pStyle w:val="14"/>
                    <w:spacing w:line="240" w:lineRule="auto"/>
                    <w:rPr>
                      <w:sz w:val="36"/>
                      <w:szCs w:val="36"/>
                    </w:rPr>
                  </w:pPr>
                  <w:r>
                    <w:rPr>
                      <w:rFonts w:hint="eastAsia"/>
                      <w:sz w:val="36"/>
                      <w:szCs w:val="36"/>
                    </w:rPr>
                    <w:t>中华人民共和国有色金属行业标准</w:t>
                  </w:r>
                </w:p>
              </w:txbxContent>
            </v:textbox>
            <w10:anchorlock/>
          </v:shape>
        </w:pict>
      </w:r>
    </w:p>
    <w:p>
      <w:pPr>
        <w:pStyle w:val="3"/>
        <w:ind w:left="281" w:right="560" w:hanging="281"/>
        <w:rPr>
          <w:rFonts w:ascii="Times New Roman" w:hAnsi="Times New Roman"/>
          <w:color w:val="000000"/>
          <w:sz w:val="28"/>
          <w:szCs w:val="28"/>
        </w:rPr>
      </w:pPr>
    </w:p>
    <w:p>
      <w:pPr>
        <w:pStyle w:val="3"/>
        <w:ind w:left="281" w:right="560" w:hanging="281"/>
        <w:rPr>
          <w:rFonts w:ascii="Times New Roman" w:hAnsi="Times New Roman"/>
          <w:color w:val="000000"/>
          <w:sz w:val="28"/>
          <w:szCs w:val="28"/>
        </w:rPr>
      </w:pPr>
      <w:r>
        <w:rPr>
          <w:rFonts w:ascii="Times New Roman" w:hAnsi="Times New Roman"/>
          <w:color w:val="000000"/>
          <w:sz w:val="28"/>
          <w:szCs w:val="28"/>
        </w:rPr>
        <w:t>YS/T XXXX -20XX</w:t>
      </w:r>
    </w:p>
    <w:p>
      <w:pPr>
        <w:rPr>
          <w:rFonts w:ascii="宋体" w:hAnsi="宋体"/>
          <w:b/>
          <w:bCs/>
          <w:color w:val="000000"/>
          <w:sz w:val="28"/>
          <w:szCs w:val="28"/>
        </w:rPr>
      </w:pPr>
      <w:r>
        <w:rPr>
          <w:rFonts w:ascii="宋体" w:hAnsi="宋体"/>
          <w:b/>
          <w:bCs/>
          <w:color w:val="000000"/>
          <w:sz w:val="28"/>
          <w:szCs w:val="28"/>
        </w:rPr>
        <w:pict>
          <v:line id="直接连接符 2" o:spid="_x0000_s1030" o:spt="20" style="position:absolute;left:0pt;flip:y;margin-left:-18pt;margin-top:7.2pt;height:0.6pt;width:524.4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">
            <v:path arrowok="t"/>
            <v:fill focussize="0,0"/>
            <v:stroke/>
            <v:imagedata o:title=""/>
            <o:lock v:ext="edit"/>
          </v:line>
        </w:pict>
      </w:r>
    </w:p>
    <w:p>
      <w:pPr>
        <w:jc w:val="center"/>
        <w:rPr>
          <w:rFonts w:ascii="宋体" w:hAnsi="宋体"/>
          <w:b/>
          <w:bCs/>
          <w:color w:val="000000"/>
          <w:sz w:val="44"/>
        </w:rPr>
      </w:pPr>
    </w:p>
    <w:p>
      <w:pPr>
        <w:rPr>
          <w:rFonts w:ascii="宋体" w:hAnsi="宋体"/>
          <w:b/>
          <w:bCs/>
          <w:color w:val="000000"/>
          <w:sz w:val="44"/>
        </w:rPr>
      </w:pPr>
    </w:p>
    <w:p>
      <w:pPr>
        <w:rPr>
          <w:rFonts w:ascii="宋体" w:hAnsi="宋体"/>
          <w:b/>
          <w:bCs/>
          <w:color w:val="000000"/>
          <w:sz w:val="44"/>
        </w:rPr>
      </w:pPr>
    </w:p>
    <w:p>
      <w:pPr>
        <w:jc w:val="center"/>
        <w:rPr>
          <w:rFonts w:ascii="黑体" w:hAnsi="宋体" w:eastAsia="黑体"/>
          <w:b/>
          <w:bCs/>
          <w:color w:val="000000"/>
          <w:sz w:val="52"/>
          <w:szCs w:val="52"/>
        </w:rPr>
      </w:pPr>
      <w:r>
        <w:rPr>
          <w:rFonts w:hint="eastAsia" w:ascii="黑体" w:hAnsi="宋体" w:eastAsia="黑体"/>
          <w:b/>
          <w:bCs/>
          <w:color w:val="000000"/>
          <w:sz w:val="52"/>
          <w:szCs w:val="52"/>
        </w:rPr>
        <w:t>铜加工行业能源计量器具</w:t>
      </w:r>
    </w:p>
    <w:p>
      <w:pPr>
        <w:jc w:val="center"/>
        <w:rPr>
          <w:rFonts w:ascii="黑体" w:hAnsi="宋体" w:eastAsia="黑体"/>
          <w:b/>
          <w:bCs/>
          <w:color w:val="000000"/>
          <w:sz w:val="52"/>
          <w:szCs w:val="52"/>
        </w:rPr>
      </w:pPr>
      <w:r>
        <w:rPr>
          <w:rFonts w:hint="eastAsia" w:ascii="黑体" w:hAnsi="宋体" w:eastAsia="黑体"/>
          <w:b/>
          <w:bCs/>
          <w:color w:val="000000"/>
          <w:sz w:val="52"/>
          <w:szCs w:val="52"/>
        </w:rPr>
        <w:t>配备和管理要求</w:t>
      </w:r>
    </w:p>
    <w:p>
      <w:pPr>
        <w:pStyle w:val="4"/>
        <w:rPr>
          <w:color w:val="000000"/>
          <w:sz w:val="30"/>
        </w:rPr>
      </w:pPr>
      <w:r>
        <w:rPr>
          <w:rFonts w:hint="eastAsia" w:ascii="Times New Roman" w:hAnsi="Times New Roman"/>
          <w:color w:val="000000"/>
          <w:sz w:val="30"/>
        </w:rPr>
        <w:t>Specification</w:t>
      </w:r>
      <w:r>
        <w:rPr>
          <w:rFonts w:ascii="Times New Roman" w:hAnsi="Times New Roman"/>
          <w:color w:val="000000"/>
          <w:sz w:val="30"/>
        </w:rPr>
        <w:t xml:space="preserve"> for equipment and manag</w:t>
      </w:r>
      <w:r>
        <w:rPr>
          <w:rFonts w:hint="eastAsia" w:ascii="Times New Roman" w:hAnsi="Times New Roman"/>
          <w:color w:val="000000"/>
          <w:sz w:val="30"/>
        </w:rPr>
        <w:t>ing</w:t>
      </w:r>
      <w:r>
        <w:rPr>
          <w:rFonts w:ascii="Times New Roman" w:hAnsi="Times New Roman"/>
          <w:color w:val="000000"/>
          <w:sz w:val="30"/>
        </w:rPr>
        <w:t xml:space="preserve"> of </w:t>
      </w:r>
      <w:r>
        <w:rPr>
          <w:rFonts w:hint="eastAsia" w:ascii="Times New Roman" w:hAnsi="Times New Roman"/>
          <w:color w:val="000000"/>
          <w:sz w:val="30"/>
        </w:rPr>
        <w:t xml:space="preserve">the measuring instrument of </w:t>
      </w:r>
      <w:r>
        <w:rPr>
          <w:rFonts w:ascii="Times New Roman" w:hAnsi="Times New Roman"/>
          <w:color w:val="000000"/>
          <w:sz w:val="30"/>
        </w:rPr>
        <w:t>energyin copper processing industry</w:t>
      </w:r>
    </w:p>
    <w:p>
      <w:pPr>
        <w:jc w:val="center"/>
        <w:rPr>
          <w:sz w:val="30"/>
        </w:rPr>
      </w:pPr>
      <w:r>
        <w:rPr>
          <w:rFonts w:hint="eastAsia"/>
          <w:sz w:val="30"/>
        </w:rPr>
        <w:t>（</w:t>
      </w:r>
      <w:r>
        <w:rPr>
          <w:rFonts w:hint="eastAsia"/>
          <w:color w:val="000000" w:themeColor="text1"/>
          <w:sz w:val="30"/>
        </w:rPr>
        <w:t>预审</w:t>
      </w:r>
      <w:r>
        <w:rPr>
          <w:rFonts w:hint="eastAsia"/>
          <w:color w:val="000000"/>
          <w:sz w:val="30"/>
        </w:rPr>
        <w:t>稿0618修订版）</w:t>
      </w:r>
    </w:p>
    <w:p>
      <w:pPr>
        <w:rPr>
          <w:rFonts w:ascii="宋体" w:hAnsi="宋体"/>
          <w:color w:val="000000"/>
          <w:sz w:val="30"/>
        </w:rPr>
      </w:pPr>
    </w:p>
    <w:p>
      <w:pPr>
        <w:rPr>
          <w:rFonts w:ascii="宋体" w:hAnsi="宋体"/>
          <w:color w:val="000000"/>
          <w:sz w:val="30"/>
        </w:rPr>
      </w:pPr>
    </w:p>
    <w:p>
      <w:pPr>
        <w:rPr>
          <w:rFonts w:ascii="宋体" w:hAnsi="宋体"/>
          <w:color w:val="000000"/>
          <w:sz w:val="30"/>
        </w:rPr>
      </w:pPr>
    </w:p>
    <w:p>
      <w:pPr>
        <w:rPr>
          <w:rFonts w:ascii="宋体" w:hAnsi="宋体"/>
          <w:color w:val="000000"/>
          <w:sz w:val="30"/>
        </w:rPr>
      </w:pPr>
    </w:p>
    <w:p>
      <w:pPr>
        <w:rPr>
          <w:rFonts w:ascii="宋体" w:hAnsi="宋体"/>
          <w:color w:val="000000"/>
          <w:sz w:val="30"/>
        </w:rPr>
      </w:pPr>
    </w:p>
    <w:p>
      <w:pPr>
        <w:rPr>
          <w:rFonts w:ascii="黑体" w:hAnsi="宋体" w:eastAsia="黑体"/>
          <w:b/>
          <w:bCs/>
          <w:color w:val="000000"/>
          <w:sz w:val="28"/>
          <w:szCs w:val="28"/>
        </w:rPr>
      </w:pPr>
      <w:r>
        <w:rPr>
          <w:rFonts w:ascii="宋体" w:hAnsi="宋体"/>
          <w:b/>
          <w:bCs/>
          <w:color w:val="000000"/>
          <w:sz w:val="28"/>
          <w:szCs w:val="28"/>
        </w:rPr>
        <w:t>20</w:t>
      </w:r>
      <w:r>
        <w:rPr>
          <w:rFonts w:hint="eastAsia" w:ascii="宋体" w:hAnsi="宋体"/>
          <w:b/>
          <w:bCs/>
          <w:color w:val="000000"/>
          <w:sz w:val="28"/>
          <w:szCs w:val="28"/>
        </w:rPr>
        <w:t>XX</w:t>
      </w:r>
      <w:r>
        <w:rPr>
          <w:rFonts w:ascii="宋体" w:hAnsi="宋体"/>
          <w:b/>
          <w:bCs/>
          <w:color w:val="000000"/>
          <w:sz w:val="28"/>
          <w:szCs w:val="28"/>
        </w:rPr>
        <w:t>-</w:t>
      </w:r>
      <w:r>
        <w:rPr>
          <w:rFonts w:hint="eastAsia" w:ascii="宋体" w:hAnsi="宋体"/>
          <w:b/>
          <w:bCs/>
          <w:color w:val="000000"/>
          <w:sz w:val="28"/>
          <w:szCs w:val="28"/>
        </w:rPr>
        <w:t>XX</w:t>
      </w:r>
      <w:r>
        <w:rPr>
          <w:rFonts w:ascii="宋体" w:hAnsi="宋体"/>
          <w:b/>
          <w:bCs/>
          <w:color w:val="000000"/>
          <w:sz w:val="28"/>
          <w:szCs w:val="28"/>
        </w:rPr>
        <w:t>-</w:t>
      </w:r>
      <w:r>
        <w:rPr>
          <w:rFonts w:hint="eastAsia" w:ascii="宋体" w:hAnsi="宋体"/>
          <w:b/>
          <w:bCs/>
          <w:color w:val="000000"/>
          <w:sz w:val="28"/>
          <w:szCs w:val="28"/>
        </w:rPr>
        <w:t>XX</w:t>
      </w:r>
      <w:r>
        <w:rPr>
          <w:rFonts w:hint="eastAsia" w:ascii="黑体" w:hAnsi="宋体" w:eastAsia="黑体"/>
          <w:b/>
          <w:bCs/>
          <w:color w:val="000000"/>
          <w:sz w:val="28"/>
          <w:szCs w:val="28"/>
        </w:rPr>
        <w:t>发布</w:t>
      </w:r>
      <w:r>
        <w:rPr>
          <w:rFonts w:ascii="宋体" w:hAnsi="宋体"/>
          <w:b/>
          <w:bCs/>
          <w:color w:val="000000"/>
          <w:sz w:val="28"/>
          <w:szCs w:val="28"/>
        </w:rPr>
        <w:t>20</w:t>
      </w:r>
      <w:r>
        <w:rPr>
          <w:rFonts w:hint="eastAsia" w:ascii="宋体" w:hAnsi="宋体"/>
          <w:b/>
          <w:bCs/>
          <w:color w:val="000000"/>
          <w:sz w:val="28"/>
          <w:szCs w:val="28"/>
        </w:rPr>
        <w:t>XX</w:t>
      </w:r>
      <w:r>
        <w:rPr>
          <w:rFonts w:ascii="宋体" w:hAnsi="宋体"/>
          <w:b/>
          <w:bCs/>
          <w:color w:val="000000"/>
          <w:sz w:val="28"/>
          <w:szCs w:val="28"/>
        </w:rPr>
        <w:t>-</w:t>
      </w:r>
      <w:r>
        <w:rPr>
          <w:rFonts w:hint="eastAsia" w:ascii="宋体" w:hAnsi="宋体"/>
          <w:b/>
          <w:bCs/>
          <w:color w:val="000000"/>
          <w:sz w:val="28"/>
          <w:szCs w:val="28"/>
        </w:rPr>
        <w:t>XX</w:t>
      </w:r>
      <w:r>
        <w:rPr>
          <w:rFonts w:ascii="宋体" w:hAnsi="宋体"/>
          <w:b/>
          <w:bCs/>
          <w:color w:val="000000"/>
          <w:sz w:val="28"/>
          <w:szCs w:val="28"/>
        </w:rPr>
        <w:t>-</w:t>
      </w:r>
      <w:r>
        <w:rPr>
          <w:rFonts w:hint="eastAsia" w:ascii="宋体" w:hAnsi="宋体"/>
          <w:b/>
          <w:bCs/>
          <w:color w:val="000000"/>
          <w:sz w:val="28"/>
          <w:szCs w:val="28"/>
        </w:rPr>
        <w:t>XX</w:t>
      </w:r>
      <w:r>
        <w:rPr>
          <w:rFonts w:hint="eastAsia" w:ascii="黑体" w:hAnsi="宋体" w:eastAsia="黑体"/>
          <w:b/>
          <w:bCs/>
          <w:color w:val="000000"/>
          <w:sz w:val="28"/>
          <w:szCs w:val="28"/>
        </w:rPr>
        <w:t>实施</w:t>
      </w:r>
    </w:p>
    <w:p>
      <w:pPr>
        <w:ind w:firstLine="1316" w:firstLineChars="298"/>
        <w:rPr>
          <w:rFonts w:ascii="黑体" w:hAnsi="宋体" w:eastAsia="黑体"/>
          <w:b/>
          <w:bCs/>
          <w:color w:val="000000"/>
          <w:sz w:val="30"/>
        </w:rPr>
      </w:pPr>
      <w:r>
        <w:rPr>
          <w:rFonts w:ascii="黑体" w:hAnsi="宋体" w:eastAsia="黑体"/>
          <w:b/>
          <w:bCs/>
          <w:color w:val="000000"/>
          <w:sz w:val="44"/>
          <w:szCs w:val="44"/>
        </w:rPr>
        <w:pict>
          <v:line id="直接连接符 1" o:spid="_x0000_s1029" o:spt="20" style="position:absolute;left:0pt;margin-left:-9pt;margin-top:0pt;height:0pt;width:501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KfLgIAADM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">
            <v:path arrowok="t"/>
            <v:fill focussize="0,0"/>
            <v:stroke/>
            <v:imagedata o:title=""/>
            <o:lock v:ext="edit"/>
          </v:line>
        </w:pict>
      </w:r>
      <w:r>
        <w:rPr>
          <w:rFonts w:hint="eastAsia" w:ascii="黑体" w:hAnsi="宋体" w:eastAsia="黑体"/>
          <w:b/>
          <w:bCs/>
          <w:color w:val="000000"/>
          <w:sz w:val="44"/>
          <w:szCs w:val="44"/>
        </w:rPr>
        <w:t xml:space="preserve">中华人民共和国工业和信息化部 </w:t>
      </w:r>
      <w:r>
        <w:rPr>
          <w:rFonts w:hint="eastAsia" w:ascii="黑体" w:hAnsi="宋体" w:eastAsia="黑体"/>
          <w:b/>
          <w:bCs/>
          <w:color w:val="000000"/>
          <w:sz w:val="32"/>
          <w:szCs w:val="32"/>
        </w:rPr>
        <w:t>发布</w:t>
      </w:r>
    </w:p>
    <w:p>
      <w:pPr>
        <w:spacing w:before="720" w:after="520"/>
        <w:jc w:val="center"/>
        <w:rPr>
          <w:rFonts w:ascii="黑体" w:hAnsi="黑体" w:eastAsia="黑体"/>
          <w:b/>
          <w:sz w:val="32"/>
          <w:szCs w:val="32"/>
        </w:rPr>
      </w:pPr>
      <w:r>
        <w:rPr>
          <w:rFonts w:hint="eastAsia" w:ascii="黑体" w:hAnsi="黑体" w:eastAsia="黑体"/>
          <w:b/>
          <w:sz w:val="32"/>
          <w:szCs w:val="32"/>
        </w:rPr>
        <w:t>前 言</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本标准依据 GB/T17167—2006 《用能单位能源计量器具配备和管理通则》的规定和要求，结合铜加工行业特点制定。</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本标准由全国有色金属标准化技术委员会（SAC/TC243）提出并归口。</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本标准负责起草单位：</w:t>
      </w:r>
    </w:p>
    <w:p>
      <w:pPr>
        <w:ind w:firstLine="420" w:firstLineChars="200"/>
        <w:jc w:val="left"/>
        <w:rPr>
          <w:rFonts w:ascii="宋体" w:hAnsi="宋体"/>
          <w:szCs w:val="21"/>
        </w:rPr>
      </w:pPr>
      <w:r>
        <w:rPr>
          <w:rFonts w:hint="eastAsia" w:ascii="宋体" w:hAnsi="宋体"/>
          <w:szCs w:val="21"/>
        </w:rPr>
        <w:t>本标准主要起草人：</w:t>
      </w:r>
    </w:p>
    <w:p>
      <w:pPr>
        <w:ind w:firstLine="420" w:firstLineChars="200"/>
        <w:jc w:val="left"/>
        <w:rPr>
          <w:rFonts w:ascii="宋体" w:hAnsi="宋体"/>
          <w:szCs w:val="21"/>
        </w:rPr>
      </w:pPr>
      <w:r>
        <w:rPr>
          <w:rFonts w:hint="eastAsia" w:ascii="宋体" w:hAnsi="宋体"/>
          <w:szCs w:val="21"/>
        </w:rPr>
        <w:t>本标准为首次提出并编制：</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铜加工行业能源计量器具配备和管理要求</w:t>
      </w:r>
    </w:p>
    <w:p>
      <w:pPr>
        <w:spacing w:beforeLines="50" w:afterLines="50"/>
        <w:rPr>
          <w:rFonts w:ascii="黑体" w:hAnsi="黑体" w:eastAsia="黑体"/>
          <w:b/>
          <w:szCs w:val="21"/>
        </w:rPr>
      </w:pPr>
      <w:r>
        <w:rPr>
          <w:rFonts w:ascii="黑体" w:hAnsi="黑体" w:eastAsia="黑体"/>
          <w:b/>
          <w:szCs w:val="21"/>
        </w:rPr>
        <w:t>1</w:t>
      </w:r>
      <w:r>
        <w:rPr>
          <w:rFonts w:hint="eastAsia" w:ascii="黑体" w:hAnsi="黑体" w:eastAsia="黑体"/>
          <w:b/>
          <w:szCs w:val="21"/>
        </w:rPr>
        <w:t>范围</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本标准规定了铜加工行业用能单位能源计量的采购、加工、转换、输送和利用过程中能源计量管理的基本要求。</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本标准适用于铜加工企业独立核算的用能单位。其中包括铜及铜合金板带产品、管棒产品，型材产品等，以及产品生产过程中熔铸、轧制、挤压、压延、拉伸等工序。</w:t>
      </w:r>
    </w:p>
    <w:p>
      <w:pPr>
        <w:spacing w:beforeLines="50" w:afterLines="50"/>
        <w:rPr>
          <w:rFonts w:ascii="黑体" w:hAnsi="黑体" w:eastAsia="黑体"/>
          <w:b/>
          <w:szCs w:val="21"/>
        </w:rPr>
      </w:pPr>
      <w:r>
        <w:rPr>
          <w:rFonts w:hint="eastAsia" w:ascii="黑体" w:hAnsi="黑体" w:eastAsia="黑体"/>
          <w:b/>
          <w:szCs w:val="21"/>
        </w:rPr>
        <w:t>2规范性引用文件</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2589  综合能耗计算通则</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GB/T 6422  </w:t>
      </w:r>
      <w:r>
        <w:rPr>
          <w:rFonts w:hint="eastAsia" w:asciiTheme="minorEastAsia" w:hAnsiTheme="minorEastAsia" w:eastAsiaTheme="minorEastAsia"/>
          <w:sz w:val="24"/>
        </w:rPr>
        <w:t>用能设备能量测试导则</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15316 节能监测技术通则</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GB 17167</w:t>
      </w:r>
      <w:r>
        <w:rPr>
          <w:rFonts w:hint="eastAsia" w:asciiTheme="minorEastAsia" w:hAnsiTheme="minorEastAsia" w:eastAsiaTheme="minorEastAsia"/>
          <w:szCs w:val="21"/>
        </w:rPr>
        <w:t xml:space="preserve">   用能单位能源计量器具配备与管理通则</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GB/T 18603-2014  天然气计量系统技术要求</w:t>
      </w:r>
    </w:p>
    <w:p>
      <w:pPr>
        <w:spacing w:beforeLines="50" w:afterLines="50"/>
        <w:rPr>
          <w:rFonts w:ascii="黑体" w:hAnsi="黑体" w:eastAsia="黑体"/>
          <w:b/>
          <w:szCs w:val="21"/>
        </w:rPr>
      </w:pPr>
      <w:r>
        <w:rPr>
          <w:rFonts w:ascii="黑体" w:hAnsi="黑体" w:eastAsia="黑体"/>
          <w:b/>
          <w:szCs w:val="21"/>
        </w:rPr>
        <w:t>3</w:t>
      </w:r>
      <w:r>
        <w:rPr>
          <w:rFonts w:hint="eastAsia" w:ascii="黑体" w:hAnsi="黑体" w:eastAsia="黑体"/>
          <w:b/>
          <w:szCs w:val="21"/>
        </w:rPr>
        <w:t>术语和定义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GB17167 确定的以及下列术语和定义适用于本标准。</w:t>
      </w:r>
    </w:p>
    <w:p>
      <w:pPr>
        <w:rPr>
          <w:rFonts w:ascii="黑体" w:hAnsi="黑体" w:eastAsia="黑体"/>
          <w:b/>
          <w:szCs w:val="21"/>
        </w:rPr>
      </w:pPr>
      <w:r>
        <w:rPr>
          <w:rFonts w:hint="eastAsia" w:ascii="黑体" w:hAnsi="黑体" w:eastAsia="黑体"/>
          <w:b/>
          <w:szCs w:val="21"/>
        </w:rPr>
        <w:t>3.1</w:t>
      </w:r>
    </w:p>
    <w:p>
      <w:pPr>
        <w:ind w:firstLine="422" w:firstLineChars="200"/>
        <w:rPr>
          <w:rFonts w:ascii="黑体" w:hAnsi="黑体" w:eastAsia="黑体"/>
          <w:b/>
          <w:szCs w:val="21"/>
        </w:rPr>
      </w:pPr>
      <w:r>
        <w:rPr>
          <w:rFonts w:hint="eastAsia" w:ascii="黑体" w:hAnsi="黑体" w:eastAsia="黑体"/>
          <w:b/>
          <w:szCs w:val="21"/>
        </w:rPr>
        <w:t>铜加工行业用能单位e</w:t>
      </w:r>
      <w:r>
        <w:rPr>
          <w:rFonts w:ascii="黑体" w:hAnsi="黑体" w:eastAsia="黑体"/>
          <w:b/>
          <w:szCs w:val="21"/>
        </w:rPr>
        <w:t>nergy unit for copper processing industry</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铜加工行业中具有独立法人地位的单位和具有独立结算能力的单位。以下简称用能单位。</w:t>
      </w:r>
    </w:p>
    <w:p>
      <w:pPr>
        <w:rPr>
          <w:rFonts w:ascii="黑体" w:hAnsi="黑体" w:eastAsia="黑体"/>
          <w:b/>
          <w:szCs w:val="21"/>
        </w:rPr>
      </w:pPr>
      <w:r>
        <w:rPr>
          <w:rFonts w:hint="eastAsia" w:ascii="黑体" w:hAnsi="黑体" w:eastAsia="黑体"/>
          <w:b/>
          <w:szCs w:val="21"/>
        </w:rPr>
        <w:t>3.2</w:t>
      </w:r>
    </w:p>
    <w:p>
      <w:pPr>
        <w:ind w:firstLine="422" w:firstLineChars="200"/>
        <w:rPr>
          <w:rFonts w:ascii="黑体" w:hAnsi="黑体" w:eastAsia="黑体"/>
          <w:b/>
          <w:szCs w:val="21"/>
        </w:rPr>
      </w:pPr>
      <w:r>
        <w:rPr>
          <w:rFonts w:ascii="黑体" w:hAnsi="黑体" w:eastAsia="黑体"/>
          <w:b/>
          <w:szCs w:val="21"/>
        </w:rPr>
        <w:t>用能单位分级计量Grading measurement of energy-use units</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用能单位为了便于能源计量管理将不同用能单位进行分级计量管理。</w:t>
      </w:r>
    </w:p>
    <w:p>
      <w:pPr>
        <w:rPr>
          <w:rFonts w:ascii="黑体" w:hAnsi="黑体" w:eastAsia="黑体"/>
          <w:b/>
          <w:szCs w:val="21"/>
        </w:rPr>
      </w:pPr>
      <w:r>
        <w:rPr>
          <w:rFonts w:hint="eastAsia" w:ascii="黑体" w:hAnsi="黑体" w:eastAsia="黑体"/>
          <w:b/>
          <w:szCs w:val="21"/>
        </w:rPr>
        <w:t>3.3</w:t>
      </w:r>
    </w:p>
    <w:p>
      <w:pPr>
        <w:ind w:firstLine="422" w:firstLineChars="200"/>
        <w:rPr>
          <w:rFonts w:ascii="黑体" w:hAnsi="黑体" w:eastAsia="黑体"/>
          <w:b/>
          <w:szCs w:val="21"/>
        </w:rPr>
      </w:pPr>
      <w:r>
        <w:rPr>
          <w:rFonts w:ascii="黑体" w:hAnsi="黑体" w:eastAsia="黑体"/>
          <w:b/>
          <w:szCs w:val="21"/>
        </w:rPr>
        <w:t>一级能源计量</w:t>
      </w:r>
      <w:r>
        <w:rPr>
          <w:rFonts w:hint="eastAsia" w:ascii="黑体" w:hAnsi="黑体" w:eastAsia="黑体"/>
          <w:b/>
          <w:szCs w:val="21"/>
        </w:rPr>
        <w:t>单位</w:t>
      </w:r>
      <w:r>
        <w:rPr>
          <w:rFonts w:ascii="黑体" w:hAnsi="黑体" w:eastAsia="黑体"/>
          <w:b/>
          <w:szCs w:val="21"/>
        </w:rPr>
        <w:t>Primary Energy Metering Unit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进出铜加工行业用能单位进行结算的能源计量称为一级能源计量单位</w:t>
      </w:r>
    </w:p>
    <w:p>
      <w:pPr>
        <w:rPr>
          <w:rFonts w:ascii="黑体" w:hAnsi="黑体" w:eastAsia="黑体"/>
          <w:b/>
          <w:szCs w:val="21"/>
        </w:rPr>
      </w:pPr>
      <w:r>
        <w:rPr>
          <w:rFonts w:hint="eastAsia" w:ascii="黑体" w:hAnsi="黑体" w:eastAsia="黑体"/>
          <w:b/>
          <w:szCs w:val="21"/>
        </w:rPr>
        <w:t>3.4</w:t>
      </w:r>
    </w:p>
    <w:p>
      <w:pPr>
        <w:ind w:firstLine="422" w:firstLineChars="200"/>
        <w:rPr>
          <w:rFonts w:ascii="黑体" w:hAnsi="黑体" w:eastAsia="黑体"/>
          <w:b/>
          <w:szCs w:val="21"/>
        </w:rPr>
      </w:pPr>
      <w:r>
        <w:rPr>
          <w:rFonts w:hint="eastAsia" w:ascii="黑体" w:hAnsi="黑体" w:eastAsia="黑体"/>
          <w:b/>
          <w:szCs w:val="21"/>
        </w:rPr>
        <w:t>二</w:t>
      </w:r>
      <w:r>
        <w:rPr>
          <w:rFonts w:ascii="黑体" w:hAnsi="黑体" w:eastAsia="黑体"/>
          <w:b/>
          <w:szCs w:val="21"/>
        </w:rPr>
        <w:t>级能源计</w:t>
      </w:r>
      <w:r>
        <w:rPr>
          <w:rFonts w:ascii="黑体" w:hAnsi="黑体" w:eastAsia="黑体"/>
          <w:b/>
          <w:color w:val="000000" w:themeColor="text1"/>
          <w:szCs w:val="21"/>
        </w:rPr>
        <w:t>量</w:t>
      </w:r>
      <w:r>
        <w:rPr>
          <w:rFonts w:ascii="黑体" w:hAnsi="黑体" w:eastAsia="黑体"/>
          <w:b/>
          <w:szCs w:val="21"/>
        </w:rPr>
        <w:t>单位Secondary Metering Unit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铜加工行业用能单位对内部独立核算的单位间进行成本或消耗结算的能源计量称为二级能源计量。即用能单位次级用能单位。</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注：铜加工行业二级能源计量单位指：单独进行成本核算的单位，主要包括：熔铸、板带产品加工、管棒产品加工、型材产品加工等作业厂、公司或事业部等。</w:t>
      </w:r>
    </w:p>
    <w:p>
      <w:pPr>
        <w:rPr>
          <w:rFonts w:ascii="黑体" w:hAnsi="黑体" w:eastAsia="黑体"/>
          <w:b/>
          <w:szCs w:val="21"/>
        </w:rPr>
      </w:pPr>
      <w:r>
        <w:rPr>
          <w:rFonts w:hint="eastAsia" w:ascii="黑体" w:hAnsi="黑体" w:eastAsia="黑体"/>
          <w:b/>
          <w:szCs w:val="21"/>
        </w:rPr>
        <w:t>3.5</w:t>
      </w:r>
    </w:p>
    <w:p>
      <w:pPr>
        <w:ind w:firstLine="422" w:firstLineChars="200"/>
        <w:rPr>
          <w:rFonts w:ascii="黑体" w:hAnsi="黑体" w:eastAsia="黑体"/>
          <w:b/>
          <w:szCs w:val="21"/>
        </w:rPr>
      </w:pPr>
      <w:r>
        <w:rPr>
          <w:rFonts w:hint="eastAsia" w:ascii="黑体" w:hAnsi="黑体" w:eastAsia="黑体"/>
          <w:b/>
          <w:szCs w:val="21"/>
        </w:rPr>
        <w:t>三</w:t>
      </w:r>
      <w:r>
        <w:rPr>
          <w:rFonts w:ascii="黑体" w:hAnsi="黑体" w:eastAsia="黑体"/>
          <w:b/>
          <w:szCs w:val="21"/>
        </w:rPr>
        <w:t>级能源计量单位Tertiary Energy Metering Unit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铜加工行业独立核算的单位对内部下级单位进行核算的能源计量称为三级能源计量。</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注：铜加工行业三级能源计量单位主要包括：车间、装置、系统、工序、工段等作业工序。</w:t>
      </w:r>
    </w:p>
    <w:p>
      <w:pPr>
        <w:rPr>
          <w:rFonts w:ascii="黑体" w:hAnsi="黑体" w:eastAsia="黑体"/>
          <w:b/>
          <w:szCs w:val="21"/>
        </w:rPr>
      </w:pPr>
      <w:r>
        <w:rPr>
          <w:rFonts w:hint="eastAsia" w:ascii="黑体" w:hAnsi="黑体" w:eastAsia="黑体"/>
          <w:b/>
          <w:szCs w:val="21"/>
        </w:rPr>
        <w:t>3.6</w:t>
      </w:r>
    </w:p>
    <w:p>
      <w:pPr>
        <w:ind w:firstLine="422" w:firstLineChars="200"/>
        <w:rPr>
          <w:rFonts w:ascii="黑体" w:hAnsi="黑体" w:eastAsia="黑体"/>
          <w:b/>
          <w:szCs w:val="21"/>
        </w:rPr>
      </w:pPr>
      <w:r>
        <w:rPr>
          <w:rFonts w:ascii="黑体" w:hAnsi="黑体" w:eastAsia="黑体"/>
          <w:b/>
          <w:szCs w:val="21"/>
        </w:rPr>
        <w:t>主要用能设备Main functional equipment</w:t>
      </w:r>
    </w:p>
    <w:p>
      <w:pPr>
        <w:ind w:firstLine="420" w:firstLineChars="200"/>
        <w:rPr>
          <w:rFonts w:asciiTheme="minorEastAsia" w:hAnsiTheme="minorEastAsia" w:eastAsiaTheme="minorEastAsia"/>
          <w:color w:val="00B0F0"/>
          <w:szCs w:val="21"/>
        </w:rPr>
      </w:pPr>
      <w:r>
        <w:rPr>
          <w:rFonts w:asciiTheme="minorEastAsia" w:hAnsiTheme="minorEastAsia" w:eastAsiaTheme="minorEastAsia"/>
          <w:szCs w:val="21"/>
        </w:rPr>
        <w:t>铜加工行业主要耗能生产设备</w:t>
      </w:r>
      <w:r>
        <w:rPr>
          <w:rFonts w:hint="eastAsia" w:asciiTheme="minorEastAsia" w:hAnsiTheme="minorEastAsia" w:eastAsiaTheme="minorEastAsia"/>
          <w:szCs w:val="21"/>
        </w:rPr>
        <w:t>。</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注：主要包括：单体挤压机、加热炉、各型号轧机、拉伸机等</w:t>
      </w:r>
    </w:p>
    <w:p>
      <w:pPr>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（上述计量单位及用能设备举例见附录1）</w:t>
      </w:r>
    </w:p>
    <w:p>
      <w:pPr>
        <w:ind w:firstLine="420" w:firstLineChars="200"/>
        <w:rPr>
          <w:rFonts w:asciiTheme="minorEastAsia" w:hAnsiTheme="minorEastAsia" w:eastAsiaTheme="minorEastAsia"/>
          <w:szCs w:val="21"/>
        </w:rPr>
      </w:pPr>
    </w:p>
    <w:p>
      <w:pPr>
        <w:spacing w:line="400" w:lineRule="exact"/>
        <w:ind w:firstLine="422" w:firstLineChars="200"/>
        <w:rPr>
          <w:rFonts w:ascii="黑体" w:hAnsi="黑体" w:eastAsia="黑体"/>
          <w:b/>
          <w:szCs w:val="21"/>
        </w:rPr>
      </w:pPr>
      <w:r>
        <w:rPr>
          <w:rFonts w:hint="eastAsia" w:ascii="黑体" w:hAnsi="黑体" w:eastAsia="黑体"/>
          <w:b/>
          <w:szCs w:val="21"/>
        </w:rPr>
        <w:t>3.7</w:t>
      </w:r>
    </w:p>
    <w:p>
      <w:pPr>
        <w:spacing w:line="400" w:lineRule="exact"/>
        <w:ind w:firstLine="422" w:firstLineChars="200"/>
        <w:rPr>
          <w:rFonts w:ascii="黑体" w:hAnsi="黑体" w:eastAsia="黑体"/>
          <w:b/>
          <w:szCs w:val="21"/>
        </w:rPr>
      </w:pPr>
      <w:r>
        <w:rPr>
          <w:rFonts w:hint="eastAsia" w:ascii="黑体" w:hAnsi="黑体" w:eastAsia="黑体"/>
          <w:b/>
          <w:szCs w:val="21"/>
        </w:rPr>
        <w:t>载能工质  energy-consumed medium</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在生产过程中所消耗的不作为原料使用、也不进入产品，在生产或制取时需要直接消耗能源的工作物质。如蒸汽、热水等。</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引自：GB / T 2589《 综合能耗计算通则》</w:t>
      </w:r>
    </w:p>
    <w:p>
      <w:pPr>
        <w:spacing w:line="400" w:lineRule="exact"/>
        <w:ind w:firstLine="422" w:firstLineChars="200"/>
        <w:rPr>
          <w:rFonts w:ascii="黑体" w:hAnsi="黑体" w:eastAsia="黑体"/>
          <w:b/>
          <w:szCs w:val="21"/>
        </w:rPr>
      </w:pPr>
      <w:r>
        <w:rPr>
          <w:rFonts w:hint="eastAsia" w:ascii="黑体" w:hAnsi="黑体" w:eastAsia="黑体"/>
          <w:b/>
          <w:szCs w:val="21"/>
        </w:rPr>
        <w:t>3.8</w:t>
      </w:r>
    </w:p>
    <w:p>
      <w:pPr>
        <w:spacing w:line="400" w:lineRule="exact"/>
        <w:ind w:firstLine="422" w:firstLineChars="200"/>
        <w:rPr>
          <w:rFonts w:ascii="黑体" w:hAnsi="黑体" w:eastAsia="黑体"/>
          <w:b/>
          <w:szCs w:val="21"/>
        </w:rPr>
      </w:pPr>
      <w:r>
        <w:rPr>
          <w:rFonts w:ascii="黑体" w:hAnsi="黑体" w:eastAsia="黑体"/>
          <w:b/>
          <w:szCs w:val="21"/>
        </w:rPr>
        <w:t>能源计量检测点</w:t>
      </w:r>
      <w:r>
        <w:rPr>
          <w:rFonts w:hint="eastAsia" w:ascii="黑体" w:hAnsi="黑体" w:eastAsia="黑体"/>
          <w:b/>
          <w:szCs w:val="21"/>
        </w:rPr>
        <w:t xml:space="preserve"> point of </w:t>
      </w:r>
      <w:r>
        <w:rPr>
          <w:rFonts w:ascii="黑体" w:hAnsi="黑体" w:eastAsia="黑体"/>
          <w:b/>
          <w:szCs w:val="21"/>
        </w:rPr>
        <w:t>energy</w:t>
      </w:r>
      <w:r>
        <w:rPr>
          <w:rFonts w:hint="eastAsia" w:ascii="黑体" w:hAnsi="黑体" w:eastAsia="黑体"/>
          <w:b/>
          <w:szCs w:val="21"/>
        </w:rPr>
        <w:t xml:space="preserve"> measurement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确定计量能源及载能工质对象的检测位置</w:t>
      </w:r>
    </w:p>
    <w:p>
      <w:pPr>
        <w:spacing w:line="400" w:lineRule="exact"/>
        <w:ind w:firstLine="422" w:firstLineChars="200"/>
        <w:rPr>
          <w:rFonts w:ascii="黑体" w:hAnsi="黑体" w:eastAsia="黑体"/>
          <w:b/>
          <w:szCs w:val="21"/>
        </w:rPr>
      </w:pPr>
      <w:r>
        <w:rPr>
          <w:rFonts w:hint="eastAsia" w:ascii="黑体" w:hAnsi="黑体" w:eastAsia="黑体"/>
          <w:b/>
          <w:szCs w:val="21"/>
        </w:rPr>
        <w:t>3.9</w:t>
      </w:r>
    </w:p>
    <w:p>
      <w:pPr>
        <w:spacing w:line="400" w:lineRule="exact"/>
        <w:ind w:firstLine="422" w:firstLineChars="200"/>
        <w:rPr>
          <w:rFonts w:ascii="黑体" w:hAnsi="黑体" w:eastAsia="黑体"/>
          <w:b/>
          <w:szCs w:val="21"/>
        </w:rPr>
      </w:pPr>
      <w:r>
        <w:rPr>
          <w:rFonts w:hint="eastAsia" w:ascii="黑体" w:hAnsi="黑体" w:eastAsia="黑体"/>
          <w:b/>
          <w:szCs w:val="21"/>
        </w:rPr>
        <w:t xml:space="preserve">能源计量检测数据 data of </w:t>
      </w:r>
      <w:r>
        <w:rPr>
          <w:rFonts w:ascii="黑体" w:hAnsi="黑体" w:eastAsia="黑体"/>
          <w:b/>
          <w:szCs w:val="21"/>
        </w:rPr>
        <w:t>energy</w:t>
      </w:r>
      <w:r>
        <w:rPr>
          <w:rFonts w:hint="eastAsia" w:ascii="黑体" w:hAnsi="黑体" w:eastAsia="黑体"/>
          <w:b/>
          <w:szCs w:val="21"/>
        </w:rPr>
        <w:t xml:space="preserve"> measurement</w:t>
      </w:r>
    </w:p>
    <w:p>
      <w:pPr>
        <w:spacing w:line="400" w:lineRule="exact"/>
        <w:ind w:firstLine="420" w:firstLineChars="200"/>
        <w:rPr>
          <w:rFonts w:ascii="黑体" w:hAnsi="黑体" w:eastAsia="黑体"/>
          <w:b/>
          <w:szCs w:val="21"/>
        </w:rPr>
      </w:pPr>
      <w:r>
        <w:rPr>
          <w:rFonts w:hint="eastAsia" w:asciiTheme="minorEastAsia" w:hAnsiTheme="minorEastAsia" w:eastAsiaTheme="minorEastAsia"/>
          <w:szCs w:val="21"/>
        </w:rPr>
        <w:t>通过计量器具检测所获得的能源及载能工质数据</w:t>
      </w:r>
    </w:p>
    <w:p>
      <w:pPr>
        <w:spacing w:line="400" w:lineRule="exact"/>
        <w:ind w:firstLine="422" w:firstLineChars="200"/>
        <w:rPr>
          <w:rFonts w:ascii="黑体" w:hAnsi="黑体" w:eastAsia="黑体"/>
          <w:b/>
          <w:szCs w:val="21"/>
        </w:rPr>
      </w:pPr>
      <w:r>
        <w:rPr>
          <w:rFonts w:hint="eastAsia" w:ascii="黑体" w:hAnsi="黑体" w:eastAsia="黑体"/>
          <w:b/>
          <w:szCs w:val="21"/>
        </w:rPr>
        <w:t>3.10</w:t>
      </w:r>
    </w:p>
    <w:p>
      <w:pPr>
        <w:spacing w:line="400" w:lineRule="exact"/>
        <w:ind w:firstLine="422" w:firstLineChars="200"/>
        <w:rPr>
          <w:rFonts w:ascii="黑体" w:hAnsi="黑体" w:eastAsia="黑体"/>
          <w:b/>
          <w:szCs w:val="21"/>
        </w:rPr>
      </w:pPr>
      <w:r>
        <w:rPr>
          <w:rFonts w:hint="eastAsia" w:ascii="黑体" w:hAnsi="黑体" w:eastAsia="黑体"/>
          <w:b/>
          <w:szCs w:val="21"/>
        </w:rPr>
        <w:t xml:space="preserve">能源计量检测数据修正 amendment data of </w:t>
      </w:r>
      <w:r>
        <w:rPr>
          <w:rFonts w:ascii="黑体" w:hAnsi="黑体" w:eastAsia="黑体"/>
          <w:b/>
          <w:szCs w:val="21"/>
        </w:rPr>
        <w:t>energy</w:t>
      </w:r>
      <w:r>
        <w:rPr>
          <w:rFonts w:hint="eastAsia" w:ascii="黑体" w:hAnsi="黑体" w:eastAsia="黑体"/>
          <w:b/>
          <w:szCs w:val="21"/>
        </w:rPr>
        <w:t xml:space="preserve"> measurement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采用科学、规范的方法，对能源及载能工质计量检测数据校正。</w:t>
      </w:r>
    </w:p>
    <w:p>
      <w:pPr>
        <w:spacing w:line="400" w:lineRule="exact"/>
        <w:ind w:firstLine="422" w:firstLineChars="200"/>
        <w:rPr>
          <w:rFonts w:ascii="黑体" w:hAnsi="黑体" w:eastAsia="黑体"/>
          <w:b/>
          <w:szCs w:val="21"/>
        </w:rPr>
      </w:pPr>
      <w:r>
        <w:rPr>
          <w:rFonts w:hint="eastAsia" w:ascii="黑体" w:hAnsi="黑体" w:eastAsia="黑体"/>
          <w:b/>
          <w:szCs w:val="21"/>
        </w:rPr>
        <w:t>3.11</w:t>
      </w:r>
    </w:p>
    <w:p>
      <w:pPr>
        <w:spacing w:line="400" w:lineRule="exact"/>
        <w:ind w:firstLine="422" w:firstLineChars="200"/>
        <w:rPr>
          <w:rFonts w:ascii="黑体" w:hAnsi="黑体" w:eastAsia="黑体"/>
          <w:b/>
          <w:szCs w:val="21"/>
        </w:rPr>
      </w:pPr>
      <w:r>
        <w:rPr>
          <w:rFonts w:hint="eastAsia" w:ascii="黑体" w:hAnsi="黑体" w:eastAsia="黑体"/>
          <w:b/>
          <w:szCs w:val="21"/>
        </w:rPr>
        <w:t xml:space="preserve">能源计量结算数据 settlement data of </w:t>
      </w:r>
      <w:r>
        <w:rPr>
          <w:rFonts w:ascii="黑体" w:hAnsi="黑体" w:eastAsia="黑体"/>
          <w:b/>
          <w:szCs w:val="21"/>
        </w:rPr>
        <w:t>energy</w:t>
      </w:r>
      <w:r>
        <w:rPr>
          <w:rFonts w:hint="eastAsia" w:ascii="黑体" w:hAnsi="黑体" w:eastAsia="黑体"/>
          <w:b/>
          <w:szCs w:val="21"/>
        </w:rPr>
        <w:t xml:space="preserve"> measurement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用于企业财务、统计和成本管理的能源及载能工质计量检测数据</w:t>
      </w:r>
    </w:p>
    <w:p>
      <w:pPr>
        <w:spacing w:beforeLines="50" w:afterLines="50" w:line="400" w:lineRule="exact"/>
        <w:ind w:firstLine="422" w:firstLineChars="200"/>
        <w:rPr>
          <w:rFonts w:ascii="黑体" w:hAnsi="黑体" w:eastAsia="黑体"/>
          <w:b/>
          <w:szCs w:val="21"/>
        </w:rPr>
      </w:pPr>
      <w:r>
        <w:rPr>
          <w:rFonts w:hint="eastAsia" w:ascii="黑体" w:hAnsi="黑体" w:eastAsia="黑体"/>
          <w:b/>
          <w:szCs w:val="21"/>
        </w:rPr>
        <w:t>4  能源计量器具的配备要求</w:t>
      </w:r>
    </w:p>
    <w:p>
      <w:pPr>
        <w:spacing w:line="400" w:lineRule="exact"/>
        <w:ind w:firstLine="422" w:firstLineChars="200"/>
        <w:contextualSpacing/>
        <w:rPr>
          <w:rFonts w:ascii="黑体" w:hAnsi="黑体" w:eastAsia="黑体"/>
          <w:b/>
          <w:szCs w:val="21"/>
        </w:rPr>
      </w:pPr>
      <w:r>
        <w:rPr>
          <w:rFonts w:hint="eastAsia" w:ascii="黑体" w:hAnsi="黑体" w:eastAsia="黑体"/>
          <w:b/>
          <w:szCs w:val="21"/>
        </w:rPr>
        <w:t>4.1  能源计量范围与管理</w:t>
      </w:r>
    </w:p>
    <w:p>
      <w:pPr>
        <w:spacing w:line="400" w:lineRule="exact"/>
        <w:ind w:firstLine="422" w:firstLineChars="200"/>
        <w:contextualSpacing/>
        <w:rPr>
          <w:rFonts w:ascii="黑体" w:hAnsi="黑体" w:eastAsia="黑体"/>
          <w:b/>
          <w:szCs w:val="21"/>
        </w:rPr>
      </w:pPr>
      <w:r>
        <w:rPr>
          <w:rFonts w:hint="eastAsia" w:ascii="黑体" w:hAnsi="黑体" w:eastAsia="黑体"/>
          <w:b/>
          <w:szCs w:val="21"/>
        </w:rPr>
        <w:t>4.1.1 能源计量的种类</w:t>
      </w:r>
    </w:p>
    <w:p>
      <w:pPr>
        <w:spacing w:line="400" w:lineRule="exact"/>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本标准所称能源，指煤炭、原油、天然气、水、焦炭、煤气、电能、热能、成品油、液化石油气、生物质能和其他直接或者通过加工、转换而取得有用能的各种资源。</w:t>
      </w:r>
    </w:p>
    <w:p>
      <w:pPr>
        <w:spacing w:line="400" w:lineRule="exact"/>
        <w:ind w:firstLine="422" w:firstLineChars="200"/>
        <w:contextualSpacing/>
        <w:rPr>
          <w:rFonts w:ascii="黑体" w:hAnsi="黑体" w:eastAsia="黑体"/>
          <w:b/>
          <w:szCs w:val="21"/>
        </w:rPr>
      </w:pPr>
      <w:r>
        <w:rPr>
          <w:rFonts w:hint="eastAsia" w:ascii="黑体" w:hAnsi="黑体" w:eastAsia="黑体"/>
          <w:b/>
          <w:szCs w:val="21"/>
        </w:rPr>
        <w:t>4.1.2能源计量范围</w:t>
      </w:r>
    </w:p>
    <w:p>
      <w:pPr>
        <w:spacing w:line="400" w:lineRule="exact"/>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a）输入一级能源计量单位、二级能源计量单位、三级能源计量单位的能源及载能工质；</w:t>
      </w:r>
    </w:p>
    <w:p>
      <w:pPr>
        <w:spacing w:line="400" w:lineRule="exact"/>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b）输出一级能源计量单位、二级能源计量单位、三级能源计量单位的能源及载能工质；</w:t>
      </w:r>
    </w:p>
    <w:p>
      <w:pPr>
        <w:spacing w:line="400" w:lineRule="exact"/>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c）用能一级能源计量单位、二级能源计量单位、三级能源计量单位使用的能源及载能工质；</w:t>
      </w:r>
    </w:p>
    <w:p>
      <w:pPr>
        <w:spacing w:line="400" w:lineRule="exact"/>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d）用能一级能源计量单位、二级能源计量单位、三级能源计量单位自产的能源及载能工质；</w:t>
      </w:r>
    </w:p>
    <w:p>
      <w:pPr>
        <w:spacing w:line="400" w:lineRule="exact"/>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e）用能一级能源计量单位、二级能源计量单位、三级能源计量单位回收利用的余能资源。</w:t>
      </w:r>
    </w:p>
    <w:p>
      <w:pPr>
        <w:spacing w:line="400" w:lineRule="exact"/>
        <w:ind w:firstLine="422" w:firstLineChars="200"/>
        <w:contextualSpacing/>
        <w:rPr>
          <w:rFonts w:ascii="黑体" w:hAnsi="黑体" w:eastAsia="黑体"/>
          <w:b/>
          <w:szCs w:val="21"/>
        </w:rPr>
      </w:pPr>
      <w:r>
        <w:rPr>
          <w:rFonts w:hint="eastAsia" w:ascii="黑体" w:hAnsi="黑体" w:eastAsia="黑体"/>
          <w:b/>
          <w:szCs w:val="21"/>
        </w:rPr>
        <w:t>4.1.3 能源计量的管理</w:t>
      </w:r>
    </w:p>
    <w:p>
      <w:pPr>
        <w:spacing w:line="400" w:lineRule="exact"/>
        <w:ind w:firstLine="420" w:firstLineChars="200"/>
        <w:contextualSpacing/>
        <w:rPr>
          <w:rFonts w:asciiTheme="minorEastAsia" w:hAnsiTheme="minorEastAsia" w:eastAsiaTheme="minorEastAsia"/>
          <w:szCs w:val="21"/>
        </w:rPr>
      </w:pPr>
      <w:r>
        <w:rPr>
          <w:rFonts w:asciiTheme="minorEastAsia" w:hAnsiTheme="minorEastAsia" w:eastAsiaTheme="minorEastAsia"/>
          <w:szCs w:val="21"/>
        </w:rPr>
        <w:t>用能单位对能源计量应根据用能单位的实际情况进行分级管理</w:t>
      </w:r>
      <w:r>
        <w:rPr>
          <w:rFonts w:hint="eastAsia" w:asciiTheme="minorEastAsia" w:hAnsiTheme="minorEastAsia" w:eastAsiaTheme="minorEastAsia"/>
          <w:szCs w:val="21"/>
        </w:rPr>
        <w:t>，分级管理的要求是：合理、高效、准确，便于计量数据收集、整理、分析工作。</w:t>
      </w:r>
    </w:p>
    <w:p>
      <w:pPr>
        <w:spacing w:line="400" w:lineRule="exact"/>
        <w:ind w:firstLine="422" w:firstLineChars="200"/>
        <w:contextualSpacing/>
        <w:rPr>
          <w:rFonts w:ascii="黑体" w:hAnsi="黑体" w:eastAsia="黑体"/>
          <w:b/>
          <w:szCs w:val="21"/>
        </w:rPr>
      </w:pPr>
      <w:r>
        <w:rPr>
          <w:rFonts w:hint="eastAsia" w:ascii="黑体" w:hAnsi="黑体" w:eastAsia="黑体"/>
          <w:b/>
          <w:szCs w:val="21"/>
        </w:rPr>
        <w:t>4.2  能源计量器具的配备原则：</w:t>
      </w:r>
    </w:p>
    <w:p>
      <w:pPr>
        <w:spacing w:line="400" w:lineRule="exact"/>
        <w:ind w:firstLine="422" w:firstLineChars="200"/>
        <w:contextualSpacing/>
        <w:rPr>
          <w:rFonts w:asciiTheme="minorEastAsia" w:hAnsiTheme="minorEastAsia" w:eastAsiaTheme="minorEastAsia"/>
          <w:szCs w:val="21"/>
        </w:rPr>
      </w:pPr>
      <w:r>
        <w:rPr>
          <w:rFonts w:hint="eastAsia" w:ascii="黑体" w:hAnsi="黑体" w:eastAsia="黑体"/>
          <w:b/>
          <w:szCs w:val="21"/>
        </w:rPr>
        <w:t>4.2.1</w:t>
      </w:r>
      <w:r>
        <w:rPr>
          <w:rFonts w:hint="eastAsia" w:asciiTheme="minorEastAsia" w:hAnsiTheme="minorEastAsia" w:eastAsiaTheme="minorEastAsia"/>
          <w:szCs w:val="21"/>
        </w:rPr>
        <w:t>应满足用能单位实现能源计量分级、分类、分项考核和结算的要求。</w:t>
      </w:r>
    </w:p>
    <w:p>
      <w:pPr>
        <w:spacing w:line="400" w:lineRule="exact"/>
        <w:ind w:firstLine="422" w:firstLineChars="200"/>
        <w:contextualSpacing/>
        <w:rPr>
          <w:rFonts w:asciiTheme="minorEastAsia" w:hAnsiTheme="minorEastAsia" w:eastAsiaTheme="minorEastAsia"/>
          <w:szCs w:val="21"/>
        </w:rPr>
      </w:pPr>
      <w:r>
        <w:rPr>
          <w:rFonts w:hint="eastAsia" w:ascii="黑体" w:hAnsi="黑体" w:eastAsia="黑体"/>
          <w:b/>
          <w:szCs w:val="21"/>
        </w:rPr>
        <w:t>4.2.2</w:t>
      </w:r>
      <w:r>
        <w:rPr>
          <w:rFonts w:hint="eastAsia" w:asciiTheme="minorEastAsia" w:hAnsiTheme="minorEastAsia" w:eastAsiaTheme="minorEastAsia"/>
          <w:szCs w:val="21"/>
        </w:rPr>
        <w:t>计量检测点应设置在：能源输入、输出的管理分界点附近或计量对象转移的输入、输出点附近适当位置。</w:t>
      </w:r>
    </w:p>
    <w:p>
      <w:pPr>
        <w:spacing w:line="420" w:lineRule="exact"/>
        <w:contextualSpacing/>
        <w:rPr>
          <w:rFonts w:asciiTheme="minorEastAsia" w:hAnsiTheme="minorEastAsia" w:eastAsiaTheme="minorEastAsia"/>
          <w:szCs w:val="21"/>
        </w:rPr>
      </w:pPr>
      <w:r>
        <w:rPr>
          <w:rFonts w:hint="eastAsia" w:ascii="黑体" w:hAnsi="黑体" w:eastAsia="黑体"/>
          <w:b/>
          <w:szCs w:val="21"/>
        </w:rPr>
        <w:t>4.2.3</w:t>
      </w:r>
      <w:r>
        <w:rPr>
          <w:rFonts w:hint="eastAsia" w:asciiTheme="minorEastAsia" w:hAnsiTheme="minorEastAsia" w:eastAsiaTheme="minorEastAsia"/>
          <w:szCs w:val="21"/>
        </w:rPr>
        <w:t>能源计量器具配备在符合4.3.4.4的要求下，优先采用节能、环保、绿色结构产品，同时具有实现连续化无间断采集和传输数据功能的仪器仪表，计量器具要便于装拆方便。</w:t>
      </w:r>
    </w:p>
    <w:p>
      <w:pPr>
        <w:spacing w:line="420" w:lineRule="exact"/>
        <w:contextualSpacing/>
        <w:rPr>
          <w:rFonts w:asciiTheme="minorEastAsia" w:hAnsiTheme="minorEastAsia" w:eastAsiaTheme="minorEastAsia"/>
          <w:szCs w:val="21"/>
        </w:rPr>
      </w:pPr>
      <w:r>
        <w:rPr>
          <w:rFonts w:hint="eastAsia" w:ascii="黑体" w:hAnsi="黑体" w:eastAsia="黑体"/>
          <w:b/>
          <w:szCs w:val="21"/>
        </w:rPr>
        <w:t>4.2.4</w:t>
      </w:r>
      <w:r>
        <w:rPr>
          <w:rFonts w:hint="eastAsia" w:asciiTheme="minorEastAsia" w:hAnsiTheme="minorEastAsia" w:eastAsiaTheme="minorEastAsia"/>
          <w:szCs w:val="21"/>
        </w:rPr>
        <w:t>用能单位应配置必要的便携式能源计量检测仪器仪表，以满足用能单位对本单位仪器仪表的自检和自查的要求。</w:t>
      </w:r>
    </w:p>
    <w:p>
      <w:pPr>
        <w:spacing w:line="420" w:lineRule="exact"/>
        <w:contextualSpacing/>
        <w:rPr>
          <w:rFonts w:ascii="黑体" w:hAnsi="黑体" w:eastAsia="黑体"/>
          <w:b/>
          <w:szCs w:val="21"/>
        </w:rPr>
      </w:pPr>
      <w:r>
        <w:rPr>
          <w:rFonts w:hint="eastAsia" w:ascii="黑体" w:hAnsi="黑体" w:eastAsia="黑体"/>
          <w:b/>
          <w:szCs w:val="21"/>
        </w:rPr>
        <w:t>4.3  能源计量器具的配备要求</w:t>
      </w:r>
    </w:p>
    <w:p>
      <w:pPr>
        <w:spacing w:line="420" w:lineRule="exact"/>
        <w:contextualSpacing/>
        <w:rPr>
          <w:rFonts w:asciiTheme="minorEastAsia" w:hAnsiTheme="minorEastAsia" w:eastAsiaTheme="minorEastAsia"/>
          <w:szCs w:val="21"/>
        </w:rPr>
      </w:pPr>
      <w:r>
        <w:rPr>
          <w:rFonts w:hint="eastAsia" w:ascii="黑体" w:hAnsi="黑体" w:eastAsia="黑体"/>
          <w:b/>
          <w:szCs w:val="21"/>
        </w:rPr>
        <w:t xml:space="preserve">4.3.1 </w:t>
      </w:r>
      <w:r>
        <w:rPr>
          <w:rFonts w:hint="eastAsia" w:asciiTheme="minorEastAsia" w:hAnsiTheme="minorEastAsia" w:eastAsiaTheme="minorEastAsia"/>
          <w:szCs w:val="21"/>
        </w:rPr>
        <w:t>一级、二级、三级能源计量器具配备率按公式（1）计算：</w:t>
      </w:r>
    </w:p>
    <w:p>
      <w:pPr>
        <w:ind w:firstLine="480" w:firstLineChars="200"/>
        <w:jc w:val="right"/>
        <w:rPr>
          <w:rFonts w:ascii="黑体" w:hAnsi="黑体" w:eastAsia="黑体"/>
          <w:b/>
          <w:sz w:val="28"/>
          <w:szCs w:val="28"/>
        </w:rPr>
      </w:pPr>
      <w:r>
        <w:rPr>
          <w:rFonts w:ascii="宋体" w:hAnsi="宋体"/>
          <w:position w:val="-30"/>
          <w:sz w:val="24"/>
        </w:rPr>
        <w:object>
          <v:shape id="_x0000_i1026" o:spt="75" type="#_x0000_t75" style="height:42pt;width:99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hint="eastAsia" w:asciiTheme="minorEastAsia" w:hAnsiTheme="minorEastAsia"/>
          <w:sz w:val="28"/>
          <w:szCs w:val="28"/>
        </w:rPr>
        <w:t xml:space="preserve">   ........................     </w:t>
      </w:r>
      <w:r>
        <w:rPr>
          <w:rFonts w:hint="eastAsia" w:asciiTheme="minorEastAsia" w:hAnsiTheme="minorEastAsia"/>
          <w:szCs w:val="21"/>
        </w:rPr>
        <w:t>(1)</w:t>
      </w:r>
    </w:p>
    <w:p>
      <w:pPr>
        <w:spacing w:line="360" w:lineRule="auto"/>
        <w:ind w:firstLine="480" w:firstLineChars="200"/>
        <w:rPr>
          <w:rFonts w:ascii="宋体" w:hAnsi="宋体"/>
          <w:sz w:val="24"/>
        </w:rPr>
      </w:pPr>
      <w:r>
        <w:rPr>
          <w:rFonts w:hint="eastAsia" w:ascii="宋体" w:hAnsi="宋体"/>
          <w:sz w:val="24"/>
        </w:rPr>
        <w:t>式中：</w:t>
      </w:r>
    </w:p>
    <w:p>
      <w:pPr>
        <w:spacing w:line="360" w:lineRule="auto"/>
        <w:ind w:firstLine="422" w:firstLineChars="200"/>
        <w:jc w:val="left"/>
        <w:rPr>
          <w:rFonts w:ascii="宋体" w:hAnsi="宋体"/>
          <w:szCs w:val="21"/>
        </w:rPr>
      </w:pPr>
      <w:r>
        <w:rPr>
          <w:rFonts w:ascii="宋体" w:hAnsi="宋体"/>
          <w:b/>
          <w:i/>
          <w:szCs w:val="21"/>
        </w:rPr>
        <w:t>R</w:t>
      </w:r>
      <w:r>
        <w:rPr>
          <w:rFonts w:hint="eastAsia" w:ascii="宋体" w:hAnsi="宋体"/>
          <w:b/>
          <w:i/>
          <w:szCs w:val="21"/>
          <w:vertAlign w:val="subscript"/>
        </w:rPr>
        <w:t>P</w:t>
      </w:r>
      <w:r>
        <w:rPr>
          <w:rFonts w:ascii="宋体" w:hAnsi="宋体"/>
          <w:szCs w:val="21"/>
        </w:rPr>
        <w:t>——能源计量器具配备率，%；</w:t>
      </w:r>
    </w:p>
    <w:p>
      <w:pPr>
        <w:spacing w:line="360" w:lineRule="auto"/>
        <w:ind w:firstLine="422" w:firstLineChars="200"/>
        <w:rPr>
          <w:rFonts w:ascii="宋体" w:hAnsi="宋体"/>
          <w:szCs w:val="21"/>
        </w:rPr>
      </w:pPr>
      <w:r>
        <w:rPr>
          <w:rFonts w:ascii="宋体" w:hAnsi="宋体"/>
          <w:b/>
          <w:i/>
          <w:szCs w:val="21"/>
        </w:rPr>
        <w:t>N</w:t>
      </w:r>
      <w:r>
        <w:rPr>
          <w:rFonts w:ascii="宋体" w:hAnsi="宋体"/>
          <w:b/>
          <w:i/>
          <w:szCs w:val="21"/>
          <w:vertAlign w:val="subscript"/>
        </w:rPr>
        <w:t>S</w:t>
      </w:r>
      <w:r>
        <w:rPr>
          <w:rFonts w:ascii="宋体" w:hAnsi="宋体"/>
          <w:szCs w:val="21"/>
        </w:rPr>
        <w:t>——能源计量器具实际的安装配备数量；</w:t>
      </w:r>
    </w:p>
    <w:p>
      <w:pPr>
        <w:spacing w:line="360" w:lineRule="auto"/>
        <w:ind w:firstLine="422" w:firstLineChars="200"/>
        <w:rPr>
          <w:rFonts w:ascii="宋体" w:hAnsi="宋体"/>
          <w:szCs w:val="21"/>
        </w:rPr>
      </w:pPr>
      <w:r>
        <w:rPr>
          <w:rFonts w:ascii="宋体" w:hAnsi="宋体"/>
          <w:b/>
          <w:i/>
          <w:szCs w:val="21"/>
        </w:rPr>
        <w:t>N</w:t>
      </w:r>
      <w:r>
        <w:rPr>
          <w:rFonts w:ascii="宋体" w:hAnsi="宋体"/>
          <w:b/>
          <w:i/>
          <w:szCs w:val="21"/>
          <w:vertAlign w:val="subscript"/>
        </w:rPr>
        <w:t>1</w:t>
      </w:r>
      <w:r>
        <w:rPr>
          <w:rFonts w:ascii="宋体" w:hAnsi="宋体"/>
          <w:szCs w:val="21"/>
        </w:rPr>
        <w:t>——能源计量器具理论需要量。</w:t>
      </w:r>
    </w:p>
    <w:p>
      <w:pPr>
        <w:spacing w:line="480" w:lineRule="exact"/>
        <w:rPr>
          <w:rFonts w:asciiTheme="minorEastAsia" w:hAnsiTheme="minorEastAsia" w:eastAsiaTheme="minorEastAsia"/>
          <w:szCs w:val="21"/>
        </w:rPr>
      </w:pPr>
      <w:r>
        <w:rPr>
          <w:rFonts w:hint="eastAsia" w:ascii="黑体" w:hAnsi="黑体" w:eastAsia="黑体"/>
          <w:b/>
          <w:szCs w:val="21"/>
        </w:rPr>
        <w:t>4.3.2</w:t>
      </w:r>
      <w:r>
        <w:rPr>
          <w:rFonts w:hint="eastAsia" w:asciiTheme="minorEastAsia" w:hAnsiTheme="minorEastAsia" w:eastAsiaTheme="minorEastAsia"/>
          <w:szCs w:val="21"/>
        </w:rPr>
        <w:t>一级、二级、三级能源计量器具配备率应满足表1要求。</w:t>
      </w:r>
    </w:p>
    <w:p>
      <w:pPr>
        <w:spacing w:line="48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                        表1：</w:t>
      </w:r>
      <w:r>
        <w:rPr>
          <w:rFonts w:asciiTheme="minorEastAsia" w:hAnsiTheme="minorEastAsia" w:eastAsiaTheme="minorEastAsia"/>
          <w:szCs w:val="21"/>
        </w:rPr>
        <w:t>一级</w:t>
      </w:r>
      <w:r>
        <w:rPr>
          <w:rFonts w:hint="eastAsia" w:asciiTheme="minorEastAsia" w:hAnsiTheme="minorEastAsia" w:eastAsiaTheme="minorEastAsia"/>
          <w:szCs w:val="21"/>
        </w:rPr>
        <w:t>、</w:t>
      </w:r>
      <w:r>
        <w:rPr>
          <w:rFonts w:asciiTheme="minorEastAsia" w:hAnsiTheme="minorEastAsia" w:eastAsiaTheme="minorEastAsia"/>
          <w:szCs w:val="21"/>
        </w:rPr>
        <w:t>二级</w:t>
      </w:r>
      <w:r>
        <w:rPr>
          <w:rFonts w:hint="eastAsia" w:asciiTheme="minorEastAsia" w:hAnsiTheme="minorEastAsia" w:eastAsiaTheme="minorEastAsia"/>
          <w:szCs w:val="21"/>
        </w:rPr>
        <w:t>、</w:t>
      </w:r>
      <w:r>
        <w:rPr>
          <w:rFonts w:asciiTheme="minorEastAsia" w:hAnsiTheme="minorEastAsia" w:eastAsiaTheme="minorEastAsia"/>
          <w:szCs w:val="21"/>
        </w:rPr>
        <w:t>三级能源计量器具配备率要求</w:t>
      </w:r>
      <w:r>
        <w:rPr>
          <w:rFonts w:hint="eastAsia" w:asciiTheme="minorEastAsia" w:hAnsiTheme="minorEastAsia" w:eastAsiaTheme="minorEastAsia"/>
          <w:szCs w:val="21"/>
        </w:rPr>
        <w:t xml:space="preserve">                   单位：</w:t>
      </w:r>
      <w:r>
        <w:rPr>
          <w:rFonts w:hint="eastAsia" w:asciiTheme="minorEastAsia" w:hAnsiTheme="minorEastAsia" w:eastAsiaTheme="minorEastAsia"/>
          <w:sz w:val="24"/>
        </w:rPr>
        <w:t>%</w:t>
      </w:r>
    </w:p>
    <w:tbl>
      <w:tblPr>
        <w:tblStyle w:val="9"/>
        <w:tblW w:w="10187" w:type="dxa"/>
        <w:tblInd w:w="93" w:type="dxa"/>
        <w:tblLayout w:type="fixed"/>
        <w:tblCellMar>
          <w:top w:w="0" w:type="dxa"/>
          <w:left w:w="108" w:type="dxa"/>
          <w:bottom w:w="0" w:type="dxa"/>
          <w:right w:w="108" w:type="dxa"/>
        </w:tblCellMar>
      </w:tblPr>
      <w:tblGrid>
        <w:gridCol w:w="1658"/>
        <w:gridCol w:w="2454"/>
        <w:gridCol w:w="2025"/>
        <w:gridCol w:w="2025"/>
        <w:gridCol w:w="2025"/>
      </w:tblGrid>
      <w:tr>
        <w:tblPrEx>
          <w:tblLayout w:type="fixed"/>
          <w:tblCellMar>
            <w:top w:w="0" w:type="dxa"/>
            <w:left w:w="108" w:type="dxa"/>
            <w:bottom w:w="0" w:type="dxa"/>
            <w:right w:w="108" w:type="dxa"/>
          </w:tblCellMar>
        </w:tblPrEx>
        <w:trPr>
          <w:trHeight w:val="448" w:hRule="atLeast"/>
        </w:trPr>
        <w:tc>
          <w:tcPr>
            <w:tcW w:w="411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能源种类</w:t>
            </w:r>
          </w:p>
        </w:tc>
        <w:tc>
          <w:tcPr>
            <w:tcW w:w="607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配备率要求</w:t>
            </w:r>
          </w:p>
        </w:tc>
      </w:tr>
      <w:tr>
        <w:tblPrEx>
          <w:tblLayout w:type="fixed"/>
          <w:tblCellMar>
            <w:top w:w="0" w:type="dxa"/>
            <w:left w:w="108" w:type="dxa"/>
            <w:bottom w:w="0" w:type="dxa"/>
            <w:right w:w="108" w:type="dxa"/>
          </w:tblCellMar>
        </w:tblPrEx>
        <w:trPr>
          <w:trHeight w:val="448" w:hRule="atLeast"/>
        </w:trPr>
        <w:tc>
          <w:tcPr>
            <w:tcW w:w="411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一级能源计量</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二级能源计量</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三级能源计量</w:t>
            </w:r>
          </w:p>
        </w:tc>
      </w:tr>
      <w:tr>
        <w:tblPrEx>
          <w:tblLayout w:type="fixed"/>
          <w:tblCellMar>
            <w:top w:w="0" w:type="dxa"/>
            <w:left w:w="108" w:type="dxa"/>
            <w:bottom w:w="0" w:type="dxa"/>
            <w:right w:w="108" w:type="dxa"/>
          </w:tblCellMar>
        </w:tblPrEx>
        <w:trPr>
          <w:trHeight w:val="448" w:hRule="atLeast"/>
        </w:trPr>
        <w:tc>
          <w:tcPr>
            <w:tcW w:w="4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电力</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r>
      <w:tr>
        <w:tblPrEx>
          <w:tblLayout w:type="fixed"/>
          <w:tblCellMar>
            <w:top w:w="0" w:type="dxa"/>
            <w:left w:w="108" w:type="dxa"/>
            <w:bottom w:w="0" w:type="dxa"/>
            <w:right w:w="108" w:type="dxa"/>
          </w:tblCellMar>
        </w:tblPrEx>
        <w:trPr>
          <w:trHeight w:val="448" w:hRule="atLeast"/>
        </w:trPr>
        <w:tc>
          <w:tcPr>
            <w:tcW w:w="4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固态能源（煤炭、焦炭）</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r>
      <w:tr>
        <w:tblPrEx>
          <w:tblLayout w:type="fixed"/>
          <w:tblCellMar>
            <w:top w:w="0" w:type="dxa"/>
            <w:left w:w="108" w:type="dxa"/>
            <w:bottom w:w="0" w:type="dxa"/>
            <w:right w:w="108" w:type="dxa"/>
          </w:tblCellMar>
        </w:tblPrEx>
        <w:trPr>
          <w:trHeight w:val="448" w:hRule="atLeast"/>
        </w:trPr>
        <w:tc>
          <w:tcPr>
            <w:tcW w:w="165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液态能源</w:t>
            </w:r>
          </w:p>
        </w:tc>
        <w:tc>
          <w:tcPr>
            <w:tcW w:w="24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原油、成品油</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r>
      <w:tr>
        <w:tblPrEx>
          <w:tblLayout w:type="fixed"/>
          <w:tblCellMar>
            <w:top w:w="0" w:type="dxa"/>
            <w:left w:w="108" w:type="dxa"/>
            <w:bottom w:w="0" w:type="dxa"/>
            <w:right w:w="108" w:type="dxa"/>
          </w:tblCellMar>
        </w:tblPrEx>
        <w:trPr>
          <w:trHeight w:val="448" w:hRule="atLeast"/>
        </w:trPr>
        <w:tc>
          <w:tcPr>
            <w:tcW w:w="1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24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重油、渣油</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r>
      <w:tr>
        <w:tblPrEx>
          <w:tblLayout w:type="fixed"/>
          <w:tblCellMar>
            <w:top w:w="0" w:type="dxa"/>
            <w:left w:w="108" w:type="dxa"/>
            <w:bottom w:w="0" w:type="dxa"/>
            <w:right w:w="108" w:type="dxa"/>
          </w:tblCellMar>
        </w:tblPrEx>
        <w:trPr>
          <w:trHeight w:val="436" w:hRule="atLeast"/>
        </w:trPr>
        <w:tc>
          <w:tcPr>
            <w:tcW w:w="1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24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w:t>
            </w:r>
          </w:p>
        </w:tc>
      </w:tr>
      <w:tr>
        <w:tblPrEx>
          <w:tblLayout w:type="fixed"/>
          <w:tblCellMar>
            <w:top w:w="0" w:type="dxa"/>
            <w:left w:w="108" w:type="dxa"/>
            <w:bottom w:w="0" w:type="dxa"/>
            <w:right w:w="108" w:type="dxa"/>
          </w:tblCellMar>
        </w:tblPrEx>
        <w:trPr>
          <w:trHeight w:val="448" w:hRule="atLeast"/>
        </w:trPr>
        <w:tc>
          <w:tcPr>
            <w:tcW w:w="165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bookmarkStart w:id="2" w:name="_GoBack" w:colFirst="2" w:colLast="2"/>
            <w:r>
              <w:rPr>
                <w:rFonts w:hint="eastAsia" w:cs="宋体" w:asciiTheme="minorEastAsia" w:hAnsiTheme="minorEastAsia" w:eastAsiaTheme="minorEastAsia"/>
                <w:color w:val="000000"/>
                <w:kern w:val="0"/>
                <w:szCs w:val="21"/>
              </w:rPr>
              <w:t>气态能源</w:t>
            </w:r>
          </w:p>
        </w:tc>
        <w:tc>
          <w:tcPr>
            <w:tcW w:w="24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auto"/>
                <w:kern w:val="0"/>
                <w:szCs w:val="21"/>
              </w:rPr>
              <w:t>其他液态油</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r>
      <w:tr>
        <w:tblPrEx>
          <w:tblLayout w:type="fixed"/>
          <w:tblCellMar>
            <w:top w:w="0" w:type="dxa"/>
            <w:left w:w="108" w:type="dxa"/>
            <w:bottom w:w="0" w:type="dxa"/>
            <w:right w:w="108" w:type="dxa"/>
          </w:tblCellMar>
        </w:tblPrEx>
        <w:trPr>
          <w:trHeight w:val="448" w:hRule="atLeast"/>
        </w:trPr>
        <w:tc>
          <w:tcPr>
            <w:tcW w:w="1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24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auto"/>
                <w:kern w:val="0"/>
                <w:szCs w:val="21"/>
              </w:rPr>
              <w:t>天然气</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r>
      <w:tr>
        <w:tblPrEx>
          <w:tblLayout w:type="fixed"/>
          <w:tblCellMar>
            <w:top w:w="0" w:type="dxa"/>
            <w:left w:w="108" w:type="dxa"/>
            <w:bottom w:w="0" w:type="dxa"/>
            <w:right w:w="108" w:type="dxa"/>
          </w:tblCellMar>
        </w:tblPrEx>
        <w:trPr>
          <w:trHeight w:val="448" w:hRule="atLeast"/>
        </w:trPr>
        <w:tc>
          <w:tcPr>
            <w:tcW w:w="1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24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auto"/>
                <w:kern w:val="0"/>
                <w:szCs w:val="21"/>
              </w:rPr>
              <w:t>液化气</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r>
      <w:tr>
        <w:tblPrEx>
          <w:tblLayout w:type="fixed"/>
          <w:tblCellMar>
            <w:top w:w="0" w:type="dxa"/>
            <w:left w:w="108" w:type="dxa"/>
            <w:bottom w:w="0" w:type="dxa"/>
            <w:right w:w="108" w:type="dxa"/>
          </w:tblCellMar>
        </w:tblPrEx>
        <w:trPr>
          <w:trHeight w:val="448" w:hRule="atLeast"/>
        </w:trPr>
        <w:tc>
          <w:tcPr>
            <w:tcW w:w="1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24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auto"/>
                <w:kern w:val="0"/>
                <w:szCs w:val="21"/>
              </w:rPr>
              <w:t>煤气</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r>
      <w:tr>
        <w:tblPrEx>
          <w:tblLayout w:type="fixed"/>
          <w:tblCellMar>
            <w:top w:w="0" w:type="dxa"/>
            <w:left w:w="108" w:type="dxa"/>
            <w:bottom w:w="0" w:type="dxa"/>
            <w:right w:w="108" w:type="dxa"/>
          </w:tblCellMar>
        </w:tblPrEx>
        <w:trPr>
          <w:trHeight w:val="448" w:hRule="atLeast"/>
        </w:trPr>
        <w:tc>
          <w:tcPr>
            <w:tcW w:w="165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载能工质</w:t>
            </w:r>
          </w:p>
        </w:tc>
        <w:tc>
          <w:tcPr>
            <w:tcW w:w="24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auto"/>
                <w:kern w:val="0"/>
                <w:szCs w:val="21"/>
              </w:rPr>
              <w:t>其他气态能源</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w:t>
            </w:r>
          </w:p>
        </w:tc>
      </w:tr>
      <w:tr>
        <w:tblPrEx>
          <w:tblLayout w:type="fixed"/>
          <w:tblCellMar>
            <w:top w:w="0" w:type="dxa"/>
            <w:left w:w="108" w:type="dxa"/>
            <w:bottom w:w="0" w:type="dxa"/>
            <w:right w:w="108" w:type="dxa"/>
          </w:tblCellMar>
        </w:tblPrEx>
        <w:trPr>
          <w:trHeight w:val="448" w:hRule="atLeast"/>
        </w:trPr>
        <w:tc>
          <w:tcPr>
            <w:tcW w:w="1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24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auto"/>
                <w:kern w:val="0"/>
                <w:szCs w:val="21"/>
              </w:rPr>
              <w:t>蒸汽</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w:t>
            </w:r>
          </w:p>
        </w:tc>
      </w:tr>
      <w:tr>
        <w:tblPrEx>
          <w:tblLayout w:type="fixed"/>
          <w:tblCellMar>
            <w:top w:w="0" w:type="dxa"/>
            <w:left w:w="108" w:type="dxa"/>
            <w:bottom w:w="0" w:type="dxa"/>
            <w:right w:w="108" w:type="dxa"/>
          </w:tblCellMar>
        </w:tblPrEx>
        <w:trPr>
          <w:trHeight w:val="448" w:hRule="atLeast"/>
        </w:trPr>
        <w:tc>
          <w:tcPr>
            <w:tcW w:w="1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24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auto"/>
                <w:kern w:val="0"/>
                <w:szCs w:val="21"/>
              </w:rPr>
              <w:t>水</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85</w:t>
            </w:r>
          </w:p>
        </w:tc>
      </w:tr>
      <w:tr>
        <w:tblPrEx>
          <w:tblLayout w:type="fixed"/>
          <w:tblCellMar>
            <w:top w:w="0" w:type="dxa"/>
            <w:left w:w="108" w:type="dxa"/>
            <w:bottom w:w="0" w:type="dxa"/>
            <w:right w:w="108" w:type="dxa"/>
          </w:tblCellMar>
        </w:tblPrEx>
        <w:trPr>
          <w:trHeight w:val="448" w:hRule="atLeast"/>
        </w:trPr>
        <w:tc>
          <w:tcPr>
            <w:tcW w:w="1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24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auto"/>
                <w:kern w:val="0"/>
                <w:szCs w:val="21"/>
              </w:rPr>
              <w:t>循环水</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w:t>
            </w:r>
          </w:p>
        </w:tc>
      </w:tr>
      <w:tr>
        <w:tblPrEx>
          <w:tblLayout w:type="fixed"/>
          <w:tblCellMar>
            <w:top w:w="0" w:type="dxa"/>
            <w:left w:w="108" w:type="dxa"/>
            <w:bottom w:w="0" w:type="dxa"/>
            <w:right w:w="108" w:type="dxa"/>
          </w:tblCellMar>
        </w:tblPrEx>
        <w:trPr>
          <w:trHeight w:val="448" w:hRule="atLeast"/>
        </w:trPr>
        <w:tc>
          <w:tcPr>
            <w:tcW w:w="1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24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auto"/>
                <w:kern w:val="0"/>
                <w:szCs w:val="21"/>
              </w:rPr>
              <w:t>压缩空气</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w:t>
            </w:r>
          </w:p>
        </w:tc>
      </w:tr>
      <w:tr>
        <w:tblPrEx>
          <w:tblLayout w:type="fixed"/>
          <w:tblCellMar>
            <w:top w:w="0" w:type="dxa"/>
            <w:left w:w="108" w:type="dxa"/>
            <w:bottom w:w="0" w:type="dxa"/>
            <w:right w:w="108" w:type="dxa"/>
          </w:tblCellMar>
        </w:tblPrEx>
        <w:trPr>
          <w:trHeight w:val="448" w:hRule="atLeast"/>
        </w:trPr>
        <w:tc>
          <w:tcPr>
            <w:tcW w:w="165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245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auto"/>
                <w:kern w:val="0"/>
                <w:szCs w:val="21"/>
              </w:rPr>
            </w:pP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auto"/>
                <w:kern w:val="0"/>
                <w:szCs w:val="21"/>
              </w:rPr>
              <w:t>氮气</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w:t>
            </w:r>
          </w:p>
        </w:tc>
      </w:tr>
      <w:tr>
        <w:tblPrEx>
          <w:tblLayout w:type="fixed"/>
          <w:tblCellMar>
            <w:top w:w="0" w:type="dxa"/>
            <w:left w:w="108" w:type="dxa"/>
            <w:bottom w:w="0" w:type="dxa"/>
            <w:right w:w="108" w:type="dxa"/>
          </w:tblCellMar>
        </w:tblPrEx>
        <w:trPr>
          <w:trHeight w:val="448" w:hRule="atLeast"/>
        </w:trPr>
        <w:tc>
          <w:tcPr>
            <w:tcW w:w="4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已回收利用余热</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auto"/>
                <w:kern w:val="0"/>
                <w:szCs w:val="21"/>
              </w:rPr>
              <w:t>其他载能工质</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w:t>
            </w:r>
          </w:p>
        </w:tc>
        <w:tc>
          <w:tcPr>
            <w:tcW w:w="202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85</w:t>
            </w:r>
          </w:p>
        </w:tc>
      </w:tr>
      <w:bookmarkEnd w:id="2"/>
    </w:tbl>
    <w:p>
      <w:pPr>
        <w:rPr>
          <w:rFonts w:asciiTheme="minorEastAsia" w:hAnsiTheme="minorEastAsia" w:eastAsiaTheme="minorEastAsia"/>
          <w:szCs w:val="21"/>
        </w:rPr>
      </w:pPr>
      <w:r>
        <w:rPr>
          <w:rFonts w:hint="eastAsia" w:ascii="黑体" w:hAnsi="黑体" w:eastAsia="黑体"/>
          <w:b/>
          <w:szCs w:val="21"/>
        </w:rPr>
        <w:t>4.3.3</w:t>
      </w:r>
      <w:r>
        <w:rPr>
          <w:rFonts w:hint="eastAsia" w:asciiTheme="minorEastAsia" w:hAnsiTheme="minorEastAsia" w:eastAsiaTheme="minorEastAsia"/>
          <w:szCs w:val="21"/>
        </w:rPr>
        <w:t>属三级能源计量范围，但未列入用能单元计量管理考核，单体设备耗能总量大于或等于表2中一种或多种能源消耗限定值的设备为主要用能设备，其设备要按照表1要求单独加装能源计量器具。</w:t>
      </w:r>
    </w:p>
    <w:p>
      <w:pPr>
        <w:jc w:val="center"/>
        <w:rPr>
          <w:rFonts w:asciiTheme="minorEastAsia" w:hAnsiTheme="minorEastAsia" w:eastAsiaTheme="minorEastAsia"/>
          <w:szCs w:val="21"/>
        </w:rPr>
      </w:pPr>
      <w:r>
        <w:rPr>
          <w:rFonts w:asciiTheme="minorEastAsia" w:hAnsiTheme="minorEastAsia" w:eastAsiaTheme="minorEastAsia"/>
          <w:szCs w:val="21"/>
        </w:rPr>
        <w:t>表</w:t>
      </w:r>
      <w:r>
        <w:rPr>
          <w:rFonts w:hint="eastAsia" w:asciiTheme="minorEastAsia" w:hAnsiTheme="minorEastAsia" w:eastAsiaTheme="minorEastAsia"/>
          <w:szCs w:val="21"/>
        </w:rPr>
        <w:t>2：企业内部属于主要用能设备能源消耗量限定值</w:t>
      </w:r>
    </w:p>
    <w:tbl>
      <w:tblPr>
        <w:tblStyle w:val="9"/>
        <w:tblW w:w="10348" w:type="dxa"/>
        <w:tblInd w:w="93" w:type="dxa"/>
        <w:tblLayout w:type="fixed"/>
        <w:tblCellMar>
          <w:top w:w="0" w:type="dxa"/>
          <w:left w:w="108" w:type="dxa"/>
          <w:bottom w:w="0" w:type="dxa"/>
          <w:right w:w="108" w:type="dxa"/>
        </w:tblCellMar>
      </w:tblPr>
      <w:tblGrid>
        <w:gridCol w:w="1091"/>
        <w:gridCol w:w="808"/>
        <w:gridCol w:w="1091"/>
        <w:gridCol w:w="1091"/>
        <w:gridCol w:w="1091"/>
        <w:gridCol w:w="1091"/>
        <w:gridCol w:w="1091"/>
        <w:gridCol w:w="808"/>
        <w:gridCol w:w="1091"/>
        <w:gridCol w:w="1095"/>
      </w:tblGrid>
      <w:tr>
        <w:tblPrEx>
          <w:tblLayout w:type="fixed"/>
          <w:tblCellMar>
            <w:top w:w="0" w:type="dxa"/>
            <w:left w:w="108" w:type="dxa"/>
            <w:bottom w:w="0" w:type="dxa"/>
            <w:right w:w="108" w:type="dxa"/>
          </w:tblCellMar>
        </w:tblPrEx>
        <w:trPr>
          <w:trHeight w:val="711" w:hRule="atLeast"/>
        </w:trPr>
        <w:tc>
          <w:tcPr>
            <w:tcW w:w="10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能源种类</w:t>
            </w:r>
          </w:p>
        </w:tc>
        <w:tc>
          <w:tcPr>
            <w:tcW w:w="8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电力</w:t>
            </w:r>
          </w:p>
        </w:tc>
        <w:tc>
          <w:tcPr>
            <w:tcW w:w="10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固体   燃料</w:t>
            </w:r>
            <w:r>
              <w:rPr>
                <w:rFonts w:hint="eastAsia" w:cs="宋体" w:asciiTheme="minorEastAsia" w:hAnsiTheme="minorEastAsia" w:eastAsiaTheme="minorEastAsia"/>
                <w:color w:val="000000" w:themeColor="text1"/>
                <w:kern w:val="0"/>
                <w:szCs w:val="21"/>
              </w:rPr>
              <w:t>（煤炭、焦炭）</w:t>
            </w:r>
          </w:p>
        </w:tc>
        <w:tc>
          <w:tcPr>
            <w:tcW w:w="10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原油   成品油 液化气</w:t>
            </w:r>
          </w:p>
        </w:tc>
        <w:tc>
          <w:tcPr>
            <w:tcW w:w="10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重油   渣油</w:t>
            </w:r>
          </w:p>
        </w:tc>
        <w:tc>
          <w:tcPr>
            <w:tcW w:w="10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煤气   天然气</w:t>
            </w:r>
          </w:p>
        </w:tc>
        <w:tc>
          <w:tcPr>
            <w:tcW w:w="10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蒸汽   热水</w:t>
            </w:r>
          </w:p>
        </w:tc>
        <w:tc>
          <w:tcPr>
            <w:tcW w:w="8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水</w:t>
            </w:r>
          </w:p>
        </w:tc>
        <w:tc>
          <w:tcPr>
            <w:tcW w:w="10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压缩空气</w:t>
            </w:r>
          </w:p>
        </w:tc>
        <w:tc>
          <w:tcPr>
            <w:tcW w:w="10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其它</w:t>
            </w:r>
          </w:p>
        </w:tc>
      </w:tr>
      <w:tr>
        <w:tblPrEx>
          <w:tblLayout w:type="fixed"/>
          <w:tblCellMar>
            <w:top w:w="0" w:type="dxa"/>
            <w:left w:w="108" w:type="dxa"/>
            <w:bottom w:w="0" w:type="dxa"/>
            <w:right w:w="108" w:type="dxa"/>
          </w:tblCellMar>
        </w:tblPrEx>
        <w:trPr>
          <w:trHeight w:val="711" w:hRule="atLeast"/>
        </w:trPr>
        <w:tc>
          <w:tcPr>
            <w:tcW w:w="109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kW</w:t>
            </w:r>
          </w:p>
        </w:tc>
        <w:tc>
          <w:tcPr>
            <w:tcW w:w="10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t/h</w:t>
            </w:r>
          </w:p>
        </w:tc>
        <w:tc>
          <w:tcPr>
            <w:tcW w:w="10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t/h</w:t>
            </w:r>
          </w:p>
        </w:tc>
        <w:tc>
          <w:tcPr>
            <w:tcW w:w="10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t/h</w:t>
            </w:r>
          </w:p>
        </w:tc>
        <w:tc>
          <w:tcPr>
            <w:tcW w:w="10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w:t>
            </w:r>
            <w:r>
              <w:rPr>
                <w:rFonts w:hint="eastAsia" w:ascii="宋体" w:hAnsi="宋体" w:cs="宋体"/>
                <w:color w:val="000000"/>
                <w:kern w:val="0"/>
                <w:szCs w:val="21"/>
                <w:vertAlign w:val="superscript"/>
              </w:rPr>
              <w:t>3</w:t>
            </w:r>
            <w:r>
              <w:rPr>
                <w:rFonts w:hint="eastAsia" w:ascii="宋体" w:hAnsi="宋体" w:cs="宋体"/>
                <w:color w:val="000000"/>
                <w:kern w:val="0"/>
                <w:szCs w:val="21"/>
              </w:rPr>
              <w:t>/h</w:t>
            </w:r>
          </w:p>
        </w:tc>
        <w:tc>
          <w:tcPr>
            <w:tcW w:w="10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MW</w:t>
            </w:r>
          </w:p>
        </w:tc>
        <w:tc>
          <w:tcPr>
            <w:tcW w:w="8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t/h</w:t>
            </w:r>
          </w:p>
        </w:tc>
        <w:tc>
          <w:tcPr>
            <w:tcW w:w="10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m</w:t>
            </w:r>
            <w:r>
              <w:rPr>
                <w:rFonts w:hint="eastAsia" w:ascii="宋体" w:hAnsi="宋体" w:cs="宋体"/>
                <w:color w:val="000000" w:themeColor="text1"/>
                <w:kern w:val="0"/>
                <w:szCs w:val="21"/>
                <w:vertAlign w:val="superscript"/>
              </w:rPr>
              <w:t>3</w:t>
            </w:r>
            <w:r>
              <w:rPr>
                <w:rFonts w:hint="eastAsia" w:ascii="宋体" w:hAnsi="宋体" w:cs="宋体"/>
                <w:color w:val="000000" w:themeColor="text1"/>
                <w:kern w:val="0"/>
                <w:szCs w:val="21"/>
              </w:rPr>
              <w:t>/h</w:t>
            </w:r>
          </w:p>
        </w:tc>
        <w:tc>
          <w:tcPr>
            <w:tcW w:w="10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GJ /h</w:t>
            </w:r>
          </w:p>
        </w:tc>
      </w:tr>
      <w:tr>
        <w:tblPrEx>
          <w:tblLayout w:type="fixed"/>
          <w:tblCellMar>
            <w:top w:w="0" w:type="dxa"/>
            <w:left w:w="108" w:type="dxa"/>
            <w:bottom w:w="0" w:type="dxa"/>
            <w:right w:w="108" w:type="dxa"/>
          </w:tblCellMar>
        </w:tblPrEx>
        <w:trPr>
          <w:trHeight w:val="711" w:hRule="atLeast"/>
        </w:trPr>
        <w:tc>
          <w:tcPr>
            <w:tcW w:w="1091" w:type="dxa"/>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限定值</w:t>
            </w:r>
          </w:p>
        </w:tc>
        <w:tc>
          <w:tcPr>
            <w:tcW w:w="808"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091"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091"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0.5</w:t>
            </w:r>
          </w:p>
        </w:tc>
        <w:tc>
          <w:tcPr>
            <w:tcW w:w="1091"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091"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091"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808"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091"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1095"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29.26</w:t>
            </w:r>
          </w:p>
        </w:tc>
      </w:tr>
      <w:tr>
        <w:tblPrEx>
          <w:tblLayout w:type="fixed"/>
          <w:tblCellMar>
            <w:top w:w="0" w:type="dxa"/>
            <w:left w:w="108" w:type="dxa"/>
            <w:bottom w:w="0" w:type="dxa"/>
            <w:right w:w="108" w:type="dxa"/>
          </w:tblCellMar>
        </w:tblPrEx>
        <w:trPr>
          <w:trHeight w:val="711" w:hRule="atLeast"/>
        </w:trPr>
        <w:tc>
          <w:tcPr>
            <w:tcW w:w="10348" w:type="dxa"/>
            <w:gridSpan w:val="10"/>
            <w:tcBorders>
              <w:top w:val="single" w:color="auto" w:sz="4" w:space="0"/>
              <w:left w:val="single" w:color="auto" w:sz="4" w:space="0"/>
              <w:bottom w:val="nil"/>
              <w:right w:val="single" w:color="000000" w:sz="4" w:space="0"/>
            </w:tcBorders>
            <w:shd w:val="clear" w:color="000000" w:fill="FFFFFF"/>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注1：m</w:t>
            </w:r>
            <w:r>
              <w:rPr>
                <w:rFonts w:hint="eastAsia" w:ascii="宋体" w:hAnsi="宋体" w:cs="宋体"/>
                <w:color w:val="000000"/>
                <w:kern w:val="0"/>
                <w:szCs w:val="21"/>
                <w:vertAlign w:val="superscript"/>
              </w:rPr>
              <w:t xml:space="preserve">3 </w:t>
            </w:r>
            <w:r>
              <w:rPr>
                <w:rFonts w:hint="eastAsia" w:ascii="宋体" w:hAnsi="宋体" w:cs="宋体"/>
                <w:color w:val="000000"/>
                <w:kern w:val="0"/>
                <w:szCs w:val="21"/>
              </w:rPr>
              <w:t>为标准状态下。</w:t>
            </w:r>
          </w:p>
        </w:tc>
      </w:tr>
      <w:tr>
        <w:tblPrEx>
          <w:tblLayout w:type="fixed"/>
          <w:tblCellMar>
            <w:top w:w="0" w:type="dxa"/>
            <w:left w:w="108" w:type="dxa"/>
            <w:bottom w:w="0" w:type="dxa"/>
            <w:right w:w="108" w:type="dxa"/>
          </w:tblCellMar>
        </w:tblPrEx>
        <w:trPr>
          <w:trHeight w:val="711" w:hRule="atLeast"/>
        </w:trPr>
        <w:tc>
          <w:tcPr>
            <w:tcW w:w="10348" w:type="dxa"/>
            <w:gridSpan w:val="10"/>
            <w:tcBorders>
              <w:top w:val="nil"/>
              <w:left w:val="single" w:color="auto" w:sz="4" w:space="0"/>
              <w:bottom w:val="single" w:color="auto" w:sz="4" w:space="0"/>
              <w:right w:val="single" w:color="000000" w:sz="4" w:space="0"/>
            </w:tcBorders>
            <w:shd w:val="clear" w:color="000000" w:fill="FFFFFF"/>
            <w:vAlign w:val="center"/>
          </w:tcPr>
          <w:p>
            <w:pPr>
              <w:widowControl/>
              <w:spacing w:line="320" w:lineRule="exact"/>
              <w:jc w:val="left"/>
              <w:rPr>
                <w:rFonts w:ascii="宋体" w:hAnsi="宋体" w:cs="宋体"/>
                <w:color w:val="000000"/>
                <w:kern w:val="0"/>
                <w:szCs w:val="21"/>
              </w:rPr>
            </w:pPr>
            <w:r>
              <w:rPr>
                <w:rFonts w:hint="eastAsia" w:ascii="宋体" w:hAnsi="宋体" w:cs="宋体"/>
                <w:color w:val="000000"/>
                <w:kern w:val="0"/>
                <w:szCs w:val="21"/>
              </w:rPr>
              <w:t>注2:29.26 相当于1t标准煤，其他能源应按照等价值折算</w:t>
            </w:r>
          </w:p>
        </w:tc>
      </w:tr>
    </w:tbl>
    <w:p>
      <w:pPr>
        <w:spacing w:line="500" w:lineRule="exact"/>
        <w:rPr>
          <w:rFonts w:asciiTheme="minorEastAsia" w:hAnsiTheme="minorEastAsia" w:eastAsiaTheme="minorEastAsia"/>
          <w:szCs w:val="21"/>
        </w:rPr>
      </w:pPr>
      <w:r>
        <w:rPr>
          <w:rFonts w:hint="eastAsia" w:ascii="黑体" w:hAnsi="黑体" w:eastAsia="黑体"/>
          <w:b/>
          <w:szCs w:val="21"/>
        </w:rPr>
        <w:t>4.3.4</w:t>
      </w:r>
      <w:r>
        <w:rPr>
          <w:rFonts w:hint="eastAsia" w:asciiTheme="minorEastAsia" w:hAnsiTheme="minorEastAsia" w:eastAsiaTheme="minorEastAsia"/>
          <w:szCs w:val="21"/>
        </w:rPr>
        <w:t>对于可单独进行计量统计考核的用能单元（装置、系统、工序、工段等），如果用能单元已经配置能源计量器具，用能单元中的主要用能设备可以不再单独配置能源计量器具。</w:t>
      </w:r>
    </w:p>
    <w:p>
      <w:pPr>
        <w:spacing w:line="500" w:lineRule="exact"/>
        <w:rPr>
          <w:rFonts w:asciiTheme="minorEastAsia" w:hAnsiTheme="minorEastAsia" w:eastAsiaTheme="minorEastAsia"/>
          <w:szCs w:val="21"/>
        </w:rPr>
      </w:pPr>
      <w:r>
        <w:rPr>
          <w:rFonts w:hint="eastAsia" w:ascii="黑体" w:hAnsi="黑体" w:eastAsia="黑体"/>
          <w:b/>
          <w:szCs w:val="21"/>
        </w:rPr>
        <w:t xml:space="preserve">4.3.5 </w:t>
      </w:r>
      <w:r>
        <w:rPr>
          <w:rFonts w:hint="eastAsia" w:asciiTheme="minorEastAsia" w:hAnsiTheme="minorEastAsia" w:eastAsiaTheme="minorEastAsia"/>
          <w:szCs w:val="21"/>
        </w:rPr>
        <w:t>对于集中管理同类用能设备单元（锅炉房、泵房、气站等） ，如果用能单位已经配置能源计量器具，其用能单元内的主要用能设备可不再单独配置能源计量器具。</w:t>
      </w:r>
    </w:p>
    <w:p>
      <w:pPr>
        <w:spacing w:line="500" w:lineRule="exact"/>
        <w:rPr>
          <w:rFonts w:asciiTheme="minorEastAsia" w:hAnsiTheme="minorEastAsia" w:eastAsiaTheme="minorEastAsia"/>
          <w:szCs w:val="21"/>
        </w:rPr>
      </w:pPr>
      <w:r>
        <w:rPr>
          <w:rFonts w:hint="eastAsia" w:ascii="黑体" w:hAnsi="黑体" w:eastAsia="黑体"/>
          <w:b/>
          <w:szCs w:val="21"/>
        </w:rPr>
        <w:t>4.3.6</w:t>
      </w:r>
      <w:r>
        <w:rPr>
          <w:rFonts w:hint="eastAsia" w:asciiTheme="minorEastAsia" w:hAnsiTheme="minorEastAsia" w:eastAsiaTheme="minorEastAsia"/>
          <w:szCs w:val="21"/>
        </w:rPr>
        <w:t>对于用能单位二、三级能源计量范围内，属于季节性供暖或供冷的设备，其能源的计量可根据用能单位实际情况采用固定和临时计量方式进行确定。</w:t>
      </w:r>
    </w:p>
    <w:p>
      <w:pPr>
        <w:spacing w:line="500" w:lineRule="exact"/>
        <w:rPr>
          <w:rFonts w:ascii="黑体" w:hAnsi="黑体" w:eastAsia="黑体"/>
          <w:b/>
          <w:szCs w:val="21"/>
        </w:rPr>
      </w:pPr>
      <w:r>
        <w:rPr>
          <w:rFonts w:hint="eastAsia" w:ascii="黑体" w:hAnsi="黑体" w:eastAsia="黑体"/>
          <w:b/>
          <w:szCs w:val="21"/>
        </w:rPr>
        <w:t>4.4  能源计量器具的准确度和功能要求</w:t>
      </w:r>
    </w:p>
    <w:p>
      <w:pPr>
        <w:spacing w:line="500" w:lineRule="exact"/>
        <w:rPr>
          <w:rFonts w:asciiTheme="minorEastAsia" w:hAnsiTheme="minorEastAsia" w:eastAsiaTheme="minorEastAsia"/>
          <w:szCs w:val="21"/>
        </w:rPr>
      </w:pPr>
      <w:r>
        <w:rPr>
          <w:rFonts w:hint="eastAsia" w:ascii="黑体" w:hAnsi="黑体" w:eastAsia="黑体"/>
          <w:b/>
          <w:szCs w:val="21"/>
        </w:rPr>
        <w:t>4.4.1</w:t>
      </w:r>
      <w:r>
        <w:rPr>
          <w:rFonts w:hint="eastAsia" w:asciiTheme="minorEastAsia" w:hAnsiTheme="minorEastAsia" w:eastAsiaTheme="minorEastAsia"/>
          <w:szCs w:val="21"/>
        </w:rPr>
        <w:t>一级、二级能源计量器具准确度要求</w:t>
      </w:r>
    </w:p>
    <w:p>
      <w:pPr>
        <w:spacing w:line="500" w:lineRule="exact"/>
        <w:rPr>
          <w:rFonts w:asciiTheme="minorEastAsia" w:hAnsiTheme="minorEastAsia" w:eastAsiaTheme="minorEastAsia"/>
          <w:szCs w:val="21"/>
        </w:rPr>
      </w:pPr>
      <w:r>
        <w:rPr>
          <w:rFonts w:hint="eastAsia" w:ascii="黑体" w:hAnsi="黑体" w:eastAsia="黑体"/>
          <w:b/>
          <w:szCs w:val="21"/>
        </w:rPr>
        <w:t>4.4.1.1</w:t>
      </w:r>
      <w:r>
        <w:rPr>
          <w:rFonts w:hint="eastAsia" w:asciiTheme="minorEastAsia" w:hAnsiTheme="minorEastAsia" w:eastAsiaTheme="minorEastAsia"/>
          <w:szCs w:val="21"/>
        </w:rPr>
        <w:t>一级、二级能源计量器具准确度等级应不低于表3要求</w:t>
      </w:r>
    </w:p>
    <w:p>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表3：一级、二级能源计量器具准确度等级要求</w:t>
      </w:r>
    </w:p>
    <w:tbl>
      <w:tblPr>
        <w:tblStyle w:val="9"/>
        <w:tblW w:w="9311" w:type="dxa"/>
        <w:tblInd w:w="93" w:type="dxa"/>
        <w:tblLayout w:type="fixed"/>
        <w:tblCellMar>
          <w:top w:w="0" w:type="dxa"/>
          <w:left w:w="108" w:type="dxa"/>
          <w:bottom w:w="0" w:type="dxa"/>
          <w:right w:w="108" w:type="dxa"/>
        </w:tblCellMar>
      </w:tblPr>
      <w:tblGrid>
        <w:gridCol w:w="2033"/>
        <w:gridCol w:w="2277"/>
        <w:gridCol w:w="2277"/>
        <w:gridCol w:w="2724"/>
      </w:tblGrid>
      <w:tr>
        <w:tblPrEx>
          <w:tblLayout w:type="fixed"/>
          <w:tblCellMar>
            <w:top w:w="0" w:type="dxa"/>
            <w:left w:w="108" w:type="dxa"/>
            <w:bottom w:w="0" w:type="dxa"/>
            <w:right w:w="108" w:type="dxa"/>
          </w:tblCellMar>
        </w:tblPrEx>
        <w:trPr>
          <w:trHeight w:val="413" w:hRule="atLeast"/>
        </w:trPr>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计量器具类别</w:t>
            </w:r>
          </w:p>
        </w:tc>
        <w:tc>
          <w:tcPr>
            <w:tcW w:w="45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计量目的</w:t>
            </w:r>
          </w:p>
        </w:tc>
        <w:tc>
          <w:tcPr>
            <w:tcW w:w="27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准确度等级要求</w:t>
            </w:r>
          </w:p>
        </w:tc>
      </w:tr>
      <w:tr>
        <w:tblPrEx>
          <w:tblLayout w:type="fixed"/>
          <w:tblCellMar>
            <w:top w:w="0" w:type="dxa"/>
            <w:left w:w="108" w:type="dxa"/>
            <w:bottom w:w="0" w:type="dxa"/>
            <w:right w:w="108" w:type="dxa"/>
          </w:tblCellMar>
        </w:tblPrEx>
        <w:trPr>
          <w:trHeight w:val="666" w:hRule="atLeast"/>
        </w:trPr>
        <w:tc>
          <w:tcPr>
            <w:tcW w:w="203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衡器</w:t>
            </w:r>
          </w:p>
        </w:tc>
        <w:tc>
          <w:tcPr>
            <w:tcW w:w="45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进、出用能单位固（液）态能源的静态计量</w:t>
            </w:r>
          </w:p>
        </w:tc>
        <w:tc>
          <w:tcPr>
            <w:tcW w:w="272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cs="宋体" w:asciiTheme="minorEastAsia" w:hAnsiTheme="minorEastAsia" w:eastAsiaTheme="minorEastAsia"/>
                <w:color w:val="000000"/>
                <w:kern w:val="0"/>
                <w:sz w:val="18"/>
                <w:szCs w:val="18"/>
              </w:rPr>
              <w:pict>
                <v:shape id="椭圆 4" o:spid="_x0000_s1027" o:spt="3" type="#_x0000_t3" style="position:absolute;left:0pt;margin-left:41pt;margin-top:-3pt;height:32.8pt;width:47.25pt;z-index:251662336;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">
                  <v:path/>
                  <v:fill focussize="0,0"/>
                  <v:stroke weight="1pt"/>
                  <v:imagedata o:title=""/>
                  <o:lock v:ext="edit"/>
                  <v:textbox>
                    <w:txbxContent>
                      <w:p>
                        <w:pPr>
                          <w:jc w:val="center"/>
                          <w:rPr>
                            <w:sz w:val="18"/>
                            <w:szCs w:val="18"/>
                          </w:rPr>
                        </w:pPr>
                        <w:r>
                          <w:rPr>
                            <w:rFonts w:hint="eastAsia"/>
                            <w:sz w:val="18"/>
                            <w:szCs w:val="18"/>
                          </w:rPr>
                          <w:t>Ⅲ</w:t>
                        </w:r>
                      </w:p>
                    </w:txbxContent>
                  </v:textbox>
                </v:shape>
              </w:pict>
            </w:r>
            <w:r>
              <w:rPr>
                <w:rFonts w:hint="eastAsia" w:cs="宋体" w:asciiTheme="minorEastAsia" w:hAnsiTheme="minorEastAsia" w:eastAsiaTheme="minorEastAsia"/>
                <w:color w:val="000000"/>
                <w:kern w:val="0"/>
                <w:sz w:val="18"/>
                <w:szCs w:val="18"/>
              </w:rPr>
              <w:t>　</w:t>
            </w:r>
          </w:p>
        </w:tc>
      </w:tr>
      <w:tr>
        <w:tblPrEx>
          <w:tblLayout w:type="fixed"/>
          <w:tblCellMar>
            <w:top w:w="0" w:type="dxa"/>
            <w:left w:w="108" w:type="dxa"/>
            <w:bottom w:w="0" w:type="dxa"/>
            <w:right w:w="108" w:type="dxa"/>
          </w:tblCellMar>
        </w:tblPrEx>
        <w:trPr>
          <w:trHeight w:val="413" w:hRule="atLeast"/>
        </w:trPr>
        <w:tc>
          <w:tcPr>
            <w:tcW w:w="203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45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进、出用能单位固（液）态能源的动态计量</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0.5</w:t>
            </w:r>
          </w:p>
        </w:tc>
      </w:tr>
      <w:tr>
        <w:tblPrEx>
          <w:tblLayout w:type="fixed"/>
          <w:tblCellMar>
            <w:top w:w="0" w:type="dxa"/>
            <w:left w:w="108" w:type="dxa"/>
            <w:bottom w:w="0" w:type="dxa"/>
            <w:right w:w="108" w:type="dxa"/>
          </w:tblCellMar>
        </w:tblPrEx>
        <w:trPr>
          <w:trHeight w:val="413" w:hRule="atLeast"/>
        </w:trPr>
        <w:tc>
          <w:tcPr>
            <w:tcW w:w="203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电能表</w:t>
            </w:r>
          </w:p>
        </w:tc>
        <w:tc>
          <w:tcPr>
            <w:tcW w:w="22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进、出用能单位有功交流电能计量</w:t>
            </w:r>
          </w:p>
        </w:tc>
        <w:tc>
          <w:tcPr>
            <w:tcW w:w="227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Ⅰ类负荷用量</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0.2S</w:t>
            </w:r>
          </w:p>
        </w:tc>
      </w:tr>
      <w:tr>
        <w:tblPrEx>
          <w:tblLayout w:type="fixed"/>
          <w:tblCellMar>
            <w:top w:w="0" w:type="dxa"/>
            <w:left w:w="108" w:type="dxa"/>
            <w:bottom w:w="0" w:type="dxa"/>
            <w:right w:w="108" w:type="dxa"/>
          </w:tblCellMar>
        </w:tblPrEx>
        <w:trPr>
          <w:trHeight w:val="413" w:hRule="atLeast"/>
        </w:trPr>
        <w:tc>
          <w:tcPr>
            <w:tcW w:w="203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27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27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Ⅱ类负荷用量</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0.5S</w:t>
            </w:r>
          </w:p>
        </w:tc>
      </w:tr>
      <w:tr>
        <w:tblPrEx>
          <w:tblLayout w:type="fixed"/>
          <w:tblCellMar>
            <w:top w:w="0" w:type="dxa"/>
            <w:left w:w="108" w:type="dxa"/>
            <w:bottom w:w="0" w:type="dxa"/>
            <w:right w:w="108" w:type="dxa"/>
          </w:tblCellMar>
        </w:tblPrEx>
        <w:trPr>
          <w:trHeight w:val="413" w:hRule="atLeast"/>
        </w:trPr>
        <w:tc>
          <w:tcPr>
            <w:tcW w:w="203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27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27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Ⅲ类负荷用量</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1.0 </w:t>
            </w:r>
          </w:p>
        </w:tc>
      </w:tr>
      <w:tr>
        <w:tblPrEx>
          <w:tblLayout w:type="fixed"/>
          <w:tblCellMar>
            <w:top w:w="0" w:type="dxa"/>
            <w:left w:w="108" w:type="dxa"/>
            <w:bottom w:w="0" w:type="dxa"/>
            <w:right w:w="108" w:type="dxa"/>
          </w:tblCellMar>
        </w:tblPrEx>
        <w:trPr>
          <w:trHeight w:val="413" w:hRule="atLeast"/>
        </w:trPr>
        <w:tc>
          <w:tcPr>
            <w:tcW w:w="203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27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27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Ⅳ类负荷用量</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2.0 </w:t>
            </w:r>
          </w:p>
        </w:tc>
      </w:tr>
      <w:tr>
        <w:tblPrEx>
          <w:tblLayout w:type="fixed"/>
          <w:tblCellMar>
            <w:top w:w="0" w:type="dxa"/>
            <w:left w:w="108" w:type="dxa"/>
            <w:bottom w:w="0" w:type="dxa"/>
            <w:right w:w="108" w:type="dxa"/>
          </w:tblCellMar>
        </w:tblPrEx>
        <w:trPr>
          <w:trHeight w:val="413" w:hRule="atLeast"/>
        </w:trPr>
        <w:tc>
          <w:tcPr>
            <w:tcW w:w="203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45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进、出用能单位直流电流计量</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1.0 </w:t>
            </w:r>
          </w:p>
        </w:tc>
      </w:tr>
      <w:tr>
        <w:tblPrEx>
          <w:tblLayout w:type="fixed"/>
          <w:tblCellMar>
            <w:top w:w="0" w:type="dxa"/>
            <w:left w:w="108" w:type="dxa"/>
            <w:bottom w:w="0" w:type="dxa"/>
            <w:right w:w="108" w:type="dxa"/>
          </w:tblCellMar>
        </w:tblPrEx>
        <w:trPr>
          <w:trHeight w:val="413" w:hRule="atLeast"/>
        </w:trPr>
        <w:tc>
          <w:tcPr>
            <w:tcW w:w="203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油流量表（装置）</w:t>
            </w:r>
          </w:p>
        </w:tc>
        <w:tc>
          <w:tcPr>
            <w:tcW w:w="455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进、出用能单位液态计量</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原油、成品油：0.5</w:t>
            </w:r>
          </w:p>
        </w:tc>
      </w:tr>
      <w:tr>
        <w:tblPrEx>
          <w:tblLayout w:type="fixed"/>
          <w:tblCellMar>
            <w:top w:w="0" w:type="dxa"/>
            <w:left w:w="108" w:type="dxa"/>
            <w:bottom w:w="0" w:type="dxa"/>
            <w:right w:w="108" w:type="dxa"/>
          </w:tblCellMar>
        </w:tblPrEx>
        <w:trPr>
          <w:trHeight w:val="413" w:hRule="atLeast"/>
        </w:trPr>
        <w:tc>
          <w:tcPr>
            <w:tcW w:w="203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45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重油、渣油及其他：1.0</w:t>
            </w:r>
          </w:p>
        </w:tc>
      </w:tr>
      <w:tr>
        <w:tblPrEx>
          <w:tblLayout w:type="fixed"/>
          <w:tblCellMar>
            <w:top w:w="0" w:type="dxa"/>
            <w:left w:w="108" w:type="dxa"/>
            <w:bottom w:w="0" w:type="dxa"/>
            <w:right w:w="108" w:type="dxa"/>
          </w:tblCellMar>
        </w:tblPrEx>
        <w:trPr>
          <w:trHeight w:val="413" w:hRule="atLeast"/>
        </w:trPr>
        <w:tc>
          <w:tcPr>
            <w:tcW w:w="20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气（汽）流量表（装置）</w:t>
            </w:r>
          </w:p>
        </w:tc>
        <w:tc>
          <w:tcPr>
            <w:tcW w:w="455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进、出用能单位气（汽）流量表（装置）</w:t>
            </w:r>
          </w:p>
        </w:tc>
        <w:tc>
          <w:tcPr>
            <w:tcW w:w="27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煤气：2.0</w:t>
            </w:r>
          </w:p>
        </w:tc>
      </w:tr>
      <w:tr>
        <w:tblPrEx>
          <w:tblLayout w:type="fixed"/>
          <w:tblCellMar>
            <w:top w:w="0" w:type="dxa"/>
            <w:left w:w="108" w:type="dxa"/>
            <w:bottom w:w="0" w:type="dxa"/>
            <w:right w:w="108" w:type="dxa"/>
          </w:tblCellMar>
        </w:tblPrEx>
        <w:trPr>
          <w:trHeight w:val="413" w:hRule="atLeast"/>
        </w:trPr>
        <w:tc>
          <w:tcPr>
            <w:tcW w:w="203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45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天然气：2.0</w:t>
            </w:r>
          </w:p>
        </w:tc>
      </w:tr>
      <w:tr>
        <w:tblPrEx>
          <w:tblLayout w:type="fixed"/>
          <w:tblCellMar>
            <w:top w:w="0" w:type="dxa"/>
            <w:left w:w="108" w:type="dxa"/>
            <w:bottom w:w="0" w:type="dxa"/>
            <w:right w:w="108" w:type="dxa"/>
          </w:tblCellMar>
        </w:tblPrEx>
        <w:trPr>
          <w:trHeight w:val="413" w:hRule="atLeast"/>
        </w:trPr>
        <w:tc>
          <w:tcPr>
            <w:tcW w:w="203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45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其他气态能源：2.0</w:t>
            </w:r>
          </w:p>
        </w:tc>
      </w:tr>
      <w:tr>
        <w:tblPrEx>
          <w:tblLayout w:type="fixed"/>
          <w:tblCellMar>
            <w:top w:w="0" w:type="dxa"/>
            <w:left w:w="108" w:type="dxa"/>
            <w:bottom w:w="0" w:type="dxa"/>
            <w:right w:w="108" w:type="dxa"/>
          </w:tblCellMar>
        </w:tblPrEx>
        <w:trPr>
          <w:trHeight w:val="413" w:hRule="atLeast"/>
        </w:trPr>
        <w:tc>
          <w:tcPr>
            <w:tcW w:w="203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45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蒸汽：2.5</w:t>
            </w:r>
          </w:p>
        </w:tc>
      </w:tr>
      <w:tr>
        <w:tblPrEx>
          <w:tblLayout w:type="fixed"/>
          <w:tblCellMar>
            <w:top w:w="0" w:type="dxa"/>
            <w:left w:w="108" w:type="dxa"/>
            <w:bottom w:w="0" w:type="dxa"/>
            <w:right w:w="108" w:type="dxa"/>
          </w:tblCellMar>
        </w:tblPrEx>
        <w:trPr>
          <w:trHeight w:val="413" w:hRule="atLeast"/>
        </w:trPr>
        <w:tc>
          <w:tcPr>
            <w:tcW w:w="203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水流量表（装置）</w:t>
            </w:r>
          </w:p>
        </w:tc>
        <w:tc>
          <w:tcPr>
            <w:tcW w:w="22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进、出用能单位各种水量计量</w:t>
            </w:r>
          </w:p>
        </w:tc>
        <w:tc>
          <w:tcPr>
            <w:tcW w:w="227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管径≤250 mm</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w:t>
            </w:r>
          </w:p>
        </w:tc>
      </w:tr>
      <w:tr>
        <w:tblPrEx>
          <w:tblLayout w:type="fixed"/>
          <w:tblCellMar>
            <w:top w:w="0" w:type="dxa"/>
            <w:left w:w="108" w:type="dxa"/>
            <w:bottom w:w="0" w:type="dxa"/>
            <w:right w:w="108" w:type="dxa"/>
          </w:tblCellMar>
        </w:tblPrEx>
        <w:trPr>
          <w:trHeight w:val="413" w:hRule="atLeast"/>
        </w:trPr>
        <w:tc>
          <w:tcPr>
            <w:tcW w:w="203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27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18"/>
                <w:szCs w:val="18"/>
              </w:rPr>
            </w:pPr>
          </w:p>
        </w:tc>
        <w:tc>
          <w:tcPr>
            <w:tcW w:w="2277"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管径＞250 mm</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w:t>
            </w:r>
          </w:p>
        </w:tc>
      </w:tr>
      <w:tr>
        <w:tblPrEx>
          <w:tblLayout w:type="fixed"/>
          <w:tblCellMar>
            <w:top w:w="0" w:type="dxa"/>
            <w:left w:w="108" w:type="dxa"/>
            <w:bottom w:w="0" w:type="dxa"/>
            <w:right w:w="108" w:type="dxa"/>
          </w:tblCellMar>
        </w:tblPrEx>
        <w:trPr>
          <w:trHeight w:val="413" w:hRule="atLeast"/>
        </w:trPr>
        <w:tc>
          <w:tcPr>
            <w:tcW w:w="20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温度仪表</w:t>
            </w:r>
          </w:p>
        </w:tc>
        <w:tc>
          <w:tcPr>
            <w:tcW w:w="45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用于气态、液态能源的温度计量</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1.5</w:t>
            </w:r>
          </w:p>
        </w:tc>
      </w:tr>
      <w:tr>
        <w:tblPrEx>
          <w:tblLayout w:type="fixed"/>
          <w:tblCellMar>
            <w:top w:w="0" w:type="dxa"/>
            <w:left w:w="108" w:type="dxa"/>
            <w:bottom w:w="0" w:type="dxa"/>
            <w:right w:w="108" w:type="dxa"/>
          </w:tblCellMar>
        </w:tblPrEx>
        <w:trPr>
          <w:trHeight w:val="413" w:hRule="atLeast"/>
        </w:trPr>
        <w:tc>
          <w:tcPr>
            <w:tcW w:w="20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压力仪表</w:t>
            </w:r>
          </w:p>
        </w:tc>
        <w:tc>
          <w:tcPr>
            <w:tcW w:w="45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用于气态、液态能源的温度计量</w:t>
            </w:r>
          </w:p>
        </w:tc>
        <w:tc>
          <w:tcPr>
            <w:tcW w:w="272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1.5</w:t>
            </w:r>
          </w:p>
        </w:tc>
      </w:tr>
      <w:tr>
        <w:tblPrEx>
          <w:tblLayout w:type="fixed"/>
          <w:tblCellMar>
            <w:top w:w="0" w:type="dxa"/>
            <w:left w:w="108" w:type="dxa"/>
            <w:bottom w:w="0" w:type="dxa"/>
            <w:right w:w="108" w:type="dxa"/>
          </w:tblCellMar>
        </w:tblPrEx>
        <w:trPr>
          <w:trHeight w:val="413" w:hRule="atLeast"/>
        </w:trPr>
        <w:tc>
          <w:tcPr>
            <w:tcW w:w="9311" w:type="dxa"/>
            <w:gridSpan w:val="4"/>
            <w:tcBorders>
              <w:top w:val="single" w:color="auto" w:sz="4" w:space="0"/>
              <w:left w:val="single" w:color="auto" w:sz="4" w:space="0"/>
              <w:bottom w:val="nil"/>
              <w:right w:val="single" w:color="000000"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  注1：与气（蒸）态能源计量计算的温度、压力仪表，其准确度不得低于1.0</w:t>
            </w:r>
          </w:p>
        </w:tc>
      </w:tr>
      <w:tr>
        <w:tblPrEx>
          <w:tblLayout w:type="fixed"/>
          <w:tblCellMar>
            <w:top w:w="0" w:type="dxa"/>
            <w:left w:w="108" w:type="dxa"/>
            <w:bottom w:w="0" w:type="dxa"/>
            <w:right w:w="108" w:type="dxa"/>
          </w:tblCellMar>
        </w:tblPrEx>
        <w:trPr>
          <w:trHeight w:val="616" w:hRule="atLeast"/>
        </w:trPr>
        <w:tc>
          <w:tcPr>
            <w:tcW w:w="9311" w:type="dxa"/>
            <w:gridSpan w:val="4"/>
            <w:tcBorders>
              <w:top w:val="nil"/>
              <w:left w:val="single" w:color="auto" w:sz="4" w:space="0"/>
              <w:bottom w:val="nil"/>
              <w:right w:val="single" w:color="000000"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  注2：若必须采用间接计量方可进行相应能源计量时，其合成准确度不低于表中直接计量方式所规定的等级。</w:t>
            </w:r>
          </w:p>
        </w:tc>
      </w:tr>
      <w:tr>
        <w:tblPrEx>
          <w:tblLayout w:type="fixed"/>
          <w:tblCellMar>
            <w:top w:w="0" w:type="dxa"/>
            <w:left w:w="108" w:type="dxa"/>
            <w:bottom w:w="0" w:type="dxa"/>
            <w:right w:w="108" w:type="dxa"/>
          </w:tblCellMar>
        </w:tblPrEx>
        <w:trPr>
          <w:trHeight w:val="413" w:hRule="atLeast"/>
        </w:trPr>
        <w:tc>
          <w:tcPr>
            <w:tcW w:w="9311" w:type="dxa"/>
            <w:gridSpan w:val="4"/>
            <w:tcBorders>
              <w:top w:val="nil"/>
              <w:left w:val="single" w:color="auto" w:sz="4" w:space="0"/>
              <w:bottom w:val="nil"/>
              <w:right w:val="single" w:color="000000" w:sz="4" w:space="0"/>
            </w:tcBorders>
            <w:shd w:val="clear" w:color="auto" w:fill="auto"/>
            <w:noWrap/>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  注3：用于成品油贸易结算的计量器具的准确度应不低于0.2</w:t>
            </w:r>
          </w:p>
        </w:tc>
      </w:tr>
      <w:tr>
        <w:tblPrEx>
          <w:tblLayout w:type="fixed"/>
          <w:tblCellMar>
            <w:top w:w="0" w:type="dxa"/>
            <w:left w:w="108" w:type="dxa"/>
            <w:bottom w:w="0" w:type="dxa"/>
            <w:right w:w="108" w:type="dxa"/>
          </w:tblCellMar>
        </w:tblPrEx>
        <w:trPr>
          <w:trHeight w:val="616" w:hRule="atLeast"/>
        </w:trPr>
        <w:tc>
          <w:tcPr>
            <w:tcW w:w="9311" w:type="dxa"/>
            <w:gridSpan w:val="4"/>
            <w:tcBorders>
              <w:top w:val="nil"/>
              <w:left w:val="single" w:color="auto" w:sz="4" w:space="0"/>
              <w:bottom w:val="single" w:color="auto" w:sz="4" w:space="0"/>
              <w:right w:val="single" w:color="000000" w:sz="4" w:space="0"/>
            </w:tcBorders>
            <w:shd w:val="clear" w:color="auto" w:fill="auto"/>
            <w:vAlign w:val="center"/>
          </w:tcPr>
          <w:p>
            <w:pPr>
              <w:widowControl/>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xml:space="preserve">  注4：用于天然气贸易结算的计量器具的准确度等级应满足GB/T18603-2014 附录A和附录B的要求</w:t>
            </w:r>
          </w:p>
        </w:tc>
      </w:tr>
    </w:tbl>
    <w:p>
      <w:pPr>
        <w:rPr>
          <w:rFonts w:asciiTheme="minorEastAsia" w:hAnsiTheme="minorEastAsia" w:eastAsiaTheme="minorEastAsia"/>
          <w:szCs w:val="21"/>
        </w:rPr>
      </w:pPr>
      <w:r>
        <w:rPr>
          <w:rFonts w:hint="eastAsia" w:ascii="黑体" w:hAnsi="黑体" w:eastAsia="黑体"/>
          <w:b/>
          <w:szCs w:val="21"/>
        </w:rPr>
        <w:t>4.4.1.2</w:t>
      </w:r>
      <w:r>
        <w:rPr>
          <w:rFonts w:hint="eastAsia" w:asciiTheme="minorEastAsia" w:hAnsiTheme="minorEastAsia" w:eastAsiaTheme="minorEastAsia"/>
          <w:szCs w:val="21"/>
        </w:rPr>
        <w:t>进出用能单位有功交流电能按其计量负荷用量划分为四类，其划分标准按表4进行。</w:t>
      </w:r>
    </w:p>
    <w:p>
      <w:pPr>
        <w:spacing w:line="500" w:lineRule="exact"/>
        <w:rPr>
          <w:rFonts w:asciiTheme="minorEastAsia" w:hAnsiTheme="minorEastAsia" w:eastAsiaTheme="minorEastAsia"/>
          <w:szCs w:val="21"/>
        </w:rPr>
      </w:pPr>
      <w:r>
        <w:rPr>
          <w:rFonts w:hint="eastAsia" w:asciiTheme="minorEastAsia" w:hAnsiTheme="minorEastAsia" w:eastAsiaTheme="minorEastAsia"/>
          <w:szCs w:val="21"/>
        </w:rPr>
        <w:t>表4：用能单位分类划分表</w:t>
      </w:r>
    </w:p>
    <w:p>
      <w:pPr>
        <w:jc w:val="center"/>
        <w:rPr>
          <w:rFonts w:asciiTheme="minorEastAsia" w:hAnsiTheme="minorEastAsia" w:eastAsiaTheme="minorEastAsia"/>
          <w:szCs w:val="21"/>
        </w:rPr>
      </w:pPr>
    </w:p>
    <w:tbl>
      <w:tblPr>
        <w:tblStyle w:val="9"/>
        <w:tblW w:w="9606" w:type="dxa"/>
        <w:tblInd w:w="93" w:type="dxa"/>
        <w:tblLayout w:type="fixed"/>
        <w:tblCellMar>
          <w:top w:w="0" w:type="dxa"/>
          <w:left w:w="108" w:type="dxa"/>
          <w:bottom w:w="0" w:type="dxa"/>
          <w:right w:w="108" w:type="dxa"/>
        </w:tblCellMar>
      </w:tblPr>
      <w:tblGrid>
        <w:gridCol w:w="3958"/>
        <w:gridCol w:w="3706"/>
        <w:gridCol w:w="1942"/>
      </w:tblGrid>
      <w:tr>
        <w:tblPrEx>
          <w:tblLayout w:type="fixed"/>
          <w:tblCellMar>
            <w:top w:w="0" w:type="dxa"/>
            <w:left w:w="108" w:type="dxa"/>
            <w:bottom w:w="0" w:type="dxa"/>
            <w:right w:w="108" w:type="dxa"/>
          </w:tblCellMar>
        </w:tblPrEx>
        <w:trPr>
          <w:trHeight w:val="530" w:hRule="atLeast"/>
        </w:trPr>
        <w:tc>
          <w:tcPr>
            <w:tcW w:w="766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划分条件</w:t>
            </w:r>
          </w:p>
        </w:tc>
        <w:tc>
          <w:tcPr>
            <w:tcW w:w="19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类别</w:t>
            </w:r>
          </w:p>
        </w:tc>
      </w:tr>
      <w:tr>
        <w:tblPrEx>
          <w:tblLayout w:type="fixed"/>
          <w:tblCellMar>
            <w:top w:w="0" w:type="dxa"/>
            <w:left w:w="108" w:type="dxa"/>
            <w:bottom w:w="0" w:type="dxa"/>
            <w:right w:w="108" w:type="dxa"/>
          </w:tblCellMar>
        </w:tblPrEx>
        <w:trPr>
          <w:trHeight w:val="813" w:hRule="atLeast"/>
        </w:trPr>
        <w:tc>
          <w:tcPr>
            <w:tcW w:w="39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月平均用电量     </w:t>
            </w:r>
          </w:p>
          <w:p>
            <w:pPr>
              <w:widowControl/>
              <w:jc w:val="center"/>
              <w:rPr>
                <w:rFonts w:ascii="宋体" w:hAnsi="宋体" w:cs="宋体"/>
                <w:color w:val="000000"/>
                <w:kern w:val="0"/>
                <w:szCs w:val="21"/>
              </w:rPr>
            </w:pPr>
            <w:r>
              <w:rPr>
                <w:rFonts w:hint="eastAsia" w:ascii="宋体" w:hAnsi="宋体" w:cs="宋体"/>
                <w:color w:val="000000"/>
                <w:kern w:val="0"/>
                <w:szCs w:val="21"/>
              </w:rPr>
              <w:t>万kW•h</w:t>
            </w:r>
          </w:p>
        </w:tc>
        <w:tc>
          <w:tcPr>
            <w:tcW w:w="37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变压器容量            </w:t>
            </w:r>
          </w:p>
          <w:p>
            <w:pPr>
              <w:widowControl/>
              <w:jc w:val="center"/>
              <w:rPr>
                <w:rFonts w:ascii="宋体" w:hAnsi="宋体" w:cs="宋体"/>
                <w:color w:val="000000"/>
                <w:kern w:val="0"/>
                <w:szCs w:val="21"/>
              </w:rPr>
            </w:pPr>
            <w:r>
              <w:rPr>
                <w:rFonts w:hint="eastAsia" w:ascii="宋体" w:hAnsi="宋体" w:cs="宋体"/>
                <w:color w:val="000000"/>
                <w:kern w:val="0"/>
                <w:szCs w:val="21"/>
              </w:rPr>
              <w:t>kV•A</w:t>
            </w:r>
          </w:p>
        </w:tc>
        <w:tc>
          <w:tcPr>
            <w:tcW w:w="1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423" w:hRule="atLeast"/>
        </w:trPr>
        <w:tc>
          <w:tcPr>
            <w:tcW w:w="39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W≥100</w:t>
            </w:r>
          </w:p>
        </w:tc>
        <w:tc>
          <w:tcPr>
            <w:tcW w:w="3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W≥5000</w:t>
            </w:r>
          </w:p>
        </w:tc>
        <w:tc>
          <w:tcPr>
            <w:tcW w:w="19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Ⅰ</w:t>
            </w:r>
          </w:p>
        </w:tc>
      </w:tr>
      <w:tr>
        <w:tblPrEx>
          <w:tblLayout w:type="fixed"/>
          <w:tblCellMar>
            <w:top w:w="0" w:type="dxa"/>
            <w:left w:w="108" w:type="dxa"/>
            <w:bottom w:w="0" w:type="dxa"/>
            <w:right w:w="108" w:type="dxa"/>
          </w:tblCellMar>
        </w:tblPrEx>
        <w:trPr>
          <w:trHeight w:val="445" w:hRule="atLeast"/>
        </w:trPr>
        <w:tc>
          <w:tcPr>
            <w:tcW w:w="39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100＞W≥50</w:t>
            </w:r>
          </w:p>
        </w:tc>
        <w:tc>
          <w:tcPr>
            <w:tcW w:w="3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5000＞W≥1000</w:t>
            </w:r>
          </w:p>
        </w:tc>
        <w:tc>
          <w:tcPr>
            <w:tcW w:w="19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Ⅱ</w:t>
            </w:r>
          </w:p>
        </w:tc>
      </w:tr>
      <w:tr>
        <w:tblPrEx>
          <w:tblLayout w:type="fixed"/>
          <w:tblCellMar>
            <w:top w:w="0" w:type="dxa"/>
            <w:left w:w="108" w:type="dxa"/>
            <w:bottom w:w="0" w:type="dxa"/>
            <w:right w:w="108" w:type="dxa"/>
          </w:tblCellMar>
        </w:tblPrEx>
        <w:trPr>
          <w:trHeight w:val="437" w:hRule="atLeast"/>
        </w:trPr>
        <w:tc>
          <w:tcPr>
            <w:tcW w:w="39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50＞W≥10</w:t>
            </w:r>
          </w:p>
        </w:tc>
        <w:tc>
          <w:tcPr>
            <w:tcW w:w="3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1000＞W≥315</w:t>
            </w:r>
          </w:p>
        </w:tc>
        <w:tc>
          <w:tcPr>
            <w:tcW w:w="19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Ⅲ</w:t>
            </w:r>
          </w:p>
        </w:tc>
      </w:tr>
      <w:tr>
        <w:tblPrEx>
          <w:tblLayout w:type="fixed"/>
          <w:tblCellMar>
            <w:top w:w="0" w:type="dxa"/>
            <w:left w:w="108" w:type="dxa"/>
            <w:bottom w:w="0" w:type="dxa"/>
            <w:right w:w="108" w:type="dxa"/>
          </w:tblCellMar>
        </w:tblPrEx>
        <w:trPr>
          <w:trHeight w:val="530" w:hRule="atLeast"/>
        </w:trPr>
        <w:tc>
          <w:tcPr>
            <w:tcW w:w="39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3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＜315</w:t>
            </w:r>
          </w:p>
        </w:tc>
        <w:tc>
          <w:tcPr>
            <w:tcW w:w="19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Ⅳ</w:t>
            </w:r>
          </w:p>
        </w:tc>
      </w:tr>
      <w:tr>
        <w:tblPrEx>
          <w:tblLayout w:type="fixed"/>
          <w:tblCellMar>
            <w:top w:w="0" w:type="dxa"/>
            <w:left w:w="108" w:type="dxa"/>
            <w:bottom w:w="0" w:type="dxa"/>
            <w:right w:w="108" w:type="dxa"/>
          </w:tblCellMar>
        </w:tblPrEx>
        <w:trPr>
          <w:trHeight w:val="356" w:hRule="atLeast"/>
        </w:trPr>
        <w:tc>
          <w:tcPr>
            <w:tcW w:w="960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注：两个条件满足其一条件，其类别定义为该类别</w:t>
            </w:r>
          </w:p>
        </w:tc>
      </w:tr>
    </w:tbl>
    <w:p>
      <w:pPr>
        <w:spacing w:line="480" w:lineRule="exact"/>
        <w:rPr>
          <w:rFonts w:asciiTheme="minorEastAsia" w:hAnsiTheme="minorEastAsia" w:eastAsiaTheme="minorEastAsia"/>
          <w:szCs w:val="21"/>
        </w:rPr>
      </w:pPr>
      <w:r>
        <w:rPr>
          <w:rFonts w:hint="eastAsia" w:ascii="黑体" w:hAnsi="黑体" w:eastAsia="黑体"/>
          <w:b/>
          <w:szCs w:val="21"/>
        </w:rPr>
        <w:t>4.4.1.3</w:t>
      </w:r>
      <w:r>
        <w:rPr>
          <w:rFonts w:hint="eastAsia" w:asciiTheme="minorEastAsia" w:hAnsiTheme="minorEastAsia" w:eastAsiaTheme="minorEastAsia"/>
          <w:szCs w:val="21"/>
        </w:rPr>
        <w:t>当计量器具是由传感器（变送器）、二次仪表组成的测量装置或系统时，表中给出的准确度等级应是装置或系统的准确度等级。装置或系统未明确给出其准确度等级时，可用传感器与二次仪表的准确度。</w:t>
      </w:r>
    </w:p>
    <w:p>
      <w:pPr>
        <w:spacing w:line="480" w:lineRule="exact"/>
        <w:rPr>
          <w:rFonts w:asciiTheme="minorEastAsia" w:hAnsiTheme="minorEastAsia" w:eastAsiaTheme="minorEastAsia"/>
          <w:szCs w:val="21"/>
        </w:rPr>
      </w:pPr>
      <w:r>
        <w:rPr>
          <w:rFonts w:hint="eastAsia" w:ascii="黑体" w:hAnsi="黑体" w:eastAsia="黑体"/>
          <w:b/>
          <w:szCs w:val="21"/>
        </w:rPr>
        <w:t>4.4.1.4</w:t>
      </w:r>
      <w:r>
        <w:rPr>
          <w:rFonts w:hint="eastAsia" w:asciiTheme="minorEastAsia" w:hAnsiTheme="minorEastAsia" w:eastAsiaTheme="minorEastAsia"/>
          <w:szCs w:val="21"/>
        </w:rPr>
        <w:t>天然气的计量仪表安装，应满足</w:t>
      </w:r>
      <w:r>
        <w:rPr>
          <w:rFonts w:asciiTheme="minorEastAsia" w:hAnsiTheme="minorEastAsia" w:eastAsiaTheme="minorEastAsia"/>
          <w:szCs w:val="21"/>
        </w:rPr>
        <w:t>GB/T18603-2014</w:t>
      </w:r>
      <w:r>
        <w:rPr>
          <w:rFonts w:hint="eastAsia" w:asciiTheme="minorEastAsia" w:hAnsiTheme="minorEastAsia" w:eastAsiaTheme="minorEastAsia"/>
          <w:szCs w:val="21"/>
        </w:rPr>
        <w:t>的要求。</w:t>
      </w:r>
    </w:p>
    <w:p>
      <w:pPr>
        <w:spacing w:line="480" w:lineRule="exact"/>
        <w:rPr>
          <w:rFonts w:ascii="黑体" w:hAnsi="黑体" w:eastAsia="黑体"/>
          <w:b/>
          <w:szCs w:val="21"/>
        </w:rPr>
      </w:pPr>
      <w:r>
        <w:rPr>
          <w:rFonts w:hint="eastAsia" w:ascii="黑体" w:hAnsi="黑体" w:eastAsia="黑体"/>
          <w:b/>
          <w:szCs w:val="21"/>
        </w:rPr>
        <w:t>4.4.2三级能源计量器具准确度要求</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三级能量计量器具准确度可参考4.4.1要求，在满足生产工艺要求预期计量要求的前提下，其准确度等级（电能表除外）允许降低一个等级。</w:t>
      </w:r>
    </w:p>
    <w:p>
      <w:pPr>
        <w:spacing w:line="480" w:lineRule="exact"/>
        <w:rPr>
          <w:rFonts w:ascii="宋体" w:hAnsi="宋体" w:cs="宋体"/>
          <w:color w:val="000000" w:themeColor="text1"/>
          <w:szCs w:val="21"/>
        </w:rPr>
      </w:pPr>
      <w:r>
        <w:rPr>
          <w:rFonts w:hint="eastAsia" w:ascii="黑体" w:hAnsi="黑体" w:eastAsia="黑体"/>
          <w:b/>
          <w:color w:val="000000" w:themeColor="text1"/>
          <w:szCs w:val="21"/>
        </w:rPr>
        <w:t>4.4.3</w:t>
      </w:r>
      <w:r>
        <w:rPr>
          <w:rFonts w:hint="eastAsia" w:asciiTheme="minorEastAsia" w:hAnsiTheme="minorEastAsia" w:eastAsiaTheme="minorEastAsia"/>
          <w:b/>
          <w:bCs/>
          <w:color w:val="000000" w:themeColor="text1"/>
          <w:szCs w:val="21"/>
        </w:rPr>
        <w:t>一级、二级计量器具的功能要求</w:t>
      </w:r>
    </w:p>
    <w:p>
      <w:pPr>
        <w:spacing w:line="480" w:lineRule="exact"/>
        <w:rPr>
          <w:rFonts w:asciiTheme="minorEastAsia" w:hAnsiTheme="minorEastAsia" w:eastAsiaTheme="minorEastAsia"/>
          <w:szCs w:val="21"/>
        </w:rPr>
      </w:pPr>
      <w:r>
        <w:rPr>
          <w:rFonts w:hint="eastAsia" w:ascii="黑体" w:hAnsi="黑体" w:eastAsia="黑体"/>
          <w:b/>
          <w:color w:val="000000" w:themeColor="text1"/>
          <w:szCs w:val="21"/>
        </w:rPr>
        <w:t>4.4.3.1</w:t>
      </w:r>
      <w:r>
        <w:rPr>
          <w:rFonts w:hint="eastAsia" w:ascii="黑体" w:hAnsi="黑体" w:eastAsia="黑体"/>
          <w:b/>
          <w:szCs w:val="21"/>
        </w:rPr>
        <w:t xml:space="preserve">  </w:t>
      </w:r>
      <w:r>
        <w:rPr>
          <w:rFonts w:hint="eastAsia" w:asciiTheme="minorEastAsia" w:hAnsiTheme="minorEastAsia" w:eastAsiaTheme="minorEastAsia"/>
          <w:szCs w:val="21"/>
        </w:rPr>
        <w:t>衡器：优先选用数字传感器结构和物流信息自动识别的衡器，积极采用具备标准模拟、数字化输出接口等功能的智能化衡器仪器仪表，推广称重计量过程数据化、网络化、自动化管理。</w:t>
      </w:r>
    </w:p>
    <w:p>
      <w:pPr>
        <w:spacing w:line="480" w:lineRule="exact"/>
        <w:rPr>
          <w:rFonts w:asciiTheme="minorEastAsia" w:hAnsiTheme="minorEastAsia" w:eastAsiaTheme="minorEastAsia"/>
          <w:color w:val="000000" w:themeColor="text1"/>
          <w:szCs w:val="21"/>
        </w:rPr>
      </w:pPr>
      <w:r>
        <w:rPr>
          <w:rFonts w:hint="eastAsia" w:ascii="黑体" w:hAnsi="黑体" w:eastAsia="黑体"/>
          <w:b/>
          <w:color w:val="000000" w:themeColor="text1"/>
          <w:szCs w:val="21"/>
        </w:rPr>
        <w:t>4.4.3.2</w:t>
      </w:r>
      <w:r>
        <w:rPr>
          <w:rFonts w:hint="eastAsia" w:asciiTheme="minorEastAsia" w:hAnsiTheme="minorEastAsia" w:eastAsiaTheme="minorEastAsia"/>
          <w:color w:val="000000" w:themeColor="text1"/>
          <w:szCs w:val="21"/>
        </w:rPr>
        <w:t>电能表：优先采用数字式多功能电能表，具有多时段、复费率、多参数检测功能，具备标准脉冲，数字量信号输出和接口，可实现连续化无间断采集和传输数据功能。</w:t>
      </w:r>
    </w:p>
    <w:p>
      <w:pPr>
        <w:spacing w:line="480" w:lineRule="exact"/>
        <w:rPr>
          <w:rFonts w:asciiTheme="minorEastAsia" w:hAnsiTheme="minorEastAsia" w:eastAsiaTheme="minorEastAsia"/>
          <w:color w:val="000000" w:themeColor="text1"/>
          <w:szCs w:val="21"/>
        </w:rPr>
      </w:pPr>
      <w:r>
        <w:rPr>
          <w:rFonts w:hint="eastAsia" w:ascii="黑体" w:hAnsi="黑体" w:eastAsia="黑体"/>
          <w:b/>
          <w:color w:val="000000" w:themeColor="text1"/>
          <w:szCs w:val="21"/>
        </w:rPr>
        <w:t xml:space="preserve">4.4.3.3 </w:t>
      </w:r>
      <w:r>
        <w:rPr>
          <w:rFonts w:hint="eastAsia" w:asciiTheme="minorEastAsia" w:hAnsiTheme="minorEastAsia" w:eastAsiaTheme="minorEastAsia"/>
          <w:color w:val="000000" w:themeColor="text1"/>
          <w:szCs w:val="21"/>
        </w:rPr>
        <w:t xml:space="preserve"> 气、液态流量计量表（装置）：计量检测方式符合国家相应技术规范要求，仪器仪表结构科学规范合理、技术先进成熟，使用稳定可靠，流量、能量计算方式和软件技术符合国家技术规范要求，具备温度、压力等多参数补偿功能。具有无纸化记录显示功能，配置有标准脉冲，数字量信号输出和接口，可实现连续化无间断采集和传输数据功能。</w:t>
      </w:r>
    </w:p>
    <w:p>
      <w:pPr>
        <w:spacing w:line="480" w:lineRule="exact"/>
        <w:rPr>
          <w:rFonts w:asciiTheme="minorEastAsia" w:hAnsiTheme="minorEastAsia" w:eastAsiaTheme="minorEastAsia"/>
          <w:color w:val="000000" w:themeColor="text1"/>
          <w:szCs w:val="21"/>
        </w:rPr>
      </w:pPr>
      <w:r>
        <w:rPr>
          <w:rFonts w:hint="eastAsia" w:ascii="黑体" w:hAnsi="黑体" w:eastAsia="黑体"/>
          <w:b/>
          <w:color w:val="000000" w:themeColor="text1"/>
          <w:szCs w:val="21"/>
        </w:rPr>
        <w:t xml:space="preserve">4.4.3.4  </w:t>
      </w:r>
      <w:r>
        <w:rPr>
          <w:rFonts w:hint="eastAsia" w:asciiTheme="minorEastAsia" w:hAnsiTheme="minorEastAsia" w:eastAsiaTheme="minorEastAsia"/>
          <w:color w:val="000000" w:themeColor="text1"/>
          <w:szCs w:val="21"/>
        </w:rPr>
        <w:t>能源计量器具的性能应满足相应的生产工艺及使用环境（如温度、温度变化率、湿度、照明、振动、噪声、粉尘、腐蚀、电磁干扰等）要求</w:t>
      </w:r>
    </w:p>
    <w:p>
      <w:pPr>
        <w:spacing w:line="480" w:lineRule="exact"/>
        <w:rPr>
          <w:rFonts w:asciiTheme="minorEastAsia" w:hAnsiTheme="minorEastAsia" w:eastAsiaTheme="minorEastAsia"/>
          <w:color w:val="000000" w:themeColor="text1"/>
          <w:szCs w:val="21"/>
        </w:rPr>
      </w:pPr>
      <w:r>
        <w:rPr>
          <w:rFonts w:hint="eastAsia" w:ascii="黑体" w:hAnsi="黑体" w:eastAsia="黑体"/>
          <w:b/>
          <w:color w:val="000000" w:themeColor="text1"/>
          <w:szCs w:val="21"/>
        </w:rPr>
        <w:t xml:space="preserve">4.4.4 </w:t>
      </w:r>
      <w:r>
        <w:rPr>
          <w:rFonts w:hint="eastAsia" w:asciiTheme="minorEastAsia" w:hAnsiTheme="minorEastAsia" w:eastAsiaTheme="minorEastAsia"/>
          <w:b/>
          <w:color w:val="000000" w:themeColor="text1"/>
          <w:szCs w:val="21"/>
        </w:rPr>
        <w:t>三级能源计量器具的功能要求</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themeColor="text1"/>
          <w:szCs w:val="21"/>
        </w:rPr>
        <w:t>三级能源计量要求原则上是与4.4.3相同，在满足生产工艺要求预期计量要求的前提下，可以根据实</w:t>
      </w:r>
      <w:r>
        <w:rPr>
          <w:rFonts w:hint="eastAsia" w:asciiTheme="minorEastAsia" w:hAnsiTheme="minorEastAsia" w:eastAsiaTheme="minorEastAsia"/>
          <w:szCs w:val="21"/>
        </w:rPr>
        <w:t>际情况对相关要求进行简化。</w:t>
      </w:r>
    </w:p>
    <w:p>
      <w:pPr>
        <w:spacing w:beforeLines="50" w:afterLines="50"/>
        <w:rPr>
          <w:rFonts w:ascii="黑体" w:hAnsi="黑体" w:eastAsia="黑体"/>
          <w:b/>
          <w:szCs w:val="21"/>
        </w:rPr>
      </w:pPr>
      <w:r>
        <w:rPr>
          <w:rFonts w:hint="eastAsia" w:ascii="黑体" w:hAnsi="黑体" w:eastAsia="黑体"/>
          <w:b/>
          <w:szCs w:val="21"/>
        </w:rPr>
        <w:t>5能源计量器具的管理要求</w:t>
      </w:r>
    </w:p>
    <w:p>
      <w:pPr>
        <w:rPr>
          <w:rFonts w:ascii="黑体" w:hAnsi="黑体" w:eastAsia="黑体"/>
          <w:b/>
          <w:szCs w:val="21"/>
        </w:rPr>
      </w:pPr>
      <w:r>
        <w:rPr>
          <w:rFonts w:hint="eastAsia" w:ascii="黑体" w:hAnsi="黑体" w:eastAsia="黑体"/>
          <w:b/>
          <w:szCs w:val="21"/>
        </w:rPr>
        <w:t>5.1能源计量制度</w:t>
      </w:r>
    </w:p>
    <w:p>
      <w:pPr>
        <w:spacing w:line="480" w:lineRule="exact"/>
        <w:rPr>
          <w:rFonts w:asciiTheme="minorEastAsia" w:hAnsiTheme="minorEastAsia" w:eastAsiaTheme="minorEastAsia"/>
          <w:szCs w:val="21"/>
        </w:rPr>
      </w:pPr>
      <w:r>
        <w:rPr>
          <w:rFonts w:hint="eastAsia" w:ascii="黑体" w:hAnsi="黑体" w:eastAsia="黑体"/>
          <w:b/>
          <w:szCs w:val="21"/>
        </w:rPr>
        <w:t>5.1.1</w:t>
      </w:r>
      <w:r>
        <w:rPr>
          <w:rFonts w:hint="eastAsia" w:asciiTheme="minorEastAsia" w:hAnsiTheme="minorEastAsia" w:eastAsiaTheme="minorEastAsia"/>
          <w:szCs w:val="21"/>
        </w:rPr>
        <w:t>用能单位应建立能源计量管理体系，形成文件，保持并持续改进其有效性。</w:t>
      </w:r>
    </w:p>
    <w:p>
      <w:pPr>
        <w:spacing w:line="480" w:lineRule="exact"/>
        <w:rPr>
          <w:rFonts w:asciiTheme="minorEastAsia" w:hAnsiTheme="minorEastAsia" w:eastAsiaTheme="minorEastAsia"/>
          <w:szCs w:val="21"/>
        </w:rPr>
      </w:pPr>
      <w:r>
        <w:rPr>
          <w:rFonts w:hint="eastAsia" w:ascii="黑体" w:hAnsi="黑体" w:eastAsia="黑体"/>
          <w:b/>
          <w:szCs w:val="21"/>
        </w:rPr>
        <w:t>5.1.2</w:t>
      </w:r>
      <w:r>
        <w:rPr>
          <w:rFonts w:hint="eastAsia" w:asciiTheme="minorEastAsia" w:hAnsiTheme="minorEastAsia" w:eastAsiaTheme="minorEastAsia"/>
          <w:szCs w:val="21"/>
        </w:rPr>
        <w:t>用能单位应建立和使用文档化的程序来规范人员行为、管理计量器具和进行数据的采集、处理和汇总。</w:t>
      </w:r>
    </w:p>
    <w:p>
      <w:pPr>
        <w:spacing w:line="480" w:lineRule="exact"/>
        <w:rPr>
          <w:rFonts w:ascii="黑体" w:hAnsi="黑体" w:eastAsia="黑体"/>
          <w:b/>
          <w:szCs w:val="21"/>
        </w:rPr>
      </w:pPr>
      <w:r>
        <w:rPr>
          <w:rFonts w:hint="eastAsia" w:ascii="黑体" w:hAnsi="黑体" w:eastAsia="黑体"/>
          <w:b/>
          <w:szCs w:val="21"/>
        </w:rPr>
        <w:t>5.2能源计量人员</w:t>
      </w:r>
    </w:p>
    <w:p>
      <w:pPr>
        <w:spacing w:line="480" w:lineRule="exact"/>
        <w:rPr>
          <w:rFonts w:asciiTheme="minorEastAsia" w:hAnsiTheme="minorEastAsia" w:eastAsiaTheme="minorEastAsia"/>
          <w:szCs w:val="21"/>
        </w:rPr>
      </w:pPr>
      <w:r>
        <w:rPr>
          <w:rFonts w:hint="eastAsia" w:ascii="黑体" w:hAnsi="黑体" w:eastAsia="黑体"/>
          <w:b/>
          <w:szCs w:val="21"/>
        </w:rPr>
        <w:t>5.2.1</w:t>
      </w:r>
      <w:r>
        <w:rPr>
          <w:rFonts w:hint="eastAsia" w:asciiTheme="minorEastAsia" w:hAnsiTheme="minorEastAsia" w:eastAsiaTheme="minorEastAsia"/>
          <w:szCs w:val="21"/>
        </w:rPr>
        <w:t>用能单位应设专人负责能源计量器具的管理，负责能源计量器具的配备、使用、检定（校准）、维护、修理、更新报废等管理工作。</w:t>
      </w:r>
    </w:p>
    <w:p>
      <w:pPr>
        <w:spacing w:line="480" w:lineRule="exact"/>
        <w:rPr>
          <w:rFonts w:asciiTheme="minorEastAsia" w:hAnsiTheme="minorEastAsia" w:eastAsiaTheme="minorEastAsia"/>
          <w:szCs w:val="21"/>
        </w:rPr>
      </w:pPr>
      <w:r>
        <w:rPr>
          <w:rFonts w:hint="eastAsia" w:ascii="黑体" w:hAnsi="黑体" w:eastAsia="黑体"/>
          <w:b/>
          <w:szCs w:val="21"/>
        </w:rPr>
        <w:t>5.2.2</w:t>
      </w:r>
      <w:r>
        <w:rPr>
          <w:rFonts w:hint="eastAsia" w:asciiTheme="minorEastAsia" w:hAnsiTheme="minorEastAsia" w:eastAsiaTheme="minorEastAsia"/>
          <w:szCs w:val="21"/>
        </w:rPr>
        <w:t>用能单位应设专人负责次级用能单位和基本用能单元能源计量器具的管理。</w:t>
      </w:r>
    </w:p>
    <w:p>
      <w:pPr>
        <w:spacing w:line="480" w:lineRule="exact"/>
        <w:rPr>
          <w:rFonts w:asciiTheme="minorEastAsia" w:hAnsiTheme="minorEastAsia" w:eastAsiaTheme="minorEastAsia"/>
          <w:szCs w:val="21"/>
        </w:rPr>
      </w:pPr>
      <w:r>
        <w:rPr>
          <w:rFonts w:hint="eastAsia" w:ascii="黑体" w:hAnsi="黑体" w:eastAsia="黑体"/>
          <w:b/>
          <w:szCs w:val="21"/>
        </w:rPr>
        <w:t>5.2.3</w:t>
      </w:r>
      <w:r>
        <w:rPr>
          <w:rFonts w:hint="eastAsia" w:asciiTheme="minorEastAsia" w:hAnsiTheme="minorEastAsia" w:eastAsiaTheme="minorEastAsia"/>
          <w:szCs w:val="21"/>
        </w:rPr>
        <w:t>用能单位的能源计量管理人员，应通过相关部门的培训，用能单位应建立和保存能源计量管理人员的技术档案。</w:t>
      </w:r>
    </w:p>
    <w:p>
      <w:pPr>
        <w:spacing w:line="480" w:lineRule="exact"/>
        <w:rPr>
          <w:rFonts w:asciiTheme="minorEastAsia" w:hAnsiTheme="minorEastAsia" w:eastAsiaTheme="minorEastAsia"/>
          <w:szCs w:val="21"/>
        </w:rPr>
      </w:pPr>
      <w:r>
        <w:rPr>
          <w:rFonts w:hint="eastAsia" w:ascii="黑体" w:hAnsi="黑体" w:eastAsia="黑体"/>
          <w:b/>
          <w:szCs w:val="21"/>
        </w:rPr>
        <w:t>5.2.4</w:t>
      </w:r>
      <w:r>
        <w:rPr>
          <w:rFonts w:hint="eastAsia" w:asciiTheme="minorEastAsia" w:hAnsiTheme="minorEastAsia" w:eastAsiaTheme="minorEastAsia"/>
          <w:szCs w:val="21"/>
        </w:rPr>
        <w:t>能源计量器具的管理、检定、校准和维修人员，应具有相应的资质。</w:t>
      </w:r>
    </w:p>
    <w:p>
      <w:pPr>
        <w:spacing w:line="480" w:lineRule="exact"/>
        <w:rPr>
          <w:rFonts w:ascii="黑体" w:hAnsi="黑体" w:eastAsia="黑体"/>
          <w:b/>
          <w:szCs w:val="21"/>
        </w:rPr>
      </w:pPr>
      <w:r>
        <w:rPr>
          <w:rFonts w:hint="eastAsia" w:ascii="黑体" w:hAnsi="黑体" w:eastAsia="黑体"/>
          <w:b/>
          <w:szCs w:val="21"/>
        </w:rPr>
        <w:t>5.3能源计量器具</w:t>
      </w:r>
    </w:p>
    <w:p>
      <w:pPr>
        <w:spacing w:line="480" w:lineRule="exact"/>
        <w:rPr>
          <w:rFonts w:asciiTheme="minorEastAsia" w:hAnsiTheme="minorEastAsia" w:eastAsiaTheme="minorEastAsia"/>
          <w:szCs w:val="21"/>
        </w:rPr>
      </w:pPr>
      <w:r>
        <w:rPr>
          <w:rFonts w:hint="eastAsia" w:ascii="黑体" w:hAnsi="黑体" w:eastAsia="黑体"/>
          <w:b/>
          <w:szCs w:val="21"/>
        </w:rPr>
        <w:t xml:space="preserve">5.3.1 </w:t>
      </w:r>
      <w:r>
        <w:rPr>
          <w:rFonts w:hint="eastAsia" w:asciiTheme="minorEastAsia" w:hAnsiTheme="minorEastAsia" w:eastAsiaTheme="minorEastAsia"/>
          <w:szCs w:val="21"/>
        </w:rPr>
        <w:t>用能单位应备有完整的能源计量器具一览表。表中应列出计量器具的名称、型号规格、准确度等级、测量范围、生产厂家、出厂编号、用能单位管理编号、安装使用地点、状态（指合格、准用、停用等）。各级用能单位和基本用能单元应备有独立的能源计量器具一览表分表。</w:t>
      </w:r>
    </w:p>
    <w:p>
      <w:pPr>
        <w:spacing w:line="480" w:lineRule="exact"/>
        <w:rPr>
          <w:rFonts w:asciiTheme="minorEastAsia" w:hAnsiTheme="minorEastAsia" w:eastAsiaTheme="minorEastAsia"/>
          <w:szCs w:val="21"/>
        </w:rPr>
      </w:pPr>
      <w:r>
        <w:rPr>
          <w:rFonts w:hint="eastAsia" w:ascii="黑体" w:hAnsi="黑体" w:eastAsia="黑体"/>
          <w:b/>
          <w:szCs w:val="21"/>
        </w:rPr>
        <w:t>5.3.2</w:t>
      </w:r>
      <w:r>
        <w:rPr>
          <w:rFonts w:hint="eastAsia" w:asciiTheme="minorEastAsia" w:hAnsiTheme="minorEastAsia" w:eastAsiaTheme="minorEastAsia"/>
          <w:szCs w:val="21"/>
        </w:rPr>
        <w:t>用能设备的设计、安装和使用应满足 GB/T6422、GB/T15316 中关于用能设备的能源监测要求。</w:t>
      </w:r>
    </w:p>
    <w:p>
      <w:pPr>
        <w:spacing w:line="480" w:lineRule="exact"/>
        <w:rPr>
          <w:rFonts w:asciiTheme="minorEastAsia" w:hAnsiTheme="minorEastAsia" w:eastAsiaTheme="minorEastAsia"/>
          <w:szCs w:val="21"/>
        </w:rPr>
      </w:pPr>
      <w:r>
        <w:rPr>
          <w:rFonts w:hint="eastAsia" w:ascii="黑体" w:hAnsi="黑体" w:eastAsia="黑体"/>
          <w:b/>
          <w:szCs w:val="21"/>
        </w:rPr>
        <w:t>5.3.3</w:t>
      </w:r>
      <w:r>
        <w:rPr>
          <w:rFonts w:hint="eastAsia" w:asciiTheme="minorEastAsia" w:hAnsiTheme="minorEastAsia" w:eastAsiaTheme="minorEastAsia"/>
          <w:szCs w:val="21"/>
        </w:rPr>
        <w:t>用能单位应建立能源计量器具档案，内容包括：使用说明书、出厂合格证、最近两个连续周期的检定（测试、校准）证书、计量器具维修记录；其他相关信息。</w:t>
      </w:r>
    </w:p>
    <w:p>
      <w:pPr>
        <w:spacing w:line="480" w:lineRule="exact"/>
        <w:rPr>
          <w:rFonts w:asciiTheme="minorEastAsia" w:hAnsiTheme="minorEastAsia" w:eastAsiaTheme="minorEastAsia"/>
          <w:szCs w:val="21"/>
        </w:rPr>
      </w:pPr>
      <w:r>
        <w:rPr>
          <w:rFonts w:hint="eastAsia" w:ascii="黑体" w:hAnsi="黑体" w:eastAsia="黑体"/>
          <w:b/>
          <w:szCs w:val="21"/>
        </w:rPr>
        <w:t>5.3.4</w:t>
      </w:r>
      <w:r>
        <w:rPr>
          <w:rFonts w:hint="eastAsia" w:asciiTheme="minorEastAsia" w:hAnsiTheme="minorEastAsia" w:eastAsiaTheme="minorEastAsia"/>
          <w:szCs w:val="21"/>
        </w:rPr>
        <w:t>用能单位应建有能源计量器具量值传递或溯源图，其中作为用能单位内部标准计量器具使用的，要明确规定其准确度等级、测量范围、可溯源的上级传递标准。</w:t>
      </w:r>
    </w:p>
    <w:p>
      <w:pPr>
        <w:spacing w:line="480" w:lineRule="exact"/>
        <w:rPr>
          <w:rFonts w:asciiTheme="minorEastAsia" w:hAnsiTheme="minorEastAsia" w:eastAsiaTheme="minorEastAsia"/>
          <w:szCs w:val="21"/>
        </w:rPr>
      </w:pPr>
      <w:r>
        <w:rPr>
          <w:rFonts w:hint="eastAsia" w:ascii="黑体" w:hAnsi="黑体" w:eastAsia="黑体"/>
          <w:b/>
          <w:szCs w:val="21"/>
        </w:rPr>
        <w:t>5.3.5</w:t>
      </w:r>
      <w:r>
        <w:rPr>
          <w:rFonts w:hint="eastAsia" w:asciiTheme="minorEastAsia" w:hAnsiTheme="minorEastAsia" w:eastAsiaTheme="minorEastAsia"/>
          <w:szCs w:val="21"/>
        </w:rPr>
        <w:t>用能单位的能源计量器具，凡属自行校准且自行确定校准间隔的，应有现行有效的受控文件依据。</w:t>
      </w:r>
    </w:p>
    <w:p>
      <w:pPr>
        <w:spacing w:line="480" w:lineRule="exact"/>
        <w:rPr>
          <w:rFonts w:asciiTheme="minorEastAsia" w:hAnsiTheme="minorEastAsia" w:eastAsiaTheme="minorEastAsia"/>
          <w:szCs w:val="21"/>
        </w:rPr>
      </w:pPr>
      <w:r>
        <w:rPr>
          <w:rFonts w:hint="eastAsia" w:ascii="黑体" w:hAnsi="黑体" w:eastAsia="黑体"/>
          <w:b/>
          <w:szCs w:val="21"/>
        </w:rPr>
        <w:t>5.3.6</w:t>
      </w:r>
      <w:r>
        <w:rPr>
          <w:rFonts w:hint="eastAsia" w:asciiTheme="minorEastAsia" w:hAnsiTheme="minorEastAsia" w:eastAsiaTheme="minorEastAsia"/>
          <w:szCs w:val="21"/>
        </w:rPr>
        <w:t>能源计量器具应定期检定（校准）。凡经检定（校准）不符合要求的或超过检定周期的计量器具一律不准使用。属强制检定的计量器具，其检定周期、检定方式应遵循有关法规的规定。</w:t>
      </w:r>
    </w:p>
    <w:p>
      <w:pPr>
        <w:spacing w:line="480" w:lineRule="exact"/>
        <w:rPr>
          <w:rFonts w:asciiTheme="minorEastAsia" w:hAnsiTheme="minorEastAsia" w:eastAsiaTheme="minorEastAsia"/>
          <w:szCs w:val="21"/>
        </w:rPr>
      </w:pPr>
      <w:r>
        <w:rPr>
          <w:rFonts w:hint="eastAsia" w:ascii="黑体" w:hAnsi="黑体" w:eastAsia="黑体"/>
          <w:b/>
          <w:szCs w:val="21"/>
        </w:rPr>
        <w:t>5.3.7</w:t>
      </w:r>
      <w:r>
        <w:rPr>
          <w:rFonts w:hint="eastAsia" w:asciiTheme="minorEastAsia" w:hAnsiTheme="minorEastAsia" w:eastAsiaTheme="minorEastAsia"/>
          <w:szCs w:val="21"/>
        </w:rPr>
        <w:t>在用的能源计量器具，应在明显位置粘贴与能源计量器具一览表编号对应的状态标签，便于管理和查验。</w:t>
      </w:r>
    </w:p>
    <w:p>
      <w:pPr>
        <w:spacing w:line="480" w:lineRule="exact"/>
        <w:rPr>
          <w:rFonts w:ascii="黑体" w:hAnsi="黑体" w:eastAsia="黑体"/>
          <w:b/>
          <w:szCs w:val="21"/>
        </w:rPr>
      </w:pPr>
      <w:r>
        <w:rPr>
          <w:rFonts w:hint="eastAsia" w:ascii="黑体" w:hAnsi="黑体" w:eastAsia="黑体"/>
          <w:b/>
          <w:szCs w:val="21"/>
        </w:rPr>
        <w:t>5.4 能源计量数据</w:t>
      </w:r>
    </w:p>
    <w:p>
      <w:pPr>
        <w:spacing w:line="480" w:lineRule="exact"/>
        <w:rPr>
          <w:rFonts w:asciiTheme="minorEastAsia" w:hAnsiTheme="minorEastAsia" w:eastAsiaTheme="minorEastAsia"/>
          <w:szCs w:val="21"/>
        </w:rPr>
      </w:pPr>
      <w:r>
        <w:rPr>
          <w:rFonts w:hint="eastAsia" w:ascii="黑体" w:hAnsi="黑体" w:eastAsia="黑体"/>
          <w:b/>
          <w:szCs w:val="21"/>
        </w:rPr>
        <w:t>5.4.1</w:t>
      </w:r>
      <w:r>
        <w:rPr>
          <w:rFonts w:hint="eastAsia" w:asciiTheme="minorEastAsia" w:hAnsiTheme="minorEastAsia" w:eastAsiaTheme="minorEastAsia"/>
          <w:szCs w:val="21"/>
        </w:rPr>
        <w:t>用能单位应建立能源统计报表制度。能源统计报表数据应能追溯至计量测试记录。</w:t>
      </w:r>
    </w:p>
    <w:p>
      <w:pPr>
        <w:spacing w:line="480" w:lineRule="exact"/>
        <w:rPr>
          <w:rFonts w:asciiTheme="minorEastAsia" w:hAnsiTheme="minorEastAsia" w:eastAsiaTheme="minorEastAsia"/>
          <w:szCs w:val="21"/>
        </w:rPr>
      </w:pPr>
      <w:r>
        <w:rPr>
          <w:rFonts w:hint="eastAsia" w:ascii="黑体" w:hAnsi="黑体" w:eastAsia="黑体"/>
          <w:b/>
          <w:szCs w:val="21"/>
        </w:rPr>
        <w:t>5.4.2</w:t>
      </w:r>
      <w:r>
        <w:rPr>
          <w:rFonts w:hint="eastAsia" w:asciiTheme="minorEastAsia" w:hAnsiTheme="minorEastAsia" w:eastAsiaTheme="minorEastAsia"/>
          <w:szCs w:val="21"/>
        </w:rPr>
        <w:t>能源计量数据记录应采用规范的表格式样，计量测试记录表格应便于对数据的汇总与分析，应说明被测量与记录数据之间的转换方法或关系。</w:t>
      </w:r>
    </w:p>
    <w:p>
      <w:pPr>
        <w:spacing w:line="480" w:lineRule="exact"/>
        <w:rPr>
          <w:rFonts w:asciiTheme="minorEastAsia" w:hAnsiTheme="minorEastAsia" w:eastAsiaTheme="minorEastAsia"/>
          <w:szCs w:val="21"/>
        </w:rPr>
      </w:pPr>
      <w:r>
        <w:rPr>
          <w:rFonts w:hint="eastAsia" w:ascii="黑体" w:hAnsi="黑体" w:eastAsia="黑体"/>
          <w:b/>
          <w:szCs w:val="21"/>
        </w:rPr>
        <w:t>5.4.3</w:t>
      </w:r>
      <w:r>
        <w:rPr>
          <w:rFonts w:hint="eastAsia" w:asciiTheme="minorEastAsia" w:hAnsiTheme="minorEastAsia" w:eastAsiaTheme="minorEastAsia"/>
          <w:szCs w:val="21"/>
        </w:rPr>
        <w:t>用能单位可根据单位实际情况建立能源计量数据中心，通过计算机网络技术，实现生产过程能源动态管理，按生产周期（时、班、日、月）及时获取、更新能源数据。</w:t>
      </w:r>
    </w:p>
    <w:p>
      <w:pPr>
        <w:spacing w:line="480" w:lineRule="exact"/>
        <w:rPr>
          <w:rFonts w:asciiTheme="minorEastAsia" w:hAnsiTheme="minorEastAsia" w:eastAsiaTheme="minorEastAsia"/>
          <w:szCs w:val="21"/>
        </w:rPr>
      </w:pPr>
      <w:r>
        <w:rPr>
          <w:rFonts w:hint="eastAsia" w:ascii="黑体" w:hAnsi="黑体" w:eastAsia="黑体"/>
          <w:b/>
          <w:szCs w:val="21"/>
        </w:rPr>
        <w:t>5.4.4</w:t>
      </w:r>
      <w:r>
        <w:rPr>
          <w:rFonts w:hint="eastAsia" w:asciiTheme="minorEastAsia" w:hAnsiTheme="minorEastAsia" w:eastAsiaTheme="minorEastAsia"/>
          <w:szCs w:val="21"/>
        </w:rPr>
        <w:t>用于生产、结算、考核等的能源数据，统一由计量部门确认或提供。</w:t>
      </w:r>
    </w:p>
    <w:p>
      <w:pPr>
        <w:spacing w:line="480" w:lineRule="exact"/>
        <w:rPr>
          <w:rFonts w:asciiTheme="minorEastAsia" w:hAnsiTheme="minorEastAsia" w:eastAsiaTheme="minorEastAsia"/>
          <w:szCs w:val="21"/>
        </w:rPr>
      </w:pPr>
      <w:r>
        <w:rPr>
          <w:rFonts w:hint="eastAsia" w:ascii="黑体" w:hAnsi="黑体" w:eastAsia="黑体"/>
          <w:b/>
          <w:szCs w:val="21"/>
        </w:rPr>
        <w:t>5.4.5</w:t>
      </w:r>
      <w:r>
        <w:rPr>
          <w:rFonts w:hint="eastAsia" w:asciiTheme="minorEastAsia" w:hAnsiTheme="minorEastAsia" w:eastAsiaTheme="minorEastAsia"/>
          <w:szCs w:val="21"/>
        </w:rPr>
        <w:t>计量数据统计时间，以计量、计划、生产、供应、经销、运输等部门共同商定的时间为准，不得提前或错后，防止数据出现误差。</w:t>
      </w:r>
    </w:p>
    <w:p>
      <w:pPr>
        <w:spacing w:line="480" w:lineRule="exact"/>
        <w:rPr>
          <w:rFonts w:asciiTheme="minorEastAsia" w:hAnsiTheme="minorEastAsia" w:eastAsiaTheme="minorEastAsia"/>
          <w:szCs w:val="21"/>
        </w:rPr>
      </w:pPr>
      <w:r>
        <w:rPr>
          <w:rFonts w:hint="eastAsia" w:ascii="黑体" w:hAnsi="黑体" w:eastAsia="黑体"/>
          <w:b/>
          <w:szCs w:val="21"/>
        </w:rPr>
        <w:t>5.4.6</w:t>
      </w:r>
      <w:r>
        <w:rPr>
          <w:rFonts w:hint="eastAsia" w:asciiTheme="minorEastAsia" w:hAnsiTheme="minorEastAsia" w:eastAsiaTheme="minorEastAsia"/>
          <w:szCs w:val="21"/>
        </w:rPr>
        <w:t>各种能源计量数据，由计量部门负责保存 3 年以上。</w:t>
      </w:r>
    </w:p>
    <w:p>
      <w:pPr>
        <w:rPr>
          <w:rFonts w:asciiTheme="minorEastAsia" w:hAnsiTheme="minorEastAsia" w:eastAsiaTheme="minorEastAsia"/>
          <w:szCs w:val="21"/>
        </w:rPr>
      </w:pPr>
    </w:p>
    <w:p>
      <w:pPr>
        <w:autoSpaceDE w:val="0"/>
        <w:autoSpaceDN w:val="0"/>
        <w:adjustRightInd w:val="0"/>
        <w:spacing w:line="250" w:lineRule="exact"/>
        <w:jc w:val="left"/>
        <w:rPr>
          <w:kern w:val="0"/>
          <w:sz w:val="24"/>
        </w:rPr>
      </w:pPr>
    </w:p>
    <w:p>
      <w:pPr>
        <w:jc w:val="center"/>
        <w:rPr>
          <w:rFonts w:hint="eastAsia"/>
          <w:color w:val="000000"/>
          <w:kern w:val="0"/>
          <w:sz w:val="24"/>
        </w:rPr>
      </w:pPr>
      <w:r>
        <w:rPr>
          <w:color w:val="000000"/>
          <w:kern w:val="0"/>
          <w:sz w:val="24"/>
        </w:rPr>
        <w:t>-------------------------------------------</w:t>
      </w:r>
    </w:p>
    <w:p>
      <w:pPr>
        <w:jc w:val="center"/>
        <w:rPr>
          <w:rFonts w:hint="eastAsia" w:asciiTheme="minorEastAsia" w:hAnsiTheme="minorEastAsia" w:eastAsiaTheme="minorEastAsia"/>
          <w:szCs w:val="21"/>
        </w:rPr>
      </w:pPr>
    </w:p>
    <w:p>
      <w:pPr>
        <w:jc w:val="center"/>
        <w:rPr>
          <w:rFonts w:hint="eastAsia" w:asciiTheme="minorEastAsia" w:hAnsiTheme="minorEastAsia" w:eastAsiaTheme="minorEastAsia"/>
          <w:szCs w:val="21"/>
        </w:rPr>
      </w:pPr>
    </w:p>
    <w:p>
      <w:pPr>
        <w:jc w:val="center"/>
        <w:rPr>
          <w:rFonts w:hint="eastAsia" w:asciiTheme="minorEastAsia" w:hAnsiTheme="minorEastAsia" w:eastAsiaTheme="minorEastAsia"/>
          <w:szCs w:val="21"/>
        </w:rPr>
      </w:pPr>
    </w:p>
    <w:p>
      <w:pPr>
        <w:jc w:val="center"/>
        <w:rPr>
          <w:rFonts w:hint="eastAsia" w:asciiTheme="minorEastAsia" w:hAnsiTheme="minorEastAsia" w:eastAsiaTheme="minorEastAsia"/>
          <w:szCs w:val="21"/>
        </w:rPr>
      </w:pPr>
    </w:p>
    <w:p>
      <w:pPr>
        <w:jc w:val="center"/>
        <w:rPr>
          <w:rFonts w:hint="eastAsia" w:asciiTheme="minorEastAsia" w:hAnsiTheme="minorEastAsia" w:eastAsiaTheme="minorEastAsia"/>
          <w:szCs w:val="21"/>
        </w:rPr>
      </w:pPr>
    </w:p>
    <w:p>
      <w:pPr>
        <w:jc w:val="center"/>
        <w:rPr>
          <w:rFonts w:hint="eastAsia" w:asciiTheme="minorEastAsia" w:hAnsiTheme="minorEastAsia" w:eastAsiaTheme="minorEastAsia"/>
          <w:szCs w:val="21"/>
        </w:rPr>
      </w:pPr>
    </w:p>
    <w:p>
      <w:pPr>
        <w:jc w:val="center"/>
        <w:rPr>
          <w:rFonts w:hint="eastAsia" w:asciiTheme="minorEastAsia" w:hAnsiTheme="minorEastAsia" w:eastAsiaTheme="minorEastAsia"/>
          <w:szCs w:val="21"/>
        </w:rPr>
      </w:pPr>
    </w:p>
    <w:p>
      <w:pPr>
        <w:jc w:val="center"/>
        <w:rPr>
          <w:rFonts w:hint="eastAsia" w:asciiTheme="minorEastAsia" w:hAnsiTheme="minorEastAsia" w:eastAsiaTheme="minorEastAsia"/>
          <w:szCs w:val="21"/>
        </w:rPr>
      </w:pPr>
    </w:p>
    <w:p>
      <w:pPr>
        <w:jc w:val="center"/>
        <w:rPr>
          <w:rFonts w:hint="eastAsia" w:asciiTheme="minorEastAsia" w:hAnsiTheme="minorEastAsia" w:eastAsiaTheme="minorEastAsia"/>
          <w:szCs w:val="21"/>
        </w:rPr>
      </w:pPr>
    </w:p>
    <w:p>
      <w:pPr>
        <w:jc w:val="center"/>
        <w:rPr>
          <w:rFonts w:hint="eastAsia" w:asciiTheme="minorEastAsia" w:hAnsiTheme="minorEastAsia" w:eastAsiaTheme="minorEastAsia"/>
          <w:szCs w:val="21"/>
        </w:rPr>
      </w:pPr>
    </w:p>
    <w:p>
      <w:pPr>
        <w:jc w:val="center"/>
        <w:rPr>
          <w:rFonts w:hint="eastAsia" w:asciiTheme="minorEastAsia" w:hAnsiTheme="minorEastAsia" w:eastAsiaTheme="minorEastAsia"/>
          <w:szCs w:val="21"/>
        </w:rPr>
      </w:pPr>
    </w:p>
    <w:p>
      <w:pPr>
        <w:jc w:val="center"/>
        <w:rPr>
          <w:rFonts w:hint="eastAsia" w:asciiTheme="minorEastAsia" w:hAnsiTheme="minorEastAsia" w:eastAsiaTheme="minorEastAsia"/>
          <w:szCs w:val="21"/>
        </w:rPr>
      </w:pPr>
    </w:p>
    <w:p>
      <w:pPr>
        <w:jc w:val="center"/>
        <w:rPr>
          <w:rFonts w:hint="eastAsia" w:asciiTheme="minorEastAsia" w:hAnsiTheme="minorEastAsia" w:eastAsiaTheme="minorEastAsia"/>
          <w:szCs w:val="21"/>
        </w:rPr>
      </w:pPr>
    </w:p>
    <w:p>
      <w:pPr>
        <w:jc w:val="center"/>
        <w:rPr>
          <w:rFonts w:hint="eastAsia" w:asciiTheme="minorEastAsia" w:hAnsiTheme="minorEastAsia" w:eastAsiaTheme="minorEastAsia"/>
          <w:szCs w:val="21"/>
        </w:rPr>
      </w:pPr>
    </w:p>
    <w:p>
      <w:pPr>
        <w:jc w:val="center"/>
        <w:rPr>
          <w:rFonts w:hint="eastAsia" w:asciiTheme="minorEastAsia" w:hAnsiTheme="minorEastAsia" w:eastAsiaTheme="minorEastAsia"/>
          <w:szCs w:val="21"/>
        </w:rPr>
      </w:pPr>
    </w:p>
    <w:p>
      <w:pPr>
        <w:jc w:val="center"/>
        <w:rPr>
          <w:rFonts w:hint="eastAsia" w:asciiTheme="minorEastAsia" w:hAnsiTheme="minorEastAsia" w:eastAsiaTheme="minorEastAsia"/>
          <w:szCs w:val="21"/>
        </w:rPr>
      </w:pPr>
    </w:p>
    <w:p>
      <w:pPr>
        <w:jc w:val="center"/>
        <w:rPr>
          <w:rFonts w:hint="eastAsia" w:asciiTheme="minorEastAsia" w:hAnsiTheme="minorEastAsia" w:eastAsiaTheme="minorEastAsia"/>
          <w:szCs w:val="21"/>
        </w:rPr>
      </w:pPr>
    </w:p>
    <w:p>
      <w:pPr>
        <w:jc w:val="center"/>
        <w:rPr>
          <w:rFonts w:eastAsia="黑体"/>
          <w:b/>
        </w:rPr>
      </w:pPr>
      <w:r>
        <w:rPr>
          <w:rFonts w:eastAsia="黑体"/>
          <w:b/>
        </w:rPr>
        <w:t>附录 A</w:t>
      </w:r>
    </w:p>
    <w:p>
      <w:pPr>
        <w:jc w:val="center"/>
        <w:rPr>
          <w:rFonts w:hint="eastAsia" w:eastAsia="黑体"/>
          <w:b/>
        </w:rPr>
      </w:pPr>
      <w:r>
        <w:rPr>
          <w:rFonts w:hint="eastAsia" w:eastAsia="黑体"/>
          <w:b/>
        </w:rPr>
        <w:t>(技术</w:t>
      </w:r>
      <w:r>
        <w:rPr>
          <w:rFonts w:eastAsia="黑体"/>
          <w:b/>
        </w:rPr>
        <w:t>性附录</w:t>
      </w:r>
      <w:r>
        <w:rPr>
          <w:rFonts w:hint="eastAsia" w:eastAsia="黑体"/>
          <w:b/>
        </w:rPr>
        <w:t>)</w:t>
      </w:r>
    </w:p>
    <w:p>
      <w:pPr>
        <w:jc w:val="center"/>
        <w:rPr>
          <w:rFonts w:eastAsia="黑体"/>
          <w:b/>
        </w:rPr>
      </w:pPr>
      <w:r>
        <w:rPr>
          <w:rFonts w:hint="eastAsia" w:eastAsia="黑体"/>
          <w:b/>
        </w:rPr>
        <w:t>一级、二级、三级</w:t>
      </w:r>
      <w:r>
        <w:rPr>
          <w:rFonts w:ascii="黑体" w:hAnsi="黑体" w:eastAsia="黑体"/>
          <w:b/>
          <w:szCs w:val="21"/>
        </w:rPr>
        <w:t>能源计量单位和主要用能设备举例</w:t>
      </w:r>
    </w:p>
    <w:p>
      <w:pPr>
        <w:jc w:val="left"/>
        <w:rPr>
          <w:rFonts w:hint="eastAsia"/>
        </w:rPr>
      </w:pPr>
      <w:r>
        <w:rPr>
          <w:rFonts w:hint="eastAsia"/>
        </w:rPr>
        <w:t>A.1 为了使相关人员充分理解一级、二级、三级能源计量单位和主要用能设备，结合铜加工行业加工特点将相关计量单位举例列表如下：</w:t>
      </w:r>
    </w:p>
    <w:tbl>
      <w:tblPr>
        <w:tblStyle w:val="9"/>
        <w:tblW w:w="9633" w:type="dxa"/>
        <w:tblInd w:w="93" w:type="dxa"/>
        <w:tblLayout w:type="fixed"/>
        <w:tblCellMar>
          <w:top w:w="0" w:type="dxa"/>
          <w:left w:w="108" w:type="dxa"/>
          <w:bottom w:w="0" w:type="dxa"/>
          <w:right w:w="108" w:type="dxa"/>
        </w:tblCellMar>
      </w:tblPr>
      <w:tblGrid>
        <w:gridCol w:w="944"/>
        <w:gridCol w:w="2928"/>
        <w:gridCol w:w="5761"/>
      </w:tblGrid>
      <w:tr>
        <w:tblPrEx>
          <w:tblLayout w:type="fixed"/>
          <w:tblCellMar>
            <w:top w:w="0" w:type="dxa"/>
            <w:left w:w="108" w:type="dxa"/>
            <w:bottom w:w="0" w:type="dxa"/>
            <w:right w:w="108" w:type="dxa"/>
          </w:tblCellMar>
        </w:tblPrEx>
        <w:trPr>
          <w:trHeight w:val="1035" w:hRule="atLeast"/>
        </w:trPr>
        <w:tc>
          <w:tcPr>
            <w:tcW w:w="9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序号</w:t>
            </w:r>
          </w:p>
        </w:tc>
        <w:tc>
          <w:tcPr>
            <w:tcW w:w="29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能源计量单位</w:t>
            </w:r>
          </w:p>
        </w:tc>
        <w:tc>
          <w:tcPr>
            <w:tcW w:w="57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举例</w:t>
            </w:r>
          </w:p>
        </w:tc>
      </w:tr>
      <w:tr>
        <w:tblPrEx>
          <w:tblLayout w:type="fixed"/>
          <w:tblCellMar>
            <w:top w:w="0" w:type="dxa"/>
            <w:left w:w="108" w:type="dxa"/>
            <w:bottom w:w="0" w:type="dxa"/>
            <w:right w:w="108" w:type="dxa"/>
          </w:tblCellMar>
        </w:tblPrEx>
        <w:trPr>
          <w:trHeight w:val="1035" w:hRule="atLeast"/>
        </w:trPr>
        <w:tc>
          <w:tcPr>
            <w:tcW w:w="9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292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一级能源计量单位</w:t>
            </w:r>
          </w:p>
        </w:tc>
        <w:tc>
          <w:tcPr>
            <w:tcW w:w="576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×××铜加工公司 、×××铜加工厂、×××铜材厂       ×××铜制品厂</w:t>
            </w:r>
          </w:p>
        </w:tc>
      </w:tr>
      <w:tr>
        <w:tblPrEx>
          <w:tblLayout w:type="fixed"/>
          <w:tblCellMar>
            <w:top w:w="0" w:type="dxa"/>
            <w:left w:w="108" w:type="dxa"/>
            <w:bottom w:w="0" w:type="dxa"/>
            <w:right w:w="108" w:type="dxa"/>
          </w:tblCellMar>
        </w:tblPrEx>
        <w:trPr>
          <w:trHeight w:val="1035" w:hRule="atLeast"/>
        </w:trPr>
        <w:tc>
          <w:tcPr>
            <w:tcW w:w="9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292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二级能源计量单位</w:t>
            </w:r>
          </w:p>
        </w:tc>
        <w:tc>
          <w:tcPr>
            <w:tcW w:w="576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熔铸分厂、铜管分厂、铜板带分厂、铜型材分厂            铜管事业部、铜棒型材事业部   铜板带事业部</w:t>
            </w:r>
          </w:p>
        </w:tc>
      </w:tr>
      <w:tr>
        <w:tblPrEx>
          <w:tblLayout w:type="fixed"/>
          <w:tblCellMar>
            <w:top w:w="0" w:type="dxa"/>
            <w:left w:w="108" w:type="dxa"/>
            <w:bottom w:w="0" w:type="dxa"/>
            <w:right w:w="108" w:type="dxa"/>
          </w:tblCellMar>
        </w:tblPrEx>
        <w:trPr>
          <w:trHeight w:val="1035" w:hRule="atLeast"/>
        </w:trPr>
        <w:tc>
          <w:tcPr>
            <w:tcW w:w="9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292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三级能源计量单位</w:t>
            </w:r>
          </w:p>
        </w:tc>
        <w:tc>
          <w:tcPr>
            <w:tcW w:w="576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铜板热轧车间（工段）、铜板带冷轧车间（工段）            铜管行星轧制车间（工段）、铜管盘拉车间（工段）          内螺纹铜管车间（工段）</w:t>
            </w:r>
          </w:p>
        </w:tc>
      </w:tr>
      <w:tr>
        <w:tblPrEx>
          <w:tblLayout w:type="fixed"/>
          <w:tblCellMar>
            <w:top w:w="0" w:type="dxa"/>
            <w:left w:w="108" w:type="dxa"/>
            <w:bottom w:w="0" w:type="dxa"/>
            <w:right w:w="108" w:type="dxa"/>
          </w:tblCellMar>
        </w:tblPrEx>
        <w:trPr>
          <w:trHeight w:val="1035" w:hRule="atLeast"/>
        </w:trPr>
        <w:tc>
          <w:tcPr>
            <w:tcW w:w="94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p>
        </w:tc>
        <w:tc>
          <w:tcPr>
            <w:tcW w:w="292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主要用能设备</w:t>
            </w:r>
          </w:p>
        </w:tc>
        <w:tc>
          <w:tcPr>
            <w:tcW w:w="576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铜板带热轧机、铜管热挤压机、铜管行星轧机              棒排液压拉伸机</w:t>
            </w:r>
          </w:p>
        </w:tc>
      </w:tr>
    </w:tbl>
    <w:p>
      <w:pPr>
        <w:jc w:val="left"/>
        <w:rPr>
          <w:rFonts w:asciiTheme="minorEastAsia" w:hAnsiTheme="minorEastAsia" w:eastAsiaTheme="minorEastAsia"/>
          <w:szCs w:val="21"/>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4BC3"/>
    <w:rsid w:val="00020434"/>
    <w:rsid w:val="00022E12"/>
    <w:rsid w:val="00031795"/>
    <w:rsid w:val="000649E8"/>
    <w:rsid w:val="00064C7A"/>
    <w:rsid w:val="00064F56"/>
    <w:rsid w:val="00070033"/>
    <w:rsid w:val="000B2B38"/>
    <w:rsid w:val="000D17BA"/>
    <w:rsid w:val="000F3D0A"/>
    <w:rsid w:val="001037AD"/>
    <w:rsid w:val="00106F8D"/>
    <w:rsid w:val="0013646D"/>
    <w:rsid w:val="00147380"/>
    <w:rsid w:val="00155169"/>
    <w:rsid w:val="00163E47"/>
    <w:rsid w:val="001746ED"/>
    <w:rsid w:val="00190084"/>
    <w:rsid w:val="00196CB9"/>
    <w:rsid w:val="001B5BBF"/>
    <w:rsid w:val="001D1B87"/>
    <w:rsid w:val="001D45A0"/>
    <w:rsid w:val="001F1C77"/>
    <w:rsid w:val="001F3E55"/>
    <w:rsid w:val="00202348"/>
    <w:rsid w:val="00206ABC"/>
    <w:rsid w:val="002101A1"/>
    <w:rsid w:val="00215F0A"/>
    <w:rsid w:val="00217F69"/>
    <w:rsid w:val="00221474"/>
    <w:rsid w:val="002407D9"/>
    <w:rsid w:val="00242998"/>
    <w:rsid w:val="002545CD"/>
    <w:rsid w:val="002654D1"/>
    <w:rsid w:val="002B0DEA"/>
    <w:rsid w:val="002B1C57"/>
    <w:rsid w:val="002B4A4B"/>
    <w:rsid w:val="002B7499"/>
    <w:rsid w:val="002C349D"/>
    <w:rsid w:val="002C3F49"/>
    <w:rsid w:val="002C683D"/>
    <w:rsid w:val="002E6F4A"/>
    <w:rsid w:val="002F30F4"/>
    <w:rsid w:val="002F7429"/>
    <w:rsid w:val="00342B4E"/>
    <w:rsid w:val="003442DF"/>
    <w:rsid w:val="0035237B"/>
    <w:rsid w:val="00362766"/>
    <w:rsid w:val="00367947"/>
    <w:rsid w:val="003722AD"/>
    <w:rsid w:val="003737BB"/>
    <w:rsid w:val="00380CC6"/>
    <w:rsid w:val="00391E6E"/>
    <w:rsid w:val="003946A8"/>
    <w:rsid w:val="003A68CD"/>
    <w:rsid w:val="003C1AFC"/>
    <w:rsid w:val="003D152C"/>
    <w:rsid w:val="003F486F"/>
    <w:rsid w:val="003F7B3F"/>
    <w:rsid w:val="00427350"/>
    <w:rsid w:val="00431AB3"/>
    <w:rsid w:val="00454484"/>
    <w:rsid w:val="0047129C"/>
    <w:rsid w:val="00473701"/>
    <w:rsid w:val="004877DA"/>
    <w:rsid w:val="00490A6F"/>
    <w:rsid w:val="004A1825"/>
    <w:rsid w:val="004A22B9"/>
    <w:rsid w:val="004A5983"/>
    <w:rsid w:val="004B1375"/>
    <w:rsid w:val="004C2490"/>
    <w:rsid w:val="004C2682"/>
    <w:rsid w:val="004C3BCE"/>
    <w:rsid w:val="004C79B0"/>
    <w:rsid w:val="004E045F"/>
    <w:rsid w:val="004E7CB1"/>
    <w:rsid w:val="00515209"/>
    <w:rsid w:val="0054085C"/>
    <w:rsid w:val="0056134E"/>
    <w:rsid w:val="00570FD9"/>
    <w:rsid w:val="005861B4"/>
    <w:rsid w:val="005A23C0"/>
    <w:rsid w:val="005B5F25"/>
    <w:rsid w:val="005C3A50"/>
    <w:rsid w:val="005E07C2"/>
    <w:rsid w:val="005F2FCA"/>
    <w:rsid w:val="00602751"/>
    <w:rsid w:val="006218E9"/>
    <w:rsid w:val="0065013C"/>
    <w:rsid w:val="00653332"/>
    <w:rsid w:val="006716B8"/>
    <w:rsid w:val="00683935"/>
    <w:rsid w:val="00685F97"/>
    <w:rsid w:val="00686A3C"/>
    <w:rsid w:val="006A7855"/>
    <w:rsid w:val="006C0591"/>
    <w:rsid w:val="006C4C4D"/>
    <w:rsid w:val="006C5CE2"/>
    <w:rsid w:val="006D0306"/>
    <w:rsid w:val="006D308F"/>
    <w:rsid w:val="006E0319"/>
    <w:rsid w:val="006F57E2"/>
    <w:rsid w:val="006F6B8D"/>
    <w:rsid w:val="007020DB"/>
    <w:rsid w:val="00702516"/>
    <w:rsid w:val="00703991"/>
    <w:rsid w:val="00712082"/>
    <w:rsid w:val="00723A48"/>
    <w:rsid w:val="00766DB4"/>
    <w:rsid w:val="007B3851"/>
    <w:rsid w:val="007B42E1"/>
    <w:rsid w:val="007C1D42"/>
    <w:rsid w:val="007D4BC3"/>
    <w:rsid w:val="007F35FE"/>
    <w:rsid w:val="007F57BD"/>
    <w:rsid w:val="00804F72"/>
    <w:rsid w:val="00805BF2"/>
    <w:rsid w:val="00812BCB"/>
    <w:rsid w:val="0083520A"/>
    <w:rsid w:val="0083726D"/>
    <w:rsid w:val="00847C4F"/>
    <w:rsid w:val="0086287F"/>
    <w:rsid w:val="00863D7F"/>
    <w:rsid w:val="00881B85"/>
    <w:rsid w:val="008B7A26"/>
    <w:rsid w:val="008E5C2D"/>
    <w:rsid w:val="00920AE4"/>
    <w:rsid w:val="00923080"/>
    <w:rsid w:val="009249BE"/>
    <w:rsid w:val="00932057"/>
    <w:rsid w:val="00967D97"/>
    <w:rsid w:val="00982BE7"/>
    <w:rsid w:val="009A2415"/>
    <w:rsid w:val="009B5FA8"/>
    <w:rsid w:val="00A11E14"/>
    <w:rsid w:val="00A24C5A"/>
    <w:rsid w:val="00A35CCD"/>
    <w:rsid w:val="00A72502"/>
    <w:rsid w:val="00A82D05"/>
    <w:rsid w:val="00AD6568"/>
    <w:rsid w:val="00AE5A3B"/>
    <w:rsid w:val="00AF00D1"/>
    <w:rsid w:val="00AF3D3C"/>
    <w:rsid w:val="00B15F23"/>
    <w:rsid w:val="00B21AA6"/>
    <w:rsid w:val="00B27A09"/>
    <w:rsid w:val="00B42F5B"/>
    <w:rsid w:val="00B431A9"/>
    <w:rsid w:val="00B43FE1"/>
    <w:rsid w:val="00B46C29"/>
    <w:rsid w:val="00B50998"/>
    <w:rsid w:val="00B52149"/>
    <w:rsid w:val="00B628EA"/>
    <w:rsid w:val="00B738A3"/>
    <w:rsid w:val="00B77A12"/>
    <w:rsid w:val="00B92A5A"/>
    <w:rsid w:val="00B97D50"/>
    <w:rsid w:val="00BA0140"/>
    <w:rsid w:val="00BE3023"/>
    <w:rsid w:val="00BE49A7"/>
    <w:rsid w:val="00BF2823"/>
    <w:rsid w:val="00BF466E"/>
    <w:rsid w:val="00C11194"/>
    <w:rsid w:val="00C15396"/>
    <w:rsid w:val="00C23D89"/>
    <w:rsid w:val="00C3660A"/>
    <w:rsid w:val="00C746E5"/>
    <w:rsid w:val="00C853B1"/>
    <w:rsid w:val="00C93F55"/>
    <w:rsid w:val="00CB2908"/>
    <w:rsid w:val="00CB5D60"/>
    <w:rsid w:val="00CD0EA5"/>
    <w:rsid w:val="00CF32A7"/>
    <w:rsid w:val="00D11913"/>
    <w:rsid w:val="00D163D1"/>
    <w:rsid w:val="00D223F5"/>
    <w:rsid w:val="00D411D0"/>
    <w:rsid w:val="00D4142D"/>
    <w:rsid w:val="00D46A28"/>
    <w:rsid w:val="00D968BC"/>
    <w:rsid w:val="00DA4D9F"/>
    <w:rsid w:val="00DD7117"/>
    <w:rsid w:val="00DE3FFB"/>
    <w:rsid w:val="00DF22C7"/>
    <w:rsid w:val="00E006CC"/>
    <w:rsid w:val="00E015C4"/>
    <w:rsid w:val="00E15087"/>
    <w:rsid w:val="00E81578"/>
    <w:rsid w:val="00E93C5C"/>
    <w:rsid w:val="00EA139C"/>
    <w:rsid w:val="00EA14D8"/>
    <w:rsid w:val="00EB2750"/>
    <w:rsid w:val="00EB328A"/>
    <w:rsid w:val="00ED2F3F"/>
    <w:rsid w:val="00EE5795"/>
    <w:rsid w:val="00EE6B28"/>
    <w:rsid w:val="00EF3A42"/>
    <w:rsid w:val="00F1081B"/>
    <w:rsid w:val="00F13543"/>
    <w:rsid w:val="00F46257"/>
    <w:rsid w:val="00F54A7A"/>
    <w:rsid w:val="00FB2867"/>
    <w:rsid w:val="00FB4FD7"/>
    <w:rsid w:val="00FD28FD"/>
    <w:rsid w:val="00FE210C"/>
    <w:rsid w:val="00FF0FBE"/>
    <w:rsid w:val="00FF3CFE"/>
    <w:rsid w:val="0A641BBA"/>
    <w:rsid w:val="3C052420"/>
    <w:rsid w:val="7A042C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wordWrap w:val="0"/>
      <w:jc w:val="right"/>
      <w:outlineLvl w:val="0"/>
    </w:pPr>
    <w:rPr>
      <w:rFonts w:ascii="黑体" w:hAnsi="宋体" w:eastAsia="黑体"/>
      <w:b/>
      <w:bCs/>
      <w:sz w:val="28"/>
    </w:rPr>
  </w:style>
  <w:style w:type="paragraph" w:styleId="3">
    <w:name w:val="heading 2"/>
    <w:basedOn w:val="1"/>
    <w:next w:val="1"/>
    <w:link w:val="12"/>
    <w:qFormat/>
    <w:uiPriority w:val="0"/>
    <w:pPr>
      <w:keepNext/>
      <w:spacing w:line="500" w:lineRule="exact"/>
      <w:ind w:left="321" w:hanging="321" w:hangingChars="100"/>
      <w:jc w:val="right"/>
      <w:outlineLvl w:val="1"/>
    </w:pPr>
    <w:rPr>
      <w:rFonts w:ascii="黑体" w:hAnsi="宋体" w:eastAsia="黑体"/>
      <w:b/>
      <w:bCs/>
      <w:sz w:val="32"/>
    </w:rPr>
  </w:style>
  <w:style w:type="paragraph" w:styleId="4">
    <w:name w:val="heading 3"/>
    <w:basedOn w:val="1"/>
    <w:next w:val="1"/>
    <w:link w:val="13"/>
    <w:qFormat/>
    <w:uiPriority w:val="0"/>
    <w:pPr>
      <w:keepNext/>
      <w:jc w:val="center"/>
      <w:outlineLvl w:val="2"/>
    </w:pPr>
    <w:rPr>
      <w:rFonts w:ascii="宋体" w:hAnsi="宋体"/>
      <w:b/>
      <w:bCs/>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Date"/>
    <w:basedOn w:val="1"/>
    <w:next w:val="1"/>
    <w:link w:val="20"/>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1 Char"/>
    <w:basedOn w:val="10"/>
    <w:link w:val="2"/>
    <w:qFormat/>
    <w:uiPriority w:val="0"/>
    <w:rPr>
      <w:rFonts w:ascii="黑体" w:hAnsi="宋体" w:eastAsia="黑体" w:cs="Times New Roman"/>
      <w:b/>
      <w:bCs/>
      <w:sz w:val="28"/>
      <w:szCs w:val="24"/>
    </w:rPr>
  </w:style>
  <w:style w:type="character" w:customStyle="1" w:styleId="12">
    <w:name w:val="标题 2 Char"/>
    <w:basedOn w:val="10"/>
    <w:link w:val="3"/>
    <w:qFormat/>
    <w:uiPriority w:val="0"/>
    <w:rPr>
      <w:rFonts w:ascii="黑体" w:hAnsi="宋体" w:eastAsia="黑体" w:cs="Times New Roman"/>
      <w:b/>
      <w:bCs/>
      <w:sz w:val="32"/>
      <w:szCs w:val="24"/>
    </w:rPr>
  </w:style>
  <w:style w:type="character" w:customStyle="1" w:styleId="13">
    <w:name w:val="标题 3 Char"/>
    <w:basedOn w:val="10"/>
    <w:link w:val="4"/>
    <w:qFormat/>
    <w:uiPriority w:val="0"/>
    <w:rPr>
      <w:rFonts w:ascii="宋体" w:hAnsi="宋体" w:eastAsia="宋体" w:cs="Times New Roman"/>
      <w:b/>
      <w:bCs/>
      <w:sz w:val="32"/>
      <w:szCs w:val="24"/>
    </w:rPr>
  </w:style>
  <w:style w:type="paragraph" w:customStyle="1" w:styleId="14">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character" w:customStyle="1" w:styleId="15">
    <w:name w:val="页眉 Char"/>
    <w:basedOn w:val="10"/>
    <w:link w:val="8"/>
    <w:qFormat/>
    <w:uiPriority w:val="99"/>
    <w:rPr>
      <w:rFonts w:ascii="Times New Roman" w:hAnsi="Times New Roman" w:eastAsia="宋体" w:cs="Times New Roman"/>
      <w:sz w:val="18"/>
      <w:szCs w:val="18"/>
    </w:rPr>
  </w:style>
  <w:style w:type="character" w:customStyle="1" w:styleId="16">
    <w:name w:val="页脚 Char"/>
    <w:basedOn w:val="10"/>
    <w:link w:val="7"/>
    <w:qFormat/>
    <w:uiPriority w:val="99"/>
    <w:rPr>
      <w:rFonts w:ascii="Times New Roman" w:hAnsi="Times New Roman" w:eastAsia="宋体" w:cs="Times New Roman"/>
      <w:sz w:val="18"/>
      <w:szCs w:val="18"/>
    </w:rPr>
  </w:style>
  <w:style w:type="character" w:styleId="17">
    <w:name w:val="Placeholder Text"/>
    <w:basedOn w:val="10"/>
    <w:semiHidden/>
    <w:qFormat/>
    <w:uiPriority w:val="99"/>
    <w:rPr>
      <w:color w:val="808080"/>
    </w:rPr>
  </w:style>
  <w:style w:type="character" w:customStyle="1" w:styleId="18">
    <w:name w:val="批注框文本 Char"/>
    <w:basedOn w:val="10"/>
    <w:link w:val="6"/>
    <w:semiHidden/>
    <w:qFormat/>
    <w:uiPriority w:val="99"/>
    <w:rPr>
      <w:rFonts w:ascii="Times New Roman" w:hAnsi="Times New Roman" w:eastAsia="宋体" w:cs="Times New Roman"/>
      <w:sz w:val="18"/>
      <w:szCs w:val="18"/>
    </w:rPr>
  </w:style>
  <w:style w:type="paragraph" w:customStyle="1" w:styleId="19">
    <w:name w:val="Char Char1"/>
    <w:basedOn w:val="1"/>
    <w:qFormat/>
    <w:uiPriority w:val="0"/>
    <w:pPr>
      <w:widowControl/>
      <w:wordWrap w:val="0"/>
      <w:spacing w:line="440" w:lineRule="exact"/>
      <w:ind w:firstLine="200" w:firstLineChars="200"/>
      <w:jc w:val="left"/>
    </w:pPr>
  </w:style>
  <w:style w:type="character" w:customStyle="1" w:styleId="20">
    <w:name w:val="日期 Char"/>
    <w:basedOn w:val="10"/>
    <w:link w:val="5"/>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A2192-3B3B-4CBE-8B5B-5757E41DF0E2}">
  <ds:schemaRefs/>
</ds:datastoreItem>
</file>

<file path=docProps/app.xml><?xml version="1.0" encoding="utf-8"?>
<Properties xmlns="http://schemas.openxmlformats.org/officeDocument/2006/extended-properties" xmlns:vt="http://schemas.openxmlformats.org/officeDocument/2006/docPropsVTypes">
  <Template>Normal</Template>
  <Pages>10</Pages>
  <Words>1035</Words>
  <Characters>5901</Characters>
  <Lines>49</Lines>
  <Paragraphs>13</Paragraphs>
  <TotalTime>0</TotalTime>
  <ScaleCrop>false</ScaleCrop>
  <LinksUpToDate>false</LinksUpToDate>
  <CharactersWithSpaces>6923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2018-08-03T00:26:00Z</dcterms:created>
  <dc:creator>蒋杰</dc:creator>
  <cp:lastModifiedBy>杨丽娟</cp:lastModifiedBy>
  <dcterms:modified xsi:type="dcterms:W3CDTF">2019-06-20T01:33:55Z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