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cs="Times New Roman"/>
        </w:rPr>
      </w:pPr>
    </w:p>
    <w:p>
      <w:pPr>
        <w:adjustRightInd w:val="0"/>
        <w:snapToGrid w:val="0"/>
        <w:spacing w:line="360" w:lineRule="auto"/>
        <w:jc w:val="center"/>
        <w:rPr>
          <w:rFonts w:ascii="黑体" w:hAnsi="黑体" w:eastAsia="黑体" w:cs="Times New Roman"/>
          <w:b/>
          <w:sz w:val="28"/>
          <w:szCs w:val="28"/>
        </w:rPr>
      </w:pPr>
      <w:r>
        <w:rPr>
          <w:rFonts w:hint="eastAsia" w:ascii="黑体" w:hAnsi="黑体" w:eastAsia="黑体" w:cs="Times New Roman"/>
          <w:b/>
          <w:sz w:val="28"/>
          <w:szCs w:val="28"/>
        </w:rPr>
        <w:t>《高纯碳酸锂》行业标准</w:t>
      </w:r>
      <w:r>
        <w:rPr>
          <w:rFonts w:hint="eastAsia" w:ascii="黑体" w:hAnsi="Times New Roman" w:eastAsia="黑体" w:cs="Times New Roman"/>
          <w:b/>
          <w:sz w:val="28"/>
          <w:szCs w:val="28"/>
        </w:rPr>
        <w:t>编制说明（</w:t>
      </w:r>
      <w:r>
        <w:rPr>
          <w:rFonts w:hint="eastAsia" w:ascii="黑体" w:hAnsi="Times New Roman" w:eastAsia="黑体" w:cs="Times New Roman"/>
          <w:b/>
          <w:sz w:val="28"/>
          <w:szCs w:val="28"/>
          <w:lang w:eastAsia="zh-CN"/>
        </w:rPr>
        <w:t>讨论稿</w:t>
      </w:r>
      <w:r>
        <w:rPr>
          <w:rFonts w:hint="eastAsia" w:ascii="黑体" w:hAnsi="Times New Roman" w:eastAsia="黑体" w:cs="Times New Roman"/>
          <w:b/>
          <w:sz w:val="28"/>
          <w:szCs w:val="28"/>
        </w:rPr>
        <w:t>）</w:t>
      </w:r>
    </w:p>
    <w:p>
      <w:pPr>
        <w:pStyle w:val="16"/>
        <w:numPr>
          <w:ilvl w:val="0"/>
          <w:numId w:val="2"/>
        </w:numPr>
        <w:adjustRightInd w:val="0"/>
        <w:snapToGrid w:val="0"/>
        <w:spacing w:beforeLines="100" w:line="360" w:lineRule="auto"/>
        <w:ind w:left="482" w:hanging="482" w:firstLineChars="0"/>
        <w:rPr>
          <w:rFonts w:ascii="黑体" w:hAnsi="黑体" w:eastAsia="黑体" w:cs="Times New Roman"/>
          <w:sz w:val="24"/>
          <w:szCs w:val="24"/>
        </w:rPr>
      </w:pPr>
      <w:r>
        <w:rPr>
          <w:rFonts w:hint="eastAsia" w:ascii="黑体" w:hAnsi="黑体" w:eastAsia="黑体" w:cs="Times New Roman"/>
          <w:sz w:val="24"/>
          <w:szCs w:val="24"/>
        </w:rPr>
        <w:t>工作简况</w:t>
      </w:r>
      <w:bookmarkStart w:id="0" w:name="_GoBack"/>
      <w:bookmarkEnd w:id="0"/>
    </w:p>
    <w:p>
      <w:pPr>
        <w:pStyle w:val="16"/>
        <w:adjustRightInd w:val="0"/>
        <w:snapToGrid w:val="0"/>
        <w:spacing w:line="360" w:lineRule="auto"/>
        <w:ind w:left="420" w:firstLine="0" w:firstLineChars="0"/>
        <w:jc w:val="left"/>
        <w:rPr>
          <w:rFonts w:ascii="黑体" w:hAnsi="黑体" w:eastAsia="黑体" w:cs="Times New Roman"/>
          <w:sz w:val="24"/>
          <w:szCs w:val="24"/>
        </w:rPr>
      </w:pPr>
      <w:r>
        <w:rPr>
          <w:rFonts w:hint="eastAsia" w:ascii="黑体" w:hAnsi="黑体" w:eastAsia="黑体" w:cs="Times New Roman"/>
          <w:b/>
          <w:sz w:val="24"/>
          <w:szCs w:val="24"/>
        </w:rPr>
        <w:t>1、</w:t>
      </w:r>
      <w:r>
        <w:rPr>
          <w:rFonts w:hint="eastAsia" w:ascii="黑体" w:hAnsi="黑体" w:eastAsia="黑体" w:cs="Times New Roman"/>
          <w:sz w:val="24"/>
          <w:szCs w:val="24"/>
        </w:rPr>
        <w:t>任务来源</w:t>
      </w:r>
    </w:p>
    <w:p>
      <w:pPr>
        <w:adjustRightInd w:val="0"/>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根据工业和信息化部《工业和信息化部办公厅关于印发2018年第四批行业标准制修订计划的通知》（工信厅科〔2018〕73号 ）文件，《高纯碳酸锂》行业标准（项目号2018-2072T-YS）修订任务由新疆有色金属研究所主要负责修定，计划完成年限2020年。</w:t>
      </w:r>
    </w:p>
    <w:p>
      <w:pPr>
        <w:pStyle w:val="16"/>
        <w:adjustRightInd w:val="0"/>
        <w:snapToGrid w:val="0"/>
        <w:spacing w:line="360" w:lineRule="auto"/>
        <w:ind w:firstLine="361" w:firstLineChars="150"/>
        <w:jc w:val="left"/>
        <w:rPr>
          <w:rFonts w:ascii="黑体" w:hAnsi="黑体" w:eastAsia="黑体" w:cs="Times New Roman"/>
          <w:sz w:val="24"/>
          <w:szCs w:val="24"/>
        </w:rPr>
      </w:pPr>
      <w:r>
        <w:rPr>
          <w:rFonts w:hint="eastAsia" w:ascii="黑体" w:hAnsi="黑体" w:eastAsia="黑体" w:cs="Times New Roman"/>
          <w:b/>
          <w:sz w:val="24"/>
          <w:szCs w:val="24"/>
        </w:rPr>
        <w:t>2、</w:t>
      </w:r>
      <w:r>
        <w:rPr>
          <w:rFonts w:hint="eastAsia" w:ascii="黑体" w:hAnsi="黑体" w:eastAsia="黑体" w:cs="Times New Roman"/>
          <w:sz w:val="24"/>
          <w:szCs w:val="24"/>
        </w:rPr>
        <w:t>起草单位</w:t>
      </w:r>
    </w:p>
    <w:p>
      <w:pPr>
        <w:adjustRightInd w:val="0"/>
        <w:snapToGrid w:val="0"/>
        <w:spacing w:line="360" w:lineRule="auto"/>
        <w:ind w:firstLine="480" w:firstLineChars="200"/>
        <w:rPr>
          <w:sz w:val="24"/>
          <w:szCs w:val="24"/>
        </w:rPr>
      </w:pPr>
      <w:r>
        <w:rPr>
          <w:rFonts w:hint="eastAsia" w:ascii="Calibri" w:hAnsi="Calibri" w:eastAsia="宋体" w:cs="Times New Roman"/>
          <w:sz w:val="24"/>
          <w:szCs w:val="24"/>
        </w:rPr>
        <w:t>新疆有色金属研究所成立于1958年10月，先后隶属于国家重工业部、冶金工业部、中国有色金属工业总公司。2000年8月作为国家经贸委10个国家直属的242个转制科研院所之一下划地方，现为新疆有色金属工业（集团）有限责任公司企业工程技术中心、自治区属应用开发类重点科研机构。</w:t>
      </w:r>
    </w:p>
    <w:p>
      <w:pPr>
        <w:adjustRightInd w:val="0"/>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新疆有色金属研究所建所50多年来，围绕有色金属、稀有金属、黑色金属、黄金等资源开发和行业发展开展技术攻关，累计完成包括国家863项目、国家科技支撑计划项目、国家305项目、自治区高新技术攻关项目等在内的各类科研项目近700余项，有75项获国家及省部级科技成果奖；发明专利授权</w:t>
      </w:r>
      <w:r>
        <w:rPr>
          <w:rFonts w:hint="eastAsia" w:eastAsia="宋体"/>
          <w:sz w:val="24"/>
          <w:szCs w:val="24"/>
        </w:rPr>
        <w:t>15</w:t>
      </w:r>
      <w:r>
        <w:rPr>
          <w:rFonts w:hint="eastAsia" w:ascii="Calibri" w:hAnsi="Calibri" w:eastAsia="宋体" w:cs="Times New Roman"/>
          <w:sz w:val="24"/>
          <w:szCs w:val="24"/>
        </w:rPr>
        <w:t>项；主持（参与）起草了54项锂铷铯矿产品及其新材料分析方法和产品标准。</w:t>
      </w:r>
    </w:p>
    <w:p>
      <w:pPr>
        <w:pStyle w:val="16"/>
        <w:adjustRightInd w:val="0"/>
        <w:snapToGrid w:val="0"/>
        <w:spacing w:line="360" w:lineRule="auto"/>
        <w:ind w:firstLine="361" w:firstLineChars="150"/>
        <w:jc w:val="left"/>
        <w:rPr>
          <w:rFonts w:ascii="黑体" w:hAnsi="黑体" w:eastAsia="黑体" w:cs="Times New Roman"/>
          <w:b/>
          <w:sz w:val="24"/>
          <w:szCs w:val="24"/>
        </w:rPr>
      </w:pPr>
      <w:r>
        <w:rPr>
          <w:rFonts w:hint="eastAsia" w:ascii="黑体" w:hAnsi="黑体" w:eastAsia="黑体" w:cs="Times New Roman"/>
          <w:b/>
          <w:sz w:val="24"/>
          <w:szCs w:val="24"/>
        </w:rPr>
        <w:t>3、产品概况</w:t>
      </w:r>
    </w:p>
    <w:p>
      <w:pPr>
        <w:pStyle w:val="16"/>
        <w:adjustRightInd w:val="0"/>
        <w:snapToGrid w:val="0"/>
        <w:spacing w:line="360" w:lineRule="auto"/>
        <w:ind w:firstLine="361" w:firstLineChars="150"/>
        <w:jc w:val="left"/>
        <w:rPr>
          <w:rFonts w:ascii="黑体" w:hAnsi="黑体" w:eastAsia="黑体" w:cs="Times New Roman"/>
          <w:sz w:val="24"/>
          <w:szCs w:val="24"/>
        </w:rPr>
      </w:pPr>
      <w:r>
        <w:rPr>
          <w:rFonts w:hint="eastAsia" w:ascii="黑体" w:hAnsi="黑体" w:eastAsia="黑体" w:cs="Times New Roman"/>
          <w:b/>
          <w:sz w:val="24"/>
          <w:szCs w:val="24"/>
        </w:rPr>
        <w:t>3.1、产品性质、用途</w:t>
      </w:r>
    </w:p>
    <w:p>
      <w:pPr>
        <w:adjustRightInd w:val="0"/>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本产品是</w:t>
      </w:r>
      <w:r>
        <w:rPr>
          <w:rFonts w:ascii="Calibri" w:hAnsi="Calibri" w:eastAsia="宋体" w:cs="Times New Roman"/>
          <w:sz w:val="24"/>
          <w:szCs w:val="24"/>
        </w:rPr>
        <w:t>一种无机化合物，</w:t>
      </w:r>
      <w:r>
        <w:fldChar w:fldCharType="begin"/>
      </w:r>
      <w:r>
        <w:instrText xml:space="preserve"> HYPERLINK "https://baike.so.com/doc/804239-850746.html" \t "_blank" </w:instrText>
      </w:r>
      <w:r>
        <w:fldChar w:fldCharType="separate"/>
      </w:r>
      <w:r>
        <w:rPr>
          <w:rFonts w:ascii="Calibri" w:hAnsi="Calibri" w:eastAsia="宋体" w:cs="Times New Roman"/>
          <w:sz w:val="24"/>
          <w:szCs w:val="24"/>
        </w:rPr>
        <w:t>化学式</w:t>
      </w:r>
      <w:r>
        <w:rPr>
          <w:rFonts w:ascii="Calibri" w:hAnsi="Calibri" w:eastAsia="宋体" w:cs="Times New Roman"/>
          <w:sz w:val="24"/>
          <w:szCs w:val="24"/>
        </w:rPr>
        <w:fldChar w:fldCharType="end"/>
      </w:r>
      <w:r>
        <w:rPr>
          <w:rFonts w:ascii="Calibri" w:hAnsi="Calibri" w:eastAsia="宋体" w:cs="Times New Roman"/>
          <w:sz w:val="24"/>
          <w:szCs w:val="24"/>
        </w:rPr>
        <w:t>为Li</w:t>
      </w:r>
      <w:r>
        <w:rPr>
          <w:rFonts w:ascii="Calibri" w:hAnsi="Calibri" w:eastAsia="宋体" w:cs="Times New Roman"/>
          <w:sz w:val="24"/>
          <w:szCs w:val="24"/>
          <w:vertAlign w:val="subscript"/>
        </w:rPr>
        <w:t>2</w:t>
      </w:r>
      <w:r>
        <w:rPr>
          <w:rFonts w:ascii="Calibri" w:hAnsi="Calibri" w:eastAsia="宋体" w:cs="Times New Roman"/>
          <w:sz w:val="24"/>
          <w:szCs w:val="24"/>
        </w:rPr>
        <w:t>CO</w:t>
      </w:r>
      <w:r>
        <w:rPr>
          <w:rFonts w:ascii="Calibri" w:hAnsi="Calibri" w:eastAsia="宋体" w:cs="Times New Roman"/>
          <w:sz w:val="24"/>
          <w:szCs w:val="24"/>
          <w:vertAlign w:val="subscript"/>
        </w:rPr>
        <w:t>3</w:t>
      </w:r>
      <w:r>
        <w:rPr>
          <w:rFonts w:ascii="Calibri" w:hAnsi="Calibri" w:eastAsia="宋体" w:cs="Times New Roman"/>
          <w:sz w:val="24"/>
          <w:szCs w:val="24"/>
        </w:rPr>
        <w:t>，为无色单斜晶系</w:t>
      </w:r>
      <w:r>
        <w:fldChar w:fldCharType="begin"/>
      </w:r>
      <w:r>
        <w:instrText xml:space="preserve"> HYPERLINK "https://baike.so.com/doc/8765320-9088984.html" \t "_blank" </w:instrText>
      </w:r>
      <w:r>
        <w:fldChar w:fldCharType="separate"/>
      </w:r>
      <w:r>
        <w:rPr>
          <w:rFonts w:ascii="Calibri" w:hAnsi="Calibri" w:eastAsia="宋体" w:cs="Times New Roman"/>
          <w:sz w:val="24"/>
          <w:szCs w:val="24"/>
        </w:rPr>
        <w:t>结晶体</w:t>
      </w:r>
      <w:r>
        <w:rPr>
          <w:rFonts w:ascii="Calibri" w:hAnsi="Calibri" w:eastAsia="宋体" w:cs="Times New Roman"/>
          <w:sz w:val="24"/>
          <w:szCs w:val="24"/>
        </w:rPr>
        <w:fldChar w:fldCharType="end"/>
      </w:r>
      <w:r>
        <w:rPr>
          <w:rFonts w:ascii="Calibri" w:hAnsi="Calibri" w:eastAsia="宋体" w:cs="Times New Roman"/>
          <w:sz w:val="24"/>
          <w:szCs w:val="24"/>
        </w:rPr>
        <w:t>或白色粉末。密度2.11g/cm</w:t>
      </w:r>
      <w:r>
        <w:rPr>
          <w:rFonts w:ascii="Calibri" w:hAnsi="Calibri" w:eastAsia="宋体" w:cs="Times New Roman"/>
          <w:sz w:val="24"/>
          <w:szCs w:val="24"/>
          <w:vertAlign w:val="superscript"/>
        </w:rPr>
        <w:t>3</w:t>
      </w:r>
      <w:r>
        <w:rPr>
          <w:rFonts w:ascii="Calibri" w:hAnsi="Calibri" w:eastAsia="宋体" w:cs="Times New Roman"/>
          <w:sz w:val="24"/>
          <w:szCs w:val="24"/>
        </w:rPr>
        <w:t>。熔点723</w:t>
      </w:r>
      <w:r>
        <w:rPr>
          <w:rFonts w:hint="eastAsia" w:ascii="Calibri" w:hAnsi="Calibri" w:eastAsia="宋体" w:cs="Times New Roman"/>
          <w:sz w:val="24"/>
          <w:szCs w:val="24"/>
        </w:rPr>
        <w:t>℃</w:t>
      </w:r>
      <w:r>
        <w:rPr>
          <w:rFonts w:ascii="Calibri" w:hAnsi="Calibri" w:eastAsia="宋体" w:cs="Times New Roman"/>
          <w:sz w:val="24"/>
          <w:szCs w:val="24"/>
        </w:rPr>
        <w:t>(101.325kPa)。溶于稀酸。微溶于水，在冷水中溶解度较热水下大。不溶于醇及</w:t>
      </w:r>
      <w:r>
        <w:fldChar w:fldCharType="begin"/>
      </w:r>
      <w:r>
        <w:instrText xml:space="preserve"> HYPERLINK "https://baike.so.com/doc/252057-266820.html" \t "_blank" </w:instrText>
      </w:r>
      <w:r>
        <w:fldChar w:fldCharType="separate"/>
      </w:r>
      <w:r>
        <w:rPr>
          <w:rFonts w:ascii="Calibri" w:hAnsi="Calibri" w:eastAsia="宋体" w:cs="Times New Roman"/>
          <w:sz w:val="24"/>
          <w:szCs w:val="24"/>
        </w:rPr>
        <w:t>丙酮</w:t>
      </w:r>
      <w:r>
        <w:rPr>
          <w:rFonts w:ascii="Calibri" w:hAnsi="Calibri" w:eastAsia="宋体" w:cs="Times New Roman"/>
          <w:sz w:val="24"/>
          <w:szCs w:val="24"/>
        </w:rPr>
        <w:fldChar w:fldCharType="end"/>
      </w:r>
      <w:r>
        <w:rPr>
          <w:rFonts w:ascii="Calibri" w:hAnsi="Calibri" w:eastAsia="宋体" w:cs="Times New Roman"/>
          <w:sz w:val="24"/>
          <w:szCs w:val="24"/>
        </w:rPr>
        <w:t>。可用于制陶瓷、药物、催化剂等。</w:t>
      </w:r>
    </w:p>
    <w:p>
      <w:pPr>
        <w:adjustRightInd w:val="0"/>
        <w:snapToGrid w:val="0"/>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高纯碳酸锂是电池材料行业、原子能工业、电子工业和光学仪器行业等的重要原料。在光电信息方面，高纯碳酸锂是制备表面弹性波元件钽酸锂和铌酸锂单晶的主要原料。在电子工业方面，作为锂离子电池的正极材料</w:t>
      </w:r>
      <w:r>
        <w:rPr>
          <w:rFonts w:ascii="Calibri" w:hAnsi="Calibri" w:eastAsia="宋体" w:cs="Times New Roman"/>
          <w:sz w:val="24"/>
          <w:szCs w:val="24"/>
        </w:rPr>
        <w:t>(</w:t>
      </w:r>
      <w:r>
        <w:rPr>
          <w:rFonts w:hint="eastAsia" w:ascii="Calibri" w:hAnsi="Calibri" w:eastAsia="宋体" w:cs="Times New Roman"/>
          <w:sz w:val="24"/>
          <w:szCs w:val="24"/>
        </w:rPr>
        <w:t>如</w:t>
      </w:r>
      <w:r>
        <w:rPr>
          <w:rFonts w:ascii="Calibri" w:hAnsi="Calibri" w:eastAsia="宋体" w:cs="Times New Roman"/>
          <w:sz w:val="24"/>
          <w:szCs w:val="24"/>
        </w:rPr>
        <w:t>LiCoO</w:t>
      </w:r>
      <w:r>
        <w:rPr>
          <w:rFonts w:ascii="Calibri" w:hAnsi="Calibri" w:eastAsia="宋体" w:cs="Times New Roman"/>
          <w:sz w:val="24"/>
          <w:szCs w:val="24"/>
          <w:vertAlign w:val="subscript"/>
        </w:rPr>
        <w:t>2</w:t>
      </w:r>
      <w:r>
        <w:rPr>
          <w:rFonts w:hint="eastAsia" w:ascii="Calibri" w:hAnsi="Calibri" w:eastAsia="宋体" w:cs="Times New Roman"/>
          <w:sz w:val="24"/>
          <w:szCs w:val="24"/>
        </w:rPr>
        <w:t>、</w:t>
      </w:r>
      <w:r>
        <w:rPr>
          <w:rFonts w:ascii="Calibri" w:hAnsi="Calibri" w:eastAsia="宋体" w:cs="Times New Roman"/>
          <w:sz w:val="24"/>
          <w:szCs w:val="24"/>
        </w:rPr>
        <w:t>LiMn</w:t>
      </w:r>
      <w:r>
        <w:rPr>
          <w:rFonts w:ascii="Calibri" w:hAnsi="Calibri" w:eastAsia="宋体" w:cs="Times New Roman"/>
          <w:sz w:val="24"/>
          <w:szCs w:val="24"/>
          <w:vertAlign w:val="subscript"/>
        </w:rPr>
        <w:t>2</w:t>
      </w:r>
      <w:r>
        <w:rPr>
          <w:rFonts w:ascii="Calibri" w:hAnsi="Calibri" w:eastAsia="宋体" w:cs="Times New Roman"/>
          <w:sz w:val="24"/>
          <w:szCs w:val="24"/>
        </w:rPr>
        <w:t>O</w:t>
      </w:r>
      <w:r>
        <w:rPr>
          <w:rFonts w:ascii="Calibri" w:hAnsi="Calibri" w:eastAsia="宋体" w:cs="Times New Roman"/>
          <w:sz w:val="24"/>
          <w:szCs w:val="24"/>
          <w:vertAlign w:val="subscript"/>
        </w:rPr>
        <w:t>4</w:t>
      </w:r>
      <w:r>
        <w:rPr>
          <w:rFonts w:hint="eastAsia" w:ascii="Calibri" w:hAnsi="Calibri" w:eastAsia="宋体" w:cs="Times New Roman"/>
          <w:sz w:val="24"/>
          <w:szCs w:val="24"/>
        </w:rPr>
        <w:t>等</w:t>
      </w:r>
      <w:r>
        <w:rPr>
          <w:rFonts w:ascii="Calibri" w:hAnsi="Calibri" w:eastAsia="宋体" w:cs="Times New Roman"/>
          <w:sz w:val="24"/>
          <w:szCs w:val="24"/>
        </w:rPr>
        <w:t>)</w:t>
      </w:r>
      <w:r>
        <w:rPr>
          <w:rFonts w:hint="eastAsia" w:ascii="Calibri" w:hAnsi="Calibri" w:eastAsia="宋体" w:cs="Times New Roman"/>
          <w:sz w:val="24"/>
          <w:szCs w:val="24"/>
        </w:rPr>
        <w:t>及电解质原料。还可用来生产高纯度的氯化锂、溴化锂等高纯锂盐，随着锂离子电池和电子信息材料上游产品钽酸锂和铌酸锂单晶应用市场的不断扩大，必然带来高纯碳酸锂产业的新的增长，其开发应用前景广阔。碳酸锂的用途广泛，不仅是陶瓷、冶金、能源、医药等行业大量使用的一种原料，也是合成其他锂盐的基础原料。但由于用途不同，对碳酸锂的纯度及粒度也会有不同的要求。</w:t>
      </w:r>
      <w:r>
        <w:rPr>
          <w:rFonts w:ascii="Calibri" w:hAnsi="Calibri" w:eastAsia="宋体" w:cs="Times New Roman"/>
          <w:sz w:val="24"/>
          <w:szCs w:val="24"/>
        </w:rPr>
        <w:t>99.999%</w:t>
      </w:r>
      <w:r>
        <w:rPr>
          <w:rFonts w:hint="eastAsia" w:ascii="Calibri" w:hAnsi="Calibri" w:eastAsia="宋体" w:cs="Times New Roman"/>
          <w:sz w:val="24"/>
          <w:szCs w:val="24"/>
        </w:rPr>
        <w:t>的高纯碳酸锂用于医药和表面弹性波元件材料；</w:t>
      </w:r>
      <w:r>
        <w:rPr>
          <w:rFonts w:ascii="Calibri" w:hAnsi="Calibri" w:eastAsia="宋体" w:cs="Times New Roman"/>
          <w:sz w:val="24"/>
          <w:szCs w:val="24"/>
        </w:rPr>
        <w:t>99.99%</w:t>
      </w:r>
      <w:r>
        <w:rPr>
          <w:rFonts w:hint="eastAsia" w:ascii="Calibri" w:hAnsi="Calibri" w:eastAsia="宋体" w:cs="Times New Roman"/>
          <w:sz w:val="24"/>
          <w:szCs w:val="24"/>
        </w:rPr>
        <w:t>的高纯碳酸锂用于锂离子电池的电解质；</w:t>
      </w:r>
      <w:r>
        <w:rPr>
          <w:rFonts w:ascii="Calibri" w:hAnsi="Calibri" w:eastAsia="宋体" w:cs="Times New Roman"/>
          <w:sz w:val="24"/>
          <w:szCs w:val="24"/>
        </w:rPr>
        <w:t>99.9%</w:t>
      </w:r>
      <w:r>
        <w:rPr>
          <w:rFonts w:hint="eastAsia" w:ascii="Calibri" w:hAnsi="Calibri" w:eastAsia="宋体" w:cs="Times New Roman"/>
          <w:sz w:val="24"/>
          <w:szCs w:val="24"/>
        </w:rPr>
        <w:t>的高纯碳酸锂用于锂离子电池的正极材料。而近年来，随着电动汽车的快速发展，</w:t>
      </w:r>
      <w:r>
        <w:rPr>
          <w:rFonts w:ascii="Calibri" w:hAnsi="Calibri" w:eastAsia="宋体" w:cs="Times New Roman"/>
          <w:sz w:val="24"/>
          <w:szCs w:val="24"/>
        </w:rPr>
        <w:t>99.9%</w:t>
      </w:r>
      <w:r>
        <w:rPr>
          <w:rFonts w:hint="eastAsia" w:ascii="Calibri" w:hAnsi="Calibri" w:eastAsia="宋体" w:cs="Times New Roman"/>
          <w:sz w:val="24"/>
          <w:szCs w:val="24"/>
        </w:rPr>
        <w:t>的高纯碳酸锂作为锂离子电池基础原材料的需求也随之递增。</w:t>
      </w:r>
    </w:p>
    <w:p>
      <w:pPr>
        <w:pStyle w:val="16"/>
        <w:adjustRightInd w:val="0"/>
        <w:snapToGrid w:val="0"/>
        <w:spacing w:line="360" w:lineRule="auto"/>
        <w:ind w:left="420" w:firstLine="0" w:firstLineChars="0"/>
        <w:jc w:val="left"/>
        <w:rPr>
          <w:rFonts w:ascii="黑体" w:hAnsi="黑体" w:eastAsia="黑体" w:cs="Times New Roman"/>
          <w:b/>
          <w:sz w:val="24"/>
          <w:szCs w:val="24"/>
        </w:rPr>
      </w:pPr>
      <w:r>
        <w:rPr>
          <w:rFonts w:hint="eastAsia" w:ascii="黑体" w:hAnsi="黑体" w:eastAsia="黑体" w:cs="Times New Roman"/>
          <w:b/>
          <w:sz w:val="24"/>
          <w:szCs w:val="24"/>
        </w:rPr>
        <w:t>3.2、生产工艺</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国内生产企主要生产工艺为以精制单水氢氧化锂为原料，采用碳酸盐或碳酸氢盐沉淀法生产高纯碳酸锂；或者以碳酸锂为原料，采用氢化后热分解工艺生产高纯碳酸锂。</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国内目前主要的生产厂家有新疆有色金属研究所、赣锋锂业股份有限公司、</w:t>
      </w:r>
      <w:r>
        <w:rPr>
          <w:rFonts w:ascii="Times New Roman" w:hAnsi="Times New Roman" w:cs="Times New Roman"/>
          <w:sz w:val="24"/>
          <w:szCs w:val="24"/>
        </w:rPr>
        <w:t>天齐锂业股份有限公司 </w:t>
      </w:r>
      <w:r>
        <w:rPr>
          <w:rFonts w:hint="eastAsia" w:ascii="Times New Roman" w:hAnsi="Times New Roman" w:cs="Times New Roman"/>
          <w:sz w:val="24"/>
          <w:szCs w:val="24"/>
        </w:rPr>
        <w:t>等。</w:t>
      </w:r>
    </w:p>
    <w:p>
      <w:pPr>
        <w:pStyle w:val="16"/>
        <w:adjustRightInd w:val="0"/>
        <w:snapToGrid w:val="0"/>
        <w:spacing w:line="360" w:lineRule="auto"/>
        <w:ind w:firstLine="482"/>
        <w:jc w:val="left"/>
        <w:rPr>
          <w:rFonts w:ascii="黑体" w:hAnsi="黑体" w:eastAsia="黑体" w:cs="Times New Roman"/>
          <w:b/>
          <w:sz w:val="24"/>
          <w:szCs w:val="24"/>
        </w:rPr>
      </w:pPr>
      <w:r>
        <w:rPr>
          <w:rFonts w:hint="eastAsia" w:ascii="黑体" w:hAnsi="黑体" w:eastAsia="黑体" w:cs="Times New Roman"/>
          <w:b/>
          <w:sz w:val="24"/>
          <w:szCs w:val="24"/>
        </w:rPr>
        <w:t>4、主要工作过程</w:t>
      </w:r>
    </w:p>
    <w:p>
      <w:pPr>
        <w:spacing w:line="360" w:lineRule="auto"/>
        <w:ind w:firstLine="480" w:firstLineChars="200"/>
        <w:rPr>
          <w:rFonts w:ascii="宋体" w:hAnsi="宋体"/>
          <w:sz w:val="24"/>
          <w:szCs w:val="24"/>
        </w:rPr>
      </w:pPr>
      <w:r>
        <w:rPr>
          <w:rFonts w:hint="eastAsia" w:ascii="宋体" w:hAnsi="宋体"/>
          <w:sz w:val="24"/>
          <w:szCs w:val="24"/>
        </w:rPr>
        <w:t>本标准由新疆有色金属研究所负责修订任务，</w:t>
      </w:r>
      <w:r>
        <w:rPr>
          <w:rFonts w:hint="eastAsia" w:ascii="Times New Roman" w:hAnsi="Times New Roman" w:cs="Times New Roman"/>
          <w:sz w:val="24"/>
          <w:szCs w:val="24"/>
        </w:rPr>
        <w:t>赣锋锂业股份有限公司、</w:t>
      </w:r>
      <w:r>
        <w:rPr>
          <w:rFonts w:ascii="Times New Roman" w:hAnsi="Times New Roman" w:cs="Times New Roman"/>
          <w:sz w:val="24"/>
          <w:szCs w:val="24"/>
        </w:rPr>
        <w:t>天齐锂业股份有限公司 </w:t>
      </w:r>
      <w:r>
        <w:rPr>
          <w:rFonts w:hint="eastAsia" w:ascii="Times New Roman" w:hAnsi="Times New Roman" w:cs="Times New Roman"/>
          <w:sz w:val="24"/>
          <w:szCs w:val="24"/>
        </w:rPr>
        <w:t>、广东佳纳能源科技有限公司、长沙矿业研究院有限责任公司、广东邦普循环科技有限公司等企事业单位</w:t>
      </w:r>
      <w:r>
        <w:rPr>
          <w:rFonts w:hint="eastAsia" w:ascii="宋体" w:hAnsi="宋体"/>
          <w:sz w:val="24"/>
          <w:szCs w:val="24"/>
        </w:rPr>
        <w:t>参与修订任务。</w:t>
      </w:r>
    </w:p>
    <w:p>
      <w:pPr>
        <w:pStyle w:val="16"/>
        <w:tabs>
          <w:tab w:val="left" w:pos="709"/>
        </w:tabs>
        <w:adjustRightInd w:val="0"/>
        <w:snapToGrid w:val="0"/>
        <w:spacing w:line="360" w:lineRule="auto"/>
        <w:ind w:firstLine="480"/>
        <w:rPr>
          <w:rFonts w:ascii="Times New Roman" w:hAnsi="Times New Roman" w:cs="Times New Roman"/>
          <w:sz w:val="24"/>
          <w:szCs w:val="24"/>
        </w:rPr>
      </w:pPr>
      <w:r>
        <w:rPr>
          <w:rFonts w:hint="eastAsia" w:ascii="宋体" w:hAnsi="宋体"/>
          <w:sz w:val="24"/>
          <w:szCs w:val="24"/>
        </w:rPr>
        <w:t>接到标准修定任务后于2019年1月组成《高纯碳酸锂》行业标准编制组，并明确了工作职责和任务。2019年1月</w:t>
      </w:r>
      <w:r>
        <w:rPr>
          <w:rFonts w:hint="eastAsia" w:asciiTheme="minorEastAsia" w:hAnsiTheme="minorEastAsia"/>
          <w:sz w:val="24"/>
          <w:szCs w:val="24"/>
        </w:rPr>
        <w:t>～</w:t>
      </w:r>
      <w:r>
        <w:rPr>
          <w:rFonts w:hint="eastAsia" w:ascii="宋体" w:hAnsi="宋体"/>
          <w:sz w:val="24"/>
          <w:szCs w:val="24"/>
        </w:rPr>
        <w:t>2019年</w:t>
      </w:r>
      <w:r>
        <w:rPr>
          <w:rFonts w:hint="eastAsia" w:asciiTheme="minorEastAsia" w:hAnsiTheme="minorEastAsia"/>
          <w:sz w:val="24"/>
          <w:szCs w:val="24"/>
        </w:rPr>
        <w:t>4月，查阅相关标准，对运行的企业标准进行各方面的试验和验证，对生产企业和客户进行调研。完成</w:t>
      </w:r>
      <w:r>
        <w:rPr>
          <w:rFonts w:hint="eastAsia" w:ascii="宋体" w:hAnsi="宋体"/>
          <w:sz w:val="24"/>
          <w:szCs w:val="24"/>
        </w:rPr>
        <w:t>《高纯碳酸锂》行业标准的的征求意见稿草案，</w:t>
      </w:r>
      <w:r>
        <w:rPr>
          <w:rFonts w:hint="eastAsia" w:ascii="宋体" w:hAnsi="宋体"/>
          <w:sz w:val="24"/>
        </w:rPr>
        <w:t>本标准草案完成后，以书面形式征求了以下单位的意见：</w:t>
      </w:r>
      <w:r>
        <w:rPr>
          <w:rFonts w:hint="eastAsia" w:ascii="Times New Roman" w:hAnsi="Times New Roman" w:cs="Times New Roman"/>
          <w:sz w:val="24"/>
          <w:szCs w:val="24"/>
        </w:rPr>
        <w:t>赣锋锂业股份有限公司、</w:t>
      </w:r>
      <w:r>
        <w:rPr>
          <w:rFonts w:ascii="Times New Roman" w:hAnsi="Times New Roman" w:cs="Times New Roman"/>
          <w:sz w:val="24"/>
          <w:szCs w:val="24"/>
        </w:rPr>
        <w:t>天齐锂业股份有限公司 </w:t>
      </w:r>
      <w:r>
        <w:rPr>
          <w:rFonts w:hint="eastAsia" w:ascii="Times New Roman" w:hAnsi="Times New Roman" w:cs="Times New Roman"/>
          <w:sz w:val="24"/>
          <w:szCs w:val="24"/>
        </w:rPr>
        <w:t>、广东佳纳能源科技有限公司、长沙矿业研究院有限责任公司、广东邦普循环科技有限公司、中电科技德清华荧电子有限公司、上海东城电子器材厂等，详见《意见汇总处理表》</w:t>
      </w:r>
      <w:r>
        <w:rPr>
          <w:rFonts w:hint="eastAsia" w:ascii="宋体" w:hAnsi="宋体"/>
          <w:sz w:val="24"/>
        </w:rPr>
        <w:t>。</w:t>
      </w:r>
    </w:p>
    <w:p>
      <w:pPr>
        <w:pStyle w:val="16"/>
        <w:numPr>
          <w:ilvl w:val="0"/>
          <w:numId w:val="2"/>
        </w:numPr>
        <w:adjustRightInd w:val="0"/>
        <w:snapToGrid w:val="0"/>
        <w:spacing w:beforeLines="50" w:afterLines="50" w:line="360" w:lineRule="auto"/>
        <w:ind w:left="482" w:hanging="482" w:firstLineChars="0"/>
        <w:rPr>
          <w:rFonts w:ascii="黑体" w:hAnsi="黑体" w:eastAsia="黑体" w:cs="Times New Roman"/>
          <w:sz w:val="24"/>
          <w:szCs w:val="24"/>
        </w:rPr>
      </w:pPr>
      <w:r>
        <w:rPr>
          <w:rFonts w:hint="eastAsia" w:ascii="黑体" w:hAnsi="黑体" w:eastAsia="黑体" w:cs="Times New Roman"/>
          <w:sz w:val="24"/>
          <w:szCs w:val="24"/>
        </w:rPr>
        <w:t>标准编制原则和确定标准主要内容的论据</w:t>
      </w:r>
    </w:p>
    <w:p>
      <w:pPr>
        <w:pStyle w:val="16"/>
        <w:tabs>
          <w:tab w:val="left" w:pos="426"/>
          <w:tab w:val="left" w:pos="709"/>
        </w:tabs>
        <w:adjustRightInd w:val="0"/>
        <w:snapToGrid w:val="0"/>
        <w:spacing w:line="360" w:lineRule="auto"/>
        <w:ind w:firstLine="0" w:firstLineChars="0"/>
        <w:rPr>
          <w:rFonts w:ascii="黑体" w:hAnsi="黑体" w:eastAsia="黑体" w:cs="Times New Roman"/>
          <w:b/>
          <w:sz w:val="24"/>
          <w:szCs w:val="24"/>
        </w:rPr>
      </w:pPr>
      <w:r>
        <w:rPr>
          <w:rFonts w:hint="eastAsia" w:ascii="黑体" w:hAnsi="黑体" w:eastAsia="黑体" w:cs="Times New Roman"/>
          <w:b/>
          <w:sz w:val="24"/>
          <w:szCs w:val="24"/>
        </w:rPr>
        <w:t>1、标准编制原则</w:t>
      </w:r>
    </w:p>
    <w:p>
      <w:pPr>
        <w:pStyle w:val="16"/>
        <w:adjustRightInd w:val="0"/>
        <w:snapToGrid w:val="0"/>
        <w:spacing w:line="360" w:lineRule="auto"/>
        <w:ind w:firstLine="480"/>
        <w:rPr>
          <w:rFonts w:ascii="宋体" w:hAnsi="宋体"/>
          <w:sz w:val="24"/>
          <w:szCs w:val="24"/>
        </w:rPr>
      </w:pPr>
      <w:r>
        <w:rPr>
          <w:rFonts w:hint="eastAsia" w:ascii="宋体" w:hAnsi="宋体"/>
          <w:sz w:val="24"/>
          <w:szCs w:val="24"/>
        </w:rPr>
        <w:t>本标准严格按照GB/T 1.1-2009《标准化工作导则 第1部分：标准的结构和编写》的规定格式进行编写。</w:t>
      </w:r>
    </w:p>
    <w:p>
      <w:pPr>
        <w:pStyle w:val="16"/>
        <w:adjustRightInd w:val="0"/>
        <w:snapToGrid w:val="0"/>
        <w:spacing w:line="360" w:lineRule="auto"/>
        <w:ind w:firstLine="480"/>
        <w:rPr>
          <w:rFonts w:ascii="宋体" w:hAnsi="宋体"/>
          <w:sz w:val="24"/>
        </w:rPr>
      </w:pPr>
      <w:r>
        <w:rPr>
          <w:rFonts w:hint="eastAsia" w:ascii="宋体" w:hAnsi="宋体"/>
          <w:sz w:val="24"/>
        </w:rPr>
        <w:t>本标准是以新疆有色金属研究所为主要起草单位，参考国内企业的生产技术水平及客户对高纯碳酸锂质量诉求的基础上进行修订，体现了国内大多数企业的技术水平，有利于规范国内市场，切实可行，具有可操作性，同时充考虑相关企业，使用单位等各方面的意见和建议。同时，也体现了与国际先进水平接轨，对国内生产企业及相关行业的技术进步将产生积极的推动作用。</w:t>
      </w:r>
    </w:p>
    <w:p>
      <w:pPr>
        <w:spacing w:line="360" w:lineRule="auto"/>
        <w:ind w:firstLine="346"/>
        <w:rPr>
          <w:rFonts w:ascii="宋体" w:hAnsi="宋体"/>
          <w:sz w:val="24"/>
          <w:szCs w:val="24"/>
        </w:rPr>
      </w:pPr>
      <w:r>
        <w:rPr>
          <w:rFonts w:hint="eastAsia" w:ascii="宋体" w:hAnsi="宋体"/>
          <w:sz w:val="24"/>
        </w:rPr>
        <w:t>《高纯碳酸锂》YS/T 546—2008行业标准实施至今已有10年时间</w:t>
      </w:r>
      <w:r>
        <w:rPr>
          <w:rFonts w:ascii="宋体" w:hAnsi="宋体"/>
          <w:sz w:val="24"/>
        </w:rPr>
        <w:t>，</w:t>
      </w:r>
      <w:r>
        <w:rPr>
          <w:rFonts w:hint="eastAsia" w:ascii="宋体" w:hAnsi="宋体"/>
          <w:sz w:val="24"/>
        </w:rPr>
        <w:t>随着国内高纯碳酸锂在各个应用领域的不断发展，参考国内各</w:t>
      </w:r>
      <w:r>
        <w:rPr>
          <w:rFonts w:ascii="宋体" w:hAnsi="宋体"/>
          <w:sz w:val="24"/>
        </w:rPr>
        <w:t>生产厂商</w:t>
      </w:r>
      <w:r>
        <w:rPr>
          <w:rFonts w:hint="eastAsia" w:ascii="宋体" w:hAnsi="宋体"/>
          <w:sz w:val="24"/>
        </w:rPr>
        <w:t>在实际生产中经验，该标准在产品分类、杂质含量、包装规定等方面</w:t>
      </w:r>
      <w:r>
        <w:rPr>
          <w:rFonts w:ascii="宋体" w:hAnsi="宋体"/>
          <w:sz w:val="24"/>
        </w:rPr>
        <w:t>，</w:t>
      </w:r>
      <w:r>
        <w:rPr>
          <w:rFonts w:hint="eastAsia" w:ascii="宋体" w:hAnsi="宋体"/>
          <w:sz w:val="24"/>
        </w:rPr>
        <w:t>存在缺失和不完善的地方，《高纯碳酸锂》YS/T 546—2008标准已不适应国内</w:t>
      </w:r>
      <w:r>
        <w:rPr>
          <w:rFonts w:ascii="宋体" w:hAnsi="宋体"/>
          <w:sz w:val="24"/>
        </w:rPr>
        <w:t>各生产厂商</w:t>
      </w:r>
      <w:r>
        <w:rPr>
          <w:rFonts w:hint="eastAsia" w:ascii="宋体" w:hAnsi="宋体"/>
          <w:sz w:val="24"/>
        </w:rPr>
        <w:t>和用户的实际需求，</w:t>
      </w:r>
      <w:r>
        <w:rPr>
          <w:rFonts w:ascii="宋体" w:hAnsi="宋体"/>
          <w:sz w:val="24"/>
        </w:rPr>
        <w:t>为</w:t>
      </w:r>
      <w:r>
        <w:rPr>
          <w:rFonts w:hint="eastAsia" w:ascii="宋体" w:hAnsi="宋体"/>
          <w:sz w:val="24"/>
        </w:rPr>
        <w:t>高纯碳酸锂产品</w:t>
      </w:r>
      <w:r>
        <w:rPr>
          <w:rFonts w:ascii="宋体" w:hAnsi="宋体"/>
          <w:sz w:val="24"/>
        </w:rPr>
        <w:t>的</w:t>
      </w:r>
      <w:r>
        <w:rPr>
          <w:rFonts w:hint="eastAsia" w:ascii="宋体" w:hAnsi="宋体"/>
          <w:sz w:val="24"/>
        </w:rPr>
        <w:t>生产方和</w:t>
      </w:r>
      <w:r>
        <w:rPr>
          <w:rFonts w:ascii="宋体" w:hAnsi="宋体"/>
          <w:sz w:val="24"/>
        </w:rPr>
        <w:t>使用方提供统一的、满足下游生产需要的</w:t>
      </w:r>
      <w:r>
        <w:rPr>
          <w:rFonts w:hint="eastAsia" w:ascii="宋体" w:hAnsi="宋体"/>
          <w:sz w:val="24"/>
        </w:rPr>
        <w:t>标准</w:t>
      </w:r>
      <w:r>
        <w:rPr>
          <w:rFonts w:ascii="宋体" w:hAnsi="宋体"/>
          <w:sz w:val="24"/>
        </w:rPr>
        <w:t>，</w:t>
      </w:r>
      <w:r>
        <w:rPr>
          <w:rFonts w:hint="eastAsia" w:ascii="宋体" w:hAnsi="宋体"/>
          <w:sz w:val="24"/>
        </w:rPr>
        <w:t>因此立项对该标准进行修订工作。《高纯碳酸锂》YS/T 546—2008标准主要有99.99%、99.995%、99.999%三个牌号，其中99.99%、99.999%产品标准应用较为广泛，而99.995%标准的产品在市场实际使用中几乎用不到，目前99.9%碳酸锂在市场中有一定的需求，但相关碳酸锂标准中并无99.9%牌号，鉴于以上情况在标准修订中增加了99.9%产品牌号，同时取消99.995%产品牌号。此外对标准中的高纯碳酸锂产品牌号进行了重新划分、调整了高纯碳酸锂标准适用范围并对标准中结构、格式进行了规范、说明及完善，</w:t>
      </w:r>
      <w:r>
        <w:rPr>
          <w:rFonts w:hint="eastAsia" w:ascii="宋体" w:hAnsi="宋体"/>
          <w:sz w:val="24"/>
          <w:szCs w:val="24"/>
        </w:rPr>
        <w:t>该标准修订完成后</w:t>
      </w:r>
      <w:r>
        <w:rPr>
          <w:rFonts w:ascii="宋体" w:hAnsi="宋体"/>
          <w:sz w:val="24"/>
          <w:szCs w:val="24"/>
        </w:rPr>
        <w:t>对规范和指导</w:t>
      </w:r>
      <w:r>
        <w:rPr>
          <w:rFonts w:hint="eastAsia" w:ascii="宋体" w:hAnsi="宋体"/>
          <w:sz w:val="24"/>
          <w:szCs w:val="24"/>
        </w:rPr>
        <w:t>高纯碳酸锂</w:t>
      </w:r>
      <w:r>
        <w:rPr>
          <w:rFonts w:ascii="宋体" w:hAnsi="宋体"/>
          <w:sz w:val="24"/>
          <w:szCs w:val="24"/>
        </w:rPr>
        <w:t>产业的发展具有积极意义。</w:t>
      </w:r>
    </w:p>
    <w:p>
      <w:pPr>
        <w:spacing w:line="360" w:lineRule="auto"/>
        <w:ind w:firstLine="346"/>
        <w:rPr>
          <w:rFonts w:ascii="宋体" w:hAnsi="宋体"/>
          <w:sz w:val="24"/>
          <w:szCs w:val="24"/>
        </w:rPr>
      </w:pPr>
      <w:r>
        <w:rPr>
          <w:rFonts w:hint="eastAsia" w:ascii="宋体" w:hAnsi="宋体"/>
          <w:sz w:val="24"/>
          <w:szCs w:val="24"/>
        </w:rPr>
        <w:t>根据目前生产水平状况、市场需求及国内外客户使用的需要，对原标准的技术要求等内容进行了调整。</w:t>
      </w:r>
    </w:p>
    <w:p>
      <w:pPr>
        <w:spacing w:line="360" w:lineRule="auto"/>
        <w:ind w:firstLine="346"/>
        <w:rPr>
          <w:rFonts w:ascii="宋体" w:hAnsi="宋体"/>
          <w:sz w:val="24"/>
          <w:szCs w:val="24"/>
        </w:rPr>
      </w:pPr>
      <w:r>
        <w:rPr>
          <w:rFonts w:hint="eastAsia" w:ascii="宋体" w:hAnsi="宋体"/>
          <w:sz w:val="24"/>
          <w:szCs w:val="24"/>
        </w:rPr>
        <w:t>本标准与原标准相比主要做了如下修改：</w:t>
      </w:r>
    </w:p>
    <w:p>
      <w:pPr>
        <w:spacing w:line="360" w:lineRule="auto"/>
        <w:ind w:firstLine="346"/>
        <w:rPr>
          <w:rFonts w:ascii="宋体" w:hAnsi="宋体"/>
          <w:sz w:val="24"/>
          <w:szCs w:val="24"/>
        </w:rPr>
      </w:pPr>
      <w:r>
        <w:rPr>
          <w:rFonts w:hint="eastAsia" w:ascii="宋体" w:hAnsi="宋体"/>
          <w:sz w:val="24"/>
          <w:szCs w:val="24"/>
        </w:rPr>
        <w:t>1）按照GB/T 1.1-2009的要求，对标准的结构和编写格式进行了修订。</w:t>
      </w:r>
    </w:p>
    <w:p>
      <w:pPr>
        <w:spacing w:line="360" w:lineRule="auto"/>
        <w:ind w:firstLine="346"/>
        <w:rPr>
          <w:rFonts w:ascii="宋体" w:hAnsi="宋体"/>
          <w:sz w:val="24"/>
          <w:szCs w:val="24"/>
        </w:rPr>
      </w:pPr>
      <w:r>
        <w:rPr>
          <w:rFonts w:hint="eastAsia" w:ascii="宋体" w:hAnsi="宋体"/>
          <w:sz w:val="24"/>
          <w:szCs w:val="24"/>
        </w:rPr>
        <w:t>2）产品增加99.9%产品牌号及相关标准；</w:t>
      </w:r>
    </w:p>
    <w:p>
      <w:pPr>
        <w:spacing w:line="360" w:lineRule="auto"/>
        <w:ind w:firstLine="346"/>
        <w:rPr>
          <w:rFonts w:ascii="宋体" w:hAnsi="宋体"/>
          <w:sz w:val="24"/>
          <w:szCs w:val="24"/>
        </w:rPr>
      </w:pPr>
      <w:r>
        <w:rPr>
          <w:rFonts w:hint="eastAsia" w:ascii="宋体" w:hAnsi="宋体"/>
          <w:sz w:val="24"/>
          <w:szCs w:val="24"/>
        </w:rPr>
        <w:t>3）删除了99.9995%产品牌号及相关标准；</w:t>
      </w:r>
    </w:p>
    <w:p>
      <w:pPr>
        <w:spacing w:line="360" w:lineRule="auto"/>
        <w:ind w:firstLine="346"/>
        <w:rPr>
          <w:rFonts w:ascii="宋体" w:hAnsi="宋体"/>
          <w:sz w:val="24"/>
          <w:szCs w:val="24"/>
        </w:rPr>
      </w:pPr>
      <w:r>
        <w:rPr>
          <w:rFonts w:hint="eastAsia" w:ascii="宋体" w:hAnsi="宋体"/>
          <w:sz w:val="24"/>
          <w:szCs w:val="24"/>
        </w:rPr>
        <w:t>4）重新规定了高纯碳酸锂产品牌号；</w:t>
      </w:r>
    </w:p>
    <w:p>
      <w:pPr>
        <w:spacing w:line="360" w:lineRule="auto"/>
        <w:ind w:firstLine="346"/>
        <w:rPr>
          <w:rFonts w:ascii="黑体" w:hAnsi="黑体" w:eastAsia="黑体" w:cs="Times New Roman"/>
          <w:b/>
          <w:sz w:val="24"/>
          <w:szCs w:val="24"/>
        </w:rPr>
      </w:pPr>
      <w:r>
        <w:rPr>
          <w:rFonts w:hint="eastAsia" w:ascii="宋体" w:hAnsi="宋体"/>
          <w:sz w:val="24"/>
          <w:szCs w:val="24"/>
        </w:rPr>
        <w:t>5）调整了产品范围</w:t>
      </w:r>
    </w:p>
    <w:p>
      <w:pPr>
        <w:pStyle w:val="16"/>
        <w:tabs>
          <w:tab w:val="left" w:pos="426"/>
          <w:tab w:val="left" w:pos="709"/>
        </w:tabs>
        <w:adjustRightInd w:val="0"/>
        <w:snapToGrid w:val="0"/>
        <w:spacing w:line="360" w:lineRule="auto"/>
        <w:ind w:firstLine="0" w:firstLineChars="0"/>
        <w:rPr>
          <w:rFonts w:ascii="黑体" w:hAnsi="黑体" w:eastAsia="黑体" w:cs="Times New Roman"/>
          <w:b/>
          <w:sz w:val="24"/>
          <w:szCs w:val="24"/>
        </w:rPr>
      </w:pPr>
    </w:p>
    <w:p>
      <w:pPr>
        <w:pStyle w:val="16"/>
        <w:tabs>
          <w:tab w:val="left" w:pos="426"/>
          <w:tab w:val="left" w:pos="709"/>
        </w:tabs>
        <w:adjustRightInd w:val="0"/>
        <w:snapToGrid w:val="0"/>
        <w:spacing w:line="360" w:lineRule="auto"/>
        <w:ind w:firstLine="0" w:firstLineChars="0"/>
        <w:rPr>
          <w:rFonts w:ascii="黑体" w:hAnsi="黑体" w:eastAsia="黑体" w:cs="Times New Roman"/>
          <w:b/>
          <w:sz w:val="24"/>
          <w:szCs w:val="24"/>
        </w:rPr>
      </w:pPr>
    </w:p>
    <w:p>
      <w:pPr>
        <w:pStyle w:val="16"/>
        <w:tabs>
          <w:tab w:val="left" w:pos="426"/>
          <w:tab w:val="left" w:pos="709"/>
        </w:tabs>
        <w:adjustRightInd w:val="0"/>
        <w:snapToGrid w:val="0"/>
        <w:spacing w:line="360" w:lineRule="auto"/>
        <w:ind w:firstLine="0" w:firstLineChars="0"/>
        <w:rPr>
          <w:rFonts w:ascii="黑体" w:hAnsi="黑体" w:eastAsia="黑体" w:cs="Times New Roman"/>
          <w:b/>
          <w:sz w:val="24"/>
          <w:szCs w:val="24"/>
        </w:rPr>
      </w:pPr>
      <w:r>
        <w:rPr>
          <w:rFonts w:hint="eastAsia" w:ascii="黑体" w:hAnsi="黑体" w:eastAsia="黑体" w:cs="Times New Roman"/>
          <w:b/>
          <w:sz w:val="24"/>
          <w:szCs w:val="24"/>
        </w:rPr>
        <w:t>2、主要技术内容说明</w:t>
      </w:r>
    </w:p>
    <w:p>
      <w:pPr>
        <w:pStyle w:val="16"/>
        <w:tabs>
          <w:tab w:val="left" w:pos="426"/>
          <w:tab w:val="left" w:pos="709"/>
        </w:tabs>
        <w:adjustRightInd w:val="0"/>
        <w:snapToGrid w:val="0"/>
        <w:spacing w:line="360" w:lineRule="auto"/>
        <w:ind w:firstLine="480"/>
        <w:rPr>
          <w:rFonts w:ascii="黑体" w:hAnsi="黑体" w:eastAsia="黑体" w:cs="Times New Roman"/>
          <w:sz w:val="24"/>
          <w:szCs w:val="24"/>
        </w:rPr>
      </w:pPr>
      <w:r>
        <w:rPr>
          <w:rFonts w:hint="eastAsia" w:ascii="黑体" w:hAnsi="黑体" w:eastAsia="黑体" w:cs="Times New Roman"/>
          <w:sz w:val="24"/>
          <w:szCs w:val="24"/>
        </w:rPr>
        <w:t>2.1化学成分</w:t>
      </w:r>
    </w:p>
    <w:p>
      <w:pPr>
        <w:adjustRightInd w:val="0"/>
        <w:snapToGrid w:val="0"/>
        <w:spacing w:line="360" w:lineRule="auto"/>
        <w:ind w:firstLine="480" w:firstLineChars="200"/>
        <w:jc w:val="left"/>
        <w:rPr>
          <w:rFonts w:ascii="宋体" w:hAnsi="宋体"/>
          <w:sz w:val="24"/>
        </w:rPr>
      </w:pPr>
      <w:r>
        <w:rPr>
          <w:rFonts w:hint="eastAsia" w:ascii="Times New Roman" w:hAnsi="Times New Roman" w:cs="Times New Roman"/>
          <w:sz w:val="24"/>
          <w:szCs w:val="24"/>
        </w:rPr>
        <w:t>高纯碳酸锂的化学成分应符合表1的规定。</w:t>
      </w:r>
    </w:p>
    <w:p>
      <w:pPr>
        <w:adjustRightInd w:val="0"/>
        <w:snapToGrid w:val="0"/>
        <w:spacing w:line="360" w:lineRule="auto"/>
        <w:rPr>
          <w:rFonts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r>
        <w:rPr>
          <w:rFonts w:hint="eastAsia" w:cs="Times New Roman" w:asciiTheme="minorEastAsia" w:hAnsiTheme="minorEastAsia"/>
          <w:b/>
          <w:sz w:val="18"/>
          <w:szCs w:val="18"/>
        </w:rPr>
        <w:t>表1  高纯碳酸锂的化学成分</w:t>
      </w:r>
    </w:p>
    <w:tbl>
      <w:tblPr>
        <w:tblStyle w:val="12"/>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42"/>
        <w:gridCol w:w="132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名称</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牌       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Li</w:t>
            </w:r>
            <w:r>
              <w:rPr>
                <w:rFonts w:hint="eastAsia" w:ascii="宋体" w:hAnsi="宋体" w:eastAsia="宋体" w:cs="宋体"/>
                <w:color w:val="000000"/>
                <w:sz w:val="18"/>
                <w:szCs w:val="24"/>
                <w:vertAlign w:val="subscript"/>
              </w:rPr>
              <w:t>2</w:t>
            </w:r>
            <w:r>
              <w:rPr>
                <w:rFonts w:hint="eastAsia" w:ascii="宋体" w:hAnsi="宋体" w:eastAsia="宋体" w:cs="宋体"/>
                <w:color w:val="000000"/>
                <w:sz w:val="18"/>
                <w:szCs w:val="24"/>
              </w:rPr>
              <w:t>CO</w:t>
            </w:r>
            <w:r>
              <w:rPr>
                <w:rFonts w:hint="eastAsia" w:ascii="宋体" w:hAnsi="宋体" w:eastAsia="宋体" w:cs="宋体"/>
                <w:color w:val="000000"/>
                <w:sz w:val="18"/>
                <w:szCs w:val="24"/>
                <w:vertAlign w:val="subscript"/>
              </w:rPr>
              <w:t>3</w:t>
            </w:r>
            <w:r>
              <w:rPr>
                <w:rFonts w:hint="eastAsia" w:ascii="宋体" w:hAnsi="宋体" w:eastAsia="宋体" w:cs="宋体"/>
                <w:color w:val="000000"/>
                <w:sz w:val="18"/>
                <w:szCs w:val="24"/>
              </w:rPr>
              <w:t>-05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Li</w:t>
            </w:r>
            <w:r>
              <w:rPr>
                <w:rFonts w:hint="eastAsia" w:ascii="宋体" w:hAnsi="宋体" w:eastAsia="宋体" w:cs="宋体"/>
                <w:color w:val="000000"/>
                <w:sz w:val="18"/>
                <w:szCs w:val="24"/>
                <w:vertAlign w:val="subscript"/>
              </w:rPr>
              <w:t>2</w:t>
            </w:r>
            <w:r>
              <w:rPr>
                <w:rFonts w:hint="eastAsia" w:ascii="宋体" w:hAnsi="宋体" w:eastAsia="宋体" w:cs="宋体"/>
                <w:color w:val="000000"/>
                <w:sz w:val="18"/>
                <w:szCs w:val="24"/>
              </w:rPr>
              <w:t>CO</w:t>
            </w:r>
            <w:r>
              <w:rPr>
                <w:rFonts w:hint="eastAsia" w:ascii="宋体" w:hAnsi="宋体" w:eastAsia="宋体" w:cs="宋体"/>
                <w:color w:val="000000"/>
                <w:sz w:val="18"/>
                <w:szCs w:val="24"/>
                <w:vertAlign w:val="subscript"/>
              </w:rPr>
              <w:t>3</w:t>
            </w:r>
            <w:r>
              <w:rPr>
                <w:rFonts w:hint="eastAsia" w:ascii="宋体" w:hAnsi="宋体" w:eastAsia="宋体" w:cs="宋体"/>
                <w:color w:val="000000"/>
                <w:sz w:val="18"/>
                <w:szCs w:val="24"/>
              </w:rPr>
              <w:t>-04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Li</w:t>
            </w:r>
            <w:r>
              <w:rPr>
                <w:rFonts w:hint="eastAsia" w:ascii="宋体" w:hAnsi="宋体" w:eastAsia="宋体" w:cs="宋体"/>
                <w:color w:val="000000"/>
                <w:sz w:val="18"/>
                <w:szCs w:val="24"/>
                <w:vertAlign w:val="subscript"/>
              </w:rPr>
              <w:t>2</w:t>
            </w:r>
            <w:r>
              <w:rPr>
                <w:rFonts w:hint="eastAsia" w:ascii="宋体" w:hAnsi="宋体" w:eastAsia="宋体" w:cs="宋体"/>
                <w:color w:val="000000"/>
                <w:sz w:val="18"/>
                <w:szCs w:val="24"/>
              </w:rPr>
              <w:t>CO</w:t>
            </w:r>
            <w:r>
              <w:rPr>
                <w:rFonts w:hint="eastAsia" w:ascii="宋体" w:hAnsi="宋体" w:eastAsia="宋体" w:cs="宋体"/>
                <w:color w:val="000000"/>
                <w:sz w:val="18"/>
                <w:szCs w:val="24"/>
                <w:vertAlign w:val="subscript"/>
              </w:rPr>
              <w:t>3</w:t>
            </w:r>
            <w:r>
              <w:rPr>
                <w:rFonts w:hint="eastAsia" w:ascii="宋体" w:hAnsi="宋体" w:eastAsia="宋体" w:cs="宋体"/>
                <w:color w:val="000000"/>
                <w:sz w:val="18"/>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高纯碳酸锂</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Li</w:t>
            </w:r>
            <w:r>
              <w:rPr>
                <w:rFonts w:hint="eastAsia" w:ascii="宋体" w:hAnsi="宋体" w:eastAsia="宋体" w:cs="宋体"/>
                <w:color w:val="000000"/>
                <w:sz w:val="18"/>
                <w:szCs w:val="24"/>
                <w:vertAlign w:val="subscript"/>
              </w:rPr>
              <w:t>2</w:t>
            </w:r>
            <w:r>
              <w:rPr>
                <w:rFonts w:hint="eastAsia" w:ascii="宋体" w:hAnsi="宋体" w:eastAsia="宋体" w:cs="宋体"/>
                <w:color w:val="000000"/>
                <w:sz w:val="18"/>
                <w:szCs w:val="24"/>
              </w:rPr>
              <w:t>CO</w:t>
            </w:r>
            <w:r>
              <w:rPr>
                <w:rFonts w:hint="eastAsia" w:ascii="宋体" w:hAnsi="宋体" w:eastAsia="宋体" w:cs="宋体"/>
                <w:color w:val="000000"/>
                <w:sz w:val="18"/>
                <w:szCs w:val="24"/>
                <w:vertAlign w:val="subscript"/>
              </w:rPr>
              <w:t>3</w:t>
            </w:r>
            <w:r>
              <w:rPr>
                <w:rFonts w:hint="eastAsia" w:ascii="宋体" w:hAnsi="宋体" w:eastAsia="宋体" w:cs="宋体"/>
                <w:color w:val="000000"/>
                <w:sz w:val="18"/>
                <w:szCs w:val="24"/>
              </w:rPr>
              <w:t>, % 不小于</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99.999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99.99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杂质，不大于 ×10</w:t>
            </w:r>
            <w:r>
              <w:rPr>
                <w:rFonts w:hint="eastAsia" w:ascii="宋体" w:hAnsi="宋体" w:eastAsia="宋体" w:cs="宋体"/>
                <w:color w:val="000000"/>
                <w:sz w:val="18"/>
                <w:szCs w:val="24"/>
                <w:vertAlign w:val="superscript"/>
              </w:rPr>
              <w:t>-4</w:t>
            </w:r>
            <w:r>
              <w:rPr>
                <w:rFonts w:hint="eastAsia" w:ascii="宋体" w:hAnsi="宋体" w:eastAsia="宋体" w:cs="宋体"/>
                <w:color w:val="000000"/>
                <w:sz w:val="18"/>
                <w:szCs w:val="24"/>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Pb</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Cu</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Co</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Ni</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Fe</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Al</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Mn</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Zn</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Cd</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Cr</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0.05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Mg</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Ba</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Ca</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Sr</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Na</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K</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Rb</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Cs</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Si</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18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F</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24"/>
              </w:rPr>
            </w:pPr>
            <w:r>
              <w:rPr>
                <w:rFonts w:hint="eastAsia" w:ascii="宋体" w:hAnsi="宋体" w:eastAsia="宋体" w:cs="宋体"/>
                <w:color w:val="000000"/>
                <w:sz w:val="18"/>
                <w:szCs w:val="24"/>
              </w:rPr>
              <w:t>-</w:t>
            </w:r>
          </w:p>
        </w:tc>
      </w:tr>
    </w:tbl>
    <w:p>
      <w:pPr>
        <w:adjustRightInd w:val="0"/>
        <w:snapToGrid w:val="0"/>
        <w:spacing w:line="360" w:lineRule="auto"/>
        <w:ind w:firstLine="361" w:firstLineChars="200"/>
        <w:jc w:val="center"/>
        <w:rPr>
          <w:rFonts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p>
    <w:p>
      <w:pPr>
        <w:adjustRightInd w:val="0"/>
        <w:snapToGrid w:val="0"/>
        <w:spacing w:line="360" w:lineRule="auto"/>
        <w:jc w:val="left"/>
        <w:rPr>
          <w:rFonts w:ascii="Times New Roman" w:hAnsi="Times New Roman" w:cs="Times New Roman"/>
          <w:sz w:val="24"/>
          <w:szCs w:val="24"/>
        </w:rPr>
      </w:pPr>
    </w:p>
    <w:p>
      <w:pPr>
        <w:pStyle w:val="16"/>
        <w:tabs>
          <w:tab w:val="left" w:pos="426"/>
          <w:tab w:val="left" w:pos="709"/>
        </w:tabs>
        <w:adjustRightInd w:val="0"/>
        <w:snapToGrid w:val="0"/>
        <w:spacing w:line="360" w:lineRule="auto"/>
        <w:ind w:firstLine="480"/>
        <w:rPr>
          <w:rFonts w:ascii="黑体" w:hAnsi="黑体" w:eastAsia="黑体" w:cs="Times New Roman"/>
          <w:sz w:val="24"/>
          <w:szCs w:val="24"/>
        </w:rPr>
      </w:pPr>
      <w:r>
        <w:rPr>
          <w:rFonts w:hint="eastAsia" w:ascii="黑体" w:hAnsi="黑体" w:eastAsia="黑体" w:cs="Times New Roman"/>
          <w:sz w:val="24"/>
          <w:szCs w:val="24"/>
        </w:rPr>
        <w:t>2.2外观质量</w:t>
      </w:r>
    </w:p>
    <w:p>
      <w:pPr>
        <w:adjustRightInd w:val="0"/>
        <w:snapToGrid w:val="0"/>
        <w:spacing w:line="360" w:lineRule="auto"/>
        <w:rPr>
          <w:rFonts w:ascii="宋体" w:hAnsi="宋体"/>
          <w:sz w:val="24"/>
          <w:szCs w:val="24"/>
        </w:rPr>
      </w:pPr>
      <w:r>
        <w:rPr>
          <w:rFonts w:hint="eastAsia" w:ascii="宋体" w:hAnsi="宋体"/>
          <w:sz w:val="24"/>
          <w:szCs w:val="24"/>
        </w:rPr>
        <w:t xml:space="preserve">   高纯碳酸锂是制备高纯锂盐的原料，除生产过程中原料杂质元素外，不得带入其他杂质元素和杂质异物，所供应的产品为为粉末状,白色，不得有肉眼可见的夹杂物。</w:t>
      </w:r>
    </w:p>
    <w:p>
      <w:pPr>
        <w:pStyle w:val="16"/>
        <w:tabs>
          <w:tab w:val="left" w:pos="426"/>
          <w:tab w:val="left" w:pos="709"/>
        </w:tabs>
        <w:adjustRightInd w:val="0"/>
        <w:snapToGrid w:val="0"/>
        <w:spacing w:line="360" w:lineRule="auto"/>
        <w:ind w:firstLine="480"/>
        <w:rPr>
          <w:rFonts w:ascii="黑体" w:hAnsi="黑体" w:eastAsia="黑体" w:cs="Times New Roman"/>
          <w:sz w:val="24"/>
          <w:szCs w:val="24"/>
        </w:rPr>
      </w:pPr>
      <w:r>
        <w:rPr>
          <w:rFonts w:hint="eastAsia" w:ascii="黑体" w:hAnsi="黑体" w:eastAsia="黑体" w:cs="Times New Roman"/>
          <w:sz w:val="24"/>
          <w:szCs w:val="24"/>
        </w:rPr>
        <w:t>2.3  确定标准化学成分的依据</w:t>
      </w:r>
    </w:p>
    <w:p>
      <w:pPr>
        <w:adjustRightInd w:val="0"/>
        <w:snapToGrid w:val="0"/>
        <w:spacing w:line="360" w:lineRule="auto"/>
        <w:ind w:firstLine="480" w:firstLineChars="200"/>
        <w:jc w:val="left"/>
        <w:rPr>
          <w:rFonts w:ascii="宋体" w:hAnsi="宋体"/>
          <w:sz w:val="24"/>
        </w:rPr>
      </w:pPr>
      <w:r>
        <w:rPr>
          <w:rFonts w:hint="eastAsia" w:ascii="宋体" w:hAnsi="宋体"/>
          <w:sz w:val="24"/>
        </w:rPr>
        <w:t>根据高纯碳酸锂的具体用途和要求，确定本标准的化学成分，高纯碳酸锂分为99.9%、99.99%、99.999%三个牌号，其中99.99%、99.999%两个牌号的化学成分指标不变，增加99.9%牌号标准，同时删去99.995牌号标准。</w:t>
      </w:r>
    </w:p>
    <w:p>
      <w:pPr>
        <w:adjustRightInd w:val="0"/>
        <w:snapToGrid w:val="0"/>
        <w:spacing w:line="360" w:lineRule="auto"/>
        <w:ind w:firstLine="480" w:firstLineChars="200"/>
        <w:jc w:val="left"/>
        <w:rPr>
          <w:rFonts w:ascii="宋体" w:hAnsi="宋体"/>
          <w:sz w:val="24"/>
        </w:rPr>
      </w:pPr>
      <w:r>
        <w:rPr>
          <w:rFonts w:hint="eastAsia" w:ascii="宋体" w:hAnsi="宋体"/>
          <w:sz w:val="24"/>
        </w:rPr>
        <w:t>本标准在编制时，主要参考了新疆有色金属研究及相关生产企业的生产标准及客户需求，结合市场调研及相关国外标准，完成了标准征求意见稿，产品技术指标均得到印证，确保合理性。</w:t>
      </w:r>
    </w:p>
    <w:p>
      <w:pPr>
        <w:adjustRightInd w:val="0"/>
        <w:snapToGrid w:val="0"/>
        <w:spacing w:line="360" w:lineRule="auto"/>
        <w:ind w:firstLine="361" w:firstLineChars="200"/>
        <w:jc w:val="center"/>
        <w:rPr>
          <w:rFonts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r>
        <w:rPr>
          <w:rFonts w:hint="eastAsia" w:cs="Times New Roman" w:asciiTheme="minorEastAsia" w:hAnsiTheme="minorEastAsia"/>
          <w:b/>
          <w:sz w:val="18"/>
          <w:szCs w:val="18"/>
        </w:rPr>
        <w:t>表2  99.5%电池级碳酸锂与99.9%碳酸锂化学成分对比</w:t>
      </w:r>
    </w:p>
    <w:tbl>
      <w:tblPr>
        <w:tblStyle w:val="13"/>
        <w:tblpPr w:leftFromText="180" w:rightFromText="180" w:vertAnchor="text" w:horzAnchor="page" w:tblpXSpec="center" w:tblpY="378"/>
        <w:tblOverlap w:val="never"/>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512"/>
        <w:gridCol w:w="513"/>
        <w:gridCol w:w="513"/>
        <w:gridCol w:w="513"/>
        <w:gridCol w:w="590"/>
        <w:gridCol w:w="633"/>
        <w:gridCol w:w="619"/>
        <w:gridCol w:w="575"/>
        <w:gridCol w:w="639"/>
        <w:gridCol w:w="654"/>
        <w:gridCol w:w="574"/>
        <w:gridCol w:w="618"/>
        <w:gridCol w:w="64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Li</w:t>
            </w:r>
            <w:r>
              <w:rPr>
                <w:rFonts w:cs="Calibri" w:asciiTheme="minorEastAsia" w:hAnsiTheme="minorEastAsia" w:eastAsiaTheme="minorEastAsia"/>
                <w:kern w:val="2"/>
                <w:sz w:val="18"/>
                <w:szCs w:val="18"/>
                <w:vertAlign w:val="subscript"/>
              </w:rPr>
              <w:t>2</w:t>
            </w:r>
            <w:r>
              <w:rPr>
                <w:rFonts w:cs="Calibri" w:asciiTheme="minorEastAsia" w:hAnsiTheme="minorEastAsia" w:eastAsiaTheme="minorEastAsia"/>
                <w:kern w:val="2"/>
                <w:sz w:val="18"/>
                <w:szCs w:val="18"/>
              </w:rPr>
              <w:t>CO</w:t>
            </w:r>
            <w:r>
              <w:rPr>
                <w:rFonts w:cs="Calibri" w:asciiTheme="minorEastAsia" w:hAnsiTheme="minorEastAsia" w:eastAsiaTheme="minorEastAsia"/>
                <w:kern w:val="2"/>
                <w:sz w:val="18"/>
                <w:szCs w:val="18"/>
                <w:vertAlign w:val="subscript"/>
              </w:rPr>
              <w:t>3</w:t>
            </w:r>
            <w:r>
              <w:rPr>
                <w:rFonts w:hint="eastAsia" w:cs="Calibri" w:asciiTheme="minorEastAsia" w:hAnsiTheme="minorEastAsia" w:eastAsiaTheme="minorEastAsia"/>
                <w:kern w:val="2"/>
                <w:sz w:val="18"/>
                <w:szCs w:val="18"/>
                <w:vertAlign w:val="subscript"/>
              </w:rPr>
              <w:t xml:space="preserve">  </w:t>
            </w:r>
            <w:r>
              <w:rPr>
                <w:rFonts w:hint="eastAsia" w:cs="Calibri" w:asciiTheme="minorEastAsia" w:hAnsiTheme="minorEastAsia" w:eastAsiaTheme="minorEastAsia"/>
                <w:kern w:val="2"/>
                <w:sz w:val="18"/>
                <w:szCs w:val="18"/>
              </w:rPr>
              <w:t>含量%</w:t>
            </w:r>
          </w:p>
        </w:tc>
        <w:tc>
          <w:tcPr>
            <w:tcW w:w="827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杂质含量，不大于×10-</w:t>
            </w:r>
            <w:r>
              <w:rPr>
                <w:rFonts w:hint="eastAsia" w:cs="Calibri" w:asciiTheme="minorEastAsia" w:hAnsiTheme="minorEastAsia" w:eastAsiaTheme="minorEastAsia"/>
                <w:kern w:val="2"/>
                <w:sz w:val="18"/>
                <w:szCs w:val="18"/>
                <w:vertAlign w:val="superscript"/>
              </w:rPr>
              <w:t>4</w:t>
            </w:r>
            <w:r>
              <w:rPr>
                <w:rFonts w:hint="eastAsia" w:cs="Calibri" w:asciiTheme="minorEastAsia" w:hAnsiTheme="minorEastAsia" w:eastAsiaTheme="minorEastAsia"/>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Na</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Mg</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Ca</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K</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Fe</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Zn</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Cu</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Pb</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Si</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Al</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Mn</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Ni</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SO</w:t>
            </w:r>
            <w:r>
              <w:rPr>
                <w:rFonts w:cs="Calibri" w:asciiTheme="minorEastAsia" w:hAnsiTheme="minorEastAsia" w:eastAsiaTheme="minorEastAsia"/>
                <w:kern w:val="2"/>
                <w:sz w:val="18"/>
                <w:szCs w:val="18"/>
                <w:vertAlign w:val="subscript"/>
              </w:rPr>
              <w:t>4</w:t>
            </w:r>
            <w:r>
              <w:rPr>
                <w:rFonts w:cs="Calibri" w:asciiTheme="minorEastAsia" w:hAnsiTheme="minorEastAsia" w:eastAsiaTheme="minorEastAsia"/>
                <w:kern w:val="2"/>
                <w:sz w:val="18"/>
                <w:szCs w:val="18"/>
                <w:vertAlign w:val="superscript"/>
              </w:rPr>
              <w:t>2-</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w:t>
            </w:r>
            <w:r>
              <w:rPr>
                <w:rFonts w:hint="eastAsia" w:cs="Calibri" w:asciiTheme="minorEastAsia" w:hAnsiTheme="minorEastAsia" w:eastAsiaTheme="minorEastAsia"/>
                <w:kern w:val="2"/>
                <w:sz w:val="18"/>
                <w:szCs w:val="18"/>
              </w:rPr>
              <w:t>l</w:t>
            </w:r>
            <w:r>
              <w:rPr>
                <w:rFonts w:cs="Calibri" w:asciiTheme="minorEastAsia" w:hAnsiTheme="minorEastAsia" w:eastAsiaTheme="minorEastAsia"/>
                <w:kern w:val="2"/>
                <w:sz w:val="18"/>
                <w:szCs w:val="1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≧99.5</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250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80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800</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≧99.9</w:t>
            </w:r>
          </w:p>
        </w:tc>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bl>
    <w:p>
      <w:pPr>
        <w:adjustRightInd w:val="0"/>
        <w:snapToGrid w:val="0"/>
        <w:spacing w:line="360" w:lineRule="auto"/>
        <w:rPr>
          <w:rFonts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p>
    <w:p>
      <w:pPr>
        <w:adjustRightInd w:val="0"/>
        <w:snapToGrid w:val="0"/>
        <w:spacing w:line="360" w:lineRule="auto"/>
        <w:ind w:firstLine="2013" w:firstLineChars="1114"/>
        <w:rPr>
          <w:rFonts w:hint="eastAsia" w:cs="Times New Roman" w:asciiTheme="minorEastAsia" w:hAnsiTheme="minorEastAsia"/>
          <w:b/>
          <w:sz w:val="18"/>
          <w:szCs w:val="18"/>
        </w:rPr>
      </w:pPr>
      <w:r>
        <w:rPr>
          <w:rFonts w:hint="eastAsia" w:cs="Times New Roman" w:asciiTheme="minorEastAsia" w:hAnsiTheme="minorEastAsia"/>
          <w:b/>
          <w:sz w:val="18"/>
          <w:szCs w:val="18"/>
        </w:rPr>
        <w:t>表4  99.9%碳酸锂标准与日本标准对比</w:t>
      </w:r>
    </w:p>
    <w:tbl>
      <w:tblPr>
        <w:tblStyle w:val="13"/>
        <w:tblpPr w:leftFromText="180" w:rightFromText="180" w:vertAnchor="text" w:horzAnchor="page" w:tblpXSpec="center" w:tblpY="378"/>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14"/>
        <w:gridCol w:w="515"/>
        <w:gridCol w:w="515"/>
        <w:gridCol w:w="515"/>
        <w:gridCol w:w="591"/>
        <w:gridCol w:w="636"/>
        <w:gridCol w:w="621"/>
        <w:gridCol w:w="579"/>
        <w:gridCol w:w="642"/>
        <w:gridCol w:w="655"/>
        <w:gridCol w:w="577"/>
        <w:gridCol w:w="620"/>
        <w:gridCol w:w="64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Li</w:t>
            </w:r>
            <w:r>
              <w:rPr>
                <w:rFonts w:cs="Calibri" w:asciiTheme="minorEastAsia" w:hAnsiTheme="minorEastAsia" w:eastAsiaTheme="minorEastAsia"/>
                <w:kern w:val="2"/>
                <w:sz w:val="18"/>
                <w:szCs w:val="18"/>
                <w:vertAlign w:val="subscript"/>
              </w:rPr>
              <w:t>2</w:t>
            </w:r>
            <w:r>
              <w:rPr>
                <w:rFonts w:cs="Calibri" w:asciiTheme="minorEastAsia" w:hAnsiTheme="minorEastAsia" w:eastAsiaTheme="minorEastAsia"/>
                <w:kern w:val="2"/>
                <w:sz w:val="18"/>
                <w:szCs w:val="18"/>
              </w:rPr>
              <w:t>CO</w:t>
            </w:r>
            <w:r>
              <w:rPr>
                <w:rFonts w:cs="Calibri" w:asciiTheme="minorEastAsia" w:hAnsiTheme="minorEastAsia" w:eastAsiaTheme="minorEastAsia"/>
                <w:kern w:val="2"/>
                <w:sz w:val="18"/>
                <w:szCs w:val="18"/>
                <w:vertAlign w:val="subscript"/>
              </w:rPr>
              <w:t>3</w:t>
            </w:r>
            <w:r>
              <w:rPr>
                <w:rFonts w:hint="eastAsia" w:cs="Calibri" w:asciiTheme="minorEastAsia" w:hAnsiTheme="minorEastAsia" w:eastAsiaTheme="minorEastAsia"/>
                <w:kern w:val="2"/>
                <w:sz w:val="18"/>
                <w:szCs w:val="18"/>
                <w:vertAlign w:val="subscript"/>
              </w:rPr>
              <w:t xml:space="preserve">  </w:t>
            </w:r>
            <w:r>
              <w:rPr>
                <w:rFonts w:hint="eastAsia" w:cs="Calibri" w:asciiTheme="minorEastAsia" w:hAnsiTheme="minorEastAsia" w:eastAsiaTheme="minorEastAsia"/>
                <w:kern w:val="2"/>
                <w:sz w:val="18"/>
                <w:szCs w:val="18"/>
              </w:rPr>
              <w:t>含量%</w:t>
            </w:r>
          </w:p>
        </w:tc>
        <w:tc>
          <w:tcPr>
            <w:tcW w:w="8299"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杂质含量，不大于×10-</w:t>
            </w:r>
            <w:r>
              <w:rPr>
                <w:rFonts w:hint="eastAsia" w:cs="Calibri" w:asciiTheme="minorEastAsia" w:hAnsiTheme="minorEastAsia" w:eastAsiaTheme="minorEastAsia"/>
                <w:kern w:val="2"/>
                <w:sz w:val="18"/>
                <w:szCs w:val="18"/>
                <w:vertAlign w:val="superscript"/>
              </w:rPr>
              <w:t>4</w:t>
            </w:r>
            <w:r>
              <w:rPr>
                <w:rFonts w:hint="eastAsia" w:cs="Calibri" w:asciiTheme="minorEastAsia" w:hAnsiTheme="minorEastAsia" w:eastAsiaTheme="minorEastAsia"/>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Mg</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Ca</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K</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Fe</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Zn</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Cu</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Pb</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Si</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Al</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Mn</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Ni</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SO</w:t>
            </w:r>
            <w:r>
              <w:rPr>
                <w:rFonts w:cs="Calibri" w:asciiTheme="minorEastAsia" w:hAnsiTheme="minorEastAsia" w:eastAsiaTheme="minorEastAsia"/>
                <w:kern w:val="2"/>
                <w:sz w:val="18"/>
                <w:szCs w:val="18"/>
                <w:vertAlign w:val="subscript"/>
              </w:rPr>
              <w:t>4</w:t>
            </w:r>
            <w:r>
              <w:rPr>
                <w:rFonts w:cs="Calibri" w:asciiTheme="minorEastAsia" w:hAnsiTheme="minorEastAsia" w:eastAsiaTheme="minorEastAsia"/>
                <w:kern w:val="2"/>
                <w:sz w:val="18"/>
                <w:szCs w:val="18"/>
                <w:vertAlign w:val="superscript"/>
              </w:rPr>
              <w:t>2-</w:t>
            </w: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w:t>
            </w:r>
            <w:r>
              <w:rPr>
                <w:rFonts w:hint="eastAsia" w:cs="Calibri" w:asciiTheme="minorEastAsia" w:hAnsiTheme="minorEastAsia" w:eastAsiaTheme="minorEastAsia"/>
                <w:kern w:val="2"/>
                <w:sz w:val="18"/>
                <w:szCs w:val="18"/>
              </w:rPr>
              <w:t>l</w:t>
            </w:r>
            <w:r>
              <w:rPr>
                <w:rFonts w:cs="Calibri" w:asciiTheme="minorEastAsia" w:hAnsiTheme="minorEastAsia" w:eastAsiaTheme="minorEastAsia"/>
                <w:kern w:val="2"/>
                <w:sz w:val="18"/>
                <w:szCs w:val="1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≧99.9</w:t>
            </w:r>
          </w:p>
        </w:tc>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≧99.9（日本）</w:t>
            </w:r>
          </w:p>
        </w:tc>
        <w:tc>
          <w:tcPr>
            <w:tcW w:w="51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5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6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50</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bl>
    <w:p>
      <w:pPr>
        <w:adjustRightInd w:val="0"/>
        <w:snapToGrid w:val="0"/>
        <w:spacing w:line="360" w:lineRule="auto"/>
        <w:rPr>
          <w:rFonts w:hint="eastAsia" w:cs="Times New Roman" w:asciiTheme="minorEastAsia" w:hAnsiTheme="minorEastAsia"/>
          <w:b/>
          <w:sz w:val="18"/>
          <w:szCs w:val="18"/>
        </w:rPr>
      </w:pPr>
    </w:p>
    <w:p>
      <w:pPr>
        <w:adjustRightInd w:val="0"/>
        <w:snapToGrid w:val="0"/>
        <w:spacing w:line="360" w:lineRule="auto"/>
        <w:ind w:firstLine="361" w:firstLineChars="200"/>
        <w:jc w:val="center"/>
        <w:rPr>
          <w:rFonts w:hint="eastAsia" w:cs="Times New Roman" w:asciiTheme="minorEastAsia" w:hAnsiTheme="minorEastAsia"/>
          <w:b/>
          <w:sz w:val="18"/>
          <w:szCs w:val="18"/>
        </w:rPr>
      </w:pPr>
    </w:p>
    <w:p>
      <w:pPr>
        <w:adjustRightInd w:val="0"/>
        <w:snapToGrid w:val="0"/>
        <w:spacing w:line="360" w:lineRule="auto"/>
        <w:ind w:firstLine="361" w:firstLineChars="200"/>
        <w:jc w:val="center"/>
        <w:rPr>
          <w:rFonts w:hint="eastAsia" w:cs="Times New Roman" w:asciiTheme="minorEastAsia" w:hAnsiTheme="minorEastAsia"/>
          <w:b/>
          <w:sz w:val="18"/>
          <w:szCs w:val="18"/>
        </w:rPr>
      </w:pPr>
      <w:r>
        <w:rPr>
          <w:rFonts w:hint="eastAsia" w:cs="Times New Roman" w:asciiTheme="minorEastAsia" w:hAnsiTheme="minorEastAsia"/>
          <w:b/>
          <w:sz w:val="18"/>
          <w:szCs w:val="18"/>
        </w:rPr>
        <w:t>表5  99.9%碳酸锂实测（新疆有色金属研究所）</w:t>
      </w:r>
    </w:p>
    <w:tbl>
      <w:tblPr>
        <w:tblStyle w:val="13"/>
        <w:tblpPr w:leftFromText="180" w:rightFromText="180" w:vertAnchor="text" w:horzAnchor="margin" w:tblpXSpec="center" w:tblpY="346"/>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14"/>
        <w:gridCol w:w="515"/>
        <w:gridCol w:w="515"/>
        <w:gridCol w:w="515"/>
        <w:gridCol w:w="591"/>
        <w:gridCol w:w="636"/>
        <w:gridCol w:w="621"/>
        <w:gridCol w:w="578"/>
        <w:gridCol w:w="642"/>
        <w:gridCol w:w="655"/>
        <w:gridCol w:w="577"/>
        <w:gridCol w:w="620"/>
        <w:gridCol w:w="64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99" w:type="dxa"/>
            <w:vMerge w:val="restart"/>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Li2CO3 含量%</w:t>
            </w:r>
          </w:p>
        </w:tc>
        <w:tc>
          <w:tcPr>
            <w:tcW w:w="8299" w:type="dxa"/>
            <w:gridSpan w:val="14"/>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杂质含量，不大于×10-4%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Na</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Mg</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Ca</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K</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Fe</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Zn</w:t>
            </w: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Cu</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Pb</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Si</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Al</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Mn</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Ni</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SO</w:t>
            </w:r>
            <w:r>
              <w:rPr>
                <w:rFonts w:cs="Calibri" w:asciiTheme="minorEastAsia" w:hAnsiTheme="minorEastAsia" w:eastAsiaTheme="minorEastAsia"/>
                <w:kern w:val="2"/>
                <w:sz w:val="18"/>
                <w:szCs w:val="18"/>
                <w:vertAlign w:val="subscript"/>
              </w:rPr>
              <w:t>4</w:t>
            </w:r>
            <w:r>
              <w:rPr>
                <w:rFonts w:cs="Calibri" w:asciiTheme="minorEastAsia" w:hAnsiTheme="minorEastAsia" w:eastAsiaTheme="minorEastAsia"/>
                <w:kern w:val="2"/>
                <w:sz w:val="18"/>
                <w:szCs w:val="18"/>
                <w:vertAlign w:val="superscript"/>
              </w:rPr>
              <w:t>2-</w:t>
            </w: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w:t>
            </w:r>
            <w:r>
              <w:rPr>
                <w:rFonts w:hint="eastAsia" w:cs="Calibri" w:asciiTheme="minorEastAsia" w:hAnsiTheme="minorEastAsia" w:eastAsiaTheme="minorEastAsia"/>
                <w:kern w:val="2"/>
                <w:sz w:val="18"/>
                <w:szCs w:val="18"/>
              </w:rPr>
              <w:t>l</w:t>
            </w:r>
            <w:r>
              <w:rPr>
                <w:rFonts w:cs="Calibri" w:asciiTheme="minorEastAsia" w:hAnsiTheme="minorEastAsia" w:eastAsiaTheme="minorEastAsia"/>
                <w:kern w:val="2"/>
                <w:sz w:val="18"/>
                <w:szCs w:val="1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≧99.9</w:t>
            </w: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14</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29</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3.2</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2.5</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17</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0.07</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42</w:t>
            </w: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15</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2.7</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0.08</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19</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42</w:t>
            </w: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13</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22</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3.8</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1.6</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12</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38</w:t>
            </w: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w:t>
            </w: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8.2</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16</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1.3</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1.5</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23</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24</w:t>
            </w: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99" w:type="dxa"/>
            <w:tcBorders>
              <w:top w:val="single" w:color="auto" w:sz="4" w:space="0"/>
              <w:left w:val="single" w:color="auto" w:sz="4" w:space="0"/>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514"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7.8</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16</w:t>
            </w:r>
          </w:p>
        </w:tc>
        <w:tc>
          <w:tcPr>
            <w:tcW w:w="51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1.9</w:t>
            </w:r>
          </w:p>
        </w:tc>
        <w:tc>
          <w:tcPr>
            <w:tcW w:w="59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636"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621"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578"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642"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7.3</w:t>
            </w:r>
          </w:p>
        </w:tc>
        <w:tc>
          <w:tcPr>
            <w:tcW w:w="655"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5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0.07</w:t>
            </w:r>
          </w:p>
        </w:tc>
        <w:tc>
          <w:tcPr>
            <w:tcW w:w="620"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643"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24</w:t>
            </w:r>
          </w:p>
        </w:tc>
        <w:tc>
          <w:tcPr>
            <w:tcW w:w="677" w:type="dxa"/>
            <w:tcBorders>
              <w:top w:val="single" w:color="auto" w:sz="4" w:space="0"/>
              <w:left w:val="nil"/>
              <w:bottom w:val="single" w:color="auto" w:sz="4" w:space="0"/>
              <w:right w:val="single" w:color="auto" w:sz="4" w:space="0"/>
            </w:tcBorders>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r>
    </w:tbl>
    <w:p>
      <w:pPr>
        <w:adjustRightInd w:val="0"/>
        <w:snapToGrid w:val="0"/>
        <w:spacing w:line="360" w:lineRule="auto"/>
        <w:jc w:val="left"/>
        <w:rPr>
          <w:rFonts w:ascii="宋体" w:hAnsi="宋体"/>
          <w:sz w:val="24"/>
        </w:rPr>
      </w:pPr>
    </w:p>
    <w:p>
      <w:pPr>
        <w:adjustRightInd w:val="0"/>
        <w:snapToGrid w:val="0"/>
        <w:spacing w:line="360" w:lineRule="auto"/>
        <w:ind w:firstLine="480" w:firstLineChars="200"/>
        <w:jc w:val="left"/>
        <w:rPr>
          <w:rFonts w:ascii="宋体" w:hAnsi="宋体"/>
          <w:sz w:val="24"/>
        </w:rPr>
      </w:pPr>
      <w:r>
        <w:rPr>
          <w:rFonts w:hint="eastAsia" w:ascii="宋体" w:hAnsi="宋体"/>
          <w:sz w:val="24"/>
        </w:rPr>
        <w:t>新增99.9%高纯碳酸锂化学成分指标全面由于99.5%电池级碳酸锂，能能够较好的满足市场大多数客户对于此牌号产品的技术要求，</w:t>
      </w:r>
      <w:r>
        <w:rPr>
          <w:rFonts w:hint="eastAsia" w:ascii="Times New Roman" w:hAnsi="Times New Roman" w:cs="Times New Roman"/>
          <w:sz w:val="24"/>
          <w:szCs w:val="24"/>
        </w:rPr>
        <w:t>杂质含量的确定根据客户对99.9%碳酸锂的质量要求及各个生产企业的生产工艺及原料情况确定，本标准规定的 Na、K、Ca、Mg、Si由于生产工艺及原料中带入并不易除去的特点，因此控制在1-3×10</w:t>
      </w:r>
      <w:r>
        <w:rPr>
          <w:rFonts w:hint="eastAsia" w:ascii="宋体" w:hAnsi="宋体" w:eastAsia="宋体" w:cs="宋体"/>
          <w:color w:val="000000"/>
          <w:sz w:val="18"/>
          <w:szCs w:val="24"/>
          <w:vertAlign w:val="superscript"/>
        </w:rPr>
        <w:t>-3</w:t>
      </w:r>
      <w:r>
        <w:rPr>
          <w:rFonts w:hint="eastAsia" w:ascii="Times New Roman" w:hAnsi="Times New Roman" w:cs="Times New Roman"/>
          <w:sz w:val="24"/>
          <w:szCs w:val="24"/>
        </w:rPr>
        <w:t>之间，其余Fe、Cu、Pb、Al、Mn、Ni为原料及生产工艺中不易富集及带入的杂质，控制较为严格。与日本同级别99.9%碳酸锂指标相比Si、Al优于日本标准，Fe、Cu、Pb、Ca相当，Na、K、Mg低于日本标准。</w:t>
      </w:r>
    </w:p>
    <w:p>
      <w:pPr>
        <w:adjustRightInd w:val="0"/>
        <w:snapToGrid w:val="0"/>
        <w:spacing w:line="360" w:lineRule="auto"/>
        <w:ind w:firstLine="361" w:firstLineChars="200"/>
        <w:jc w:val="center"/>
        <w:rPr>
          <w:rFonts w:cs="Times New Roman" w:asciiTheme="minorEastAsia" w:hAnsiTheme="minorEastAsia"/>
          <w:b/>
          <w:sz w:val="18"/>
          <w:szCs w:val="18"/>
        </w:rPr>
      </w:pPr>
      <w:r>
        <w:rPr>
          <w:rFonts w:hint="eastAsia" w:cs="Times New Roman" w:asciiTheme="minorEastAsia" w:hAnsiTheme="minorEastAsia"/>
          <w:b/>
          <w:sz w:val="18"/>
          <w:szCs w:val="18"/>
        </w:rPr>
        <w:t>表6  99.99%高纯碳酸锂实测（新疆有色金属研究所）</w:t>
      </w:r>
    </w:p>
    <w:tbl>
      <w:tblPr>
        <w:tblStyle w:val="13"/>
        <w:tblpPr w:leftFromText="180" w:rightFromText="180" w:vertAnchor="text" w:horzAnchor="page" w:tblpX="1785" w:tblpY="321"/>
        <w:tblOverlap w:val="never"/>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41"/>
        <w:gridCol w:w="941"/>
        <w:gridCol w:w="941"/>
        <w:gridCol w:w="941"/>
        <w:gridCol w:w="941"/>
        <w:gridCol w:w="941"/>
        <w:gridCol w:w="94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Merge w:val="restart"/>
            <w:vAlign w:val="center"/>
          </w:tcPr>
          <w:p>
            <w:pPr>
              <w:pStyle w:val="25"/>
              <w:widowControl w:val="0"/>
              <w:numPr>
                <w:ilvl w:val="0"/>
                <w:numId w:val="0"/>
              </w:numPr>
              <w:jc w:val="left"/>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 xml:space="preserve">    序号</w:t>
            </w:r>
          </w:p>
        </w:tc>
        <w:tc>
          <w:tcPr>
            <w:tcW w:w="7532" w:type="dxa"/>
            <w:gridSpan w:val="8"/>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杂质含量不大于10-</w:t>
            </w:r>
            <w:r>
              <w:rPr>
                <w:rFonts w:hint="eastAsia" w:cs="Calibri" w:asciiTheme="minorEastAsia" w:hAnsiTheme="minorEastAsia" w:eastAsiaTheme="minorEastAsia"/>
                <w:kern w:val="2"/>
                <w:sz w:val="18"/>
                <w:szCs w:val="18"/>
                <w:vertAlign w:val="superscript"/>
              </w:rPr>
              <w:t>4</w:t>
            </w:r>
            <w:r>
              <w:rPr>
                <w:rFonts w:hint="eastAsia" w:cs="Calibri" w:asciiTheme="minorEastAsia" w:hAnsiTheme="minorEastAsia" w:eastAsiaTheme="minorEastAsia"/>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Merge w:val="continue"/>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Pb</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Cu</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Co</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Ni</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Fe</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Al</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Mn</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标准</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0.08</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0.9</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Cd</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Cr</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Mg</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Ca</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Na</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K</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Si</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标准</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18</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0.07</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4.8</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4.8</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4.6</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0.9</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13</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47"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1.4</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2.5</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6.2</w:t>
            </w:r>
          </w:p>
        </w:tc>
        <w:tc>
          <w:tcPr>
            <w:tcW w:w="941"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5.8</w:t>
            </w:r>
          </w:p>
        </w:tc>
      </w:tr>
    </w:tbl>
    <w:p>
      <w:pPr>
        <w:adjustRightInd w:val="0"/>
        <w:snapToGrid w:val="0"/>
        <w:spacing w:line="360" w:lineRule="auto"/>
        <w:ind w:firstLine="480" w:firstLineChars="200"/>
        <w:jc w:val="left"/>
        <w:rPr>
          <w:rFonts w:ascii="宋体" w:hAnsi="宋体"/>
          <w:sz w:val="24"/>
        </w:rPr>
      </w:pPr>
    </w:p>
    <w:p>
      <w:pPr>
        <w:adjustRightInd w:val="0"/>
        <w:snapToGrid w:val="0"/>
        <w:spacing w:line="360" w:lineRule="auto"/>
        <w:rPr>
          <w:rFonts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r>
        <w:rPr>
          <w:rFonts w:hint="eastAsia" w:cs="Times New Roman" w:asciiTheme="minorEastAsia" w:hAnsiTheme="minorEastAsia"/>
          <w:b/>
          <w:sz w:val="18"/>
          <w:szCs w:val="18"/>
        </w:rPr>
        <w:t>表5  99.99%高纯碳酸锂实测（赣锋锂业）</w:t>
      </w:r>
    </w:p>
    <w:tbl>
      <w:tblPr>
        <w:tblStyle w:val="13"/>
        <w:tblpPr w:leftFromText="180" w:rightFromText="180" w:vertAnchor="text" w:horzAnchor="page" w:tblpX="1785" w:tblpY="321"/>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940"/>
        <w:gridCol w:w="940"/>
        <w:gridCol w:w="940"/>
        <w:gridCol w:w="940"/>
        <w:gridCol w:w="940"/>
        <w:gridCol w:w="940"/>
        <w:gridCol w:w="94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Merge w:val="restart"/>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序号</w:t>
            </w:r>
          </w:p>
        </w:tc>
        <w:tc>
          <w:tcPr>
            <w:tcW w:w="7520" w:type="dxa"/>
            <w:gridSpan w:val="8"/>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杂质含量不大于10-</w:t>
            </w:r>
            <w:r>
              <w:rPr>
                <w:rFonts w:hint="eastAsia" w:cs="Calibri" w:asciiTheme="minorEastAsia" w:hAnsiTheme="minorEastAsia" w:eastAsiaTheme="minorEastAsia"/>
                <w:kern w:val="2"/>
                <w:sz w:val="18"/>
                <w:szCs w:val="18"/>
                <w:vertAlign w:val="superscript"/>
              </w:rPr>
              <w:t>4</w:t>
            </w:r>
            <w:r>
              <w:rPr>
                <w:rFonts w:hint="eastAsia" w:cs="Calibri" w:asciiTheme="minorEastAsia" w:hAnsiTheme="minorEastAsia" w:eastAsiaTheme="minorEastAsia"/>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Merge w:val="continue"/>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Pb</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Cu</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Co</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Ni</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Fe</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Al</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Mn</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Zn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标准</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0.18</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0.08</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0.26</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0.44</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0.08</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0.37</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0.88</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0.02</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0.98</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0.15</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0.53</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Cd</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Cr</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Mg</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Ca</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Na</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K</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Si</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标准</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18</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3.41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0.16</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0.58</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0.29</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2.47</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0.31</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0.08</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0.13</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2.82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0.19</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1.05</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0.51</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0.09</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2.09</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344"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0.11</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0.16</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3.04</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0.12</w:t>
            </w:r>
          </w:p>
        </w:tc>
        <w:tc>
          <w:tcPr>
            <w:tcW w:w="940"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4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未检出</w:t>
            </w:r>
          </w:p>
        </w:tc>
        <w:tc>
          <w:tcPr>
            <w:tcW w:w="935"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r>
    </w:tbl>
    <w:p>
      <w:pPr>
        <w:adjustRightInd w:val="0"/>
        <w:snapToGrid w:val="0"/>
        <w:spacing w:line="360" w:lineRule="auto"/>
        <w:rPr>
          <w:rFonts w:cs="Times New Roman" w:asciiTheme="minorEastAsia" w:hAnsiTheme="minorEastAsia"/>
          <w:b/>
          <w:sz w:val="18"/>
          <w:szCs w:val="18"/>
        </w:rPr>
      </w:pPr>
    </w:p>
    <w:p>
      <w:pPr>
        <w:adjustRightInd w:val="0"/>
        <w:snapToGrid w:val="0"/>
        <w:spacing w:line="360" w:lineRule="auto"/>
        <w:ind w:firstLine="361" w:firstLineChars="200"/>
        <w:jc w:val="center"/>
        <w:rPr>
          <w:rFonts w:hint="eastAsia" w:cs="Times New Roman" w:asciiTheme="minorEastAsia" w:hAnsiTheme="minorEastAsia"/>
          <w:b/>
          <w:sz w:val="18"/>
          <w:szCs w:val="18"/>
        </w:rPr>
      </w:pPr>
    </w:p>
    <w:p>
      <w:pPr>
        <w:adjustRightInd w:val="0"/>
        <w:snapToGrid w:val="0"/>
        <w:spacing w:line="360" w:lineRule="auto"/>
        <w:ind w:firstLine="361" w:firstLineChars="200"/>
        <w:jc w:val="center"/>
        <w:rPr>
          <w:rFonts w:cs="Times New Roman" w:asciiTheme="minorEastAsia" w:hAnsiTheme="minorEastAsia"/>
          <w:b/>
          <w:sz w:val="18"/>
          <w:szCs w:val="18"/>
        </w:rPr>
      </w:pPr>
      <w:r>
        <w:rPr>
          <w:rFonts w:hint="eastAsia" w:cs="Times New Roman" w:asciiTheme="minorEastAsia" w:hAnsiTheme="minorEastAsia"/>
          <w:b/>
          <w:sz w:val="18"/>
          <w:szCs w:val="18"/>
        </w:rPr>
        <w:t>表6  99.999%高纯碳酸锂实测（新疆有色金属研究所）</w:t>
      </w:r>
    </w:p>
    <w:tbl>
      <w:tblPr>
        <w:tblStyle w:val="13"/>
        <w:tblpPr w:leftFromText="180" w:rightFromText="180" w:vertAnchor="text" w:horzAnchor="page" w:tblpX="1796" w:tblpY="296"/>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46"/>
        <w:gridCol w:w="846"/>
        <w:gridCol w:w="846"/>
        <w:gridCol w:w="846"/>
        <w:gridCol w:w="846"/>
        <w:gridCol w:w="846"/>
        <w:gridCol w:w="846"/>
        <w:gridCol w:w="846"/>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Merge w:val="restart"/>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序号</w:t>
            </w:r>
          </w:p>
        </w:tc>
        <w:tc>
          <w:tcPr>
            <w:tcW w:w="7621" w:type="dxa"/>
            <w:gridSpan w:val="9"/>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杂质含量不大于10-</w:t>
            </w:r>
            <w:r>
              <w:rPr>
                <w:rFonts w:hint="eastAsia" w:cs="Calibri" w:asciiTheme="minorEastAsia" w:hAnsiTheme="minorEastAsia" w:eastAsiaTheme="minorEastAsia"/>
                <w:kern w:val="2"/>
                <w:sz w:val="18"/>
                <w:szCs w:val="18"/>
                <w:vertAlign w:val="superscript"/>
              </w:rPr>
              <w:t>4</w:t>
            </w:r>
            <w:r>
              <w:rPr>
                <w:rFonts w:hint="eastAsia" w:cs="Calibri" w:asciiTheme="minorEastAsia" w:hAnsiTheme="minorEastAsia" w:eastAsiaTheme="minorEastAsia"/>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Merge w:val="continue"/>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Pb</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Cu</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Co</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Ni</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Fe</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Al</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Mn</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Zn</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标准</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0.04</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Cr</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Mg</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B</w:t>
            </w:r>
            <w:r>
              <w:rPr>
                <w:rFonts w:cs="Calibri" w:asciiTheme="minorEastAsia" w:hAnsiTheme="minorEastAsia" w:eastAsiaTheme="minorEastAsia"/>
                <w:kern w:val="2"/>
                <w:sz w:val="18"/>
                <w:szCs w:val="18"/>
              </w:rPr>
              <w:t>a</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Ca</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Sr</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Na</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K</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Rb</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cs="Calibri" w:asciiTheme="minorEastAsia" w:hAnsiTheme="minorEastAsia" w:eastAsiaTheme="minorEastAsia"/>
                <w:kern w:val="2"/>
                <w:sz w:val="18"/>
                <w:szCs w:val="18"/>
              </w:rPr>
              <w:t>C</w:t>
            </w:r>
            <w:r>
              <w:rPr>
                <w:rFonts w:hint="eastAsia" w:cs="Calibri" w:asciiTheme="minorEastAsia" w:hAnsiTheme="minorEastAsia" w:eastAsiaTheme="minorEastAsia"/>
                <w:kern w:val="2"/>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标准</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1.9</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1.7</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0.7</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0.2</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322"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3</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0.01</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0.9</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2</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0.6</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0.5</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1.6</w:t>
            </w:r>
          </w:p>
        </w:tc>
        <w:tc>
          <w:tcPr>
            <w:tcW w:w="846"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c>
          <w:tcPr>
            <w:tcW w:w="853" w:type="dxa"/>
            <w:vAlign w:val="center"/>
          </w:tcPr>
          <w:p>
            <w:pPr>
              <w:pStyle w:val="25"/>
              <w:widowControl w:val="0"/>
              <w:numPr>
                <w:ilvl w:val="0"/>
                <w:numId w:val="0"/>
              </w:numPr>
              <w:jc w:val="center"/>
              <w:rPr>
                <w:rFonts w:cs="Calibri" w:asciiTheme="minorEastAsia" w:hAnsiTheme="minorEastAsia" w:eastAsiaTheme="minorEastAsia"/>
                <w:kern w:val="2"/>
                <w:sz w:val="18"/>
                <w:szCs w:val="18"/>
              </w:rPr>
            </w:pPr>
            <w:r>
              <w:rPr>
                <w:rFonts w:hint="eastAsia" w:cs="Calibri" w:asciiTheme="minorEastAsia" w:hAnsiTheme="minorEastAsia" w:eastAsiaTheme="minorEastAsia"/>
                <w:kern w:val="2"/>
                <w:sz w:val="18"/>
                <w:szCs w:val="18"/>
              </w:rPr>
              <w:t>0.3</w:t>
            </w:r>
          </w:p>
        </w:tc>
      </w:tr>
    </w:tbl>
    <w:p>
      <w:pPr>
        <w:pStyle w:val="16"/>
        <w:tabs>
          <w:tab w:val="left" w:pos="426"/>
          <w:tab w:val="left" w:pos="709"/>
        </w:tabs>
        <w:adjustRightInd w:val="0"/>
        <w:snapToGrid w:val="0"/>
        <w:spacing w:line="360" w:lineRule="auto"/>
        <w:ind w:firstLine="0" w:firstLineChars="0"/>
        <w:rPr>
          <w:rFonts w:ascii="黑体" w:hAnsi="黑体" w:eastAsia="黑体" w:cs="Times New Roman"/>
          <w:sz w:val="24"/>
          <w:szCs w:val="24"/>
        </w:rPr>
      </w:pPr>
    </w:p>
    <w:p>
      <w:pPr>
        <w:pStyle w:val="16"/>
        <w:tabs>
          <w:tab w:val="left" w:pos="426"/>
          <w:tab w:val="left" w:pos="709"/>
        </w:tabs>
        <w:adjustRightInd w:val="0"/>
        <w:snapToGrid w:val="0"/>
        <w:spacing w:line="360" w:lineRule="auto"/>
        <w:ind w:firstLine="480"/>
        <w:rPr>
          <w:rFonts w:ascii="黑体" w:hAnsi="黑体" w:eastAsia="黑体" w:cs="Times New Roman"/>
          <w:sz w:val="24"/>
          <w:szCs w:val="24"/>
        </w:rPr>
      </w:pPr>
      <w:r>
        <w:rPr>
          <w:rFonts w:hint="eastAsia" w:ascii="黑体" w:hAnsi="黑体" w:eastAsia="黑体" w:cs="Times New Roman"/>
          <w:sz w:val="24"/>
          <w:szCs w:val="24"/>
        </w:rPr>
        <w:t>2.4其他要求</w:t>
      </w:r>
    </w:p>
    <w:p>
      <w:pPr>
        <w:pStyle w:val="20"/>
        <w:adjustRightInd w:val="0"/>
        <w:snapToGrid w:val="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生产过程中的技术要求等，本标准还规定了高纯碳酸锂的化学成分、外观质量的实验方法，并对高纯碳酸锂的检查和验收、组批、检验项目、检验结果判定等进行了规定，规定了高纯碳酸锂的标志、包装、运输、储存、质量证明书、合同（或订货单）内容要求。</w:t>
      </w:r>
    </w:p>
    <w:p>
      <w:pPr>
        <w:pStyle w:val="20"/>
        <w:adjustRightInd w:val="0"/>
        <w:snapToGrid w:val="0"/>
        <w:spacing w:line="360" w:lineRule="auto"/>
        <w:ind w:firstLine="480"/>
        <w:rPr>
          <w:rFonts w:asciiTheme="minorEastAsia" w:hAnsiTheme="minorEastAsia" w:eastAsiaTheme="minorEastAsia"/>
          <w:sz w:val="24"/>
          <w:szCs w:val="24"/>
        </w:rPr>
      </w:pPr>
    </w:p>
    <w:p>
      <w:pPr>
        <w:pStyle w:val="16"/>
        <w:numPr>
          <w:ilvl w:val="0"/>
          <w:numId w:val="2"/>
        </w:numPr>
        <w:adjustRightInd w:val="0"/>
        <w:snapToGrid w:val="0"/>
        <w:spacing w:beforeLines="50" w:line="360" w:lineRule="auto"/>
        <w:ind w:left="482" w:hanging="482" w:firstLineChars="0"/>
        <w:rPr>
          <w:rFonts w:ascii="黑体" w:hAnsi="黑体" w:eastAsia="黑体" w:cs="Times New Roman"/>
          <w:sz w:val="24"/>
          <w:szCs w:val="24"/>
        </w:rPr>
      </w:pPr>
      <w:r>
        <w:rPr>
          <w:rFonts w:hint="eastAsia" w:ascii="黑体" w:hAnsi="黑体" w:eastAsia="黑体" w:cs="Times New Roman"/>
          <w:sz w:val="24"/>
          <w:szCs w:val="24"/>
        </w:rPr>
        <w:t>标准水平分析</w:t>
      </w:r>
    </w:p>
    <w:p>
      <w:pPr>
        <w:pStyle w:val="17"/>
        <w:spacing w:line="400" w:lineRule="exact"/>
        <w:ind w:firstLine="480"/>
        <w:rPr>
          <w:sz w:val="24"/>
          <w:szCs w:val="24"/>
        </w:rPr>
      </w:pPr>
      <w:r>
        <w:rPr>
          <w:rFonts w:hint="eastAsia" w:hAnsi="宋体" w:cs="宋体"/>
          <w:sz w:val="24"/>
          <w:szCs w:val="24"/>
        </w:rPr>
        <w:t>通过文献检索，网上查询，并与国外高纯碳酸锂相关标准对比，</w:t>
      </w:r>
      <w:r>
        <w:rPr>
          <w:rFonts w:hint="eastAsia" w:hAnsi="宋体"/>
          <w:sz w:val="24"/>
          <w:szCs w:val="24"/>
        </w:rPr>
        <w:t>本标准与国外同级别产品指标相当，部分指标优于国外标准。在标准制定过程中，总结国内外高纯碳酸锂的实际生产情况，对高纯碳酸锂标准</w:t>
      </w:r>
      <w:r>
        <w:rPr>
          <w:rFonts w:hint="eastAsia"/>
          <w:sz w:val="24"/>
          <w:szCs w:val="24"/>
        </w:rPr>
        <w:t>进行了修订</w:t>
      </w:r>
      <w:r>
        <w:rPr>
          <w:rFonts w:hint="eastAsia" w:hAnsi="宋体"/>
          <w:sz w:val="24"/>
          <w:szCs w:val="24"/>
        </w:rPr>
        <w:t>，主要参照国内客户提出的要求并结合国内高纯碳酸锂生产实际而</w:t>
      </w:r>
      <w:r>
        <w:rPr>
          <w:rFonts w:hint="eastAsia" w:hAnsi="宋体" w:cs="宋体"/>
          <w:sz w:val="24"/>
          <w:szCs w:val="24"/>
        </w:rPr>
        <w:t>确定，代表国内高纯碳酸锂行业生产的先进水平，本标准达到了国内先进标准的水平</w:t>
      </w:r>
      <w:r>
        <w:rPr>
          <w:rFonts w:hint="eastAsia"/>
          <w:sz w:val="24"/>
          <w:szCs w:val="24"/>
        </w:rPr>
        <w:t>。</w:t>
      </w:r>
    </w:p>
    <w:p>
      <w:pPr>
        <w:pStyle w:val="16"/>
        <w:numPr>
          <w:ilvl w:val="0"/>
          <w:numId w:val="2"/>
        </w:numPr>
        <w:adjustRightInd w:val="0"/>
        <w:snapToGrid w:val="0"/>
        <w:spacing w:beforeLines="50" w:afterLines="50" w:line="400" w:lineRule="exact"/>
        <w:ind w:left="482" w:hanging="482" w:firstLineChars="0"/>
        <w:rPr>
          <w:rFonts w:ascii="黑体" w:hAnsi="黑体" w:eastAsia="黑体" w:cs="Times New Roman"/>
          <w:sz w:val="24"/>
          <w:szCs w:val="24"/>
        </w:rPr>
      </w:pPr>
      <w:r>
        <w:rPr>
          <w:rFonts w:hint="eastAsia" w:ascii="黑体" w:hAnsi="黑体" w:eastAsia="黑体" w:cs="Times New Roman"/>
          <w:sz w:val="24"/>
          <w:szCs w:val="24"/>
        </w:rPr>
        <w:t>与有关的现行法律、法规和强制性国家标准的关系</w:t>
      </w:r>
    </w:p>
    <w:p>
      <w:pPr>
        <w:adjustRightInd w:val="0"/>
        <w:snapToGrid w:val="0"/>
        <w:spacing w:line="400" w:lineRule="exact"/>
        <w:ind w:firstLine="480" w:firstLineChars="200"/>
        <w:rPr>
          <w:sz w:val="24"/>
          <w:szCs w:val="24"/>
        </w:rPr>
      </w:pPr>
      <w:r>
        <w:rPr>
          <w:rFonts w:hint="eastAsia" w:ascii="宋体" w:hAnsi="宋体"/>
          <w:sz w:val="24"/>
          <w:szCs w:val="24"/>
        </w:rPr>
        <w:t>本标准属于专业基础标准</w:t>
      </w:r>
      <w:r>
        <w:rPr>
          <w:rFonts w:hint="eastAsia"/>
          <w:sz w:val="24"/>
          <w:szCs w:val="24"/>
        </w:rPr>
        <w:t>，没有现行的法律、法规、规章制度等对其要求，本领域没有强制性标准，且</w:t>
      </w:r>
      <w:r>
        <w:rPr>
          <w:rFonts w:hint="eastAsia" w:hAnsi="宋体"/>
          <w:sz w:val="24"/>
          <w:szCs w:val="24"/>
        </w:rPr>
        <w:t>与其他标准无矛盾与不协调之处。</w:t>
      </w:r>
    </w:p>
    <w:p>
      <w:pPr>
        <w:pStyle w:val="16"/>
        <w:numPr>
          <w:ilvl w:val="0"/>
          <w:numId w:val="2"/>
        </w:numPr>
        <w:adjustRightInd w:val="0"/>
        <w:snapToGrid w:val="0"/>
        <w:spacing w:beforeLines="50" w:afterLines="50" w:line="400" w:lineRule="exact"/>
        <w:ind w:left="482" w:hanging="482" w:firstLineChars="0"/>
        <w:rPr>
          <w:rFonts w:ascii="黑体" w:hAnsi="黑体" w:eastAsia="黑体" w:cs="Times New Roman"/>
          <w:sz w:val="24"/>
          <w:szCs w:val="24"/>
        </w:rPr>
      </w:pPr>
      <w:r>
        <w:rPr>
          <w:rFonts w:hint="eastAsia" w:ascii="黑体" w:hAnsi="黑体" w:eastAsia="黑体" w:cs="Times New Roman"/>
          <w:sz w:val="24"/>
          <w:szCs w:val="24"/>
        </w:rPr>
        <w:t>重大分歧意见的处理经过和依据</w:t>
      </w:r>
    </w:p>
    <w:p>
      <w:pPr>
        <w:adjustRightInd w:val="0"/>
        <w:snapToGrid w:val="0"/>
        <w:spacing w:line="400" w:lineRule="exact"/>
        <w:ind w:firstLine="480" w:firstLineChars="200"/>
        <w:rPr>
          <w:sz w:val="24"/>
          <w:szCs w:val="24"/>
        </w:rPr>
      </w:pPr>
      <w:r>
        <w:rPr>
          <w:rFonts w:hint="eastAsia"/>
          <w:sz w:val="24"/>
          <w:szCs w:val="24"/>
        </w:rPr>
        <w:t>无</w:t>
      </w:r>
    </w:p>
    <w:p>
      <w:pPr>
        <w:pStyle w:val="16"/>
        <w:numPr>
          <w:ilvl w:val="0"/>
          <w:numId w:val="2"/>
        </w:numPr>
        <w:adjustRightInd w:val="0"/>
        <w:snapToGrid w:val="0"/>
        <w:spacing w:beforeLines="50" w:afterLines="50" w:line="400" w:lineRule="exact"/>
        <w:ind w:left="482" w:hanging="482" w:firstLineChars="0"/>
        <w:rPr>
          <w:rFonts w:ascii="黑体" w:hAnsi="黑体" w:eastAsia="黑体" w:cs="Times New Roman"/>
          <w:sz w:val="24"/>
          <w:szCs w:val="24"/>
        </w:rPr>
      </w:pPr>
      <w:r>
        <w:rPr>
          <w:rFonts w:hint="eastAsia" w:ascii="黑体" w:hAnsi="黑体" w:eastAsia="黑体" w:cs="Times New Roman"/>
          <w:sz w:val="24"/>
          <w:szCs w:val="24"/>
        </w:rPr>
        <w:t>标准作为强制性或推荐性标准的建议</w:t>
      </w:r>
    </w:p>
    <w:p>
      <w:pPr>
        <w:adjustRightInd w:val="0"/>
        <w:snapToGrid w:val="0"/>
        <w:spacing w:line="400" w:lineRule="exact"/>
        <w:ind w:firstLine="480" w:firstLineChars="200"/>
        <w:rPr>
          <w:rFonts w:hAnsi="宋体"/>
          <w:sz w:val="24"/>
          <w:szCs w:val="24"/>
        </w:rPr>
      </w:pPr>
      <w:r>
        <w:rPr>
          <w:rFonts w:hint="eastAsia" w:hAnsi="宋体"/>
          <w:sz w:val="24"/>
          <w:szCs w:val="24"/>
        </w:rPr>
        <w:t>建议该标准为推荐性标准。</w:t>
      </w:r>
    </w:p>
    <w:p>
      <w:pPr>
        <w:pStyle w:val="16"/>
        <w:numPr>
          <w:ilvl w:val="0"/>
          <w:numId w:val="2"/>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贯彻标准的要求和措施建议</w:t>
      </w:r>
    </w:p>
    <w:p>
      <w:pPr>
        <w:adjustRightInd w:val="0"/>
        <w:snapToGrid w:val="0"/>
        <w:spacing w:line="400" w:lineRule="exact"/>
        <w:ind w:firstLine="480" w:firstLineChars="200"/>
        <w:rPr>
          <w:rFonts w:hAnsi="宋体"/>
          <w:sz w:val="24"/>
          <w:szCs w:val="24"/>
        </w:rPr>
      </w:pPr>
      <w:r>
        <w:rPr>
          <w:rFonts w:hint="eastAsia" w:hAnsi="宋体"/>
          <w:sz w:val="24"/>
          <w:szCs w:val="24"/>
        </w:rPr>
        <w:t>可向生产厂家和用户推荐采用本标准</w:t>
      </w:r>
    </w:p>
    <w:p>
      <w:pPr>
        <w:pStyle w:val="16"/>
        <w:numPr>
          <w:ilvl w:val="0"/>
          <w:numId w:val="2"/>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废止现行有关标准的建议</w:t>
      </w:r>
    </w:p>
    <w:p>
      <w:pPr>
        <w:pStyle w:val="16"/>
        <w:adjustRightInd w:val="0"/>
        <w:snapToGrid w:val="0"/>
        <w:spacing w:beforeLines="50" w:afterLines="50" w:line="400" w:lineRule="exact"/>
        <w:ind w:firstLineChars="0"/>
        <w:rPr>
          <w:sz w:val="24"/>
          <w:szCs w:val="24"/>
        </w:rPr>
      </w:pPr>
      <w:r>
        <w:rPr>
          <w:rFonts w:hint="eastAsia"/>
          <w:sz w:val="24"/>
          <w:szCs w:val="24"/>
        </w:rPr>
        <w:t>无</w:t>
      </w:r>
    </w:p>
    <w:p>
      <w:pPr>
        <w:pStyle w:val="16"/>
        <w:numPr>
          <w:ilvl w:val="0"/>
          <w:numId w:val="2"/>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其他应予说明的事项</w:t>
      </w:r>
    </w:p>
    <w:p>
      <w:pPr>
        <w:pStyle w:val="16"/>
        <w:adjustRightInd w:val="0"/>
        <w:snapToGrid w:val="0"/>
        <w:spacing w:beforeLines="50" w:afterLines="50" w:line="400" w:lineRule="exact"/>
        <w:ind w:firstLineChars="0"/>
        <w:rPr>
          <w:sz w:val="24"/>
          <w:szCs w:val="24"/>
        </w:rPr>
      </w:pPr>
      <w:r>
        <w:rPr>
          <w:rFonts w:hint="eastAsia"/>
          <w:sz w:val="24"/>
          <w:szCs w:val="24"/>
        </w:rPr>
        <w:t>无</w:t>
      </w:r>
    </w:p>
    <w:p>
      <w:pPr>
        <w:pStyle w:val="16"/>
        <w:numPr>
          <w:ilvl w:val="0"/>
          <w:numId w:val="2"/>
        </w:numPr>
        <w:adjustRightInd w:val="0"/>
        <w:snapToGrid w:val="0"/>
        <w:spacing w:beforeLines="50" w:afterLines="50" w:line="400" w:lineRule="exact"/>
        <w:ind w:left="482" w:hanging="482" w:firstLineChars="0"/>
        <w:rPr>
          <w:rFonts w:ascii="黑体" w:hAnsi="黑体" w:eastAsia="黑体"/>
          <w:sz w:val="24"/>
          <w:szCs w:val="24"/>
        </w:rPr>
      </w:pPr>
      <w:r>
        <w:rPr>
          <w:rFonts w:hint="eastAsia" w:ascii="黑体" w:hAnsi="黑体" w:eastAsia="黑体"/>
          <w:sz w:val="24"/>
          <w:szCs w:val="24"/>
        </w:rPr>
        <w:t>预期效果</w:t>
      </w:r>
    </w:p>
    <w:p>
      <w:pPr>
        <w:pStyle w:val="16"/>
        <w:adjustRightInd w:val="0"/>
        <w:snapToGrid w:val="0"/>
        <w:spacing w:beforeLines="50" w:afterLines="50" w:line="400" w:lineRule="exact"/>
        <w:ind w:left="1" w:firstLine="424" w:firstLineChars="177"/>
        <w:rPr>
          <w:sz w:val="24"/>
          <w:szCs w:val="24"/>
        </w:rPr>
      </w:pPr>
      <w:r>
        <w:rPr>
          <w:rFonts w:hint="eastAsia"/>
          <w:sz w:val="24"/>
          <w:szCs w:val="24"/>
        </w:rPr>
        <w:t>本标准充分考虑了我国高纯碳酸锂生产体系和工艺技术水平状况，以及高纯碳酸锂行业当前及发展的要求。本标准的发布实施，规范了高纯碳酸锂的质量要求，为高纯碳酸锂的规范化生产和销售提供参考。</w:t>
      </w:r>
    </w:p>
    <w:p>
      <w:pPr>
        <w:pStyle w:val="16"/>
        <w:adjustRightInd w:val="0"/>
        <w:snapToGrid w:val="0"/>
        <w:spacing w:beforeLines="50" w:afterLines="50" w:line="400" w:lineRule="exact"/>
        <w:ind w:right="482" w:firstLine="5100" w:firstLineChars="2125"/>
        <w:rPr>
          <w:sz w:val="24"/>
          <w:szCs w:val="24"/>
        </w:rPr>
      </w:pPr>
      <w:r>
        <w:rPr>
          <w:rFonts w:hint="eastAsia"/>
          <w:sz w:val="24"/>
          <w:szCs w:val="24"/>
        </w:rPr>
        <w:t>新疆有色金属研究所</w:t>
      </w:r>
    </w:p>
    <w:p>
      <w:pPr>
        <w:pStyle w:val="16"/>
        <w:adjustRightInd w:val="0"/>
        <w:snapToGrid w:val="0"/>
        <w:spacing w:beforeLines="50" w:afterLines="50" w:line="400" w:lineRule="exact"/>
        <w:ind w:left="483" w:leftChars="230" w:right="482" w:firstLine="4080" w:firstLineChars="1700"/>
        <w:rPr>
          <w:sz w:val="24"/>
          <w:szCs w:val="24"/>
        </w:rPr>
      </w:pPr>
      <w:r>
        <w:rPr>
          <w:rFonts w:hint="eastAsia"/>
          <w:sz w:val="24"/>
          <w:szCs w:val="24"/>
        </w:rPr>
        <w:t>《高纯碳酸锂》行业标准编制组</w:t>
      </w:r>
    </w:p>
    <w:p>
      <w:pPr>
        <w:pStyle w:val="16"/>
        <w:adjustRightInd w:val="0"/>
        <w:snapToGrid w:val="0"/>
        <w:spacing w:beforeLines="50" w:afterLines="50" w:line="400" w:lineRule="exact"/>
        <w:ind w:right="482" w:firstLine="5580" w:firstLineChars="2325"/>
        <w:rPr>
          <w:sz w:val="24"/>
          <w:szCs w:val="24"/>
        </w:rPr>
      </w:pPr>
      <w:r>
        <w:rPr>
          <w:rFonts w:hint="eastAsia"/>
          <w:sz w:val="24"/>
          <w:szCs w:val="24"/>
        </w:rPr>
        <w:t>2019年5月</w:t>
      </w:r>
    </w:p>
    <w:p>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266D"/>
    <w:multiLevelType w:val="multilevel"/>
    <w:tmpl w:val="1F58266D"/>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hint="eastAsia" w:ascii="黑体" w:hAnsi="Times New Roman"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2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97094"/>
    <w:rsid w:val="00003299"/>
    <w:rsid w:val="0000582D"/>
    <w:rsid w:val="00011AE3"/>
    <w:rsid w:val="000165B5"/>
    <w:rsid w:val="000209B8"/>
    <w:rsid w:val="00031054"/>
    <w:rsid w:val="00032F02"/>
    <w:rsid w:val="0003648A"/>
    <w:rsid w:val="00046854"/>
    <w:rsid w:val="000707AC"/>
    <w:rsid w:val="00074A31"/>
    <w:rsid w:val="00082664"/>
    <w:rsid w:val="000868F4"/>
    <w:rsid w:val="00094A3C"/>
    <w:rsid w:val="000A0432"/>
    <w:rsid w:val="000A1265"/>
    <w:rsid w:val="000A4C7B"/>
    <w:rsid w:val="000A4E9C"/>
    <w:rsid w:val="000B3DE6"/>
    <w:rsid w:val="000C64FA"/>
    <w:rsid w:val="000D5389"/>
    <w:rsid w:val="000E0DF9"/>
    <w:rsid w:val="000E26C7"/>
    <w:rsid w:val="000F02CC"/>
    <w:rsid w:val="00101AF5"/>
    <w:rsid w:val="00113F7D"/>
    <w:rsid w:val="001158FE"/>
    <w:rsid w:val="00122DFB"/>
    <w:rsid w:val="00125EEE"/>
    <w:rsid w:val="00134D5C"/>
    <w:rsid w:val="00142C37"/>
    <w:rsid w:val="001552C6"/>
    <w:rsid w:val="001571BB"/>
    <w:rsid w:val="00170006"/>
    <w:rsid w:val="001804EF"/>
    <w:rsid w:val="001845B4"/>
    <w:rsid w:val="00187218"/>
    <w:rsid w:val="001A24FD"/>
    <w:rsid w:val="001A3FC9"/>
    <w:rsid w:val="001C0650"/>
    <w:rsid w:val="001C49D0"/>
    <w:rsid w:val="001D21E8"/>
    <w:rsid w:val="001D2A71"/>
    <w:rsid w:val="001D3778"/>
    <w:rsid w:val="001D3B36"/>
    <w:rsid w:val="002011BB"/>
    <w:rsid w:val="00203C57"/>
    <w:rsid w:val="00205741"/>
    <w:rsid w:val="002148AE"/>
    <w:rsid w:val="00227D0C"/>
    <w:rsid w:val="00237DA2"/>
    <w:rsid w:val="00243E7C"/>
    <w:rsid w:val="00246E7E"/>
    <w:rsid w:val="00247A1F"/>
    <w:rsid w:val="00261BC7"/>
    <w:rsid w:val="0026796C"/>
    <w:rsid w:val="00270D49"/>
    <w:rsid w:val="00280FFF"/>
    <w:rsid w:val="002855F1"/>
    <w:rsid w:val="00290674"/>
    <w:rsid w:val="00292D3A"/>
    <w:rsid w:val="00293866"/>
    <w:rsid w:val="002A2DC4"/>
    <w:rsid w:val="002A56AE"/>
    <w:rsid w:val="002A5DC1"/>
    <w:rsid w:val="002A70C0"/>
    <w:rsid w:val="002C2A22"/>
    <w:rsid w:val="002D7517"/>
    <w:rsid w:val="002E41CE"/>
    <w:rsid w:val="002F215A"/>
    <w:rsid w:val="00300C70"/>
    <w:rsid w:val="003069DC"/>
    <w:rsid w:val="00313EE4"/>
    <w:rsid w:val="00322FB3"/>
    <w:rsid w:val="00325B2D"/>
    <w:rsid w:val="0035055A"/>
    <w:rsid w:val="00373021"/>
    <w:rsid w:val="00387932"/>
    <w:rsid w:val="0039375D"/>
    <w:rsid w:val="00394CF3"/>
    <w:rsid w:val="003A4882"/>
    <w:rsid w:val="003B0824"/>
    <w:rsid w:val="003B54EC"/>
    <w:rsid w:val="003D1CF6"/>
    <w:rsid w:val="003E2E32"/>
    <w:rsid w:val="003E457E"/>
    <w:rsid w:val="003F1718"/>
    <w:rsid w:val="003F4C14"/>
    <w:rsid w:val="00401D3F"/>
    <w:rsid w:val="0040272C"/>
    <w:rsid w:val="00402F99"/>
    <w:rsid w:val="0040510F"/>
    <w:rsid w:val="00413E4A"/>
    <w:rsid w:val="00421697"/>
    <w:rsid w:val="004268C1"/>
    <w:rsid w:val="00442C66"/>
    <w:rsid w:val="00451409"/>
    <w:rsid w:val="00461799"/>
    <w:rsid w:val="00465F3C"/>
    <w:rsid w:val="00467F8B"/>
    <w:rsid w:val="0047337E"/>
    <w:rsid w:val="00474F96"/>
    <w:rsid w:val="00477E3D"/>
    <w:rsid w:val="00485857"/>
    <w:rsid w:val="00492BC1"/>
    <w:rsid w:val="00494061"/>
    <w:rsid w:val="004D61CB"/>
    <w:rsid w:val="004E08ED"/>
    <w:rsid w:val="004F2A43"/>
    <w:rsid w:val="004F3AD1"/>
    <w:rsid w:val="00507B36"/>
    <w:rsid w:val="00507EB2"/>
    <w:rsid w:val="00510353"/>
    <w:rsid w:val="00525B8A"/>
    <w:rsid w:val="00530653"/>
    <w:rsid w:val="005440B0"/>
    <w:rsid w:val="00550256"/>
    <w:rsid w:val="00556B07"/>
    <w:rsid w:val="00574AC3"/>
    <w:rsid w:val="00574C50"/>
    <w:rsid w:val="0057589F"/>
    <w:rsid w:val="00575E75"/>
    <w:rsid w:val="00590BE5"/>
    <w:rsid w:val="00592C03"/>
    <w:rsid w:val="00592DB5"/>
    <w:rsid w:val="0059421E"/>
    <w:rsid w:val="00596D23"/>
    <w:rsid w:val="005A447F"/>
    <w:rsid w:val="005C5967"/>
    <w:rsid w:val="005D1BED"/>
    <w:rsid w:val="005E7F6A"/>
    <w:rsid w:val="005F6303"/>
    <w:rsid w:val="00622CE9"/>
    <w:rsid w:val="006417C7"/>
    <w:rsid w:val="0065442D"/>
    <w:rsid w:val="00682C11"/>
    <w:rsid w:val="00682C80"/>
    <w:rsid w:val="006A267C"/>
    <w:rsid w:val="006A56F3"/>
    <w:rsid w:val="006B13B4"/>
    <w:rsid w:val="006B2518"/>
    <w:rsid w:val="006B7BEB"/>
    <w:rsid w:val="006D2E39"/>
    <w:rsid w:val="006D4E6B"/>
    <w:rsid w:val="006D65FC"/>
    <w:rsid w:val="006D777B"/>
    <w:rsid w:val="006E037E"/>
    <w:rsid w:val="006E43F3"/>
    <w:rsid w:val="006F5FF2"/>
    <w:rsid w:val="006F7AF5"/>
    <w:rsid w:val="00704FBD"/>
    <w:rsid w:val="00705532"/>
    <w:rsid w:val="00726346"/>
    <w:rsid w:val="0074174A"/>
    <w:rsid w:val="007525AE"/>
    <w:rsid w:val="00762B31"/>
    <w:rsid w:val="00764A3D"/>
    <w:rsid w:val="007743A4"/>
    <w:rsid w:val="00777403"/>
    <w:rsid w:val="007811A0"/>
    <w:rsid w:val="0078497B"/>
    <w:rsid w:val="00787967"/>
    <w:rsid w:val="00790026"/>
    <w:rsid w:val="007947A3"/>
    <w:rsid w:val="007A14BA"/>
    <w:rsid w:val="007A38CE"/>
    <w:rsid w:val="007B7BC5"/>
    <w:rsid w:val="007F14C9"/>
    <w:rsid w:val="007F46E6"/>
    <w:rsid w:val="007F5200"/>
    <w:rsid w:val="00806ED0"/>
    <w:rsid w:val="0081173E"/>
    <w:rsid w:val="00817F50"/>
    <w:rsid w:val="00843177"/>
    <w:rsid w:val="00855AF3"/>
    <w:rsid w:val="00874A21"/>
    <w:rsid w:val="00874EFF"/>
    <w:rsid w:val="0089161F"/>
    <w:rsid w:val="00893832"/>
    <w:rsid w:val="008C01EE"/>
    <w:rsid w:val="008C4DAC"/>
    <w:rsid w:val="008D6687"/>
    <w:rsid w:val="00901ED1"/>
    <w:rsid w:val="009137FF"/>
    <w:rsid w:val="00920CD0"/>
    <w:rsid w:val="009237EF"/>
    <w:rsid w:val="0093696D"/>
    <w:rsid w:val="00940100"/>
    <w:rsid w:val="00945C03"/>
    <w:rsid w:val="0094685F"/>
    <w:rsid w:val="0094708C"/>
    <w:rsid w:val="009778A8"/>
    <w:rsid w:val="009B20AE"/>
    <w:rsid w:val="009B532A"/>
    <w:rsid w:val="009C2BAE"/>
    <w:rsid w:val="009C42B8"/>
    <w:rsid w:val="009E6441"/>
    <w:rsid w:val="009F0FDC"/>
    <w:rsid w:val="009F41CE"/>
    <w:rsid w:val="009F4921"/>
    <w:rsid w:val="009F698B"/>
    <w:rsid w:val="009F7DAF"/>
    <w:rsid w:val="00A00FBD"/>
    <w:rsid w:val="00A02801"/>
    <w:rsid w:val="00A048A4"/>
    <w:rsid w:val="00A13E8A"/>
    <w:rsid w:val="00A1490B"/>
    <w:rsid w:val="00A17D5E"/>
    <w:rsid w:val="00A205FB"/>
    <w:rsid w:val="00A20AD7"/>
    <w:rsid w:val="00A22A47"/>
    <w:rsid w:val="00A35E67"/>
    <w:rsid w:val="00A46B91"/>
    <w:rsid w:val="00A55FFB"/>
    <w:rsid w:val="00A63AE8"/>
    <w:rsid w:val="00A74DC7"/>
    <w:rsid w:val="00A76D85"/>
    <w:rsid w:val="00A816C2"/>
    <w:rsid w:val="00A871E7"/>
    <w:rsid w:val="00A9226E"/>
    <w:rsid w:val="00A928FF"/>
    <w:rsid w:val="00A94219"/>
    <w:rsid w:val="00AB2B44"/>
    <w:rsid w:val="00AB7D89"/>
    <w:rsid w:val="00AD486C"/>
    <w:rsid w:val="00AE333B"/>
    <w:rsid w:val="00AE3390"/>
    <w:rsid w:val="00AE7B77"/>
    <w:rsid w:val="00AF2626"/>
    <w:rsid w:val="00AF364E"/>
    <w:rsid w:val="00B00C0C"/>
    <w:rsid w:val="00B01262"/>
    <w:rsid w:val="00B05E73"/>
    <w:rsid w:val="00B07FC5"/>
    <w:rsid w:val="00B167AE"/>
    <w:rsid w:val="00B17DC4"/>
    <w:rsid w:val="00B20A85"/>
    <w:rsid w:val="00B2364C"/>
    <w:rsid w:val="00B25136"/>
    <w:rsid w:val="00B30F9A"/>
    <w:rsid w:val="00B3125B"/>
    <w:rsid w:val="00B4117D"/>
    <w:rsid w:val="00B46741"/>
    <w:rsid w:val="00B4764A"/>
    <w:rsid w:val="00B51B57"/>
    <w:rsid w:val="00B53733"/>
    <w:rsid w:val="00B53C9E"/>
    <w:rsid w:val="00B65724"/>
    <w:rsid w:val="00B72FE4"/>
    <w:rsid w:val="00B76D67"/>
    <w:rsid w:val="00B8012A"/>
    <w:rsid w:val="00B80278"/>
    <w:rsid w:val="00B900A9"/>
    <w:rsid w:val="00B91D3D"/>
    <w:rsid w:val="00BB60C9"/>
    <w:rsid w:val="00BB6BEB"/>
    <w:rsid w:val="00BC0413"/>
    <w:rsid w:val="00BC1BA3"/>
    <w:rsid w:val="00BC2D2F"/>
    <w:rsid w:val="00BC7D74"/>
    <w:rsid w:val="00BD2D36"/>
    <w:rsid w:val="00BF2C18"/>
    <w:rsid w:val="00BF7261"/>
    <w:rsid w:val="00C051A4"/>
    <w:rsid w:val="00C11C72"/>
    <w:rsid w:val="00C14946"/>
    <w:rsid w:val="00C150C4"/>
    <w:rsid w:val="00C1587A"/>
    <w:rsid w:val="00C20BB4"/>
    <w:rsid w:val="00C32741"/>
    <w:rsid w:val="00C36645"/>
    <w:rsid w:val="00C370BA"/>
    <w:rsid w:val="00C5222E"/>
    <w:rsid w:val="00C56C2C"/>
    <w:rsid w:val="00C76499"/>
    <w:rsid w:val="00CA4081"/>
    <w:rsid w:val="00CB0C34"/>
    <w:rsid w:val="00CB2D02"/>
    <w:rsid w:val="00CB619B"/>
    <w:rsid w:val="00CB7ECD"/>
    <w:rsid w:val="00CC368C"/>
    <w:rsid w:val="00CC7FE2"/>
    <w:rsid w:val="00CE3DC3"/>
    <w:rsid w:val="00CE55CB"/>
    <w:rsid w:val="00CF1C7E"/>
    <w:rsid w:val="00D056D7"/>
    <w:rsid w:val="00D20307"/>
    <w:rsid w:val="00D2556D"/>
    <w:rsid w:val="00D25C8F"/>
    <w:rsid w:val="00D3234C"/>
    <w:rsid w:val="00D404EF"/>
    <w:rsid w:val="00D6374C"/>
    <w:rsid w:val="00D70912"/>
    <w:rsid w:val="00D842B4"/>
    <w:rsid w:val="00D9647F"/>
    <w:rsid w:val="00DA4C6C"/>
    <w:rsid w:val="00DC075B"/>
    <w:rsid w:val="00DC29A6"/>
    <w:rsid w:val="00DC385B"/>
    <w:rsid w:val="00DE3384"/>
    <w:rsid w:val="00DF4F51"/>
    <w:rsid w:val="00DF7E0E"/>
    <w:rsid w:val="00E05098"/>
    <w:rsid w:val="00E21329"/>
    <w:rsid w:val="00E26B8A"/>
    <w:rsid w:val="00E30C9F"/>
    <w:rsid w:val="00E45996"/>
    <w:rsid w:val="00E46764"/>
    <w:rsid w:val="00E758FA"/>
    <w:rsid w:val="00E954AD"/>
    <w:rsid w:val="00E97094"/>
    <w:rsid w:val="00EA1F4F"/>
    <w:rsid w:val="00EA3407"/>
    <w:rsid w:val="00EB2F6A"/>
    <w:rsid w:val="00EC13A5"/>
    <w:rsid w:val="00EC6200"/>
    <w:rsid w:val="00ED65E7"/>
    <w:rsid w:val="00EF490E"/>
    <w:rsid w:val="00F12692"/>
    <w:rsid w:val="00F16D46"/>
    <w:rsid w:val="00F202A1"/>
    <w:rsid w:val="00F24647"/>
    <w:rsid w:val="00F257FA"/>
    <w:rsid w:val="00F574FA"/>
    <w:rsid w:val="00F61159"/>
    <w:rsid w:val="00F61989"/>
    <w:rsid w:val="00F75E7A"/>
    <w:rsid w:val="00F77457"/>
    <w:rsid w:val="00F845A5"/>
    <w:rsid w:val="00FB6DFA"/>
    <w:rsid w:val="00FC3DAA"/>
    <w:rsid w:val="00FD4933"/>
    <w:rsid w:val="00FE30FE"/>
    <w:rsid w:val="00FF049A"/>
    <w:rsid w:val="00FF09E7"/>
    <w:rsid w:val="01855B13"/>
    <w:rsid w:val="09385485"/>
    <w:rsid w:val="1EC63134"/>
    <w:rsid w:val="233F0B11"/>
    <w:rsid w:val="241B2211"/>
    <w:rsid w:val="27E55ED3"/>
    <w:rsid w:val="28EA7245"/>
    <w:rsid w:val="2D6801E2"/>
    <w:rsid w:val="36F6408E"/>
    <w:rsid w:val="3D3E4316"/>
    <w:rsid w:val="3D436F8E"/>
    <w:rsid w:val="4A263C80"/>
    <w:rsid w:val="4DFE00EE"/>
    <w:rsid w:val="555C6043"/>
    <w:rsid w:val="5BA2736B"/>
    <w:rsid w:val="5F516742"/>
    <w:rsid w:val="64F21476"/>
    <w:rsid w:val="6AFB21AE"/>
    <w:rsid w:val="6BD224E5"/>
    <w:rsid w:val="6BFD1CEB"/>
    <w:rsid w:val="70792A47"/>
    <w:rsid w:val="751A16FD"/>
    <w:rsid w:val="75420454"/>
    <w:rsid w:val="78BE3A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21"/>
    <w:unhideWhenUsed/>
    <w:qFormat/>
    <w:uiPriority w:val="99"/>
    <w:pPr>
      <w:ind w:left="100" w:leftChars="2500"/>
    </w:pPr>
  </w:style>
  <w:style w:type="paragraph" w:styleId="5">
    <w:name w:val="Balloon Text"/>
    <w:basedOn w:val="1"/>
    <w:link w:val="32"/>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table" w:styleId="13">
    <w:name w:val="Table Grid"/>
    <w:basedOn w:val="12"/>
    <w:unhideWhenUsed/>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4">
    <w:name w:val="页眉 Char"/>
    <w:basedOn w:val="9"/>
    <w:link w:val="7"/>
    <w:semiHidden/>
    <w:qFormat/>
    <w:uiPriority w:val="99"/>
    <w:rPr>
      <w:sz w:val="18"/>
      <w:szCs w:val="18"/>
    </w:rPr>
  </w:style>
  <w:style w:type="character" w:customStyle="1" w:styleId="15">
    <w:name w:val="页脚 Char"/>
    <w:basedOn w:val="9"/>
    <w:link w:val="6"/>
    <w:semiHidden/>
    <w:qFormat/>
    <w:uiPriority w:val="99"/>
    <w:rPr>
      <w:sz w:val="18"/>
      <w:szCs w:val="18"/>
    </w:rPr>
  </w:style>
  <w:style w:type="paragraph" w:customStyle="1" w:styleId="16">
    <w:name w:val="列出段落1"/>
    <w:basedOn w:val="1"/>
    <w:qFormat/>
    <w:uiPriority w:val="34"/>
    <w:pPr>
      <w:ind w:firstLine="420" w:firstLineChars="200"/>
    </w:pPr>
  </w:style>
  <w:style w:type="paragraph" w:customStyle="1" w:styleId="17">
    <w:name w:val="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段 Char"/>
    <w:link w:val="17"/>
    <w:qFormat/>
    <w:uiPriority w:val="0"/>
    <w:rPr>
      <w:rFonts w:ascii="宋体" w:hAnsi="Times New Roman" w:eastAsia="宋体" w:cs="Times New Roman"/>
      <w:kern w:val="0"/>
      <w:szCs w:val="20"/>
    </w:rPr>
  </w:style>
  <w:style w:type="paragraph" w:customStyle="1" w:styleId="19">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20">
    <w:name w:val="列出段落2"/>
    <w:basedOn w:val="1"/>
    <w:qFormat/>
    <w:uiPriority w:val="34"/>
    <w:pPr>
      <w:ind w:firstLine="420" w:firstLineChars="200"/>
    </w:pPr>
    <w:rPr>
      <w:rFonts w:ascii="Calibri" w:hAnsi="Calibri" w:eastAsia="宋体" w:cs="Times New Roman"/>
    </w:rPr>
  </w:style>
  <w:style w:type="character" w:customStyle="1" w:styleId="21">
    <w:name w:val="日期 Char"/>
    <w:basedOn w:val="9"/>
    <w:link w:val="4"/>
    <w:semiHidden/>
    <w:qFormat/>
    <w:uiPriority w:val="99"/>
    <w:rPr>
      <w:rFonts w:asciiTheme="minorHAnsi" w:hAnsiTheme="minorHAnsi" w:eastAsiaTheme="minorEastAsia" w:cstheme="minorBidi"/>
      <w:kern w:val="2"/>
      <w:sz w:val="21"/>
      <w:szCs w:val="22"/>
    </w:rPr>
  </w:style>
  <w:style w:type="paragraph" w:customStyle="1" w:styleId="22">
    <w:name w:val="列出段落3"/>
    <w:basedOn w:val="1"/>
    <w:unhideWhenUsed/>
    <w:qFormat/>
    <w:uiPriority w:val="99"/>
    <w:pPr>
      <w:ind w:firstLine="420" w:firstLineChars="200"/>
    </w:pPr>
  </w:style>
  <w:style w:type="paragraph" w:customStyle="1" w:styleId="2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5">
    <w:name w:val="一级条标题"/>
    <w:next w:val="1"/>
    <w:link w:val="3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6">
    <w:name w:val="二级条标题"/>
    <w:basedOn w:val="25"/>
    <w:next w:val="1"/>
    <w:qFormat/>
    <w:uiPriority w:val="0"/>
    <w:pPr>
      <w:numPr>
        <w:ilvl w:val="3"/>
      </w:numPr>
      <w:ind w:left="1680" w:hanging="420"/>
      <w:outlineLvl w:val="3"/>
    </w:pPr>
  </w:style>
  <w:style w:type="paragraph" w:customStyle="1" w:styleId="27">
    <w:name w:val="三级条标题"/>
    <w:basedOn w:val="26"/>
    <w:next w:val="1"/>
    <w:qFormat/>
    <w:uiPriority w:val="0"/>
    <w:pPr>
      <w:numPr>
        <w:ilvl w:val="4"/>
      </w:numPr>
      <w:ind w:left="2100" w:hanging="420"/>
      <w:outlineLvl w:val="4"/>
    </w:pPr>
  </w:style>
  <w:style w:type="paragraph" w:customStyle="1" w:styleId="28">
    <w:name w:val="四级条标题"/>
    <w:basedOn w:val="27"/>
    <w:next w:val="1"/>
    <w:qFormat/>
    <w:uiPriority w:val="0"/>
    <w:pPr>
      <w:numPr>
        <w:ilvl w:val="5"/>
      </w:numPr>
      <w:ind w:left="2520" w:hanging="420"/>
      <w:outlineLvl w:val="5"/>
    </w:pPr>
  </w:style>
  <w:style w:type="paragraph" w:customStyle="1" w:styleId="29">
    <w:name w:val="五级条标题"/>
    <w:basedOn w:val="28"/>
    <w:next w:val="1"/>
    <w:qFormat/>
    <w:uiPriority w:val="0"/>
    <w:pPr>
      <w:numPr>
        <w:ilvl w:val="6"/>
      </w:numPr>
      <w:ind w:left="2940" w:hanging="420"/>
      <w:outlineLvl w:val="6"/>
    </w:pPr>
  </w:style>
  <w:style w:type="character" w:customStyle="1" w:styleId="30">
    <w:name w:val="一级条标题 Char"/>
    <w:basedOn w:val="9"/>
    <w:link w:val="25"/>
    <w:qFormat/>
    <w:locked/>
    <w:uiPriority w:val="0"/>
    <w:rPr>
      <w:rFonts w:ascii="Times New Roman" w:hAnsi="Times New Roman" w:eastAsia="黑体"/>
      <w:sz w:val="21"/>
    </w:rPr>
  </w:style>
  <w:style w:type="character" w:customStyle="1" w:styleId="31">
    <w:name w:val="标题 3 Char"/>
    <w:basedOn w:val="9"/>
    <w:link w:val="3"/>
    <w:semiHidden/>
    <w:qFormat/>
    <w:uiPriority w:val="9"/>
    <w:rPr>
      <w:rFonts w:asciiTheme="minorHAnsi" w:hAnsiTheme="minorHAnsi" w:eastAsiaTheme="minorEastAsia" w:cstheme="minorBidi"/>
      <w:b/>
      <w:bCs/>
      <w:kern w:val="2"/>
      <w:sz w:val="32"/>
      <w:szCs w:val="32"/>
    </w:rPr>
  </w:style>
  <w:style w:type="character" w:customStyle="1" w:styleId="32">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4A193D-E637-4206-B760-A3B3C29224A6}">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8</Pages>
  <Words>966</Words>
  <Characters>5510</Characters>
  <Lines>45</Lines>
  <Paragraphs>12</Paragraphs>
  <TotalTime>0</TotalTime>
  <ScaleCrop>false</ScaleCrop>
  <LinksUpToDate>false</LinksUpToDate>
  <CharactersWithSpaces>6464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2017-09-18T07:33:00Z</dcterms:created>
  <dc:creator>李佳</dc:creator>
  <cp:lastModifiedBy>Administrator</cp:lastModifiedBy>
  <cp:lastPrinted>2017-03-14T01:28:00Z</cp:lastPrinted>
  <dcterms:modified xsi:type="dcterms:W3CDTF">2019-06-06T02:19:42Z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