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</w:rPr>
        <w:pict>
          <v:shape id="fmFrame1" o:spid="_x0000_s1026" o:spt="202" type="#_x0000_t202" style="position:absolute;left:0pt;margin-left:-14.4pt;margin-top:-11.55pt;height:25.75pt;width:200pt;mso-position-horizontal-relative:margin;mso-position-vertical-relative:margin;z-index:1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1"/>
                    <w:rPr>
                      <w:rFonts w:hint="eastAsia" w:ascii="黑体" w:hAnsi="黑体" w:eastAsia="黑体" w:cs="黑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</w:rPr>
                    <w:t>ICS</w:t>
                  </w:r>
                  <w:r>
                    <w:rPr>
                      <w:rFonts w:hint="eastAsia" w:ascii="黑体" w:hAnsi="黑体" w:eastAsia="黑体" w:cs="黑体"/>
                      <w:b/>
                      <w:bCs/>
                      <w:lang w:val="en-US" w:eastAsia="zh-CN"/>
                    </w:rPr>
                    <w:t xml:space="preserve"> XXXXXX</w:t>
                  </w:r>
                </w:p>
                <w:p>
                  <w:pPr>
                    <w:pStyle w:val="21"/>
                  </w:pPr>
                  <w:r>
                    <w:t xml:space="preserve">  </w:t>
                  </w:r>
                </w:p>
              </w:txbxContent>
            </v:textbox>
            <w10:anchorlock/>
          </v:shape>
        </w:pict>
      </w:r>
    </w:p>
    <w:p>
      <w:pPr>
        <w:rPr>
          <w:color w:val="auto"/>
        </w:rPr>
      </w:pPr>
      <w:r>
        <w:rPr>
          <w:color w:val="auto"/>
        </w:rPr>
        <w:pict>
          <v:shape id="HBPicture" o:spid="_x0000_s1027" o:spt="75" alt="GB" type="#_x0000_t75" style="position:absolute;left:0pt;margin-left:309.9pt;margin-top:-28.5pt;height:56.4pt;width:110.8pt;mso-position-horizontal-relative:margin;mso-position-vertical-relative:margin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anchorlock/>
          </v:shape>
        </w:pic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pict>
          <v:shape id="fmFrame2" o:spid="_x0000_s1028" o:spt="202" type="#_x0000_t202" style="position:absolute;left:0pt;margin-left:-19.6pt;margin-top:59.9pt;height:34.45pt;width:460.45pt;mso-position-horizontal-relative:margin;mso-position-vertical-relative:margin;z-index:102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16"/>
                    <w:rPr>
                      <w:spacing w:val="0"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bCs/>
                      <w:spacing w:val="0"/>
                      <w:w w:val="130"/>
                      <w:sz w:val="44"/>
                      <w:szCs w:val="44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</w:p>
    <w:p>
      <w:pPr>
        <w:rPr>
          <w:color w:val="auto"/>
        </w:rPr>
      </w:pPr>
    </w:p>
    <w:p>
      <w:pPr>
        <w:jc w:val="right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 xml:space="preserve">GB/T 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XXXX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>—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XXXX</w:t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pict>
          <v:line id="Line 10" o:spid="_x0000_s1029" o:spt="20" style="position:absolute;left:0pt;margin-left:-31.8pt;margin-top:2.2pt;height:0.05pt;width:482pt;z-index:1024;mso-width-relative:page;mso-height-relative:page;" stroked="t" coordsize="21600,21600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color w:val="auto"/>
        </w:rPr>
        <w:pict>
          <v:shape id="fmFrame4" o:spid="_x0000_s1030" o:spt="202" type="#_x0000_t202" style="position:absolute;left:0pt;margin-left:-27.9pt;margin-top:149.1pt;height:426.25pt;width:470pt;mso-position-horizontal-relative:margin;mso-position-vertical-relative:margin;z-index:102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19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2268" w:after="567"/>
                    <w:textAlignment w:val="auto"/>
                    <w:rPr>
                      <w:rFonts w:ascii="黑体" w:hAnsi="黑体" w:eastAsia="黑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52"/>
                      <w:szCs w:val="52"/>
                    </w:rPr>
                    <w:t>高温弹性元件用镍铍钛合金带材</w:t>
                  </w:r>
                </w:p>
                <w:p>
                  <w:pPr>
                    <w:pStyle w:val="18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ascii="黑体" w:hAnsi="黑体" w:eastAsia="黑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/>
                      <w:b/>
                      <w:bCs/>
                      <w:color w:val="000000"/>
                      <w:sz w:val="28"/>
                      <w:szCs w:val="28"/>
                    </w:rPr>
                    <w:t xml:space="preserve">Nickel beryllium titanium alloy strip for high </w:t>
                  </w:r>
                </w:p>
                <w:p>
                  <w:pPr>
                    <w:pStyle w:val="18"/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textAlignment w:val="auto"/>
                    <w:rPr>
                      <w:rFonts w:ascii="黑体" w:hAnsi="黑体" w:eastAsia="黑体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/>
                      <w:b/>
                      <w:bCs/>
                      <w:color w:val="000000"/>
                      <w:sz w:val="28"/>
                      <w:szCs w:val="28"/>
                    </w:rPr>
                    <w:t xml:space="preserve">temperature elastic element </w:t>
                  </w:r>
                </w:p>
                <w:p>
                  <w:pPr>
                    <w:pStyle w:val="19"/>
                    <w:rPr>
                      <w:sz w:val="28"/>
                      <w:szCs w:val="28"/>
                      <w:lang w:val="de-DE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de-DE"/>
                    </w:rPr>
                    <w:t>（</w:t>
                  </w:r>
                  <w:r>
                    <w:rPr>
                      <w:rFonts w:hint="eastAsia"/>
                      <w:sz w:val="28"/>
                      <w:szCs w:val="28"/>
                      <w:lang w:val="de-DE" w:eastAsia="zh-CN"/>
                    </w:rPr>
                    <w:t>审定</w:t>
                  </w:r>
                  <w:r>
                    <w:rPr>
                      <w:rFonts w:hint="eastAsia"/>
                      <w:sz w:val="28"/>
                      <w:szCs w:val="28"/>
                      <w:lang w:val="de-DE"/>
                    </w:rPr>
                    <w:t>稿）</w:t>
                  </w: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  <w:p>
                  <w:pPr>
                    <w:pStyle w:val="18"/>
                    <w:rPr>
                      <w:lang w:val="de-DE"/>
                    </w:rPr>
                  </w:pPr>
                </w:p>
              </w:txbxContent>
            </v:textbox>
            <w10:anchorlock/>
          </v:shape>
        </w:pic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pict>
          <v:shape id="fmFrame5" o:spid="_x0000_s1031" o:spt="202" type="#_x0000_t202" style="position:absolute;left:0pt;margin-left:-4.8pt;margin-top:618.15pt;height:24.6pt;width:159pt;mso-position-horizontal-relative:margin;mso-position-vertical-relative:margin;z-index:1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3"/>
                  </w:pPr>
                  <w:r>
                    <w:rPr>
                      <w:rFonts w:hint="eastAsia" w:ascii="黑体" w:hAnsi="黑体" w:eastAsia="黑体" w:cs="黑体"/>
                      <w:lang w:val="en-US" w:eastAsia="zh-CN"/>
                    </w:rPr>
                    <w:t>XXXX-XX-XX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color w:val="auto"/>
        </w:rPr>
        <w:pict>
          <v:shape id="fmFrame6" o:spid="_x0000_s1032" o:spt="202" type="#_x0000_t202" style="position:absolute;left:0pt;margin-left:241.9pt;margin-top:618.9pt;height:24.6pt;width:159pt;mso-position-horizontal-relative:margin;mso-position-vertical-relative:margin;z-index:1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2"/>
                  </w:pPr>
                  <w:r>
                    <w:rPr>
                      <w:rFonts w:hint="eastAsia" w:ascii="黑体" w:hAnsi="黑体" w:eastAsia="黑体" w:cs="黑体"/>
                      <w:lang w:val="en-US" w:eastAsia="zh-CN"/>
                    </w:rPr>
                    <w:t>XXXX-XX-XX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anchorlock/>
          </v:shape>
        </w:pic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pict>
          <v:line id="_x0000_s1033" o:spid="_x0000_s1033" o:spt="20" style="position:absolute;left:0pt;margin-left:-40.4pt;margin-top:8.1pt;height:0.05pt;width:482pt;z-index:1024;mso-width-relative:page;mso-height-relative:page;" stroked="t" coordsize="21600,21600">
            <v:path arrowok="t"/>
            <v:fill focussize="0,0"/>
            <v:stroke weight="1pt" color="#800008"/>
            <v:imagedata o:title=""/>
            <o:lock v:ext="edit"/>
          </v:line>
        </w:pict>
      </w:r>
      <w:r>
        <w:rPr>
          <w:color w:val="auto"/>
        </w:rPr>
        <w:pict>
          <v:shape id="fmFrame7" o:spid="_x0000_s1034" o:spt="202" type="#_x0000_t202" style="position:absolute;left:0pt;margin-left:-19.1pt;margin-top:655.8pt;height:60.15pt;width:481.9pt;mso-position-horizontal-relative:margin;mso-position-vertical-relative:margin;z-index:1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djustRightInd w:val="0"/>
                    <w:snapToGrid w:val="0"/>
                    <w:ind w:firstLine="718" w:firstLineChars="177"/>
                    <w:rPr>
                      <w:rStyle w:val="31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Style w:val="31"/>
                      <w:rFonts w:hint="eastAsia"/>
                      <w:b/>
                      <w:bCs/>
                      <w:sz w:val="36"/>
                      <w:szCs w:val="36"/>
                    </w:rPr>
                    <w:t>中华人民共和国国家质量监督检验检疫总局</w:t>
                  </w:r>
                  <w:r>
                    <w:rPr>
                      <w:rStyle w:val="31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>
                  <w:pPr>
                    <w:jc w:val="center"/>
                  </w:pP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中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国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国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家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标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准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化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管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理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委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员</w:t>
                  </w:r>
                  <w:r>
                    <w:rPr>
                      <w:rStyle w:val="31"/>
                      <w:rFonts w:hAnsi="黑体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Style w:val="31"/>
                      <w:rFonts w:hint="eastAsia" w:hAnsi="黑体"/>
                      <w:b/>
                      <w:bCs/>
                      <w:sz w:val="36"/>
                      <w:szCs w:val="36"/>
                    </w:rPr>
                    <w:t>会</w:t>
                  </w:r>
                  <w:r>
                    <w:rPr>
                      <w:rStyle w:val="31"/>
                      <w:b/>
                      <w:bCs/>
                      <w:sz w:val="36"/>
                      <w:szCs w:val="36"/>
                    </w:rPr>
                    <w:t xml:space="preserve">  </w:t>
                  </w:r>
                  <w:r>
                    <w:rPr>
                      <w:rStyle w:val="31"/>
                      <w:rFonts w:hint="eastAsia"/>
                      <w:b/>
                      <w:bCs/>
                      <w:szCs w:val="28"/>
                    </w:rPr>
                    <w:t>发布</w:t>
                  </w:r>
                </w:p>
              </w:txbxContent>
            </v:textbox>
            <w10:anchorlock/>
          </v:shape>
        </w:pic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850" w:after="680"/>
        <w:textAlignment w:val="auto"/>
        <w:rPr>
          <w:color w:val="auto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850" w:after="680"/>
        <w:textAlignment w:val="auto"/>
        <w:rPr>
          <w:color w:val="auto"/>
        </w:rPr>
      </w:pPr>
      <w:r>
        <w:rPr>
          <w:rFonts w:hint="eastAsia"/>
          <w:color w:val="auto"/>
        </w:rPr>
        <w:t>前</w:t>
      </w:r>
      <w:r>
        <w:rPr>
          <w:color w:val="auto"/>
        </w:rPr>
        <w:t xml:space="preserve">    </w:t>
      </w:r>
      <w:r>
        <w:rPr>
          <w:rFonts w:hint="eastAsia"/>
          <w:color w:val="auto"/>
        </w:rPr>
        <w:t>言</w:t>
      </w:r>
      <w:r>
        <w:rPr>
          <w:rFonts w:hint="eastAsia"/>
          <w:color w:val="auto"/>
          <w:lang w:val="en-US" w:eastAsia="zh-CN"/>
        </w:rPr>
        <w:t xml:space="preserve"> </w:t>
      </w:r>
    </w:p>
    <w:p>
      <w:pPr>
        <w:ind w:firstLine="420" w:firstLineChars="200"/>
        <w:rPr>
          <w:rFonts w:ascii="宋体"/>
          <w:color w:val="auto"/>
        </w:rPr>
      </w:pPr>
      <w:r>
        <w:rPr>
          <w:rFonts w:hint="eastAsia" w:ascii="宋体" w:hAnsi="宋体"/>
          <w:color w:val="auto"/>
        </w:rPr>
        <w:t>本标准按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2"/>
          <w:lang w:val="en-US" w:eastAsia="zh-CN" w:bidi="ar-SA"/>
        </w:rPr>
        <w:t>GB/T 1.1－2009</w:t>
      </w:r>
      <w:r>
        <w:rPr>
          <w:rFonts w:hint="eastAsia" w:ascii="宋体" w:hAnsi="宋体"/>
          <w:color w:val="auto"/>
        </w:rPr>
        <w:t>给出的规则起草。</w:t>
      </w:r>
    </w:p>
    <w:p>
      <w:pPr>
        <w:pStyle w:val="15"/>
        <w:ind w:left="420" w:firstLine="0" w:firstLineChars="0"/>
        <w:rPr>
          <w:rFonts w:hAnsi="宋体"/>
          <w:color w:val="auto"/>
        </w:rPr>
      </w:pPr>
      <w:r>
        <w:rPr>
          <w:rFonts w:hint="eastAsia" w:hAnsi="宋体"/>
          <w:color w:val="auto"/>
        </w:rPr>
        <w:t>本标准由全国有色金属标准化技术委员会（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2"/>
          <w:lang w:val="en-US" w:eastAsia="zh-CN" w:bidi="ar-SA"/>
        </w:rPr>
        <w:t>SAC/TC243</w:t>
      </w:r>
      <w:r>
        <w:rPr>
          <w:rFonts w:hint="eastAsia" w:hAnsi="宋体"/>
          <w:color w:val="auto"/>
        </w:rPr>
        <w:t>）归口。</w:t>
      </w:r>
    </w:p>
    <w:p>
      <w:pPr>
        <w:pStyle w:val="15"/>
        <w:ind w:left="420" w:firstLine="0" w:firstLineChars="0"/>
        <w:rPr>
          <w:rFonts w:hAnsi="宋体"/>
          <w:color w:val="auto"/>
        </w:rPr>
      </w:pPr>
      <w:r>
        <w:rPr>
          <w:rFonts w:hint="eastAsia" w:hAnsi="宋体"/>
          <w:color w:val="auto"/>
        </w:rPr>
        <w:t>本标准起草单位：沈阳有色金属研究所有限公司、天津航空机电有限公司、宝钛集团有限公司、中铝沈阳有色金属加工有限公司。</w:t>
      </w:r>
    </w:p>
    <w:p>
      <w:pPr>
        <w:pStyle w:val="15"/>
        <w:ind w:left="420" w:firstLine="0" w:firstLineChars="0"/>
        <w:rPr>
          <w:rFonts w:hAnsi="宋体"/>
          <w:color w:val="auto"/>
        </w:rPr>
      </w:pPr>
      <w:r>
        <w:rPr>
          <w:rFonts w:hint="eastAsia" w:hAnsi="宋体"/>
          <w:color w:val="auto"/>
        </w:rPr>
        <w:t>本标准主要起草人：</w:t>
      </w:r>
    </w:p>
    <w:p>
      <w:pPr>
        <w:pStyle w:val="15"/>
        <w:ind w:left="420" w:firstLine="0" w:firstLineChars="0"/>
        <w:rPr>
          <w:rFonts w:ascii="Times New Roman"/>
          <w:strike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50" w:after="680" w:line="240" w:lineRule="auto"/>
        <w:jc w:val="both"/>
        <w:textAlignment w:val="auto"/>
        <w:rPr>
          <w:rFonts w:hint="eastAsia" w:ascii="Times New Roman" w:eastAsia="黑体"/>
          <w:b/>
          <w:bCs/>
          <w:color w:val="auto"/>
          <w:sz w:val="32"/>
          <w:szCs w:val="32"/>
        </w:rPr>
        <w:sectPr>
          <w:footerReference r:id="rId6" w:type="default"/>
          <w:headerReference r:id="rId5" w:type="even"/>
          <w:footerReference r:id="rId7" w:type="even"/>
          <w:pgSz w:w="11906" w:h="16838"/>
          <w:pgMar w:top="1701" w:right="1134" w:bottom="1134" w:left="1134" w:header="1417" w:footer="1134" w:gutter="28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0" w:num="1"/>
          <w:rtlGutter w:val="0"/>
          <w:docGrid w:type="lines" w:linePitch="312" w:charSpace="0"/>
        </w:sect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line="240" w:lineRule="auto"/>
        <w:jc w:val="center"/>
        <w:textAlignment w:val="auto"/>
        <w:rPr>
          <w:rFonts w:hint="eastAsia" w:ascii="Times New Roman" w:eastAsia="黑体"/>
          <w:b/>
          <w:bCs/>
          <w:color w:val="auto"/>
          <w:sz w:val="32"/>
          <w:szCs w:val="32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680" w:line="240" w:lineRule="auto"/>
        <w:jc w:val="center"/>
        <w:textAlignment w:val="auto"/>
        <w:rPr>
          <w:rFonts w:ascii="Times New Roman" w:eastAsia="黑体"/>
          <w:b/>
          <w:bCs/>
          <w:color w:val="auto"/>
          <w:sz w:val="32"/>
          <w:szCs w:val="32"/>
        </w:rPr>
      </w:pPr>
      <w:r>
        <w:rPr>
          <w:rFonts w:hint="eastAsia" w:ascii="Times New Roman" w:eastAsia="黑体"/>
          <w:b/>
          <w:bCs/>
          <w:color w:val="auto"/>
          <w:sz w:val="32"/>
          <w:szCs w:val="32"/>
        </w:rPr>
        <w:t>高温弹性元件用镍铍钛合金带材</w:t>
      </w:r>
    </w:p>
    <w:p>
      <w:pPr>
        <w:pStyle w:val="26"/>
        <w:numPr>
          <w:ilvl w:val="1"/>
          <w:numId w:val="1"/>
        </w:numPr>
        <w:spacing w:beforeLines="0" w:afterLines="0"/>
        <w:ind w:left="0" w:firstLine="0"/>
        <w:rPr>
          <w:color w:val="auto"/>
        </w:rPr>
      </w:pPr>
      <w:r>
        <w:rPr>
          <w:rFonts w:hint="eastAsia"/>
          <w:color w:val="auto"/>
        </w:rPr>
        <w:t>范围</w:t>
      </w:r>
    </w:p>
    <w:p>
      <w:pPr>
        <w:pStyle w:val="15"/>
        <w:rPr>
          <w:color w:val="auto"/>
        </w:rPr>
      </w:pPr>
    </w:p>
    <w:p>
      <w:pPr>
        <w:pStyle w:val="15"/>
        <w:spacing w:line="264" w:lineRule="auto"/>
        <w:ind w:firstLine="420"/>
        <w:rPr>
          <w:color w:val="auto"/>
        </w:rPr>
      </w:pPr>
      <w:r>
        <w:rPr>
          <w:rFonts w:hint="eastAsia"/>
          <w:color w:val="auto"/>
        </w:rPr>
        <w:t>本标准规定了高温弹性元件用镍铍钛合金带材的要求、试验方法、检验规则和包装、标志、运输、贮存及订货单（或合同）内容。</w:t>
      </w:r>
    </w:p>
    <w:p>
      <w:pPr>
        <w:pStyle w:val="15"/>
        <w:spacing w:line="264" w:lineRule="auto"/>
        <w:ind w:firstLine="420"/>
        <w:rPr>
          <w:rFonts w:hint="eastAsia"/>
          <w:color w:val="auto"/>
        </w:rPr>
      </w:pPr>
      <w:r>
        <w:rPr>
          <w:rFonts w:hint="eastAsia"/>
          <w:color w:val="auto"/>
        </w:rPr>
        <w:t>本标准适用于仪表工业部门制造膜片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膜盒和弹簧等弹性元件用的镍铍钛合金带材。</w:t>
      </w:r>
    </w:p>
    <w:p>
      <w:pPr>
        <w:pStyle w:val="15"/>
        <w:spacing w:line="264" w:lineRule="auto"/>
        <w:ind w:firstLine="420"/>
        <w:rPr>
          <w:rFonts w:hint="eastAsia"/>
          <w:color w:val="auto"/>
        </w:rPr>
      </w:pPr>
    </w:p>
    <w:p>
      <w:pPr>
        <w:pStyle w:val="26"/>
        <w:numPr>
          <w:ilvl w:val="1"/>
          <w:numId w:val="1"/>
        </w:numPr>
        <w:spacing w:beforeLines="0" w:afterLines="0"/>
        <w:ind w:left="0" w:firstLine="0"/>
        <w:rPr>
          <w:color w:val="auto"/>
        </w:rPr>
      </w:pPr>
      <w:r>
        <w:rPr>
          <w:rFonts w:hint="eastAsia"/>
          <w:color w:val="auto"/>
        </w:rPr>
        <w:t>规范性引用文件</w:t>
      </w:r>
    </w:p>
    <w:p>
      <w:pPr>
        <w:pStyle w:val="15"/>
        <w:rPr>
          <w:color w:val="auto"/>
        </w:rPr>
      </w:pPr>
    </w:p>
    <w:p>
      <w:pPr>
        <w:pStyle w:val="9"/>
        <w:numPr>
          <w:ilvl w:val="0"/>
          <w:numId w:val="1"/>
        </w:numPr>
        <w:spacing w:line="360" w:lineRule="exact"/>
        <w:ind w:firstLineChars="0"/>
        <w:rPr>
          <w:color w:val="auto"/>
        </w:rPr>
      </w:pPr>
      <w:r>
        <w:rPr>
          <w:color w:val="auto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ascii="Times New Roman"/>
          <w:color w:val="auto"/>
        </w:rPr>
        <w:t>GB/T 228</w:t>
      </w:r>
      <w:r>
        <w:rPr>
          <w:rFonts w:hint="eastAsia" w:ascii="Times New Roman"/>
          <w:color w:val="auto"/>
        </w:rPr>
        <w:t>.1-2010</w:t>
      </w:r>
      <w:r>
        <w:rPr>
          <w:rFonts w:ascii="Times New Roman"/>
          <w:color w:val="auto"/>
        </w:rPr>
        <w:t xml:space="preserve">  </w:t>
      </w:r>
      <w:r>
        <w:rPr>
          <w:rFonts w:hint="eastAsia" w:ascii="Times New Roman"/>
          <w:color w:val="auto"/>
        </w:rPr>
        <w:t>金属材料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hint="eastAsia" w:ascii="Times New Roman"/>
          <w:color w:val="auto"/>
        </w:rPr>
        <w:t>拉伸试验</w:t>
      </w:r>
      <w:r>
        <w:rPr>
          <w:rFonts w:ascii="Times New Roman"/>
          <w:color w:val="auto"/>
        </w:rPr>
        <w:t xml:space="preserve"> </w:t>
      </w:r>
      <w:r>
        <w:rPr>
          <w:rFonts w:hint="eastAsia" w:ascii="Times New Roman"/>
          <w:color w:val="auto"/>
          <w:lang w:eastAsia="zh-CN"/>
        </w:rPr>
        <w:t>第一部分：</w:t>
      </w:r>
      <w:r>
        <w:rPr>
          <w:rFonts w:hint="eastAsia" w:ascii="Times New Roman"/>
          <w:color w:val="auto"/>
        </w:rPr>
        <w:t>室温试验方法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ascii="Times New Roman"/>
          <w:color w:val="auto"/>
        </w:rPr>
        <w:t>GB/T 228</w:t>
      </w:r>
      <w:r>
        <w:rPr>
          <w:rFonts w:hint="eastAsia" w:ascii="Times New Roman"/>
          <w:color w:val="auto"/>
        </w:rPr>
        <w:t>.2-201</w:t>
      </w:r>
      <w:r>
        <w:rPr>
          <w:rFonts w:hint="eastAsia" w:ascii="Times New Roman"/>
          <w:color w:val="auto"/>
          <w:lang w:val="en-US" w:eastAsia="zh-CN"/>
        </w:rPr>
        <w:t>5</w:t>
      </w:r>
      <w:r>
        <w:rPr>
          <w:rFonts w:ascii="Times New Roman"/>
          <w:color w:val="auto"/>
        </w:rPr>
        <w:t xml:space="preserve">  </w:t>
      </w:r>
      <w:r>
        <w:rPr>
          <w:rFonts w:hint="eastAsia" w:ascii="Times New Roman"/>
          <w:color w:val="auto"/>
        </w:rPr>
        <w:t>金属材料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hint="eastAsia" w:ascii="Times New Roman"/>
          <w:color w:val="auto"/>
        </w:rPr>
        <w:t>拉伸试验</w:t>
      </w:r>
      <w:r>
        <w:rPr>
          <w:rFonts w:ascii="Times New Roman"/>
          <w:color w:val="auto"/>
        </w:rPr>
        <w:t xml:space="preserve"> </w:t>
      </w:r>
      <w:r>
        <w:rPr>
          <w:rFonts w:hint="eastAsia" w:ascii="Times New Roman"/>
          <w:color w:val="auto"/>
          <w:lang w:eastAsia="zh-CN"/>
        </w:rPr>
        <w:t>第二部分：</w:t>
      </w:r>
      <w:r>
        <w:rPr>
          <w:rFonts w:hint="eastAsia" w:ascii="Times New Roman"/>
          <w:color w:val="auto"/>
        </w:rPr>
        <w:t>高温试验方法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GB/T 232   金属材料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hint="eastAsia" w:ascii="Times New Roman"/>
          <w:color w:val="auto"/>
        </w:rPr>
        <w:t>弯曲试验方法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GB/T 22315 金属材料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hint="eastAsia" w:ascii="Times New Roman"/>
          <w:color w:val="auto"/>
        </w:rPr>
        <w:t>弹性模量和泊松比试验方法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GB/T 4340.1-2009  </w:t>
      </w:r>
      <w:r>
        <w:rPr>
          <w:rFonts w:hint="eastAsia" w:ascii="Times New Roman"/>
          <w:color w:val="auto"/>
        </w:rPr>
        <w:t>金属材料</w:t>
      </w:r>
      <w:r>
        <w:rPr>
          <w:rFonts w:ascii="Times New Roman"/>
          <w:color w:val="auto"/>
        </w:rPr>
        <w:t xml:space="preserve">  </w:t>
      </w:r>
      <w:r>
        <w:rPr>
          <w:rFonts w:hint="eastAsia" w:ascii="Times New Roman"/>
          <w:color w:val="auto"/>
        </w:rPr>
        <w:t>维氏硬度</w:t>
      </w:r>
      <w:r>
        <w:rPr>
          <w:rFonts w:hint="eastAsia" w:ascii="Times New Roman"/>
          <w:color w:val="auto"/>
          <w:lang w:eastAsia="zh-CN"/>
        </w:rPr>
        <w:t>试</w:t>
      </w:r>
      <w:r>
        <w:rPr>
          <w:rFonts w:hint="eastAsia" w:ascii="Times New Roman"/>
          <w:color w:val="auto"/>
        </w:rPr>
        <w:t>验</w:t>
      </w:r>
      <w:r>
        <w:rPr>
          <w:rFonts w:ascii="Times New Roman"/>
          <w:color w:val="auto"/>
        </w:rPr>
        <w:t xml:space="preserve"> </w:t>
      </w:r>
      <w:r>
        <w:rPr>
          <w:rFonts w:hint="eastAsia" w:ascii="Times New Roman"/>
          <w:color w:val="auto"/>
        </w:rPr>
        <w:t>第</w:t>
      </w:r>
      <w:r>
        <w:rPr>
          <w:rFonts w:ascii="Times New Roman"/>
          <w:color w:val="auto"/>
        </w:rPr>
        <w:t>1</w:t>
      </w:r>
      <w:r>
        <w:rPr>
          <w:rFonts w:hint="eastAsia" w:ascii="Times New Roman"/>
          <w:color w:val="auto"/>
        </w:rPr>
        <w:t>部分：试验方法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GB/T 6394  金属平均晶粒度测定方法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GB/T 8170  数值修约规则与极限数值的表示和判定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 xml:space="preserve">GB/T 8647 </w:t>
      </w:r>
      <w:r>
        <w:rPr>
          <w:rFonts w:hint="eastAsia" w:ascii="Times New Roman"/>
          <w:color w:val="auto"/>
          <w:lang w:val="en-US" w:eastAsia="zh-CN"/>
        </w:rPr>
        <w:t xml:space="preserve"> </w:t>
      </w:r>
      <w:r>
        <w:rPr>
          <w:rFonts w:hint="eastAsia" w:ascii="Times New Roman"/>
          <w:color w:val="auto"/>
        </w:rPr>
        <w:t>镍化学分析方法</w:t>
      </w:r>
      <w:r>
        <w:rPr>
          <w:rFonts w:ascii="Times New Roman"/>
          <w:color w:val="auto"/>
        </w:rPr>
        <w:t>(所有部分）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ascii="Times New Roman"/>
          <w:color w:val="auto"/>
        </w:rPr>
        <w:t xml:space="preserve">GB/T 8888  </w:t>
      </w:r>
      <w:r>
        <w:rPr>
          <w:color w:val="auto"/>
        </w:rPr>
        <w:t>重有色金属加工产品的包装、标志、运输</w:t>
      </w:r>
      <w:r>
        <w:rPr>
          <w:rFonts w:hint="eastAsia"/>
          <w:color w:val="auto"/>
          <w:lang w:eastAsia="zh-CN"/>
        </w:rPr>
        <w:t>、</w:t>
      </w:r>
      <w:r>
        <w:rPr>
          <w:color w:val="auto"/>
        </w:rPr>
        <w:t>贮存和质量证明书</w:t>
      </w: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  <w:szCs w:val="22"/>
        </w:rPr>
      </w:pPr>
      <w:r>
        <w:rPr>
          <w:rFonts w:hint="eastAsia" w:ascii="Times New Roman"/>
          <w:color w:val="auto"/>
          <w:szCs w:val="22"/>
        </w:rPr>
        <w:t xml:space="preserve">YS/T 325   镍铜合金化学分析方法(所有部分） </w:t>
      </w:r>
    </w:p>
    <w:p>
      <w:pPr>
        <w:pStyle w:val="15"/>
        <w:spacing w:line="264" w:lineRule="auto"/>
        <w:ind w:firstLine="420"/>
        <w:rPr>
          <w:rFonts w:hint="default" w:ascii="Times New Roman" w:eastAsia="宋体"/>
          <w:color w:val="auto"/>
          <w:lang w:val="en-US" w:eastAsia="zh-CN"/>
        </w:rPr>
      </w:pPr>
      <w:r>
        <w:rPr>
          <w:rFonts w:hint="eastAsia" w:ascii="Times New Roman"/>
          <w:color w:val="auto"/>
          <w:lang w:val="en-US" w:eastAsia="zh-CN"/>
        </w:rPr>
        <w:t>GB/T5121.17 铜及铜合金化学分析方法 第17部分：铍含量的测定</w:t>
      </w:r>
    </w:p>
    <w:p>
      <w:pPr>
        <w:spacing w:before="120" w:after="120"/>
        <w:ind w:right="-334" w:rightChars="-159"/>
        <w:outlineLvl w:val="0"/>
        <w:rPr>
          <w:rFonts w:hint="eastAsia" w:ascii="黑体" w:eastAsia="黑体"/>
          <w:color w:val="auto"/>
          <w:szCs w:val="21"/>
        </w:rPr>
      </w:pPr>
    </w:p>
    <w:p>
      <w:pPr>
        <w:spacing w:before="120" w:after="120"/>
        <w:ind w:right="-334" w:rightChars="-159"/>
        <w:outlineLvl w:val="0"/>
        <w:rPr>
          <w:rFonts w:hint="eastAsia" w:ascii="黑体" w:eastAsia="黑体"/>
          <w:color w:val="auto"/>
          <w:szCs w:val="21"/>
          <w:lang w:eastAsia="zh-CN"/>
        </w:rPr>
      </w:pPr>
      <w:r>
        <w:rPr>
          <w:rFonts w:hint="eastAsia" w:ascii="黑体" w:eastAsia="黑体"/>
          <w:color w:val="auto"/>
          <w:szCs w:val="21"/>
        </w:rPr>
        <w:t xml:space="preserve">3 </w:t>
      </w:r>
      <w:r>
        <w:rPr>
          <w:rFonts w:hint="eastAsia" w:ascii="黑体" w:eastAsia="黑体"/>
          <w:color w:val="auto"/>
          <w:szCs w:val="21"/>
          <w:lang w:val="en-US" w:eastAsia="zh-CN"/>
        </w:rPr>
        <w:t xml:space="preserve"> </w:t>
      </w:r>
      <w:r>
        <w:rPr>
          <w:rFonts w:eastAsia="黑体"/>
          <w:color w:val="auto"/>
          <w:szCs w:val="21"/>
        </w:rPr>
        <w:t>分类</w:t>
      </w:r>
      <w:r>
        <w:rPr>
          <w:rFonts w:hint="eastAsia" w:eastAsia="黑体"/>
          <w:color w:val="auto"/>
          <w:szCs w:val="21"/>
          <w:lang w:eastAsia="zh-CN"/>
        </w:rPr>
        <w:t>和标记</w:t>
      </w:r>
    </w:p>
    <w:p>
      <w:pPr>
        <w:pStyle w:val="15"/>
        <w:rPr>
          <w:color w:val="auto"/>
        </w:rPr>
      </w:pP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</w:rPr>
        <w:t>3.1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产品分类</w:t>
      </w: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产品的牌号、状态和规格应符合表</w:t>
      </w:r>
      <w:r>
        <w:rPr>
          <w:rFonts w:ascii="Times New Roman"/>
          <w:color w:val="auto"/>
        </w:rPr>
        <w:t>1</w:t>
      </w:r>
      <w:r>
        <w:rPr>
          <w:rFonts w:hint="eastAsia" w:ascii="Times New Roman"/>
          <w:color w:val="auto"/>
        </w:rPr>
        <w:t>的规定。</w:t>
      </w:r>
    </w:p>
    <w:p>
      <w:pPr>
        <w:pStyle w:val="15"/>
        <w:spacing w:line="264" w:lineRule="auto"/>
        <w:ind w:left="0" w:leftChars="0" w:firstLine="0" w:firstLineChars="0"/>
        <w:rPr>
          <w:rFonts w:hint="eastAsia" w:ascii="Times New Roman"/>
          <w:color w:val="auto"/>
        </w:rPr>
      </w:pPr>
    </w:p>
    <w:p>
      <w:pPr>
        <w:pStyle w:val="28"/>
        <w:numPr>
          <w:ilvl w:val="0"/>
          <w:numId w:val="2"/>
        </w:numPr>
        <w:spacing w:line="264" w:lineRule="auto"/>
        <w:ind w:left="0" w:firstLine="0"/>
        <w:jc w:val="center"/>
        <w:rPr>
          <w:color w:val="auto"/>
        </w:rPr>
      </w:pPr>
      <w:r>
        <w:rPr>
          <w:rFonts w:hint="eastAsia"/>
          <w:color w:val="auto"/>
        </w:rPr>
        <w:t>牌号、状态和规格</w:t>
      </w:r>
    </w:p>
    <w:p>
      <w:pPr>
        <w:pStyle w:val="15"/>
        <w:rPr>
          <w:color w:val="auto"/>
        </w:rPr>
      </w:pPr>
    </w:p>
    <w:tbl>
      <w:tblPr>
        <w:tblStyle w:val="10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823"/>
        <w:gridCol w:w="1645"/>
        <w:gridCol w:w="164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9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牌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8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状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态</w:t>
            </w:r>
          </w:p>
        </w:tc>
        <w:tc>
          <w:tcPr>
            <w:tcW w:w="493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格/</w:t>
            </w:r>
            <w:r>
              <w:rPr>
                <w:color w:val="auto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69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度</w:t>
            </w:r>
          </w:p>
        </w:tc>
        <w:tc>
          <w:tcPr>
            <w:tcW w:w="164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宽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度</w:t>
            </w:r>
          </w:p>
        </w:tc>
        <w:tc>
          <w:tcPr>
            <w:tcW w:w="164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长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6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NBe2-0.5</w:t>
            </w:r>
          </w:p>
        </w:tc>
        <w:tc>
          <w:tcPr>
            <w:tcW w:w="282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软态（</w:t>
            </w:r>
            <w:r>
              <w:rPr>
                <w:rFonts w:ascii="Times New Roman"/>
                <w:color w:val="auto"/>
                <w:sz w:val="18"/>
                <w:szCs w:val="18"/>
              </w:rPr>
              <w:t>M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硬态（</w:t>
            </w:r>
            <w:r>
              <w:rPr>
                <w:rFonts w:ascii="Times New Roman"/>
                <w:color w:val="auto"/>
                <w:sz w:val="18"/>
                <w:szCs w:val="18"/>
              </w:rPr>
              <w:t>Y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64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≥</w:t>
            </w:r>
            <w:r>
              <w:rPr>
                <w:rFonts w:ascii="Times New Roman"/>
                <w:color w:val="auto"/>
                <w:sz w:val="18"/>
                <w:szCs w:val="18"/>
              </w:rPr>
              <w:t>0.1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5～</w:t>
            </w:r>
            <w:r>
              <w:rPr>
                <w:rFonts w:asci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64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50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～</w:t>
            </w:r>
            <w:r>
              <w:rPr>
                <w:rFonts w:ascii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164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≥</w:t>
            </w:r>
            <w:r>
              <w:rPr>
                <w:rFonts w:ascii="Times New Roman"/>
                <w:color w:val="auto"/>
                <w:sz w:val="18"/>
                <w:szCs w:val="18"/>
              </w:rPr>
              <w:t>300</w:t>
            </w:r>
          </w:p>
        </w:tc>
      </w:tr>
    </w:tbl>
    <w:p>
      <w:pPr>
        <w:jc w:val="center"/>
        <w:rPr>
          <w:rFonts w:hint="eastAsia" w:ascii="黑体" w:hAnsi="黑体" w:eastAsia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/>
          <w:color w:val="auto"/>
          <w:szCs w:val="21"/>
        </w:rPr>
        <w:t>表</w:t>
      </w:r>
      <w:r>
        <w:rPr>
          <w:rFonts w:hint="eastAsia" w:ascii="黑体" w:hAnsi="黑体" w:eastAsia="黑体"/>
          <w:color w:val="auto"/>
          <w:szCs w:val="21"/>
          <w:lang w:val="en-US" w:eastAsia="zh-CN"/>
        </w:rPr>
        <w:t>1（续）</w:t>
      </w:r>
    </w:p>
    <w:p>
      <w:pPr>
        <w:jc w:val="center"/>
        <w:rPr>
          <w:rFonts w:hint="eastAsia" w:ascii="黑体" w:hAnsi="黑体" w:eastAsia="黑体"/>
          <w:color w:val="auto"/>
          <w:szCs w:val="21"/>
          <w:lang w:val="en-US" w:eastAsia="zh-CN"/>
        </w:rPr>
      </w:pPr>
    </w:p>
    <w:tbl>
      <w:tblPr>
        <w:tblStyle w:val="10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823"/>
        <w:gridCol w:w="1645"/>
        <w:gridCol w:w="164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69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牌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82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状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态</w:t>
            </w:r>
          </w:p>
        </w:tc>
        <w:tc>
          <w:tcPr>
            <w:tcW w:w="4935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规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格/</w:t>
            </w:r>
            <w:r>
              <w:rPr>
                <w:color w:val="auto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69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8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4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度</w:t>
            </w:r>
          </w:p>
        </w:tc>
        <w:tc>
          <w:tcPr>
            <w:tcW w:w="164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宽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度</w:t>
            </w:r>
          </w:p>
        </w:tc>
        <w:tc>
          <w:tcPr>
            <w:tcW w:w="164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长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NBe2-0.5</w:t>
            </w:r>
          </w:p>
        </w:tc>
        <w:tc>
          <w:tcPr>
            <w:tcW w:w="282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固溶态（</w:t>
            </w:r>
            <w:r>
              <w:rPr>
                <w:rFonts w:ascii="Times New Roman"/>
                <w:color w:val="auto"/>
                <w:sz w:val="18"/>
                <w:szCs w:val="18"/>
              </w:rPr>
              <w:t>C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固溶热处理</w:t>
            </w:r>
            <w:r>
              <w:rPr>
                <w:rFonts w:ascii="Times New Roman"/>
                <w:color w:val="auto"/>
                <w:sz w:val="18"/>
                <w:szCs w:val="18"/>
              </w:rPr>
              <w:t>+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冷加工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态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（</w:t>
            </w:r>
            <w:r>
              <w:rPr>
                <w:rFonts w:ascii="Times New Roman"/>
                <w:color w:val="auto"/>
                <w:sz w:val="18"/>
                <w:szCs w:val="18"/>
              </w:rPr>
              <w:t>CY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固溶热处理</w:t>
            </w:r>
            <w:r>
              <w:rPr>
                <w:rFonts w:ascii="Times New Roman"/>
                <w:color w:val="auto"/>
                <w:sz w:val="18"/>
                <w:szCs w:val="18"/>
              </w:rPr>
              <w:t>+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时效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态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（</w:t>
            </w:r>
            <w:r>
              <w:rPr>
                <w:rFonts w:ascii="Times New Roman"/>
                <w:color w:val="auto"/>
                <w:sz w:val="18"/>
                <w:szCs w:val="18"/>
              </w:rPr>
              <w:t>CS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≥</w:t>
            </w:r>
            <w:r>
              <w:rPr>
                <w:rFonts w:ascii="Times New Roman"/>
                <w:color w:val="auto"/>
                <w:sz w:val="18"/>
                <w:szCs w:val="18"/>
              </w:rPr>
              <w:t>0.1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5～</w:t>
            </w:r>
            <w:r>
              <w:rPr>
                <w:rFonts w:ascii="Times New Roman"/>
                <w:color w:val="auto"/>
                <w:sz w:val="18"/>
                <w:szCs w:val="18"/>
              </w:rPr>
              <w:t>1.0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ascii="Times New Roman"/>
                <w:color w:val="auto"/>
                <w:sz w:val="18"/>
                <w:szCs w:val="18"/>
              </w:rPr>
              <w:t>50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～</w:t>
            </w:r>
            <w:r>
              <w:rPr>
                <w:rFonts w:ascii="Times New Roman"/>
                <w:color w:val="auto"/>
                <w:sz w:val="18"/>
                <w:szCs w:val="18"/>
              </w:rPr>
              <w:t>150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≥</w:t>
            </w:r>
            <w:r>
              <w:rPr>
                <w:rFonts w:ascii="Times New Roman"/>
                <w:color w:val="auto"/>
                <w:sz w:val="18"/>
                <w:szCs w:val="18"/>
              </w:rPr>
              <w:t>300</w:t>
            </w:r>
          </w:p>
        </w:tc>
      </w:tr>
    </w:tbl>
    <w:p>
      <w:pPr>
        <w:rPr>
          <w:color w:val="auto"/>
        </w:rPr>
      </w:pPr>
    </w:p>
    <w:p>
      <w:pPr>
        <w:pStyle w:val="24"/>
        <w:numPr>
          <w:ilvl w:val="0"/>
          <w:numId w:val="0"/>
        </w:numPr>
        <w:spacing w:line="264" w:lineRule="auto"/>
        <w:rPr>
          <w:rFonts w:hint="eastAsia" w:eastAsia="黑体"/>
          <w:color w:val="auto"/>
          <w:lang w:val="en-US" w:eastAsia="zh-CN"/>
        </w:rPr>
      </w:pPr>
      <w:r>
        <w:rPr>
          <w:rFonts w:hint="eastAsia"/>
          <w:color w:val="auto"/>
        </w:rPr>
        <w:t>3..2</w:t>
      </w:r>
      <w:r>
        <w:rPr>
          <w:rFonts w:hint="eastAsia"/>
          <w:color w:val="auto"/>
          <w:lang w:val="en-US" w:eastAsia="zh-CN"/>
        </w:rPr>
        <w:t xml:space="preserve">  产品</w:t>
      </w:r>
      <w:r>
        <w:rPr>
          <w:rFonts w:hint="eastAsia"/>
          <w:color w:val="auto"/>
        </w:rPr>
        <w:t>标记</w:t>
      </w:r>
    </w:p>
    <w:p>
      <w:pPr>
        <w:pStyle w:val="29"/>
        <w:spacing w:line="264" w:lineRule="auto"/>
        <w:ind w:left="420" w:leftChars="0" w:firstLine="0" w:firstLineChars="0"/>
        <w:rPr>
          <w:color w:val="auto"/>
          <w:szCs w:val="21"/>
        </w:rPr>
      </w:pPr>
      <w:r>
        <w:rPr>
          <w:color w:val="auto"/>
          <w:szCs w:val="21"/>
        </w:rPr>
        <w:t>产品标记按产品名称、标准编号、牌号、状态和规格的顺序表示。</w:t>
      </w:r>
      <w:r>
        <w:rPr>
          <w:rFonts w:hint="eastAsia"/>
          <w:color w:val="auto"/>
          <w:szCs w:val="21"/>
        </w:rPr>
        <w:t>标记示例如下：</w:t>
      </w:r>
    </w:p>
    <w:p>
      <w:pPr>
        <w:ind w:firstLine="360" w:firstLineChars="20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示例</w:t>
      </w:r>
      <w:r>
        <w:rPr>
          <w:rFonts w:hint="eastAsia"/>
          <w:color w:val="auto"/>
          <w:sz w:val="18"/>
          <w:szCs w:val="18"/>
          <w:lang w:val="en-US" w:eastAsia="zh-CN"/>
        </w:rPr>
        <w:t>1</w:t>
      </w:r>
      <w:r>
        <w:rPr>
          <w:rFonts w:hint="eastAsia"/>
          <w:color w:val="auto"/>
          <w:sz w:val="18"/>
          <w:szCs w:val="18"/>
        </w:rPr>
        <w:t>：用</w:t>
      </w:r>
      <w:r>
        <w:rPr>
          <w:color w:val="auto"/>
          <w:sz w:val="18"/>
          <w:szCs w:val="18"/>
        </w:rPr>
        <w:t>NBe2-0.5</w:t>
      </w:r>
      <w:r>
        <w:rPr>
          <w:rFonts w:hint="eastAsia"/>
          <w:color w:val="auto"/>
          <w:sz w:val="18"/>
          <w:szCs w:val="18"/>
        </w:rPr>
        <w:t>制造的、状态为软态（M）、</w:t>
      </w:r>
      <w:r>
        <w:rPr>
          <w:rFonts w:hint="eastAsia"/>
          <w:color w:val="auto"/>
          <w:sz w:val="18"/>
          <w:szCs w:val="18"/>
          <w:lang w:eastAsia="zh-CN"/>
        </w:rPr>
        <w:t>尺寸精度为</w:t>
      </w:r>
      <w:r>
        <w:rPr>
          <w:rFonts w:hint="eastAsia"/>
          <w:color w:val="auto"/>
          <w:sz w:val="18"/>
          <w:szCs w:val="18"/>
        </w:rPr>
        <w:t>普通级、厚度为</w:t>
      </w:r>
      <w:r>
        <w:rPr>
          <w:color w:val="auto"/>
          <w:sz w:val="18"/>
          <w:szCs w:val="18"/>
        </w:rPr>
        <w:t>1.0mm</w:t>
      </w:r>
      <w:r>
        <w:rPr>
          <w:rFonts w:hint="eastAsia"/>
          <w:color w:val="auto"/>
          <w:sz w:val="18"/>
          <w:szCs w:val="18"/>
        </w:rPr>
        <w:t>、宽度为</w:t>
      </w:r>
      <w:r>
        <w:rPr>
          <w:color w:val="auto"/>
          <w:sz w:val="18"/>
          <w:szCs w:val="18"/>
        </w:rPr>
        <w:t>150mm</w:t>
      </w:r>
      <w:r>
        <w:rPr>
          <w:rFonts w:hint="eastAsia"/>
          <w:color w:val="auto"/>
          <w:sz w:val="18"/>
          <w:szCs w:val="18"/>
        </w:rPr>
        <w:t xml:space="preserve">的带材标记为： </w:t>
      </w:r>
    </w:p>
    <w:p>
      <w:pPr>
        <w:jc w:val="center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带</w:t>
      </w:r>
      <w:r>
        <w:rPr>
          <w:rFonts w:ascii="宋体" w:hAnsi="宋体"/>
          <w:color w:val="auto"/>
          <w:sz w:val="18"/>
          <w:szCs w:val="18"/>
        </w:rPr>
        <w:t>GB/T ××××</w:t>
      </w:r>
      <w:r>
        <w:rPr>
          <w:rFonts w:hint="eastAsia" w:ascii="宋体" w:hAnsi="宋体"/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 xml:space="preserve"> NBe2-0.5 M</w:t>
      </w:r>
      <w:r>
        <w:rPr>
          <w:rFonts w:hint="eastAsia" w:ascii="宋体" w:hAnsi="宋体"/>
          <w:color w:val="auto"/>
          <w:sz w:val="18"/>
          <w:szCs w:val="18"/>
        </w:rPr>
        <w:t xml:space="preserve"> -1.0</w:t>
      </w:r>
      <w:r>
        <w:rPr>
          <w:rFonts w:ascii="宋体" w:hAnsi="宋体"/>
          <w:color w:val="auto"/>
          <w:sz w:val="18"/>
          <w:szCs w:val="18"/>
        </w:rPr>
        <w:t>×</w:t>
      </w:r>
      <w:r>
        <w:rPr>
          <w:rFonts w:hint="eastAsia" w:ascii="宋体" w:hAnsi="宋体"/>
          <w:color w:val="auto"/>
          <w:sz w:val="18"/>
          <w:szCs w:val="18"/>
        </w:rPr>
        <w:t>150</w:t>
      </w:r>
    </w:p>
    <w:p>
      <w:pPr>
        <w:ind w:firstLine="360" w:firstLineChars="20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示例</w:t>
      </w:r>
      <w:r>
        <w:rPr>
          <w:rFonts w:hint="eastAsia"/>
          <w:color w:val="auto"/>
          <w:sz w:val="18"/>
          <w:szCs w:val="18"/>
          <w:lang w:val="en-US" w:eastAsia="zh-CN"/>
        </w:rPr>
        <w:t>2</w:t>
      </w:r>
      <w:r>
        <w:rPr>
          <w:rFonts w:hint="eastAsia"/>
          <w:color w:val="auto"/>
          <w:sz w:val="18"/>
          <w:szCs w:val="18"/>
        </w:rPr>
        <w:t>：用</w:t>
      </w:r>
      <w:r>
        <w:rPr>
          <w:color w:val="auto"/>
          <w:sz w:val="18"/>
          <w:szCs w:val="18"/>
        </w:rPr>
        <w:t>NBe2-0.5</w:t>
      </w:r>
      <w:r>
        <w:rPr>
          <w:rFonts w:hint="eastAsia"/>
          <w:color w:val="auto"/>
          <w:sz w:val="18"/>
          <w:szCs w:val="18"/>
        </w:rPr>
        <w:t>制造的、状态为软态（M）、</w:t>
      </w:r>
      <w:r>
        <w:rPr>
          <w:rFonts w:hint="eastAsia"/>
          <w:color w:val="auto"/>
          <w:sz w:val="18"/>
          <w:szCs w:val="18"/>
          <w:lang w:eastAsia="zh-CN"/>
        </w:rPr>
        <w:t>尺寸精度为较高</w:t>
      </w:r>
      <w:r>
        <w:rPr>
          <w:rFonts w:hint="eastAsia"/>
          <w:color w:val="auto"/>
          <w:sz w:val="18"/>
          <w:szCs w:val="18"/>
        </w:rPr>
        <w:t>级、厚度为</w:t>
      </w:r>
      <w:r>
        <w:rPr>
          <w:color w:val="auto"/>
          <w:sz w:val="18"/>
          <w:szCs w:val="18"/>
        </w:rPr>
        <w:t>1.0mm</w:t>
      </w:r>
      <w:r>
        <w:rPr>
          <w:rFonts w:hint="eastAsia"/>
          <w:color w:val="auto"/>
          <w:sz w:val="18"/>
          <w:szCs w:val="18"/>
        </w:rPr>
        <w:t>、宽度为</w:t>
      </w:r>
      <w:r>
        <w:rPr>
          <w:color w:val="auto"/>
          <w:sz w:val="18"/>
          <w:szCs w:val="18"/>
        </w:rPr>
        <w:t>150mm</w:t>
      </w:r>
      <w:r>
        <w:rPr>
          <w:rFonts w:hint="eastAsia"/>
          <w:color w:val="auto"/>
          <w:sz w:val="18"/>
          <w:szCs w:val="18"/>
        </w:rPr>
        <w:t xml:space="preserve">的带材标记为： 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宋体" w:hAnsi="宋体"/>
          <w:color w:val="auto"/>
          <w:sz w:val="18"/>
          <w:szCs w:val="18"/>
        </w:rPr>
        <w:t>带</w:t>
      </w:r>
      <w:r>
        <w:rPr>
          <w:rFonts w:ascii="宋体" w:hAnsi="宋体"/>
          <w:color w:val="auto"/>
          <w:sz w:val="18"/>
          <w:szCs w:val="18"/>
        </w:rPr>
        <w:t>GB/T ××××</w:t>
      </w:r>
      <w:r>
        <w:rPr>
          <w:rFonts w:hint="eastAsia" w:ascii="宋体" w:hAnsi="宋体"/>
          <w:color w:val="auto"/>
          <w:sz w:val="18"/>
          <w:szCs w:val="18"/>
        </w:rPr>
        <w:t>-</w:t>
      </w:r>
      <w:r>
        <w:rPr>
          <w:color w:val="auto"/>
          <w:sz w:val="18"/>
          <w:szCs w:val="18"/>
        </w:rPr>
        <w:t xml:space="preserve"> NBe2-0.5 M</w:t>
      </w:r>
      <w:r>
        <w:rPr>
          <w:rFonts w:hint="eastAsia"/>
          <w:color w:val="auto"/>
          <w:sz w:val="18"/>
          <w:szCs w:val="18"/>
          <w:lang w:eastAsia="zh-CN"/>
        </w:rPr>
        <w:t>较高</w:t>
      </w:r>
      <w:r>
        <w:rPr>
          <w:rFonts w:hint="eastAsia"/>
          <w:color w:val="auto"/>
          <w:sz w:val="18"/>
          <w:szCs w:val="18"/>
        </w:rPr>
        <w:t>级</w:t>
      </w:r>
      <w:r>
        <w:rPr>
          <w:rFonts w:hint="eastAsia" w:ascii="宋体" w:hAnsi="宋体"/>
          <w:color w:val="auto"/>
          <w:sz w:val="18"/>
          <w:szCs w:val="18"/>
        </w:rPr>
        <w:t xml:space="preserve"> -1.0</w:t>
      </w:r>
      <w:r>
        <w:rPr>
          <w:rFonts w:ascii="宋体" w:hAnsi="宋体"/>
          <w:color w:val="auto"/>
          <w:sz w:val="18"/>
          <w:szCs w:val="18"/>
        </w:rPr>
        <w:t>×</w:t>
      </w:r>
      <w:r>
        <w:rPr>
          <w:rFonts w:hint="eastAsia" w:ascii="宋体" w:hAnsi="宋体"/>
          <w:color w:val="auto"/>
          <w:sz w:val="18"/>
          <w:szCs w:val="18"/>
        </w:rPr>
        <w:t>150</w:t>
      </w:r>
    </w:p>
    <w:p>
      <w:pPr>
        <w:pStyle w:val="26"/>
        <w:numPr>
          <w:ilvl w:val="0"/>
          <w:numId w:val="0"/>
        </w:numPr>
        <w:spacing w:beforeLines="0" w:afterLines="0"/>
        <w:rPr>
          <w:rFonts w:hint="eastAsia"/>
          <w:color w:val="auto"/>
        </w:rPr>
      </w:pPr>
    </w:p>
    <w:p>
      <w:pPr>
        <w:pStyle w:val="26"/>
        <w:numPr>
          <w:ilvl w:val="0"/>
          <w:numId w:val="0"/>
        </w:numPr>
        <w:spacing w:beforeLines="0" w:afterLines="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 xml:space="preserve">4  </w:t>
      </w:r>
      <w:r>
        <w:rPr>
          <w:rFonts w:hint="eastAsia"/>
          <w:color w:val="auto"/>
        </w:rPr>
        <w:t>技术要求</w:t>
      </w:r>
    </w:p>
    <w:p>
      <w:pPr>
        <w:pStyle w:val="25"/>
        <w:numPr>
          <w:ilvl w:val="0"/>
          <w:numId w:val="0"/>
        </w:numPr>
        <w:spacing w:line="264" w:lineRule="auto"/>
        <w:rPr>
          <w:rFonts w:hint="eastAsia"/>
          <w:color w:val="auto"/>
        </w:rPr>
      </w:pP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.</w:t>
      </w:r>
      <w:r>
        <w:rPr>
          <w:rFonts w:hint="eastAsia"/>
          <w:color w:val="auto"/>
          <w:lang w:val="en-US" w:eastAsia="zh-CN"/>
        </w:rPr>
        <w:t xml:space="preserve">1  </w:t>
      </w:r>
      <w:r>
        <w:rPr>
          <w:rFonts w:hint="eastAsia"/>
          <w:color w:val="auto"/>
        </w:rPr>
        <w:t>化学成分</w:t>
      </w: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</w:rPr>
      </w:pPr>
      <w:r>
        <w:rPr>
          <w:rFonts w:ascii="Times New Roman"/>
          <w:color w:val="auto"/>
          <w:szCs w:val="21"/>
        </w:rPr>
        <w:t>NBe2-0.5</w:t>
      </w:r>
      <w:r>
        <w:rPr>
          <w:rFonts w:hint="eastAsia" w:ascii="Times New Roman"/>
          <w:color w:val="auto"/>
          <w:szCs w:val="21"/>
        </w:rPr>
        <w:t>的化学成分应符合表</w:t>
      </w:r>
      <w:r>
        <w:rPr>
          <w:rFonts w:hAnsi="宋体"/>
          <w:color w:val="auto"/>
          <w:szCs w:val="21"/>
        </w:rPr>
        <w:t>2</w:t>
      </w:r>
      <w:r>
        <w:rPr>
          <w:rFonts w:hint="eastAsia" w:ascii="Times New Roman"/>
          <w:color w:val="auto"/>
          <w:szCs w:val="21"/>
        </w:rPr>
        <w:t>的规定</w:t>
      </w:r>
      <w:r>
        <w:rPr>
          <w:rFonts w:hint="eastAsia" w:ascii="Times New Roman"/>
          <w:color w:val="auto"/>
        </w:rPr>
        <w:t>。</w:t>
      </w: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</w:rPr>
      </w:pPr>
    </w:p>
    <w:p>
      <w:pPr>
        <w:jc w:val="center"/>
        <w:rPr>
          <w:rFonts w:hint="eastAsia" w:ascii="黑体" w:hAnsi="黑体" w:eastAsia="黑体"/>
          <w:color w:val="auto"/>
          <w:szCs w:val="21"/>
        </w:rPr>
      </w:pPr>
      <w:r>
        <w:rPr>
          <w:rFonts w:hint="eastAsia" w:ascii="黑体" w:hAnsi="黑体" w:eastAsia="黑体"/>
          <w:color w:val="auto"/>
          <w:szCs w:val="21"/>
        </w:rPr>
        <w:t>表</w:t>
      </w:r>
      <w:r>
        <w:rPr>
          <w:rFonts w:ascii="黑体" w:hAnsi="黑体" w:eastAsia="黑体"/>
          <w:color w:val="auto"/>
          <w:szCs w:val="21"/>
        </w:rPr>
        <w:t>2</w:t>
      </w:r>
      <w:r>
        <w:rPr>
          <w:rFonts w:hint="eastAsia" w:ascii="黑体" w:hAnsi="黑体" w:eastAsia="黑体"/>
          <w:color w:val="auto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</w:rPr>
        <w:t>NBe2-0.5</w:t>
      </w:r>
      <w:r>
        <w:rPr>
          <w:rFonts w:hint="eastAsia" w:ascii="黑体" w:hAnsi="黑体" w:eastAsia="黑体"/>
          <w:color w:val="auto"/>
          <w:szCs w:val="21"/>
        </w:rPr>
        <w:t>化学成分</w:t>
      </w:r>
    </w:p>
    <w:p>
      <w:pPr>
        <w:jc w:val="center"/>
        <w:rPr>
          <w:rFonts w:hint="eastAsia" w:ascii="黑体" w:hAnsi="黑体" w:eastAsia="黑体"/>
          <w:color w:val="auto"/>
          <w:szCs w:val="21"/>
        </w:rPr>
      </w:pPr>
    </w:p>
    <w:tbl>
      <w:tblPr>
        <w:tblStyle w:val="10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20"/>
        <w:gridCol w:w="90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牌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主成分(质量分数)/%</w:t>
            </w:r>
          </w:p>
        </w:tc>
        <w:tc>
          <w:tcPr>
            <w:tcW w:w="6415" w:type="dxa"/>
            <w:gridSpan w:val="9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杂质(质量分数)/%，不大于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Ni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Be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Ti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Al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Cu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Fe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C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Si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P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S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Mn</w:t>
            </w:r>
          </w:p>
        </w:tc>
        <w:tc>
          <w:tcPr>
            <w:tcW w:w="655" w:type="dxa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总和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NBe2-0.5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余量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1.9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2.4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0.4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0.6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ascii="Times New Roman"/>
                <w:color w:val="auto"/>
                <w:sz w:val="18"/>
              </w:rPr>
              <w:t>0.1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0.10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0.30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0.03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0.05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0.01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0.01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  <w:right w:val="single" w:color="auto" w:sz="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0.03</w:t>
            </w:r>
          </w:p>
        </w:tc>
        <w:tc>
          <w:tcPr>
            <w:tcW w:w="655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0.70</w:t>
            </w:r>
          </w:p>
        </w:tc>
      </w:tr>
    </w:tbl>
    <w:p>
      <w:pPr>
        <w:pStyle w:val="25"/>
        <w:numPr>
          <w:ilvl w:val="2"/>
          <w:numId w:val="0"/>
        </w:numPr>
        <w:rPr>
          <w:color w:val="auto"/>
        </w:rPr>
      </w:pPr>
    </w:p>
    <w:p>
      <w:pPr>
        <w:pStyle w:val="25"/>
        <w:numPr>
          <w:ilvl w:val="2"/>
          <w:numId w:val="0"/>
        </w:numPr>
        <w:rPr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.</w:t>
      </w:r>
      <w:r>
        <w:rPr>
          <w:rFonts w:hint="eastAsia"/>
          <w:color w:val="auto"/>
          <w:lang w:val="en-US" w:eastAsia="zh-CN"/>
        </w:rPr>
        <w:t xml:space="preserve">2  </w:t>
      </w:r>
      <w:r>
        <w:rPr>
          <w:rFonts w:hint="eastAsia"/>
          <w:color w:val="auto"/>
        </w:rPr>
        <w:t>外形尺寸及尺寸允许偏差</w:t>
      </w:r>
    </w:p>
    <w:p>
      <w:pPr>
        <w:pStyle w:val="25"/>
        <w:numPr>
          <w:ilvl w:val="2"/>
          <w:numId w:val="0"/>
        </w:numPr>
        <w:rPr>
          <w:rFonts w:hint="eastAsia" w:hAnsi="宋体" w:eastAsia="宋体"/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.</w:t>
      </w:r>
      <w:r>
        <w:rPr>
          <w:rFonts w:hint="eastAsia"/>
          <w:color w:val="auto"/>
          <w:lang w:val="en-US" w:eastAsia="zh-CN"/>
        </w:rPr>
        <w:t>2</w:t>
      </w:r>
      <w:r>
        <w:rPr>
          <w:rFonts w:eastAsia="宋体"/>
          <w:color w:val="auto"/>
        </w:rPr>
        <w:t>.1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</w:rPr>
        <w:t>带材的外</w:t>
      </w:r>
      <w:r>
        <w:rPr>
          <w:rFonts w:hint="eastAsia" w:hAnsi="宋体" w:eastAsia="宋体"/>
          <w:color w:val="auto"/>
        </w:rPr>
        <w:t>形尺寸及尺寸允许偏差应符合表</w:t>
      </w:r>
      <w:r>
        <w:rPr>
          <w:rFonts w:hint="eastAsia" w:eastAsia="宋体"/>
          <w:color w:val="auto"/>
        </w:rPr>
        <w:t>3</w:t>
      </w:r>
      <w:r>
        <w:rPr>
          <w:rFonts w:hint="eastAsia" w:hAnsi="宋体" w:eastAsia="宋体"/>
          <w:color w:val="auto"/>
        </w:rPr>
        <w:t>的规定。</w:t>
      </w:r>
    </w:p>
    <w:p>
      <w:pPr>
        <w:pStyle w:val="15"/>
        <w:rPr>
          <w:color w:val="auto"/>
        </w:rPr>
      </w:pPr>
    </w:p>
    <w:p>
      <w:pPr>
        <w:jc w:val="center"/>
        <w:rPr>
          <w:rFonts w:hint="eastAsia" w:ascii="宋体"/>
          <w:color w:val="auto"/>
          <w:sz w:val="18"/>
          <w:szCs w:val="18"/>
        </w:rPr>
      </w:pPr>
      <w:r>
        <w:rPr>
          <w:color w:val="auto"/>
        </w:rPr>
        <w:t xml:space="preserve">                        </w:t>
      </w:r>
      <w:r>
        <w:rPr>
          <w:rFonts w:hint="eastAsia"/>
          <w:color w:val="auto"/>
          <w:lang w:val="en-US" w:eastAsia="zh-CN"/>
        </w:rPr>
        <w:t xml:space="preserve">    </w:t>
      </w:r>
      <w:r>
        <w:rPr>
          <w:color w:val="auto"/>
        </w:rPr>
        <w:t xml:space="preserve"> </w:t>
      </w:r>
      <w:r>
        <w:rPr>
          <w:rFonts w:hint="eastAsia" w:ascii="黑体" w:hAnsi="黑体" w:eastAsia="黑体"/>
          <w:color w:val="auto"/>
        </w:rPr>
        <w:t>表3 带材尺寸</w:t>
      </w:r>
      <w:r>
        <w:rPr>
          <w:rFonts w:hint="eastAsia" w:ascii="黑体" w:hAnsi="黑体" w:eastAsia="黑体"/>
          <w:color w:val="auto"/>
          <w:lang w:eastAsia="zh-CN"/>
        </w:rPr>
        <w:t>及尺寸</w:t>
      </w:r>
      <w:r>
        <w:rPr>
          <w:rFonts w:hint="eastAsia" w:ascii="黑体" w:hAnsi="黑体" w:eastAsia="黑体"/>
          <w:color w:val="auto"/>
        </w:rPr>
        <w:t>允许偏差</w:t>
      </w:r>
      <w:r>
        <w:rPr>
          <w:color w:val="auto"/>
        </w:rPr>
        <w:t xml:space="preserve">                      </w:t>
      </w:r>
      <w:r>
        <w:rPr>
          <w:rFonts w:hint="eastAsia" w:ascii="宋体"/>
          <w:color w:val="auto"/>
          <w:sz w:val="18"/>
          <w:szCs w:val="18"/>
        </w:rPr>
        <w:t>单位为毫米</w:t>
      </w:r>
    </w:p>
    <w:p>
      <w:pPr>
        <w:jc w:val="center"/>
        <w:rPr>
          <w:rFonts w:hint="eastAsia" w:ascii="宋体"/>
          <w:color w:val="auto"/>
          <w:sz w:val="18"/>
          <w:szCs w:val="18"/>
        </w:rPr>
      </w:pPr>
    </w:p>
    <w:tbl>
      <w:tblPr>
        <w:tblStyle w:val="10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010"/>
        <w:gridCol w:w="2355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6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厚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度</w:t>
            </w:r>
          </w:p>
        </w:tc>
        <w:tc>
          <w:tcPr>
            <w:tcW w:w="4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厚度允许偏差</w:t>
            </w:r>
            <w:r>
              <w:rPr>
                <w:rFonts w:hint="eastAsia" w:ascii="Times New Roman"/>
                <w:color w:val="auto"/>
                <w:sz w:val="18"/>
                <w:vertAlign w:val="superscript"/>
              </w:rPr>
              <w:t>a</w:t>
            </w:r>
          </w:p>
        </w:tc>
        <w:tc>
          <w:tcPr>
            <w:tcW w:w="272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规定宽度范围的宽度允许偏差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236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01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普通级</w:t>
            </w:r>
          </w:p>
        </w:tc>
        <w:tc>
          <w:tcPr>
            <w:tcW w:w="235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较高级</w:t>
            </w:r>
          </w:p>
        </w:tc>
        <w:tc>
          <w:tcPr>
            <w:tcW w:w="272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50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6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0.15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0.30</w:t>
            </w:r>
          </w:p>
        </w:tc>
        <w:tc>
          <w:tcPr>
            <w:tcW w:w="201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0.015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0.010</w:t>
            </w:r>
          </w:p>
        </w:tc>
        <w:tc>
          <w:tcPr>
            <w:tcW w:w="2728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36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</w:t>
            </w:r>
            <w:r>
              <w:rPr>
                <w:rFonts w:ascii="Times New Roman"/>
                <w:color w:val="auto"/>
                <w:sz w:val="18"/>
              </w:rPr>
              <w:t>0.30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0.45</w:t>
            </w:r>
          </w:p>
        </w:tc>
        <w:tc>
          <w:tcPr>
            <w:tcW w:w="201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0.020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0.015</w:t>
            </w:r>
          </w:p>
        </w:tc>
        <w:tc>
          <w:tcPr>
            <w:tcW w:w="272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6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</w:t>
            </w:r>
            <w:r>
              <w:rPr>
                <w:rFonts w:ascii="Times New Roman"/>
                <w:color w:val="auto"/>
                <w:sz w:val="18"/>
              </w:rPr>
              <w:t>0.45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0.55</w:t>
            </w:r>
          </w:p>
        </w:tc>
        <w:tc>
          <w:tcPr>
            <w:tcW w:w="201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0.025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0.020</w:t>
            </w:r>
          </w:p>
        </w:tc>
        <w:tc>
          <w:tcPr>
            <w:tcW w:w="272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6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</w:t>
            </w:r>
            <w:r>
              <w:rPr>
                <w:rFonts w:ascii="Times New Roman"/>
                <w:color w:val="auto"/>
                <w:sz w:val="18"/>
              </w:rPr>
              <w:t>0.55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0.85</w:t>
            </w:r>
          </w:p>
        </w:tc>
        <w:tc>
          <w:tcPr>
            <w:tcW w:w="201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0.030</w:t>
            </w:r>
          </w:p>
        </w:tc>
        <w:tc>
          <w:tcPr>
            <w:tcW w:w="235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0.025</w:t>
            </w:r>
          </w:p>
        </w:tc>
        <w:tc>
          <w:tcPr>
            <w:tcW w:w="272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6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</w:t>
            </w:r>
            <w:r>
              <w:rPr>
                <w:rFonts w:ascii="Times New Roman"/>
                <w:color w:val="auto"/>
                <w:sz w:val="18"/>
              </w:rPr>
              <w:t>0.85</w:t>
            </w:r>
            <w:r>
              <w:rPr>
                <w:rFonts w:hint="eastAsia" w:ascii="Times New Roman"/>
                <w:color w:val="auto"/>
                <w:sz w:val="18"/>
              </w:rPr>
              <w:t>～</w:t>
            </w:r>
            <w:r>
              <w:rPr>
                <w:rFonts w:ascii="Times New Roman"/>
                <w:color w:val="auto"/>
                <w:sz w:val="18"/>
              </w:rPr>
              <w:t>1.0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0.035</w:t>
            </w:r>
          </w:p>
        </w:tc>
        <w:tc>
          <w:tcPr>
            <w:tcW w:w="235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±</w:t>
            </w:r>
            <w:r>
              <w:rPr>
                <w:rFonts w:ascii="Times New Roman"/>
                <w:color w:val="auto"/>
                <w:sz w:val="18"/>
              </w:rPr>
              <w:t>0.030</w:t>
            </w:r>
          </w:p>
        </w:tc>
        <w:tc>
          <w:tcPr>
            <w:tcW w:w="272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5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0"/>
              <w:numPr>
                <w:ilvl w:val="0"/>
                <w:numId w:val="0"/>
              </w:numPr>
              <w:tabs>
                <w:tab w:val="left" w:pos="900"/>
              </w:tabs>
              <w:snapToGrid w:val="0"/>
              <w:spacing w:before="60" w:after="60" w:line="264" w:lineRule="auto"/>
              <w:ind w:firstLine="360" w:firstLineChars="200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 xml:space="preserve">a </w:t>
            </w:r>
            <w:r>
              <w:rPr>
                <w:rFonts w:hint="eastAsia" w:ascii="Times New Roman"/>
                <w:color w:val="auto"/>
              </w:rPr>
              <w:t>当要求厚度偏差仅为“＋”或“－”时，其值为表中数值的</w:t>
            </w:r>
            <w:r>
              <w:rPr>
                <w:rFonts w:ascii="Times New Roman"/>
                <w:color w:val="auto"/>
              </w:rPr>
              <w:t>2</w:t>
            </w:r>
            <w:r>
              <w:rPr>
                <w:rFonts w:hint="eastAsia" w:ascii="Times New Roman"/>
                <w:color w:val="auto"/>
              </w:rPr>
              <w:t>倍。</w:t>
            </w:r>
          </w:p>
        </w:tc>
      </w:tr>
    </w:tbl>
    <w:p>
      <w:pPr>
        <w:pStyle w:val="24"/>
        <w:numPr>
          <w:ilvl w:val="3"/>
          <w:numId w:val="0"/>
        </w:numPr>
        <w:spacing w:line="264" w:lineRule="auto"/>
        <w:rPr>
          <w:rFonts w:eastAsia="宋体"/>
          <w:color w:val="auto"/>
        </w:rPr>
      </w:pPr>
    </w:p>
    <w:p>
      <w:pPr>
        <w:pStyle w:val="24"/>
        <w:numPr>
          <w:ilvl w:val="3"/>
          <w:numId w:val="0"/>
        </w:numPr>
        <w:spacing w:line="264" w:lineRule="auto"/>
        <w:rPr>
          <w:rFonts w:ascii="宋体" w:hAnsi="宋体" w:eastAsia="宋体"/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.</w:t>
      </w:r>
      <w:r>
        <w:rPr>
          <w:rFonts w:hint="eastAsia"/>
          <w:color w:val="auto"/>
          <w:lang w:val="en-US" w:eastAsia="zh-CN"/>
        </w:rPr>
        <w:t>2</w:t>
      </w:r>
      <w:r>
        <w:rPr>
          <w:rFonts w:eastAsia="宋体"/>
          <w:color w:val="auto"/>
        </w:rPr>
        <w:t>.2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</w:rPr>
        <w:t>硬态（</w:t>
      </w:r>
      <w:r>
        <w:rPr>
          <w:rFonts w:ascii="宋体" w:hAnsi="宋体" w:eastAsia="宋体"/>
          <w:color w:val="auto"/>
        </w:rPr>
        <w:t>Y</w:t>
      </w:r>
      <w:r>
        <w:rPr>
          <w:rFonts w:hint="eastAsia" w:ascii="宋体" w:hAnsi="宋体" w:eastAsia="宋体"/>
          <w:color w:val="auto"/>
        </w:rPr>
        <w:t>）和固溶热处理</w:t>
      </w:r>
      <w:r>
        <w:rPr>
          <w:rFonts w:ascii="宋体" w:hAnsi="宋体" w:eastAsia="宋体"/>
          <w:color w:val="auto"/>
        </w:rPr>
        <w:t>+</w:t>
      </w:r>
      <w:r>
        <w:rPr>
          <w:rFonts w:hint="eastAsia" w:ascii="宋体" w:hAnsi="宋体" w:eastAsia="宋体"/>
          <w:color w:val="auto"/>
        </w:rPr>
        <w:t>冷加工</w:t>
      </w:r>
      <w:r>
        <w:rPr>
          <w:rFonts w:hint="eastAsia" w:ascii="宋体" w:hAnsi="宋体" w:eastAsia="宋体"/>
          <w:color w:val="auto"/>
          <w:lang w:eastAsia="zh-CN"/>
        </w:rPr>
        <w:t>态</w:t>
      </w:r>
      <w:r>
        <w:rPr>
          <w:rFonts w:hint="eastAsia" w:ascii="宋体" w:hAnsi="宋体" w:eastAsia="宋体"/>
          <w:color w:val="auto"/>
        </w:rPr>
        <w:t>（</w:t>
      </w:r>
      <w:r>
        <w:rPr>
          <w:rFonts w:ascii="宋体" w:hAnsi="宋体" w:eastAsia="宋体"/>
          <w:color w:val="auto"/>
        </w:rPr>
        <w:t>CY</w:t>
      </w:r>
      <w:r>
        <w:rPr>
          <w:rFonts w:hint="eastAsia" w:ascii="宋体" w:hAnsi="宋体" w:eastAsia="宋体"/>
          <w:color w:val="auto"/>
        </w:rPr>
        <w:t>）带材应平直，带材的侧边弯曲度每米不大于</w:t>
      </w:r>
      <w:r>
        <w:rPr>
          <w:rFonts w:ascii="宋体" w:hAnsi="宋体" w:eastAsia="宋体"/>
          <w:color w:val="auto"/>
        </w:rPr>
        <w:t>3mm</w:t>
      </w:r>
      <w:r>
        <w:rPr>
          <w:rFonts w:hint="eastAsia" w:ascii="宋体" w:hAnsi="宋体" w:eastAsia="宋体"/>
          <w:color w:val="auto"/>
        </w:rPr>
        <w:t>，固溶态（</w:t>
      </w:r>
      <w:r>
        <w:rPr>
          <w:rFonts w:ascii="宋体" w:hAnsi="宋体" w:eastAsia="宋体"/>
          <w:color w:val="auto"/>
        </w:rPr>
        <w:t>C</w:t>
      </w:r>
      <w:r>
        <w:rPr>
          <w:rFonts w:hint="eastAsia" w:ascii="宋体" w:hAnsi="宋体" w:eastAsia="宋体"/>
          <w:color w:val="auto"/>
        </w:rPr>
        <w:t>）、软态（</w:t>
      </w:r>
      <w:r>
        <w:rPr>
          <w:rFonts w:ascii="宋体" w:hAnsi="宋体" w:eastAsia="宋体"/>
          <w:color w:val="auto"/>
        </w:rPr>
        <w:t>M</w:t>
      </w:r>
      <w:r>
        <w:rPr>
          <w:rFonts w:hint="eastAsia" w:ascii="宋体" w:hAnsi="宋体" w:eastAsia="宋体"/>
          <w:color w:val="auto"/>
        </w:rPr>
        <w:t>）和固溶热处理</w:t>
      </w:r>
      <w:r>
        <w:rPr>
          <w:rFonts w:ascii="宋体" w:hAnsi="宋体" w:eastAsia="宋体"/>
          <w:color w:val="auto"/>
        </w:rPr>
        <w:t>+</w:t>
      </w:r>
      <w:r>
        <w:rPr>
          <w:rFonts w:hint="eastAsia" w:ascii="宋体" w:hAnsi="宋体" w:eastAsia="宋体"/>
          <w:color w:val="auto"/>
        </w:rPr>
        <w:t>时效态（</w:t>
      </w:r>
      <w:r>
        <w:rPr>
          <w:rFonts w:ascii="宋体" w:hAnsi="宋体" w:eastAsia="宋体"/>
          <w:color w:val="auto"/>
        </w:rPr>
        <w:t>CS</w:t>
      </w:r>
      <w:r>
        <w:rPr>
          <w:rFonts w:hint="eastAsia" w:ascii="宋体" w:hAnsi="宋体" w:eastAsia="宋体"/>
          <w:color w:val="auto"/>
        </w:rPr>
        <w:t>）带材表面为热处理本色，平整度不作要求。</w:t>
      </w:r>
    </w:p>
    <w:p>
      <w:pPr>
        <w:pStyle w:val="24"/>
        <w:numPr>
          <w:ilvl w:val="3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color w:val="auto"/>
        </w:rPr>
        <w:t>.</w:t>
      </w:r>
      <w:r>
        <w:rPr>
          <w:rFonts w:hint="eastAsia"/>
          <w:color w:val="auto"/>
          <w:lang w:val="en-US" w:eastAsia="zh-CN"/>
        </w:rPr>
        <w:t>2</w:t>
      </w:r>
      <w:r>
        <w:rPr>
          <w:rFonts w:eastAsia="宋体"/>
          <w:color w:val="auto"/>
        </w:rPr>
        <w:t>.3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hAnsi="宋体" w:eastAsia="宋体"/>
          <w:color w:val="auto"/>
        </w:rPr>
        <w:t>带材的两边应切齐，无裂边和卷边。</w:t>
      </w: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</w:rPr>
        <w:t>.</w:t>
      </w:r>
      <w:r>
        <w:rPr>
          <w:rFonts w:hint="eastAsia"/>
          <w:color w:val="auto"/>
          <w:lang w:val="en-US" w:eastAsia="zh-CN"/>
        </w:rPr>
        <w:t xml:space="preserve">3  </w:t>
      </w:r>
      <w:r>
        <w:rPr>
          <w:rFonts w:hint="eastAsia"/>
          <w:color w:val="auto"/>
        </w:rPr>
        <w:t>力学性能</w:t>
      </w: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</w:rPr>
        <w:t>带材的纵向室温力学性能应符合表4的规定</w:t>
      </w:r>
      <w:r>
        <w:rPr>
          <w:rFonts w:hint="eastAsia" w:ascii="Times New Roman"/>
          <w:color w:val="auto"/>
          <w:lang w:eastAsia="zh-CN"/>
        </w:rPr>
        <w:t>；</w:t>
      </w:r>
      <w:r>
        <w:rPr>
          <w:rFonts w:hint="eastAsia" w:ascii="Times New Roman"/>
          <w:color w:val="auto"/>
        </w:rPr>
        <w:t>带材的高温性能应符合表</w:t>
      </w:r>
      <w:r>
        <w:rPr>
          <w:rFonts w:hint="eastAsia" w:ascii="Times New Roman"/>
          <w:color w:val="auto"/>
          <w:lang w:val="en-US" w:eastAsia="zh-CN"/>
        </w:rPr>
        <w:t>5</w:t>
      </w:r>
      <w:r>
        <w:rPr>
          <w:rFonts w:hint="eastAsia" w:ascii="Times New Roman"/>
          <w:color w:val="auto"/>
        </w:rPr>
        <w:t>的规定。</w:t>
      </w: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</w:rPr>
      </w:pPr>
    </w:p>
    <w:p>
      <w:pPr>
        <w:pStyle w:val="15"/>
        <w:spacing w:line="264" w:lineRule="auto"/>
        <w:ind w:firstLine="420"/>
        <w:jc w:val="center"/>
        <w:rPr>
          <w:rFonts w:hint="eastAsia" w:ascii="黑体" w:hAnsi="黑体" w:eastAsia="黑体"/>
          <w:color w:val="auto"/>
          <w:lang w:val="en-US" w:eastAsia="zh-CN"/>
        </w:rPr>
      </w:pPr>
      <w:r>
        <w:rPr>
          <w:rFonts w:hint="eastAsia" w:ascii="黑体" w:hAnsi="黑体" w:eastAsia="黑体"/>
          <w:color w:val="auto"/>
        </w:rPr>
        <w:t>表4 带材室温力学性能</w:t>
      </w:r>
      <w:r>
        <w:rPr>
          <w:rFonts w:hint="eastAsia" w:ascii="黑体" w:hAnsi="黑体" w:eastAsia="黑体"/>
          <w:color w:val="auto"/>
          <w:lang w:val="en-US" w:eastAsia="zh-CN"/>
        </w:rPr>
        <w:t xml:space="preserve"> </w:t>
      </w:r>
    </w:p>
    <w:p>
      <w:pPr>
        <w:pStyle w:val="15"/>
        <w:spacing w:line="264" w:lineRule="auto"/>
        <w:ind w:firstLine="420"/>
        <w:jc w:val="center"/>
        <w:rPr>
          <w:rFonts w:hint="eastAsia" w:ascii="黑体" w:hAnsi="黑体" w:eastAsia="黑体"/>
          <w:color w:val="auto"/>
          <w:lang w:val="en-US" w:eastAsia="zh-CN"/>
        </w:rPr>
      </w:pPr>
    </w:p>
    <w:tbl>
      <w:tblPr>
        <w:tblStyle w:val="10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2250"/>
        <w:gridCol w:w="1130"/>
        <w:gridCol w:w="1245"/>
        <w:gridCol w:w="1035"/>
        <w:gridCol w:w="103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141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牌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号</w:t>
            </w:r>
          </w:p>
        </w:tc>
        <w:tc>
          <w:tcPr>
            <w:tcW w:w="22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状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态</w:t>
            </w:r>
          </w:p>
        </w:tc>
        <w:tc>
          <w:tcPr>
            <w:tcW w:w="11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厚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度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  </w:t>
            </w:r>
            <w:r>
              <w:rPr>
                <w:rFonts w:ascii="Times New Roman"/>
                <w:color w:val="auto"/>
                <w:sz w:val="18"/>
              </w:rPr>
              <w:t xml:space="preserve"> mm</w:t>
            </w:r>
          </w:p>
        </w:tc>
        <w:tc>
          <w:tcPr>
            <w:tcW w:w="12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抗拉强度</w:t>
            </w:r>
          </w:p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Rm/MPa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断后伸长率</w:t>
            </w:r>
            <w:r>
              <w:rPr>
                <w:rFonts w:ascii="Times New Roman"/>
                <w:color w:val="auto"/>
                <w:sz w:val="18"/>
              </w:rPr>
              <w:t>/</w:t>
            </w:r>
            <w:r>
              <w:rPr>
                <w:rFonts w:hint="eastAsia" w:ascii="Times New Roman"/>
                <w:color w:val="auto"/>
                <w:sz w:val="18"/>
              </w:rPr>
              <w:t>％</w:t>
            </w:r>
          </w:p>
        </w:tc>
        <w:tc>
          <w:tcPr>
            <w:tcW w:w="12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维氏硬度</w:t>
            </w:r>
          </w:p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HV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41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left="-55" w:leftChars="-26"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 xml:space="preserve"> </w:t>
            </w:r>
            <w:r>
              <w:rPr>
                <w:rFonts w:ascii="Times New Roman"/>
                <w:color w:val="auto"/>
                <w:sz w:val="18"/>
              </w:rPr>
              <w:t>A</w:t>
            </w:r>
            <w:r>
              <w:rPr>
                <w:rFonts w:hint="eastAsia" w:ascii="Times New Roman"/>
                <w:color w:val="auto"/>
                <w:sz w:val="18"/>
                <w:vertAlign w:val="subscript"/>
              </w:rPr>
              <w:t xml:space="preserve">50mm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left="-55" w:leftChars="-26"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A</w:t>
            </w:r>
            <w:r>
              <w:rPr>
                <w:rFonts w:ascii="Times New Roman"/>
                <w:color w:val="auto"/>
                <w:sz w:val="18"/>
                <w:vertAlign w:val="subscript"/>
              </w:rPr>
              <w:t>11.3</w:t>
            </w:r>
          </w:p>
        </w:tc>
        <w:tc>
          <w:tcPr>
            <w:tcW w:w="12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left="-55" w:leftChars="-26"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41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NBe2-0.5</w:t>
            </w:r>
          </w:p>
        </w:tc>
        <w:tc>
          <w:tcPr>
            <w:tcW w:w="22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软态（</w:t>
            </w:r>
            <w:r>
              <w:rPr>
                <w:rFonts w:ascii="Times New Roman"/>
                <w:color w:val="auto"/>
                <w:sz w:val="18"/>
                <w:szCs w:val="18"/>
              </w:rPr>
              <w:t>M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固溶态（</w:t>
            </w:r>
            <w:r>
              <w:rPr>
                <w:rFonts w:ascii="Times New Roman"/>
                <w:color w:val="auto"/>
                <w:sz w:val="18"/>
                <w:szCs w:val="18"/>
              </w:rPr>
              <w:t>C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0.15~0.3</w:t>
            </w:r>
          </w:p>
        </w:tc>
        <w:tc>
          <w:tcPr>
            <w:tcW w:w="124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≤</w:t>
            </w:r>
            <w:r>
              <w:rPr>
                <w:rFonts w:ascii="Times New Roman"/>
                <w:color w:val="auto"/>
                <w:sz w:val="18"/>
              </w:rPr>
              <w:t>883</w:t>
            </w:r>
          </w:p>
        </w:tc>
        <w:tc>
          <w:tcPr>
            <w:tcW w:w="103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≥27</w:t>
            </w:r>
          </w:p>
        </w:tc>
        <w:tc>
          <w:tcPr>
            <w:tcW w:w="103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28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≤</w:t>
            </w:r>
            <w:r>
              <w:rPr>
                <w:rFonts w:ascii="Times New Roman"/>
                <w:color w:val="auto"/>
                <w:sz w:val="18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＞0.3~1.0</w:t>
            </w:r>
          </w:p>
        </w:tc>
        <w:tc>
          <w:tcPr>
            <w:tcW w:w="12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30</w:t>
            </w:r>
          </w:p>
        </w:tc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pStyle w:val="15"/>
              <w:spacing w:line="264" w:lineRule="auto"/>
              <w:ind w:firstLine="630" w:firstLineChars="350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硬态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（</w:t>
            </w:r>
            <w:r>
              <w:rPr>
                <w:color w:val="auto"/>
                <w:sz w:val="18"/>
                <w:szCs w:val="18"/>
              </w:rPr>
              <w:t>Y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0.15~0.3</w:t>
            </w:r>
          </w:p>
        </w:tc>
        <w:tc>
          <w:tcPr>
            <w:tcW w:w="12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≥960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2</w:t>
            </w:r>
          </w:p>
        </w:tc>
        <w:tc>
          <w:tcPr>
            <w:tcW w:w="1035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28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≤</w:t>
            </w:r>
            <w:r>
              <w:rPr>
                <w:rFonts w:ascii="Times New Roman"/>
                <w:color w:val="auto"/>
                <w:sz w:val="18"/>
              </w:rPr>
              <w:t>3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7</w:t>
            </w:r>
            <w:r>
              <w:rPr>
                <w:rFonts w:ascii="Times New Roman"/>
                <w:color w:val="auto"/>
                <w:sz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pStyle w:val="15"/>
              <w:spacing w:line="264" w:lineRule="auto"/>
              <w:ind w:firstLine="450" w:firstLineChars="250"/>
              <w:rPr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＞0.3~1.0</w:t>
            </w:r>
          </w:p>
        </w:tc>
        <w:tc>
          <w:tcPr>
            <w:tcW w:w="12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1080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≥3</w:t>
            </w:r>
          </w:p>
        </w:tc>
        <w:tc>
          <w:tcPr>
            <w:tcW w:w="128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pStyle w:val="15"/>
              <w:spacing w:line="264" w:lineRule="auto"/>
              <w:ind w:firstLine="0" w:firstLineChars="0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固溶热处理</w:t>
            </w:r>
            <w:r>
              <w:rPr>
                <w:rFonts w:ascii="Times New Roman"/>
                <w:color w:val="auto"/>
                <w:sz w:val="18"/>
                <w:szCs w:val="18"/>
              </w:rPr>
              <w:t>+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冷加工（</w:t>
            </w:r>
            <w:r>
              <w:rPr>
                <w:color w:val="auto"/>
                <w:sz w:val="18"/>
                <w:szCs w:val="18"/>
              </w:rPr>
              <w:t>CY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0.15~0.3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900~1200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≥3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28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≤</w:t>
            </w:r>
            <w:r>
              <w:rPr>
                <w:rFonts w:ascii="Times New Roman"/>
                <w:color w:val="auto"/>
                <w:sz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pStyle w:val="15"/>
              <w:spacing w:line="264" w:lineRule="auto"/>
              <w:ind w:firstLine="0" w:firstLineChars="0"/>
              <w:rPr>
                <w:rFonts w:hint="eastAsia" w:ascii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＞0.3~1.0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4</w:t>
            </w:r>
          </w:p>
        </w:tc>
        <w:tc>
          <w:tcPr>
            <w:tcW w:w="128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  <w:vertAlign w:val="superscript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固溶热处理</w:t>
            </w:r>
            <w:r>
              <w:rPr>
                <w:rFonts w:ascii="Times New Roman"/>
                <w:color w:val="auto"/>
                <w:sz w:val="18"/>
                <w:szCs w:val="18"/>
              </w:rPr>
              <w:t>+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时效（</w:t>
            </w:r>
            <w:r>
              <w:rPr>
                <w:color w:val="auto"/>
                <w:sz w:val="18"/>
                <w:szCs w:val="18"/>
              </w:rPr>
              <w:t>CS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0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0.15~0.3</w:t>
            </w:r>
          </w:p>
        </w:tc>
        <w:tc>
          <w:tcPr>
            <w:tcW w:w="12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≥1300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≥3</w:t>
            </w:r>
          </w:p>
        </w:tc>
        <w:tc>
          <w:tcPr>
            <w:tcW w:w="103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28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  <w:jc w:val="center"/>
        </w:trPr>
        <w:tc>
          <w:tcPr>
            <w:tcW w:w="141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22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＞0.3~1.0</w:t>
            </w:r>
          </w:p>
        </w:tc>
        <w:tc>
          <w:tcPr>
            <w:tcW w:w="124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1519</w:t>
            </w:r>
          </w:p>
        </w:tc>
        <w:tc>
          <w:tcPr>
            <w:tcW w:w="103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</w:p>
        </w:tc>
        <w:tc>
          <w:tcPr>
            <w:tcW w:w="103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</w:t>
            </w:r>
            <w:r>
              <w:rPr>
                <w:rFonts w:ascii="Times New Roman"/>
                <w:color w:val="auto"/>
                <w:sz w:val="18"/>
              </w:rPr>
              <w:t>5</w:t>
            </w:r>
          </w:p>
        </w:tc>
        <w:tc>
          <w:tcPr>
            <w:tcW w:w="1283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</w:p>
        </w:tc>
      </w:tr>
    </w:tbl>
    <w:p>
      <w:pPr>
        <w:pStyle w:val="25"/>
        <w:numPr>
          <w:ilvl w:val="0"/>
          <w:numId w:val="0"/>
        </w:numPr>
        <w:spacing w:line="264" w:lineRule="auto"/>
        <w:jc w:val="center"/>
        <w:rPr>
          <w:rFonts w:hint="eastAsia" w:ascii="黑体" w:hAnsi="黑体"/>
          <w:color w:val="auto"/>
        </w:rPr>
      </w:pPr>
    </w:p>
    <w:p>
      <w:pPr>
        <w:pStyle w:val="25"/>
        <w:numPr>
          <w:ilvl w:val="0"/>
          <w:numId w:val="0"/>
        </w:numPr>
        <w:spacing w:line="264" w:lineRule="auto"/>
        <w:jc w:val="center"/>
        <w:rPr>
          <w:rFonts w:hint="eastAsia" w:ascii="黑体" w:hAnsi="黑体"/>
          <w:color w:val="auto"/>
        </w:rPr>
      </w:pPr>
      <w:r>
        <w:rPr>
          <w:rFonts w:hint="eastAsia" w:ascii="黑体" w:hAnsi="黑体"/>
          <w:color w:val="auto"/>
          <w:lang w:val="en-US" w:eastAsia="zh-CN"/>
        </w:rPr>
        <w:t xml:space="preserve">    </w:t>
      </w:r>
      <w:r>
        <w:rPr>
          <w:rFonts w:hint="eastAsia" w:ascii="黑体" w:hAnsi="黑体"/>
          <w:color w:val="auto"/>
        </w:rPr>
        <w:t>表5 带材高温力学性能</w:t>
      </w:r>
    </w:p>
    <w:p>
      <w:pPr>
        <w:pStyle w:val="15"/>
        <w:rPr>
          <w:color w:val="auto"/>
        </w:rPr>
      </w:pPr>
    </w:p>
    <w:tbl>
      <w:tblPr>
        <w:tblStyle w:val="10"/>
        <w:tblW w:w="95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38"/>
        <w:gridCol w:w="1902"/>
        <w:gridCol w:w="1687"/>
        <w:gridCol w:w="2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667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牌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号</w:t>
            </w:r>
          </w:p>
        </w:tc>
        <w:tc>
          <w:tcPr>
            <w:tcW w:w="163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状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态</w:t>
            </w:r>
          </w:p>
        </w:tc>
        <w:tc>
          <w:tcPr>
            <w:tcW w:w="190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厚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度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 xml:space="preserve"> mm</w:t>
            </w:r>
          </w:p>
        </w:tc>
        <w:tc>
          <w:tcPr>
            <w:tcW w:w="168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试验温度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</w:rPr>
              <w:t>℃</w:t>
            </w:r>
          </w:p>
        </w:tc>
        <w:tc>
          <w:tcPr>
            <w:tcW w:w="2616" w:type="dxa"/>
            <w:tcBorders>
              <w:left w:val="single" w:color="auto" w:sz="4" w:space="0"/>
              <w:bottom w:val="single" w:color="auto" w:sz="12" w:space="0"/>
            </w:tcBorders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抗拉强度</w:t>
            </w:r>
          </w:p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Rm/MPa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6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NBe2-0.5</w:t>
            </w:r>
          </w:p>
        </w:tc>
        <w:tc>
          <w:tcPr>
            <w:tcW w:w="163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硬态（</w:t>
            </w:r>
            <w:r>
              <w:rPr>
                <w:rFonts w:ascii="Times New Roman"/>
                <w:color w:val="auto"/>
                <w:sz w:val="18"/>
              </w:rPr>
              <w:t>Y</w:t>
            </w:r>
            <w:r>
              <w:rPr>
                <w:rFonts w:hint="eastAsia" w:ascii="Times New Roman"/>
                <w:color w:val="auto"/>
                <w:sz w:val="18"/>
              </w:rPr>
              <w:t>）</w:t>
            </w:r>
          </w:p>
        </w:tc>
        <w:tc>
          <w:tcPr>
            <w:tcW w:w="190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≥0.3～</w:t>
            </w:r>
            <w:r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168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400</w:t>
            </w:r>
          </w:p>
        </w:tc>
        <w:tc>
          <w:tcPr>
            <w:tcW w:w="2616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≥9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4</w:t>
            </w:r>
            <w:r>
              <w:rPr>
                <w:rFonts w:hint="eastAsia" w:ascii="Times New Roman"/>
                <w:color w:val="auto"/>
                <w:sz w:val="18"/>
              </w:rPr>
              <w:t>0</w:t>
            </w:r>
          </w:p>
        </w:tc>
      </w:tr>
    </w:tbl>
    <w:p>
      <w:pPr>
        <w:pStyle w:val="25"/>
        <w:numPr>
          <w:ilvl w:val="0"/>
          <w:numId w:val="0"/>
        </w:numPr>
        <w:spacing w:line="264" w:lineRule="auto"/>
        <w:rPr>
          <w:rFonts w:hint="eastAsia"/>
          <w:color w:val="auto"/>
        </w:rPr>
      </w:pP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lang w:val="en-US" w:eastAsia="zh-CN"/>
        </w:rPr>
        <w:t xml:space="preserve">4  </w:t>
      </w:r>
      <w:r>
        <w:rPr>
          <w:rFonts w:hint="eastAsia"/>
          <w:color w:val="auto"/>
        </w:rPr>
        <w:t>物理性能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20" w:firstLineChars="200"/>
        <w:jc w:val="left"/>
        <w:textAlignment w:val="auto"/>
        <w:outlineLvl w:val="9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厚度不小于</w:t>
      </w:r>
      <w:r>
        <w:rPr>
          <w:color w:val="auto"/>
          <w:szCs w:val="21"/>
        </w:rPr>
        <w:t>0.3 mm</w:t>
      </w:r>
      <w:r>
        <w:rPr>
          <w:rFonts w:hint="eastAsia"/>
          <w:color w:val="auto"/>
          <w:szCs w:val="21"/>
        </w:rPr>
        <w:t>的带材在</w:t>
      </w:r>
      <w:r>
        <w:rPr>
          <w:rFonts w:hint="eastAsia" w:ascii="宋体" w:hAnsi="宋体"/>
          <w:color w:val="auto"/>
        </w:rPr>
        <w:t>固溶热处理</w:t>
      </w:r>
      <w:r>
        <w:rPr>
          <w:rFonts w:ascii="宋体" w:hAnsi="宋体"/>
          <w:color w:val="auto"/>
        </w:rPr>
        <w:t>+</w:t>
      </w:r>
      <w:r>
        <w:rPr>
          <w:rFonts w:hint="eastAsia" w:ascii="宋体" w:hAnsi="宋体"/>
          <w:color w:val="auto"/>
        </w:rPr>
        <w:t>时效态</w:t>
      </w:r>
      <w:r>
        <w:rPr>
          <w:rFonts w:hint="eastAsia"/>
          <w:color w:val="auto"/>
          <w:szCs w:val="21"/>
        </w:rPr>
        <w:t>（CS）下的杨氏模量</w:t>
      </w:r>
      <w:r>
        <w:rPr>
          <w:color w:val="auto"/>
          <w:szCs w:val="21"/>
        </w:rPr>
        <w:t>E</w:t>
      </w:r>
      <w:r>
        <w:rPr>
          <w:rFonts w:hint="eastAsia"/>
          <w:color w:val="auto"/>
          <w:szCs w:val="21"/>
          <w:lang w:eastAsia="zh-CN"/>
        </w:rPr>
        <w:t>：</w:t>
      </w:r>
      <w:r>
        <w:rPr>
          <w:color w:val="auto"/>
          <w:szCs w:val="21"/>
        </w:rPr>
        <w:t>17.7</w:t>
      </w:r>
      <w:r>
        <w:rPr>
          <w:rFonts w:hint="eastAsia"/>
          <w:color w:val="auto"/>
          <w:szCs w:val="21"/>
        </w:rPr>
        <w:t>×</w:t>
      </w:r>
      <w:r>
        <w:rPr>
          <w:color w:val="auto"/>
          <w:szCs w:val="21"/>
        </w:rPr>
        <w:t>10</w:t>
      </w:r>
      <w:r>
        <w:rPr>
          <w:color w:val="auto"/>
          <w:szCs w:val="21"/>
          <w:vertAlign w:val="superscript"/>
        </w:rPr>
        <w:t>4</w:t>
      </w:r>
      <w:r>
        <w:rPr>
          <w:rFonts w:hint="eastAsia" w:ascii="宋体" w:hAnsi="宋体" w:eastAsia="宋体" w:cs="宋体"/>
          <w:color w:val="auto"/>
          <w:szCs w:val="21"/>
        </w:rPr>
        <w:t>～</w:t>
      </w:r>
      <w:r>
        <w:rPr>
          <w:color w:val="auto"/>
          <w:szCs w:val="21"/>
        </w:rPr>
        <w:t>21.3</w:t>
      </w:r>
      <w:r>
        <w:rPr>
          <w:rFonts w:hint="eastAsia"/>
          <w:color w:val="auto"/>
          <w:szCs w:val="21"/>
        </w:rPr>
        <w:t>×</w:t>
      </w:r>
      <w:r>
        <w:rPr>
          <w:color w:val="auto"/>
          <w:szCs w:val="21"/>
        </w:rPr>
        <w:t>10</w:t>
      </w:r>
      <w:r>
        <w:rPr>
          <w:color w:val="auto"/>
          <w:szCs w:val="21"/>
          <w:vertAlign w:val="superscript"/>
        </w:rPr>
        <w:t>4</w:t>
      </w:r>
      <w:r>
        <w:rPr>
          <w:color w:val="auto"/>
          <w:szCs w:val="21"/>
        </w:rPr>
        <w:t>MPa</w:t>
      </w:r>
      <w:r>
        <w:rPr>
          <w:rFonts w:hint="eastAsia"/>
          <w:color w:val="auto"/>
          <w:szCs w:val="21"/>
        </w:rPr>
        <w:t>。</w:t>
      </w:r>
    </w:p>
    <w:p>
      <w:pPr>
        <w:pStyle w:val="25"/>
        <w:numPr>
          <w:ilvl w:val="0"/>
          <w:numId w:val="0"/>
        </w:numPr>
        <w:spacing w:line="264" w:lineRule="auto"/>
        <w:rPr>
          <w:rFonts w:ascii="Times New Roman" w:hAnsi="Times New Roman" w:eastAsia="黑体"/>
          <w:color w:val="auto"/>
          <w:szCs w:val="21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color w:val="auto"/>
          <w:szCs w:val="21"/>
        </w:rPr>
        <w:t>弯曲试验</w:t>
      </w:r>
    </w:p>
    <w:p>
      <w:pPr>
        <w:pStyle w:val="25"/>
        <w:numPr>
          <w:ilvl w:val="2"/>
          <w:numId w:val="0"/>
        </w:numPr>
        <w:ind w:firstLine="408"/>
        <w:rPr>
          <w:rFonts w:hint="eastAsia" w:eastAsia="宋体"/>
          <w:color w:val="auto"/>
        </w:rPr>
      </w:pPr>
      <w:r>
        <w:rPr>
          <w:rFonts w:hint="eastAsia" w:eastAsia="宋体"/>
          <w:color w:val="auto"/>
        </w:rPr>
        <w:t>带材的弯曲试验应符合表</w:t>
      </w:r>
      <w:r>
        <w:rPr>
          <w:rFonts w:eastAsia="宋体"/>
          <w:color w:val="auto"/>
        </w:rPr>
        <w:t>6</w:t>
      </w:r>
      <w:r>
        <w:rPr>
          <w:rFonts w:hint="eastAsia" w:eastAsia="宋体"/>
          <w:color w:val="auto"/>
        </w:rPr>
        <w:t>的规定。</w:t>
      </w:r>
    </w:p>
    <w:p>
      <w:pPr>
        <w:pStyle w:val="15"/>
        <w:rPr>
          <w:color w:val="auto"/>
        </w:rPr>
      </w:pPr>
    </w:p>
    <w:p>
      <w:pPr>
        <w:pStyle w:val="15"/>
        <w:jc w:val="center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表</w:t>
      </w:r>
      <w:r>
        <w:rPr>
          <w:rFonts w:ascii="黑体" w:hAnsi="黑体" w:eastAsia="黑体"/>
          <w:color w:val="auto"/>
        </w:rPr>
        <w:t>6</w:t>
      </w:r>
      <w:r>
        <w:rPr>
          <w:rFonts w:hint="eastAsia" w:ascii="黑体" w:hAnsi="黑体" w:eastAsia="黑体"/>
          <w:color w:val="auto"/>
        </w:rPr>
        <w:t xml:space="preserve">  带材弯曲试验</w:t>
      </w:r>
    </w:p>
    <w:p>
      <w:pPr>
        <w:pStyle w:val="15"/>
        <w:ind w:firstLine="2614" w:firstLineChars="1245"/>
        <w:rPr>
          <w:rFonts w:hint="eastAsia" w:ascii="黑体" w:hAnsi="黑体" w:eastAsia="黑体"/>
          <w:color w:val="auto"/>
        </w:rPr>
      </w:pPr>
    </w:p>
    <w:tbl>
      <w:tblPr>
        <w:tblStyle w:val="10"/>
        <w:tblW w:w="9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440"/>
        <w:gridCol w:w="1140"/>
        <w:gridCol w:w="150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4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状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态</w:t>
            </w:r>
          </w:p>
        </w:tc>
        <w:tc>
          <w:tcPr>
            <w:tcW w:w="14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厚度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/</w:t>
            </w:r>
            <w:r>
              <w:rPr>
                <w:rFonts w:ascii="Times New Roman"/>
                <w:color w:val="auto"/>
              </w:rPr>
              <w:t>mm</w:t>
            </w:r>
          </w:p>
        </w:tc>
        <w:tc>
          <w:tcPr>
            <w:tcW w:w="114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弯曲角度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弯曲压头直径</w:t>
            </w:r>
          </w:p>
        </w:tc>
        <w:tc>
          <w:tcPr>
            <w:tcW w:w="29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要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18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4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固溶态（</w:t>
            </w:r>
            <w:r>
              <w:rPr>
                <w:rFonts w:ascii="Times New Roman"/>
                <w:color w:val="auto"/>
                <w:sz w:val="18"/>
                <w:szCs w:val="18"/>
              </w:rPr>
              <w:t>C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0.15～</w:t>
            </w:r>
            <w:r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1140" w:type="dxa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  <w:szCs w:val="22"/>
              </w:rPr>
              <w:t>180</w:t>
            </w:r>
            <w:r>
              <w:rPr>
                <w:rFonts w:hint="eastAsia" w:hAnsi="宋体"/>
                <w:color w:val="auto"/>
              </w:rPr>
              <w:t>°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2倍带厚</w:t>
            </w:r>
          </w:p>
        </w:tc>
        <w:tc>
          <w:tcPr>
            <w:tcW w:w="29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napToGrid w:val="0"/>
              <w:spacing w:line="264" w:lineRule="auto"/>
              <w:ind w:left="-55" w:leftChars="-26"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无裂纹</w:t>
            </w:r>
            <w:r>
              <w:rPr>
                <w:rFonts w:hint="eastAsia" w:ascii="Times New Roman"/>
                <w:color w:val="auto"/>
                <w:sz w:val="18"/>
                <w:lang w:eastAsia="zh-CN"/>
              </w:rPr>
              <w:t>、</w:t>
            </w:r>
            <w:r>
              <w:rPr>
                <w:rFonts w:hint="eastAsia" w:ascii="Times New Roman"/>
                <w:color w:val="auto"/>
                <w:sz w:val="18"/>
              </w:rPr>
              <w:t>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42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固溶热处理</w:t>
            </w:r>
            <w:r>
              <w:rPr>
                <w:rFonts w:ascii="Times New Roman"/>
                <w:color w:val="auto"/>
                <w:sz w:val="18"/>
                <w:szCs w:val="18"/>
              </w:rPr>
              <w:t>+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冷加工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态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（</w:t>
            </w:r>
            <w:r>
              <w:rPr>
                <w:rFonts w:ascii="Times New Roman"/>
                <w:color w:val="auto"/>
                <w:sz w:val="18"/>
                <w:szCs w:val="18"/>
              </w:rPr>
              <w:t>CY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0.15～</w:t>
            </w:r>
            <w:r>
              <w:rPr>
                <w:rFonts w:ascii="Times New Roman"/>
                <w:color w:val="auto"/>
                <w:sz w:val="18"/>
              </w:rPr>
              <w:t>1.0</w:t>
            </w:r>
          </w:p>
        </w:tc>
        <w:tc>
          <w:tcPr>
            <w:tcW w:w="114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ascii="Times New Roman"/>
                <w:color w:val="auto"/>
                <w:sz w:val="18"/>
              </w:rPr>
              <w:t>90</w:t>
            </w:r>
            <w:r>
              <w:rPr>
                <w:rFonts w:hint="eastAsia" w:hAnsi="宋体"/>
                <w:color w:val="auto"/>
              </w:rPr>
              <w:t>°</w:t>
            </w:r>
          </w:p>
        </w:tc>
        <w:tc>
          <w:tcPr>
            <w:tcW w:w="1500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2倍带厚</w:t>
            </w:r>
          </w:p>
        </w:tc>
        <w:tc>
          <w:tcPr>
            <w:tcW w:w="291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left="-61" w:leftChars="-29" w:firstLine="61" w:firstLineChars="34"/>
              <w:jc w:val="center"/>
              <w:rPr>
                <w:rFonts w:ascii="Times New Roman"/>
                <w:color w:val="auto"/>
                <w:sz w:val="18"/>
              </w:rPr>
            </w:pPr>
            <w:r>
              <w:rPr>
                <w:rFonts w:hint="eastAsia" w:ascii="Times New Roman"/>
                <w:color w:val="auto"/>
                <w:sz w:val="18"/>
              </w:rPr>
              <w:t>无裂纹</w:t>
            </w:r>
            <w:r>
              <w:rPr>
                <w:rFonts w:hint="eastAsia" w:ascii="Times New Roman"/>
                <w:color w:val="auto"/>
                <w:sz w:val="18"/>
                <w:lang w:eastAsia="zh-CN"/>
              </w:rPr>
              <w:t>、</w:t>
            </w:r>
            <w:r>
              <w:rPr>
                <w:rFonts w:hint="eastAsia" w:ascii="Times New Roman"/>
                <w:color w:val="auto"/>
                <w:sz w:val="18"/>
              </w:rPr>
              <w:t>分层</w:t>
            </w:r>
          </w:p>
        </w:tc>
      </w:tr>
    </w:tbl>
    <w:p>
      <w:pPr>
        <w:pStyle w:val="15"/>
        <w:ind w:firstLine="0" w:firstLineChars="0"/>
        <w:rPr>
          <w:rFonts w:ascii="Times New Roman" w:eastAsia="黑体"/>
          <w:color w:val="auto"/>
        </w:rPr>
      </w:pPr>
    </w:p>
    <w:p>
      <w:pPr>
        <w:pStyle w:val="15"/>
        <w:ind w:firstLine="0" w:firstLineChars="0"/>
        <w:rPr>
          <w:rFonts w:ascii="黑体" w:hAnsi="黑体" w:eastAsia="黑体"/>
          <w:color w:val="auto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 w:bidi="ar-SA"/>
        </w:rPr>
        <w:t>4.6</w:t>
      </w:r>
      <w:r>
        <w:rPr>
          <w:rFonts w:hint="eastAsia" w:ascii="Times New Roman" w:eastAsia="黑体"/>
          <w:color w:val="auto"/>
          <w:lang w:val="en-US" w:eastAsia="zh-CN"/>
        </w:rPr>
        <w:t xml:space="preserve">  </w:t>
      </w:r>
      <w:r>
        <w:rPr>
          <w:rFonts w:hint="eastAsia" w:ascii="黑体" w:hAnsi="黑体" w:eastAsia="黑体"/>
          <w:color w:val="auto"/>
        </w:rPr>
        <w:t>晶粒度</w:t>
      </w:r>
    </w:p>
    <w:p>
      <w:pPr>
        <w:pStyle w:val="15"/>
        <w:ind w:firstLine="420"/>
        <w:rPr>
          <w:color w:val="auto"/>
        </w:rPr>
      </w:pPr>
      <w:r>
        <w:rPr>
          <w:rFonts w:hint="eastAsia"/>
          <w:color w:val="auto"/>
          <w:szCs w:val="21"/>
        </w:rPr>
        <w:t>带材固溶态（C）下的晶粒度应不大于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 w:bidi="ar-SA"/>
        </w:rPr>
        <w:t>0.055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mm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pStyle w:val="25"/>
        <w:numPr>
          <w:ilvl w:val="2"/>
          <w:numId w:val="0"/>
        </w:numPr>
        <w:spacing w:line="264" w:lineRule="auto"/>
        <w:rPr>
          <w:rFonts w:hint="eastAsia"/>
          <w:color w:val="auto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2"/>
          <w:lang w:val="en-US" w:eastAsia="zh-CN" w:bidi="ar-SA"/>
        </w:rPr>
        <w:t xml:space="preserve">4.7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表面质量</w:t>
      </w:r>
    </w:p>
    <w:p>
      <w:pPr>
        <w:tabs>
          <w:tab w:val="left" w:pos="859"/>
        </w:tabs>
        <w:bidi w:val="0"/>
        <w:jc w:val="left"/>
        <w:rPr>
          <w:rFonts w:hint="eastAsia" w:eastAsia="宋体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lang w:val="en-US" w:eastAsia="zh-CN"/>
        </w:rPr>
        <w:t>7</w:t>
      </w:r>
      <w:r>
        <w:rPr>
          <w:rFonts w:eastAsia="宋体"/>
          <w:color w:val="auto"/>
        </w:rPr>
        <w:t>.1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</w:rPr>
        <w:t>带材表面不允许有分层、裂纹、起皮、气泡、起刺、压折和夹杂</w:t>
      </w:r>
      <w:r>
        <w:rPr>
          <w:rFonts w:hint="eastAsia" w:ascii="宋体" w:hAnsi="宋体" w:eastAsia="宋体"/>
          <w:color w:val="auto"/>
          <w:lang w:eastAsia="zh-CN"/>
        </w:rPr>
        <w:t>，冷轧带材（</w:t>
      </w:r>
      <w:r>
        <w:rPr>
          <w:rFonts w:hint="eastAsia" w:ascii="宋体" w:hAnsi="宋体" w:eastAsia="宋体"/>
          <w:color w:val="auto"/>
          <w:lang w:val="en-US" w:eastAsia="zh-CN"/>
        </w:rPr>
        <w:t>Y态、CY态</w:t>
      </w:r>
      <w:r>
        <w:rPr>
          <w:rFonts w:hint="eastAsia" w:ascii="宋体" w:hAnsi="宋体" w:eastAsia="宋体"/>
          <w:color w:val="auto"/>
          <w:lang w:eastAsia="zh-CN"/>
        </w:rPr>
        <w:t>）表面</w:t>
      </w:r>
    </w:p>
    <w:p>
      <w:pPr>
        <w:pStyle w:val="24"/>
        <w:numPr>
          <w:ilvl w:val="3"/>
          <w:numId w:val="0"/>
        </w:numPr>
        <w:spacing w:line="264" w:lineRule="auto"/>
        <w:rPr>
          <w:rFonts w:hint="eastAsia" w:ascii="宋体" w:hAnsi="宋体" w:eastAsia="宋体"/>
          <w:color w:val="auto"/>
          <w:lang w:eastAsia="zh-CN"/>
        </w:rPr>
      </w:pPr>
      <w:r>
        <w:rPr>
          <w:rFonts w:hint="eastAsia" w:ascii="宋体" w:hAnsi="宋体" w:eastAsia="宋体"/>
          <w:color w:val="auto"/>
        </w:rPr>
        <w:t>应光滑、清洁</w:t>
      </w:r>
      <w:r>
        <w:rPr>
          <w:rFonts w:hint="eastAsia" w:ascii="宋体" w:hAnsi="宋体" w:eastAsia="宋体"/>
          <w:color w:val="auto"/>
          <w:lang w:eastAsia="zh-CN"/>
        </w:rPr>
        <w:t>。</w:t>
      </w:r>
    </w:p>
    <w:p>
      <w:pPr>
        <w:pStyle w:val="24"/>
        <w:numPr>
          <w:ilvl w:val="3"/>
          <w:numId w:val="0"/>
        </w:numPr>
        <w:spacing w:line="264" w:lineRule="auto"/>
        <w:rPr>
          <w:rFonts w:ascii="宋体" w:hAnsi="宋体" w:eastAsia="宋体"/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lang w:val="en-US" w:eastAsia="zh-CN"/>
        </w:rPr>
        <w:t>7</w:t>
      </w:r>
      <w:r>
        <w:rPr>
          <w:rFonts w:eastAsia="宋体"/>
          <w:color w:val="auto"/>
        </w:rPr>
        <w:t>.2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</w:rPr>
        <w:t>带材表面允许有轻微的且不使带材厚度超出允许偏差的局部的划伤、斑点、凹坑、压入物和辊印、修磨痕迹等缺陷。</w:t>
      </w:r>
    </w:p>
    <w:p>
      <w:pPr>
        <w:pStyle w:val="24"/>
        <w:numPr>
          <w:ilvl w:val="3"/>
          <w:numId w:val="0"/>
        </w:numPr>
        <w:spacing w:line="264" w:lineRule="auto"/>
        <w:rPr>
          <w:rFonts w:hint="eastAsia" w:ascii="宋体" w:hAnsi="宋体" w:eastAsia="宋体"/>
          <w:color w:val="auto"/>
        </w:rPr>
      </w:pP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szCs w:val="21"/>
        </w:rPr>
        <w:t>.</w:t>
      </w:r>
      <w:r>
        <w:rPr>
          <w:rFonts w:hint="eastAsia"/>
          <w:color w:val="auto"/>
          <w:lang w:val="en-US" w:eastAsia="zh-CN"/>
        </w:rPr>
        <w:t>7</w:t>
      </w:r>
      <w:r>
        <w:rPr>
          <w:rFonts w:eastAsia="宋体"/>
          <w:color w:val="auto"/>
        </w:rPr>
        <w:t>.3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</w:rPr>
        <w:t>带材表面</w:t>
      </w:r>
      <w:r>
        <w:rPr>
          <w:rFonts w:hint="eastAsia" w:ascii="宋体" w:hAnsi="宋体" w:eastAsia="宋体"/>
          <w:color w:val="auto"/>
          <w:lang w:eastAsia="zh-CN"/>
        </w:rPr>
        <w:t>允许有轻微的、不影响使用的氧化色、发暗</w:t>
      </w:r>
      <w:r>
        <w:rPr>
          <w:rFonts w:hint="eastAsia" w:ascii="宋体" w:hAnsi="宋体" w:eastAsia="宋体"/>
          <w:color w:val="auto"/>
        </w:rPr>
        <w:t>。</w:t>
      </w:r>
    </w:p>
    <w:p>
      <w:pPr>
        <w:pStyle w:val="15"/>
        <w:rPr>
          <w:rFonts w:hint="eastAsia"/>
          <w:color w:val="auto"/>
        </w:rPr>
      </w:pPr>
    </w:p>
    <w:p>
      <w:pPr>
        <w:pStyle w:val="26"/>
        <w:numPr>
          <w:ilvl w:val="1"/>
          <w:numId w:val="0"/>
        </w:numPr>
        <w:spacing w:beforeLines="0" w:afterLines="0" w:line="264" w:lineRule="auto"/>
        <w:rPr>
          <w:rFonts w:hint="eastAsia" w:eastAsia="黑体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 xml:space="preserve">5  </w:t>
      </w:r>
      <w:r>
        <w:rPr>
          <w:rFonts w:hint="eastAsia"/>
          <w:color w:val="auto"/>
        </w:rPr>
        <w:t>试验方法</w:t>
      </w:r>
    </w:p>
    <w:p>
      <w:pPr>
        <w:pStyle w:val="15"/>
        <w:rPr>
          <w:color w:val="auto"/>
        </w:rPr>
      </w:pPr>
    </w:p>
    <w:p>
      <w:pPr>
        <w:pStyle w:val="15"/>
        <w:spacing w:line="264" w:lineRule="auto"/>
        <w:ind w:firstLine="0" w:firstLineChars="0"/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</w:pPr>
      <w:r>
        <w:rPr>
          <w:rFonts w:hint="eastAsia" w:ascii="黑体" w:eastAsia="黑体" w:cs="Times New Roman"/>
          <w:color w:val="auto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.1</w:t>
      </w:r>
      <w:r>
        <w:rPr>
          <w:rFonts w:hint="eastAsia" w:ascii="黑体" w:eastAsia="黑体" w:cs="Times New Roman"/>
          <w:color w:val="auto"/>
          <w:sz w:val="21"/>
          <w:szCs w:val="22"/>
          <w:lang w:val="en-US" w:eastAsia="zh-CN" w:bidi="ar-SA"/>
        </w:rPr>
        <w:t xml:space="preserve">  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化学成分</w:t>
      </w:r>
    </w:p>
    <w:p>
      <w:pPr>
        <w:pStyle w:val="15"/>
        <w:spacing w:line="264" w:lineRule="auto"/>
        <w:ind w:firstLine="420" w:firstLineChars="200"/>
        <w:rPr>
          <w:rFonts w:hint="eastAsia" w:ascii="Times New Roman"/>
          <w:color w:val="auto"/>
        </w:rPr>
      </w:pPr>
      <w:r>
        <w:rPr>
          <w:rFonts w:hAnsiTheme="minorEastAsia" w:eastAsiaTheme="minorEastAsia"/>
          <w:color w:val="auto"/>
        </w:rPr>
        <w:t>带材的化学成分仲裁分析方法按</w:t>
      </w:r>
      <w:r>
        <w:rPr>
          <w:rFonts w:hint="eastAsia" w:ascii="Times New Roman"/>
          <w:color w:val="auto"/>
          <w:szCs w:val="22"/>
        </w:rPr>
        <w:t>YS/T 325</w:t>
      </w:r>
      <w:r>
        <w:rPr>
          <w:rFonts w:hint="eastAsia" w:eastAsiaTheme="minorEastAsia"/>
          <w:color w:val="auto"/>
        </w:rPr>
        <w:t>（所有部分）</w:t>
      </w:r>
      <w:r>
        <w:rPr>
          <w:rFonts w:hint="eastAsia" w:hAnsiTheme="minorEastAsia" w:eastAsiaTheme="minorEastAsia"/>
          <w:color w:val="auto"/>
          <w:lang w:eastAsia="zh-CN"/>
        </w:rPr>
        <w:t>、</w:t>
      </w:r>
      <w:r>
        <w:rPr>
          <w:rFonts w:hint="eastAsia" w:ascii="Times New Roman"/>
          <w:color w:val="auto"/>
        </w:rPr>
        <w:t xml:space="preserve">GB/T 8647 </w:t>
      </w:r>
      <w:r>
        <w:rPr>
          <w:rFonts w:ascii="Times New Roman"/>
          <w:color w:val="auto"/>
        </w:rPr>
        <w:t>(所有部分）</w:t>
      </w:r>
      <w:r>
        <w:rPr>
          <w:rFonts w:hint="eastAsia" w:ascii="Times New Roman"/>
          <w:color w:val="auto"/>
          <w:lang w:eastAsia="zh-CN"/>
        </w:rPr>
        <w:t>和</w:t>
      </w:r>
      <w:r>
        <w:rPr>
          <w:rFonts w:hint="eastAsia" w:ascii="Times New Roman"/>
          <w:color w:val="auto"/>
          <w:lang w:val="en-US" w:eastAsia="zh-CN"/>
        </w:rPr>
        <w:t>GB/T 5121.17</w:t>
      </w:r>
      <w:r>
        <w:rPr>
          <w:rFonts w:hint="eastAsia" w:ascii="Times New Roman"/>
          <w:color w:val="auto"/>
          <w:lang w:eastAsia="zh-CN"/>
        </w:rPr>
        <w:t>的规定进行</w:t>
      </w:r>
      <w:r>
        <w:rPr>
          <w:rFonts w:hint="eastAsia" w:ascii="Times New Roman"/>
          <w:color w:val="auto"/>
        </w:rPr>
        <w:t>。</w:t>
      </w:r>
    </w:p>
    <w:p>
      <w:pPr>
        <w:pStyle w:val="25"/>
        <w:numPr>
          <w:ilvl w:val="2"/>
          <w:numId w:val="0"/>
        </w:numPr>
        <w:spacing w:line="264" w:lineRule="auto"/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</w:pPr>
      <w:r>
        <w:rPr>
          <w:rFonts w:hint="eastAsia" w:ascii="黑体" w:cs="Times New Roman"/>
          <w:color w:val="auto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.2</w:t>
      </w:r>
      <w:r>
        <w:rPr>
          <w:rFonts w:hint="eastAsia" w:ascii="黑体" w:cs="Times New Roman"/>
          <w:color w:val="auto"/>
          <w:sz w:val="21"/>
          <w:szCs w:val="22"/>
          <w:lang w:val="en-US" w:eastAsia="zh-CN" w:bidi="ar-SA"/>
        </w:rPr>
        <w:t xml:space="preserve">  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外形尺寸及</w:t>
      </w:r>
      <w:r>
        <w:rPr>
          <w:rFonts w:hint="eastAsia" w:ascii="黑体" w:cs="Times New Roman"/>
          <w:color w:val="auto"/>
          <w:sz w:val="21"/>
          <w:szCs w:val="22"/>
          <w:lang w:val="en-US" w:eastAsia="zh-CN" w:bidi="ar-SA"/>
        </w:rPr>
        <w:t>尺寸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允许偏差</w:t>
      </w:r>
    </w:p>
    <w:p>
      <w:pPr>
        <w:pStyle w:val="25"/>
        <w:numPr>
          <w:ilvl w:val="2"/>
          <w:numId w:val="0"/>
        </w:numPr>
        <w:spacing w:line="264" w:lineRule="auto"/>
        <w:ind w:firstLine="420" w:firstLineChars="200"/>
        <w:rPr>
          <w:rFonts w:hint="eastAsia"/>
          <w:color w:val="auto"/>
          <w:lang w:eastAsia="zh-CN"/>
        </w:rPr>
      </w:pPr>
      <w:r>
        <w:rPr>
          <w:rFonts w:hint="eastAsia" w:eastAsia="宋体"/>
          <w:color w:val="auto"/>
        </w:rPr>
        <w:t>带材的外形尺寸用相应精度的量具进行测量。厚度在距端部不小于</w:t>
      </w:r>
      <w:r>
        <w:rPr>
          <w:rFonts w:eastAsia="宋体"/>
          <w:color w:val="auto"/>
        </w:rPr>
        <w:t>100mm</w:t>
      </w:r>
      <w:r>
        <w:rPr>
          <w:rFonts w:hint="eastAsia" w:eastAsia="宋体"/>
          <w:color w:val="auto"/>
        </w:rPr>
        <w:t>和距边部不小于</w:t>
      </w:r>
      <w:r>
        <w:rPr>
          <w:rFonts w:eastAsia="宋体"/>
          <w:color w:val="auto"/>
        </w:rPr>
        <w:t>5mm</w:t>
      </w:r>
      <w:r>
        <w:rPr>
          <w:rFonts w:hint="eastAsia" w:eastAsia="宋体"/>
          <w:color w:val="auto"/>
        </w:rPr>
        <w:t>处测量（宽度小于</w:t>
      </w:r>
      <w:r>
        <w:rPr>
          <w:rFonts w:eastAsia="宋体"/>
          <w:color w:val="auto"/>
        </w:rPr>
        <w:t>50mm</w:t>
      </w:r>
      <w:r>
        <w:rPr>
          <w:rFonts w:hint="eastAsia" w:eastAsia="宋体"/>
          <w:color w:val="auto"/>
        </w:rPr>
        <w:t>的带材在距边部不小于</w:t>
      </w:r>
      <w:r>
        <w:rPr>
          <w:rFonts w:eastAsia="宋体"/>
          <w:color w:val="auto"/>
        </w:rPr>
        <w:t>3mm</w:t>
      </w:r>
      <w:r>
        <w:rPr>
          <w:rFonts w:hint="eastAsia" w:eastAsia="宋体"/>
          <w:color w:val="auto"/>
        </w:rPr>
        <w:t>处测量）</w:t>
      </w:r>
      <w:r>
        <w:rPr>
          <w:rFonts w:hint="eastAsia" w:eastAsia="宋体"/>
          <w:color w:val="auto"/>
          <w:lang w:eastAsia="zh-CN"/>
        </w:rPr>
        <w:t>。</w:t>
      </w:r>
    </w:p>
    <w:p>
      <w:pPr>
        <w:pStyle w:val="6"/>
        <w:ind w:firstLine="0" w:firstLineChars="0"/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</w:pPr>
      <w:r>
        <w:rPr>
          <w:rFonts w:hint="eastAsia" w:ascii="黑体" w:eastAsia="黑体" w:cs="Times New Roman"/>
          <w:color w:val="auto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.3</w:t>
      </w:r>
      <w:r>
        <w:rPr>
          <w:rFonts w:hint="eastAsia" w:ascii="黑体" w:eastAsia="黑体" w:cs="Times New Roman"/>
          <w:color w:val="auto"/>
          <w:sz w:val="21"/>
          <w:szCs w:val="22"/>
          <w:lang w:val="en-US" w:eastAsia="zh-CN" w:bidi="ar-SA"/>
        </w:rPr>
        <w:t xml:space="preserve">  </w:t>
      </w:r>
      <w:r>
        <w:rPr>
          <w:rFonts w:hint="eastAsia" w:ascii="黑体" w:hAnsi="Times New Roman" w:eastAsia="黑体" w:cs="Times New Roman"/>
          <w:color w:val="auto"/>
          <w:sz w:val="21"/>
          <w:szCs w:val="22"/>
          <w:lang w:val="en-US" w:eastAsia="zh-CN" w:bidi="ar-SA"/>
        </w:rPr>
        <w:t>力学性能</w:t>
      </w:r>
    </w:p>
    <w:p>
      <w:pPr>
        <w:pStyle w:val="6"/>
        <w:ind w:left="0" w:leftChars="0" w:firstLine="0" w:firstLineChars="0"/>
        <w:rPr>
          <w:rFonts w:hint="eastAsia" w:eastAsia="宋体"/>
          <w:color w:val="auto"/>
          <w:szCs w:val="21"/>
          <w:lang w:eastAsia="zh-CN"/>
        </w:rPr>
      </w:pPr>
      <w:r>
        <w:rPr>
          <w:rFonts w:hint="eastAsia" w:cs="Times New Roman"/>
          <w:color w:val="auto"/>
          <w:sz w:val="21"/>
          <w:szCs w:val="22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.3.1</w:t>
      </w:r>
      <w:r>
        <w:rPr>
          <w:rFonts w:hint="eastAsia" w:cs="Times New Roman"/>
          <w:color w:val="auto"/>
          <w:sz w:val="21"/>
          <w:szCs w:val="22"/>
          <w:lang w:val="en-US" w:eastAsia="zh-CN" w:bidi="ar-SA"/>
        </w:rPr>
        <w:t xml:space="preserve">  </w:t>
      </w:r>
      <w:r>
        <w:rPr>
          <w:rFonts w:hAnsiTheme="minorEastAsia" w:eastAsiaTheme="minorEastAsia"/>
          <w:color w:val="auto"/>
        </w:rPr>
        <w:t>带材的</w:t>
      </w:r>
      <w:r>
        <w:rPr>
          <w:rFonts w:hint="eastAsia" w:hAnsiTheme="minorEastAsia" w:eastAsiaTheme="minorEastAsia"/>
          <w:color w:val="auto"/>
        </w:rPr>
        <w:t>室温</w:t>
      </w:r>
      <w:r>
        <w:rPr>
          <w:rFonts w:hAnsiTheme="minorEastAsia" w:eastAsiaTheme="minorEastAsia"/>
          <w:color w:val="auto"/>
        </w:rPr>
        <w:t>力学性能试验按</w:t>
      </w:r>
      <w:r>
        <w:rPr>
          <w:rFonts w:eastAsiaTheme="minorEastAsia"/>
          <w:color w:val="auto"/>
        </w:rPr>
        <w:t>GB/T 228</w:t>
      </w:r>
      <w:r>
        <w:rPr>
          <w:rFonts w:hint="eastAsia" w:eastAsiaTheme="minorEastAsia"/>
          <w:color w:val="auto"/>
        </w:rPr>
        <w:t>.1-2010</w:t>
      </w:r>
      <w:r>
        <w:rPr>
          <w:rFonts w:hAnsiTheme="minorEastAsia" w:eastAsiaTheme="minorEastAsia"/>
          <w:color w:val="auto"/>
        </w:rPr>
        <w:t>进行</w:t>
      </w:r>
      <w:r>
        <w:rPr>
          <w:rFonts w:hint="eastAsia"/>
          <w:color w:val="auto"/>
          <w:szCs w:val="21"/>
        </w:rPr>
        <w:t>，试样的选取见表7</w:t>
      </w:r>
      <w:r>
        <w:rPr>
          <w:rFonts w:hint="eastAsia"/>
          <w:color w:val="auto"/>
          <w:szCs w:val="21"/>
          <w:lang w:eastAsia="zh-CN"/>
        </w:rPr>
        <w:t>。</w:t>
      </w:r>
    </w:p>
    <w:p>
      <w:pPr>
        <w:pStyle w:val="6"/>
        <w:ind w:left="0" w:leftChars="0" w:firstLine="0" w:firstLineChars="0"/>
        <w:rPr>
          <w:rFonts w:hint="eastAsia"/>
          <w:color w:val="auto"/>
          <w:szCs w:val="21"/>
        </w:rPr>
      </w:pPr>
    </w:p>
    <w:p>
      <w:pPr>
        <w:pStyle w:val="15"/>
        <w:ind w:firstLine="0" w:firstLineChars="0"/>
        <w:jc w:val="center"/>
        <w:rPr>
          <w:rFonts w:hint="eastAsia" w:ascii="黑体" w:hAnsi="黑体" w:eastAsia="黑体"/>
          <w:color w:val="auto"/>
          <w:kern w:val="2"/>
          <w:szCs w:val="21"/>
        </w:rPr>
      </w:pPr>
      <w:r>
        <w:rPr>
          <w:rFonts w:hint="eastAsia" w:ascii="黑体" w:hAnsi="黑体" w:eastAsia="黑体"/>
          <w:color w:val="auto"/>
          <w:kern w:val="2"/>
          <w:szCs w:val="21"/>
        </w:rPr>
        <w:t>表7  带材的室温拉伸试验用试样</w:t>
      </w:r>
    </w:p>
    <w:p>
      <w:pPr>
        <w:pStyle w:val="15"/>
        <w:ind w:firstLine="0" w:firstLineChars="0"/>
        <w:jc w:val="center"/>
        <w:rPr>
          <w:rFonts w:hint="eastAsia" w:ascii="黑体" w:hAnsi="黑体" w:eastAsia="黑体"/>
          <w:color w:val="auto"/>
          <w:kern w:val="2"/>
          <w:szCs w:val="21"/>
        </w:rPr>
      </w:pPr>
    </w:p>
    <w:tbl>
      <w:tblPr>
        <w:tblStyle w:val="10"/>
        <w:tblW w:w="91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厚度/mm</w:t>
            </w:r>
          </w:p>
        </w:tc>
        <w:tc>
          <w:tcPr>
            <w:tcW w:w="5500" w:type="dxa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试样的选取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0.15~0.3</w:t>
            </w:r>
          </w:p>
        </w:tc>
        <w:tc>
          <w:tcPr>
            <w:tcW w:w="5500" w:type="dxa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GB/T 228.1-2010附录B表B.2中的P5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＞0.3~1.0</w:t>
            </w:r>
          </w:p>
        </w:tc>
        <w:tc>
          <w:tcPr>
            <w:tcW w:w="5500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GB/T 228.1-2010附录B表B.1中P02</w:t>
            </w:r>
          </w:p>
        </w:tc>
      </w:tr>
    </w:tbl>
    <w:p>
      <w:pPr>
        <w:pStyle w:val="15"/>
        <w:spacing w:line="264" w:lineRule="auto"/>
        <w:ind w:left="0" w:leftChars="0" w:firstLine="0" w:firstLineChars="0"/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</w:pPr>
    </w:p>
    <w:p>
      <w:pPr>
        <w:pStyle w:val="15"/>
        <w:spacing w:line="264" w:lineRule="auto"/>
        <w:ind w:left="0" w:leftChars="0" w:firstLine="0" w:firstLineChars="0"/>
        <w:rPr>
          <w:rFonts w:hint="eastAsia"/>
          <w:color w:val="auto"/>
          <w:szCs w:val="21"/>
          <w:lang w:eastAsia="zh-CN"/>
        </w:rPr>
      </w:pPr>
      <w:r>
        <w:rPr>
          <w:rFonts w:hint="eastAsia" w:ascii="Times New Roman" w:cs="Times New Roman"/>
          <w:color w:val="auto"/>
          <w:sz w:val="21"/>
          <w:szCs w:val="22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.3.2</w:t>
      </w:r>
      <w:r>
        <w:rPr>
          <w:rFonts w:hint="eastAsia" w:ascii="Times New Roman" w:cs="Times New Roman"/>
          <w:color w:val="auto"/>
          <w:sz w:val="21"/>
          <w:szCs w:val="22"/>
          <w:lang w:val="en-US" w:eastAsia="zh-CN" w:bidi="ar-SA"/>
        </w:rPr>
        <w:t xml:space="preserve">  </w:t>
      </w:r>
      <w:r>
        <w:rPr>
          <w:rFonts w:hint="eastAsia" w:hAnsiTheme="minorEastAsia" w:eastAsiaTheme="minorEastAsia"/>
          <w:color w:val="auto"/>
        </w:rPr>
        <w:t>带材的高温力学性能试验按</w:t>
      </w:r>
      <w:r>
        <w:rPr>
          <w:rFonts w:hint="eastAsia" w:ascii="Times New Roman"/>
          <w:color w:val="auto"/>
          <w:szCs w:val="22"/>
        </w:rPr>
        <w:t>GB/T 228.2-2010</w:t>
      </w:r>
      <w:r>
        <w:rPr>
          <w:rFonts w:hAnsiTheme="minorEastAsia" w:eastAsiaTheme="minorEastAsia"/>
          <w:color w:val="auto"/>
        </w:rPr>
        <w:t>进行</w:t>
      </w:r>
      <w:r>
        <w:rPr>
          <w:rFonts w:hint="eastAsia" w:ascii="Times New Roman"/>
          <w:color w:val="auto"/>
        </w:rPr>
        <w:t>，</w:t>
      </w:r>
      <w:r>
        <w:rPr>
          <w:rFonts w:hint="eastAsia"/>
          <w:color w:val="auto"/>
          <w:szCs w:val="21"/>
        </w:rPr>
        <w:t>试样应符合</w:t>
      </w:r>
      <w:r>
        <w:rPr>
          <w:rFonts w:hint="eastAsia" w:ascii="Times New Roman"/>
          <w:color w:val="auto"/>
          <w:szCs w:val="22"/>
        </w:rPr>
        <w:t>GB/T 228.2-201</w:t>
      </w:r>
      <w:r>
        <w:rPr>
          <w:rFonts w:hint="eastAsia" w:ascii="Times New Roman"/>
          <w:color w:val="auto"/>
          <w:szCs w:val="22"/>
          <w:lang w:val="en-US" w:eastAsia="zh-CN"/>
        </w:rPr>
        <w:t>5</w:t>
      </w:r>
      <w:r>
        <w:rPr>
          <w:rFonts w:hint="eastAsia"/>
          <w:color w:val="auto"/>
          <w:szCs w:val="21"/>
        </w:rPr>
        <w:t>附录中表A.1的规定</w:t>
      </w:r>
      <w:r>
        <w:rPr>
          <w:rFonts w:hint="eastAsia"/>
          <w:color w:val="auto"/>
          <w:szCs w:val="21"/>
          <w:lang w:eastAsia="zh-CN"/>
        </w:rPr>
        <w:t>。</w:t>
      </w:r>
    </w:p>
    <w:p>
      <w:pPr>
        <w:pStyle w:val="15"/>
        <w:spacing w:line="264" w:lineRule="auto"/>
        <w:ind w:left="0" w:leftChars="0" w:firstLine="0" w:firstLineChars="0"/>
        <w:rPr>
          <w:rFonts w:hint="eastAsia" w:ascii="Times New Roman" w:hAnsiTheme="minorEastAsia" w:eastAsiaTheme="minorEastAsia"/>
          <w:color w:val="auto"/>
          <w:lang w:eastAsia="zh-CN"/>
        </w:rPr>
      </w:pPr>
      <w:r>
        <w:rPr>
          <w:rFonts w:hint="eastAsia" w:ascii="Times New Roman" w:cs="Times New Roman"/>
          <w:color w:val="auto"/>
          <w:sz w:val="21"/>
          <w:szCs w:val="22"/>
          <w:lang w:val="en-US" w:eastAsia="zh-CN" w:bidi="ar-SA"/>
        </w:rPr>
        <w:t>5</w:t>
      </w: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.3.</w:t>
      </w:r>
      <w:r>
        <w:rPr>
          <w:rFonts w:hint="eastAsia" w:ascii="Times New Roman" w:cs="Times New Roman"/>
          <w:color w:val="auto"/>
          <w:sz w:val="21"/>
          <w:szCs w:val="22"/>
          <w:lang w:val="en-US" w:eastAsia="zh-CN" w:bidi="ar-SA"/>
        </w:rPr>
        <w:t xml:space="preserve">3  </w:t>
      </w:r>
      <w:r>
        <w:rPr>
          <w:rFonts w:hint="eastAsia" w:ascii="Times New Roman" w:hAnsiTheme="minorEastAsia" w:eastAsiaTheme="minorEastAsia"/>
          <w:color w:val="auto"/>
          <w:lang w:eastAsia="zh-CN"/>
        </w:rPr>
        <w:t>带材</w:t>
      </w:r>
      <w:r>
        <w:rPr>
          <w:rFonts w:ascii="Times New Roman" w:hAnsiTheme="minorEastAsia" w:eastAsiaTheme="minorEastAsia"/>
          <w:color w:val="auto"/>
        </w:rPr>
        <w:t>的维氏硬度试验按</w:t>
      </w:r>
      <w:r>
        <w:rPr>
          <w:rFonts w:ascii="Times New Roman" w:eastAsiaTheme="minorEastAsia"/>
          <w:color w:val="auto"/>
        </w:rPr>
        <w:t>GB/T 4340.1-2009</w:t>
      </w:r>
      <w:r>
        <w:rPr>
          <w:rFonts w:ascii="Times New Roman" w:hAnsiTheme="minorEastAsia" w:eastAsiaTheme="minorEastAsia"/>
          <w:color w:val="auto"/>
        </w:rPr>
        <w:t>的规定进行</w:t>
      </w:r>
      <w:r>
        <w:rPr>
          <w:rFonts w:hint="eastAsia" w:ascii="Times New Roman" w:hAnsiTheme="minorEastAsia" w:eastAsiaTheme="minorEastAsia"/>
          <w:color w:val="auto"/>
          <w:lang w:eastAsia="zh-CN"/>
        </w:rPr>
        <w:t>。</w:t>
      </w:r>
    </w:p>
    <w:p>
      <w:pPr>
        <w:pStyle w:val="15"/>
        <w:spacing w:line="264" w:lineRule="auto"/>
        <w:ind w:left="0" w:leftChars="0" w:firstLine="0" w:firstLineChars="0"/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.4</w:t>
      </w: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 xml:space="preserve">  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杨氏模量</w:t>
      </w:r>
    </w:p>
    <w:p>
      <w:pPr>
        <w:pStyle w:val="15"/>
        <w:spacing w:line="264" w:lineRule="auto"/>
        <w:ind w:left="0" w:leftChars="0" w:firstLine="420" w:firstLineChars="200"/>
        <w:rPr>
          <w:rFonts w:hint="eastAsia" w:ascii="Times New Roman" w:hAnsiTheme="minorEastAsia" w:eastAsiaTheme="minorEastAsia"/>
          <w:color w:val="auto"/>
          <w:lang w:eastAsia="zh-CN"/>
        </w:rPr>
      </w:pPr>
      <w:r>
        <w:rPr>
          <w:rFonts w:hint="eastAsia" w:ascii="Times New Roman"/>
          <w:color w:val="auto"/>
        </w:rPr>
        <w:t>杨氏模量试验按GB/T 22315</w:t>
      </w:r>
      <w:r>
        <w:rPr>
          <w:rFonts w:hint="eastAsia" w:ascii="Times New Roman"/>
          <w:color w:val="auto"/>
          <w:lang w:eastAsia="zh-CN"/>
        </w:rPr>
        <w:t>规定</w:t>
      </w:r>
      <w:r>
        <w:rPr>
          <w:rFonts w:hint="eastAsia" w:ascii="Times New Roman"/>
          <w:color w:val="auto"/>
        </w:rPr>
        <w:t>进行。</w:t>
      </w:r>
    </w:p>
    <w:p>
      <w:pPr>
        <w:pStyle w:val="15"/>
        <w:ind w:firstLine="0" w:firstLineChars="0"/>
        <w:rPr>
          <w:rFonts w:ascii="Times New Roman" w:eastAsiaTheme="minorEastAsia"/>
          <w:color w:val="auto"/>
        </w:rPr>
      </w:pP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.</w:t>
      </w: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弯曲试验</w:t>
      </w:r>
      <w:r>
        <w:rPr>
          <w:rFonts w:ascii="Times New Roman" w:eastAsiaTheme="minorEastAsia"/>
          <w:color w:val="auto"/>
        </w:rPr>
        <w:t xml:space="preserve"> </w:t>
      </w:r>
    </w:p>
    <w:p>
      <w:pPr>
        <w:pStyle w:val="15"/>
        <w:ind w:firstLine="420" w:firstLineChars="200"/>
        <w:rPr>
          <w:rFonts w:ascii="Times New Roman" w:hAnsiTheme="minorEastAsia" w:eastAsiaTheme="minorEastAsia"/>
          <w:color w:val="auto"/>
        </w:rPr>
      </w:pPr>
      <w:r>
        <w:rPr>
          <w:rFonts w:hint="eastAsia" w:ascii="Times New Roman" w:hAnsiTheme="minorEastAsia" w:eastAsiaTheme="minorEastAsia"/>
          <w:color w:val="auto"/>
          <w:lang w:eastAsia="zh-CN"/>
        </w:rPr>
        <w:t>带材</w:t>
      </w:r>
      <w:r>
        <w:rPr>
          <w:rFonts w:ascii="Times New Roman" w:hAnsiTheme="minorEastAsia" w:eastAsiaTheme="minorEastAsia"/>
          <w:color w:val="auto"/>
        </w:rPr>
        <w:t>的弯曲试验按</w:t>
      </w:r>
      <w:r>
        <w:rPr>
          <w:rFonts w:ascii="Times New Roman" w:eastAsiaTheme="minorEastAsia"/>
          <w:color w:val="auto"/>
        </w:rPr>
        <w:t>GB/T232</w:t>
      </w:r>
      <w:r>
        <w:rPr>
          <w:rFonts w:hint="eastAsia" w:ascii="Times New Roman" w:eastAsiaTheme="minorEastAsia"/>
          <w:color w:val="auto"/>
          <w:lang w:eastAsia="zh-CN"/>
        </w:rPr>
        <w:t>规定</w:t>
      </w:r>
      <w:r>
        <w:rPr>
          <w:rFonts w:ascii="Times New Roman" w:hAnsiTheme="minorEastAsia" w:eastAsiaTheme="minorEastAsia"/>
          <w:color w:val="auto"/>
        </w:rPr>
        <w:t>进行。</w:t>
      </w:r>
    </w:p>
    <w:p>
      <w:pPr>
        <w:pStyle w:val="15"/>
        <w:ind w:firstLine="0" w:firstLineChars="0"/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.</w:t>
      </w: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>6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黑体" w:eastAsia="黑体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晶粒度</w:t>
      </w:r>
    </w:p>
    <w:p>
      <w:pPr>
        <w:pStyle w:val="15"/>
        <w:ind w:firstLine="420" w:firstLineChars="200"/>
        <w:rPr>
          <w:rFonts w:ascii="Times New Roman" w:hAnsiTheme="minorEastAsia" w:eastAsiaTheme="minorEastAsia"/>
          <w:color w:val="auto"/>
        </w:rPr>
      </w:pPr>
      <w:r>
        <w:rPr>
          <w:rFonts w:ascii="Times New Roman" w:hAnsiTheme="minorEastAsia" w:eastAsiaTheme="minorEastAsia"/>
          <w:color w:val="auto"/>
        </w:rPr>
        <w:t>晶粒度测定按</w:t>
      </w:r>
      <w:r>
        <w:rPr>
          <w:rFonts w:ascii="Times New Roman" w:eastAsiaTheme="minorEastAsia"/>
          <w:color w:val="auto"/>
        </w:rPr>
        <w:t>GB/T6394</w:t>
      </w:r>
      <w:r>
        <w:rPr>
          <w:rFonts w:ascii="Times New Roman" w:hAnsiTheme="minorEastAsia" w:eastAsiaTheme="minorEastAsia"/>
          <w:color w:val="auto"/>
        </w:rPr>
        <w:t>的规定进行。</w:t>
      </w:r>
    </w:p>
    <w:p>
      <w:pPr>
        <w:pStyle w:val="25"/>
        <w:numPr>
          <w:ilvl w:val="2"/>
          <w:numId w:val="0"/>
        </w:numPr>
        <w:spacing w:line="264" w:lineRule="auto"/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黑体" w:cs="Times New Roman"/>
          <w:color w:val="auto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.</w:t>
      </w:r>
      <w:r>
        <w:rPr>
          <w:rFonts w:hint="eastAsia" w:ascii="黑体" w:cs="Times New Roman"/>
          <w:color w:val="auto"/>
          <w:kern w:val="2"/>
          <w:sz w:val="21"/>
          <w:szCs w:val="22"/>
          <w:lang w:val="en-US" w:eastAsia="zh-CN" w:bidi="ar-SA"/>
        </w:rPr>
        <w:t>7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黑体" w:cs="Times New Roman"/>
          <w:color w:val="auto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黑体" w:hAnsi="Times New Roman" w:eastAsia="黑体" w:cs="Times New Roman"/>
          <w:color w:val="auto"/>
          <w:kern w:val="2"/>
          <w:sz w:val="21"/>
          <w:szCs w:val="22"/>
          <w:lang w:val="en-US" w:eastAsia="zh-CN" w:bidi="ar-SA"/>
        </w:rPr>
        <w:t>表面质量</w:t>
      </w:r>
    </w:p>
    <w:p>
      <w:pPr>
        <w:pStyle w:val="25"/>
        <w:numPr>
          <w:ilvl w:val="2"/>
          <w:numId w:val="0"/>
        </w:numPr>
        <w:spacing w:line="264" w:lineRule="auto"/>
        <w:ind w:firstLine="420" w:firstLineChars="200"/>
        <w:rPr>
          <w:rFonts w:hint="eastAsia" w:eastAsia="宋体"/>
          <w:color w:val="auto"/>
        </w:rPr>
      </w:pPr>
      <w:r>
        <w:rPr>
          <w:rFonts w:hint="eastAsia" w:eastAsia="宋体"/>
          <w:color w:val="auto"/>
          <w:lang w:eastAsia="zh-CN"/>
        </w:rPr>
        <w:t>带材</w:t>
      </w:r>
      <w:r>
        <w:rPr>
          <w:rFonts w:hint="eastAsia" w:eastAsia="宋体"/>
          <w:color w:val="auto"/>
        </w:rPr>
        <w:t>的表面质量用目视</w:t>
      </w:r>
      <w:r>
        <w:rPr>
          <w:rFonts w:hint="eastAsia" w:eastAsia="宋体"/>
          <w:color w:val="auto"/>
          <w:lang w:eastAsia="zh-CN"/>
        </w:rPr>
        <w:t>进行</w:t>
      </w:r>
      <w:r>
        <w:rPr>
          <w:rFonts w:hint="eastAsia" w:eastAsia="宋体"/>
          <w:color w:val="auto"/>
        </w:rPr>
        <w:t>检</w:t>
      </w:r>
      <w:r>
        <w:rPr>
          <w:rFonts w:hint="eastAsia" w:eastAsia="宋体"/>
          <w:color w:val="auto"/>
          <w:lang w:eastAsia="zh-CN"/>
        </w:rPr>
        <w:t>验</w:t>
      </w:r>
      <w:r>
        <w:rPr>
          <w:rFonts w:hint="eastAsia" w:eastAsia="宋体"/>
          <w:color w:val="auto"/>
        </w:rPr>
        <w:t>。</w:t>
      </w:r>
    </w:p>
    <w:p>
      <w:pPr>
        <w:pStyle w:val="15"/>
        <w:rPr>
          <w:color w:val="auto"/>
        </w:rPr>
      </w:pPr>
    </w:p>
    <w:p>
      <w:pPr>
        <w:pStyle w:val="26"/>
        <w:numPr>
          <w:ilvl w:val="0"/>
          <w:numId w:val="0"/>
        </w:numPr>
        <w:spacing w:beforeLines="0" w:afterLines="0" w:line="264" w:lineRule="auto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  <w:lang w:val="en-US" w:eastAsia="zh-CN"/>
        </w:rPr>
        <w:t xml:space="preserve">6  </w:t>
      </w:r>
      <w:r>
        <w:rPr>
          <w:rFonts w:hint="eastAsia" w:ascii="Times New Roman"/>
          <w:color w:val="auto"/>
        </w:rPr>
        <w:t>检验规则</w:t>
      </w:r>
    </w:p>
    <w:p>
      <w:pPr>
        <w:pStyle w:val="15"/>
        <w:rPr>
          <w:color w:val="auto"/>
        </w:rPr>
      </w:pP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.1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检查和验收</w:t>
      </w:r>
    </w:p>
    <w:p>
      <w:pPr>
        <w:pStyle w:val="24"/>
        <w:numPr>
          <w:ilvl w:val="0"/>
          <w:numId w:val="0"/>
        </w:numPr>
        <w:spacing w:line="264" w:lineRule="auto"/>
        <w:rPr>
          <w:rFonts w:hint="eastAsia" w:eastAsia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>6</w:t>
      </w:r>
      <w:r>
        <w:rPr>
          <w:rFonts w:hint="eastAsia" w:eastAsia="宋体"/>
          <w:color w:val="auto"/>
        </w:rPr>
        <w:t>.1.1</w:t>
      </w:r>
      <w:r>
        <w:rPr>
          <w:rFonts w:hint="eastAsia" w:eastAsia="宋体"/>
          <w:color w:val="auto"/>
          <w:lang w:val="en-US" w:eastAsia="zh-CN"/>
        </w:rPr>
        <w:t xml:space="preserve">  </w:t>
      </w:r>
      <w:r>
        <w:rPr>
          <w:rFonts w:hint="eastAsia" w:eastAsia="宋体"/>
          <w:color w:val="auto"/>
        </w:rPr>
        <w:t>带材应由供方技术监督部门进行检验，保证产品质量符合本标准</w:t>
      </w:r>
      <w:r>
        <w:rPr>
          <w:rFonts w:hint="eastAsia" w:eastAsia="宋体"/>
          <w:color w:val="auto"/>
          <w:lang w:eastAsia="zh-CN"/>
        </w:rPr>
        <w:t>和订货单（或合同）</w:t>
      </w:r>
      <w:r>
        <w:rPr>
          <w:rFonts w:hint="eastAsia" w:eastAsia="宋体"/>
          <w:color w:val="auto"/>
        </w:rPr>
        <w:t>的规定，并填写质量证明书。</w:t>
      </w:r>
    </w:p>
    <w:p>
      <w:pPr>
        <w:tabs>
          <w:tab w:val="left" w:pos="1057"/>
        </w:tabs>
        <w:bidi w:val="0"/>
        <w:jc w:val="left"/>
        <w:rPr>
          <w:rFonts w:eastAsia="宋体"/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 w:eastAsia="宋体"/>
          <w:color w:val="auto"/>
        </w:rPr>
        <w:t>.1.2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eastAsia="宋体"/>
          <w:color w:val="auto"/>
        </w:rPr>
        <w:t>需方对收到的产品按本标准</w:t>
      </w:r>
      <w:r>
        <w:rPr>
          <w:rFonts w:hint="eastAsia" w:eastAsia="宋体"/>
          <w:color w:val="auto"/>
          <w:lang w:eastAsia="zh-CN"/>
        </w:rPr>
        <w:t>和订货单（或合同）</w:t>
      </w:r>
      <w:r>
        <w:rPr>
          <w:rFonts w:hint="eastAsia" w:eastAsia="宋体"/>
          <w:color w:val="auto"/>
        </w:rPr>
        <w:t>的规定进行复验。复验结果与本标准</w:t>
      </w:r>
      <w:r>
        <w:rPr>
          <w:rFonts w:hint="eastAsia" w:eastAsia="宋体"/>
          <w:color w:val="auto"/>
          <w:lang w:eastAsia="zh-CN"/>
        </w:rPr>
        <w:t>和订货单（或合同）</w:t>
      </w:r>
      <w:r>
        <w:rPr>
          <w:rFonts w:hint="eastAsia" w:eastAsia="宋体"/>
          <w:color w:val="auto"/>
        </w:rPr>
        <w:t>的规定不符时，应以书面形式向供方提出，由供需双方协商解决。属于表面质量及尺寸偏差的异议，应在收到产品之日起一个月内提出</w:t>
      </w:r>
      <w:r>
        <w:rPr>
          <w:rFonts w:hint="eastAsia"/>
          <w:color w:val="auto"/>
          <w:lang w:eastAsia="zh-CN"/>
        </w:rPr>
        <w:t>；其他质量</w:t>
      </w:r>
      <w:r>
        <w:rPr>
          <w:rFonts w:hint="eastAsia" w:eastAsia="宋体"/>
          <w:color w:val="auto"/>
        </w:rPr>
        <w:t>异议，应在收到产品三个月内提出。如需仲裁，仲裁取样应由供需双方共同进行。</w:t>
      </w: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.2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组批</w:t>
      </w: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带材应成批提交验收，每批应由同一牌号、状态和规格的产品组成，</w:t>
      </w:r>
      <w:r>
        <w:rPr>
          <w:rFonts w:hint="eastAsia" w:ascii="Times New Roman"/>
          <w:color w:val="auto"/>
          <w:lang w:eastAsia="zh-CN"/>
        </w:rPr>
        <w:t>每</w:t>
      </w:r>
      <w:r>
        <w:rPr>
          <w:rFonts w:hint="eastAsia" w:ascii="Times New Roman"/>
          <w:color w:val="auto"/>
        </w:rPr>
        <w:t>批</w:t>
      </w:r>
      <w:r>
        <w:rPr>
          <w:rFonts w:hint="eastAsia" w:ascii="Times New Roman"/>
          <w:color w:val="auto"/>
          <w:lang w:eastAsia="zh-CN"/>
        </w:rPr>
        <w:t>重量</w:t>
      </w:r>
      <w:r>
        <w:rPr>
          <w:rFonts w:hint="eastAsia" w:ascii="Times New Roman"/>
          <w:color w:val="auto"/>
        </w:rPr>
        <w:t>应不大于</w:t>
      </w:r>
      <w:r>
        <w:rPr>
          <w:rFonts w:ascii="Times New Roman"/>
          <w:color w:val="auto"/>
        </w:rPr>
        <w:t>2000kg</w:t>
      </w:r>
      <w:r>
        <w:rPr>
          <w:rFonts w:hint="eastAsia" w:ascii="Times New Roman"/>
          <w:color w:val="auto"/>
        </w:rPr>
        <w:t>。</w:t>
      </w: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.3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检验项目</w:t>
      </w:r>
    </w:p>
    <w:p>
      <w:pPr>
        <w:pStyle w:val="15"/>
        <w:spacing w:line="264" w:lineRule="auto"/>
        <w:ind w:left="0" w:leftChars="0" w:firstLine="0" w:firstLineChars="0"/>
        <w:rPr>
          <w:rFonts w:hint="eastAsia" w:ascii="Times New Roman"/>
          <w:color w:val="auto"/>
          <w:lang w:eastAsia="zh-CN"/>
        </w:rPr>
      </w:pPr>
      <w:r>
        <w:rPr>
          <w:rFonts w:hint="eastAsia" w:ascii="Times New Roman"/>
          <w:color w:val="auto"/>
          <w:lang w:val="en-US" w:eastAsia="zh-CN"/>
        </w:rPr>
        <w:t xml:space="preserve">6.3.1  </w:t>
      </w:r>
      <w:r>
        <w:rPr>
          <w:rFonts w:hint="eastAsia" w:ascii="Times New Roman"/>
          <w:color w:val="auto"/>
        </w:rPr>
        <w:t>每批带材应进行化学成分、外形尺寸</w:t>
      </w:r>
      <w:r>
        <w:rPr>
          <w:rFonts w:hint="eastAsia" w:ascii="Times New Roman"/>
          <w:color w:val="auto"/>
          <w:lang w:eastAsia="zh-CN"/>
        </w:rPr>
        <w:t>及其允许偏差和表面质量的检验。</w:t>
      </w:r>
    </w:p>
    <w:p>
      <w:pPr>
        <w:pStyle w:val="15"/>
        <w:spacing w:line="264" w:lineRule="auto"/>
        <w:ind w:left="0" w:leftChars="0" w:firstLine="0" w:firstLineChars="0"/>
        <w:rPr>
          <w:rFonts w:hint="eastAsia" w:ascii="Times New Roman"/>
          <w:color w:val="auto"/>
          <w:lang w:val="en-US" w:eastAsia="zh-CN"/>
        </w:rPr>
      </w:pPr>
      <w:r>
        <w:rPr>
          <w:rFonts w:hint="eastAsia" w:ascii="Times New Roman"/>
          <w:color w:val="auto"/>
          <w:lang w:val="en-US" w:eastAsia="zh-CN"/>
        </w:rPr>
        <w:t>6.3.2  每批带材应进行室温力学性能（拉伸试验和硬度试验）检验。</w:t>
      </w:r>
    </w:p>
    <w:p>
      <w:pPr>
        <w:pStyle w:val="15"/>
        <w:spacing w:line="264" w:lineRule="auto"/>
        <w:ind w:left="0" w:leftChars="0" w:firstLine="0" w:firstLineChars="0"/>
        <w:rPr>
          <w:rFonts w:hint="default" w:ascii="Times New Roman"/>
          <w:color w:val="auto"/>
          <w:lang w:val="en-US" w:eastAsia="zh-CN"/>
        </w:rPr>
      </w:pPr>
      <w:r>
        <w:rPr>
          <w:rFonts w:hint="eastAsia" w:ascii="Times New Roman"/>
          <w:color w:val="auto"/>
          <w:lang w:val="en-US" w:eastAsia="zh-CN"/>
        </w:rPr>
        <w:t>6.3.3  如需方有要求，并在合同中注明时，还应进行弯曲试验、高温力学性能检验、晶粒度和杨氏模量的检验。</w:t>
      </w:r>
    </w:p>
    <w:p>
      <w:pPr>
        <w:pStyle w:val="25"/>
        <w:numPr>
          <w:ilvl w:val="0"/>
          <w:numId w:val="0"/>
        </w:numPr>
        <w:spacing w:line="264" w:lineRule="auto"/>
        <w:rPr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.4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取样</w:t>
      </w:r>
    </w:p>
    <w:p>
      <w:pPr>
        <w:pStyle w:val="24"/>
        <w:numPr>
          <w:ilvl w:val="3"/>
          <w:numId w:val="0"/>
        </w:numPr>
        <w:spacing w:line="264" w:lineRule="auto"/>
        <w:ind w:firstLine="420" w:firstLineChars="200"/>
        <w:rPr>
          <w:rFonts w:hint="eastAsia" w:eastAsia="宋体" w:cs="Times New Roman"/>
          <w:color w:val="auto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带材的取样应符合表8的规定</w:t>
      </w:r>
      <w:r>
        <w:rPr>
          <w:rFonts w:hint="eastAsia" w:eastAsia="宋体" w:cs="Times New Roman"/>
          <w:color w:val="auto"/>
          <w:sz w:val="21"/>
          <w:szCs w:val="22"/>
          <w:lang w:val="en-US" w:eastAsia="zh-CN" w:bidi="ar-SA"/>
        </w:rPr>
        <w:t>。</w:t>
      </w:r>
    </w:p>
    <w:p>
      <w:pPr>
        <w:pStyle w:val="15"/>
        <w:rPr>
          <w:color w:val="auto"/>
        </w:rPr>
      </w:pPr>
    </w:p>
    <w:p>
      <w:pPr>
        <w:pStyle w:val="28"/>
        <w:numPr>
          <w:ilvl w:val="0"/>
          <w:numId w:val="0"/>
        </w:numPr>
        <w:spacing w:line="264" w:lineRule="auto"/>
        <w:rPr>
          <w:rFonts w:hint="eastAsia" w:hAnsi="黑体"/>
          <w:color w:val="auto"/>
        </w:rPr>
      </w:pPr>
      <w:r>
        <w:rPr>
          <w:rFonts w:hint="eastAsia" w:hAnsi="黑体"/>
          <w:color w:val="auto"/>
        </w:rPr>
        <w:t>表8 取样</w:t>
      </w:r>
    </w:p>
    <w:p>
      <w:pPr>
        <w:pStyle w:val="15"/>
        <w:rPr>
          <w:color w:val="auto"/>
        </w:rPr>
      </w:pPr>
    </w:p>
    <w:tbl>
      <w:tblPr>
        <w:tblStyle w:val="10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605"/>
        <w:gridCol w:w="3885"/>
        <w:gridCol w:w="154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检验项目</w:t>
            </w:r>
          </w:p>
        </w:tc>
        <w:tc>
          <w:tcPr>
            <w:tcW w:w="38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取样规定</w:t>
            </w:r>
          </w:p>
        </w:tc>
        <w:tc>
          <w:tcPr>
            <w:tcW w:w="154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要求的章条号</w:t>
            </w:r>
          </w:p>
        </w:tc>
        <w:tc>
          <w:tcPr>
            <w:tcW w:w="173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化学成分</w:t>
            </w:r>
          </w:p>
        </w:tc>
        <w:tc>
          <w:tcPr>
            <w:tcW w:w="3885" w:type="dxa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带材上</w:t>
            </w:r>
            <w:r>
              <w:rPr>
                <w:rFonts w:hint="eastAsia"/>
                <w:color w:val="auto"/>
                <w:sz w:val="18"/>
                <w:szCs w:val="18"/>
              </w:rPr>
              <w:t>每批</w:t>
            </w: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个，允许供方以原铸锭</w:t>
            </w:r>
          </w:p>
          <w:p>
            <w:pPr>
              <w:pStyle w:val="15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或坯料的分析结果报出</w:t>
            </w:r>
          </w:p>
        </w:tc>
        <w:tc>
          <w:tcPr>
            <w:tcW w:w="1545" w:type="dxa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173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28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外形尺寸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及其允许偏差</w:t>
            </w:r>
          </w:p>
        </w:tc>
        <w:tc>
          <w:tcPr>
            <w:tcW w:w="388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逐卷</w:t>
            </w:r>
          </w:p>
        </w:tc>
        <w:tc>
          <w:tcPr>
            <w:tcW w:w="15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力学性能</w:t>
            </w:r>
          </w:p>
        </w:tc>
        <w:tc>
          <w:tcPr>
            <w:tcW w:w="1605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室温拉伸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试验</w:t>
            </w:r>
          </w:p>
        </w:tc>
        <w:tc>
          <w:tcPr>
            <w:tcW w:w="388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每批带材任取</w:t>
            </w:r>
            <w:r>
              <w:rPr>
                <w:rFonts w:asci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卷，每卷</w:t>
            </w:r>
            <w:r>
              <w:rPr>
                <w:rFonts w:hint="eastAsia"/>
                <w:color w:val="auto"/>
                <w:sz w:val="18"/>
                <w:szCs w:val="18"/>
              </w:rPr>
              <w:t>沿轧制方向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取</w:t>
            </w:r>
            <w:r>
              <w:rPr>
                <w:rFonts w:asci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个试样</w:t>
            </w:r>
          </w:p>
        </w:tc>
        <w:tc>
          <w:tcPr>
            <w:tcW w:w="15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高温拉伸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试验</w:t>
            </w:r>
          </w:p>
        </w:tc>
        <w:tc>
          <w:tcPr>
            <w:tcW w:w="388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每批带材任取</w:t>
            </w:r>
            <w:r>
              <w:rPr>
                <w:rFonts w:asci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卷，每卷</w:t>
            </w:r>
            <w:r>
              <w:rPr>
                <w:rFonts w:hint="eastAsia"/>
                <w:color w:val="auto"/>
                <w:sz w:val="18"/>
                <w:szCs w:val="18"/>
              </w:rPr>
              <w:t>沿轧制方向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取</w:t>
            </w:r>
            <w:r>
              <w:rPr>
                <w:rFonts w:asci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个试样</w:t>
            </w:r>
          </w:p>
        </w:tc>
        <w:tc>
          <w:tcPr>
            <w:tcW w:w="15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68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color="auto" w:sz="4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eastAsia"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维氏硬度</w:t>
            </w:r>
            <w:r>
              <w:rPr>
                <w:rFonts w:hint="eastAsia" w:ascii="Times New Roman"/>
                <w:color w:val="auto"/>
                <w:sz w:val="18"/>
                <w:szCs w:val="18"/>
                <w:lang w:eastAsia="zh-CN"/>
              </w:rPr>
              <w:t>试验</w:t>
            </w:r>
          </w:p>
        </w:tc>
        <w:tc>
          <w:tcPr>
            <w:tcW w:w="388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每批带材任取</w:t>
            </w:r>
            <w:r>
              <w:rPr>
                <w:rFonts w:asci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卷，每卷取</w:t>
            </w:r>
            <w:r>
              <w:rPr>
                <w:rFonts w:asci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个试样</w:t>
            </w:r>
          </w:p>
        </w:tc>
        <w:tc>
          <w:tcPr>
            <w:tcW w:w="15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弯曲试验</w:t>
            </w:r>
          </w:p>
        </w:tc>
        <w:tc>
          <w:tcPr>
            <w:tcW w:w="388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每批带材任取</w:t>
            </w:r>
            <w:r>
              <w:rPr>
                <w:rFonts w:asci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卷，每卷</w:t>
            </w:r>
            <w:r>
              <w:rPr>
                <w:rFonts w:hint="eastAsia"/>
                <w:color w:val="auto"/>
                <w:sz w:val="18"/>
                <w:szCs w:val="18"/>
              </w:rPr>
              <w:t>沿轧制方向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取</w:t>
            </w:r>
            <w:r>
              <w:rPr>
                <w:rFonts w:asci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个试样</w:t>
            </w:r>
          </w:p>
        </w:tc>
        <w:tc>
          <w:tcPr>
            <w:tcW w:w="15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晶粒度</w:t>
            </w:r>
          </w:p>
        </w:tc>
        <w:tc>
          <w:tcPr>
            <w:tcW w:w="388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每批带材任取</w:t>
            </w:r>
            <w:r>
              <w:rPr>
                <w:rFonts w:ascii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卷，每卷取</w:t>
            </w:r>
            <w:r>
              <w:rPr>
                <w:rFonts w:ascii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/>
                <w:color w:val="auto"/>
                <w:sz w:val="18"/>
                <w:szCs w:val="18"/>
              </w:rPr>
              <w:t>个试样</w:t>
            </w:r>
          </w:p>
        </w:tc>
        <w:tc>
          <w:tcPr>
            <w:tcW w:w="1545" w:type="dxa"/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1735" w:type="dxa"/>
            <w:tcBorders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表面质量</w:t>
            </w:r>
          </w:p>
        </w:tc>
        <w:tc>
          <w:tcPr>
            <w:tcW w:w="388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asci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</w:rPr>
              <w:t>逐卷</w:t>
            </w:r>
          </w:p>
        </w:tc>
        <w:tc>
          <w:tcPr>
            <w:tcW w:w="1545" w:type="dxa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173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spacing w:line="264" w:lineRule="auto"/>
              <w:ind w:firstLine="0" w:firstLineChars="0"/>
              <w:jc w:val="center"/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18"/>
                <w:szCs w:val="18"/>
                <w:lang w:val="en-US" w:eastAsia="zh-CN"/>
              </w:rPr>
              <w:t>5.7</w:t>
            </w:r>
          </w:p>
        </w:tc>
      </w:tr>
    </w:tbl>
    <w:p>
      <w:pPr>
        <w:pStyle w:val="25"/>
        <w:numPr>
          <w:ilvl w:val="0"/>
          <w:numId w:val="0"/>
        </w:numPr>
        <w:spacing w:line="264" w:lineRule="auto"/>
        <w:rPr>
          <w:rFonts w:hint="eastAsia"/>
          <w:color w:val="auto"/>
        </w:rPr>
      </w:pPr>
    </w:p>
    <w:p>
      <w:pPr>
        <w:pStyle w:val="25"/>
        <w:numPr>
          <w:ilvl w:val="0"/>
          <w:numId w:val="0"/>
        </w:numPr>
        <w:spacing w:line="264" w:lineRule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.5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检验结果的判定</w:t>
      </w:r>
    </w:p>
    <w:p>
      <w:pPr>
        <w:pStyle w:val="15"/>
        <w:ind w:left="0" w:leftChars="0" w:firstLine="0" w:firstLineChars="0"/>
        <w:rPr>
          <w:color w:val="auto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2"/>
          <w:lang w:val="en-US" w:eastAsia="zh-CN" w:bidi="ar-SA"/>
        </w:rPr>
        <w:t>6.5.1</w:t>
      </w:r>
      <w:r>
        <w:rPr>
          <w:rFonts w:hint="eastAsia" w:eastAsia="黑体"/>
          <w:color w:val="auto"/>
          <w:szCs w:val="21"/>
          <w:lang w:val="en-US" w:eastAsia="zh-CN"/>
        </w:rPr>
        <w:t xml:space="preserve">  </w:t>
      </w:r>
      <w:r>
        <w:rPr>
          <w:rFonts w:hint="eastAsia"/>
          <w:color w:val="auto"/>
        </w:rPr>
        <w:t>检验结果的数值按</w:t>
      </w:r>
      <w:r>
        <w:rPr>
          <w:rFonts w:hint="eastAsia" w:ascii="Times New Roman"/>
          <w:color w:val="auto"/>
          <w:szCs w:val="22"/>
        </w:rPr>
        <w:t>GB/T 8170</w:t>
      </w:r>
      <w:r>
        <w:rPr>
          <w:rFonts w:hint="eastAsia"/>
          <w:color w:val="auto"/>
        </w:rPr>
        <w:t xml:space="preserve"> 的规定进行修约，并采用修约值比较法判定。</w:t>
      </w:r>
      <w:bookmarkStart w:id="0" w:name="_GoBack"/>
      <w:bookmarkEnd w:id="0"/>
    </w:p>
    <w:p>
      <w:pPr>
        <w:pStyle w:val="24"/>
        <w:numPr>
          <w:ilvl w:val="0"/>
          <w:numId w:val="0"/>
        </w:numPr>
        <w:spacing w:line="264" w:lineRule="auto"/>
        <w:rPr>
          <w:rFonts w:eastAsia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>6</w:t>
      </w:r>
      <w:r>
        <w:rPr>
          <w:rFonts w:hint="eastAsia" w:eastAsia="宋体"/>
          <w:color w:val="auto"/>
        </w:rPr>
        <w:t>.5.</w:t>
      </w:r>
      <w:r>
        <w:rPr>
          <w:rFonts w:hint="eastAsia" w:eastAsia="宋体"/>
          <w:color w:val="auto"/>
          <w:lang w:val="en-US" w:eastAsia="zh-CN"/>
        </w:rPr>
        <w:t xml:space="preserve">2  </w:t>
      </w:r>
      <w:r>
        <w:rPr>
          <w:rFonts w:hint="eastAsia" w:eastAsia="宋体"/>
          <w:color w:val="auto"/>
        </w:rPr>
        <w:t>化学成分不合格时，判该批</w:t>
      </w:r>
      <w:r>
        <w:rPr>
          <w:rFonts w:hint="eastAsia" w:eastAsia="宋体"/>
          <w:color w:val="auto"/>
          <w:lang w:eastAsia="zh-CN"/>
        </w:rPr>
        <w:t>带材</w:t>
      </w:r>
      <w:r>
        <w:rPr>
          <w:rFonts w:hint="eastAsia" w:eastAsia="宋体"/>
          <w:color w:val="auto"/>
        </w:rPr>
        <w:t>不合格。</w:t>
      </w:r>
    </w:p>
    <w:p>
      <w:pPr>
        <w:pStyle w:val="24"/>
        <w:numPr>
          <w:ilvl w:val="0"/>
          <w:numId w:val="0"/>
        </w:numPr>
        <w:spacing w:line="264" w:lineRule="auto"/>
        <w:rPr>
          <w:rFonts w:eastAsia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>6</w:t>
      </w:r>
      <w:r>
        <w:rPr>
          <w:rFonts w:hint="eastAsia" w:eastAsia="宋体"/>
          <w:color w:val="auto"/>
        </w:rPr>
        <w:t>.5.</w:t>
      </w:r>
      <w:r>
        <w:rPr>
          <w:rFonts w:hint="eastAsia" w:eastAsia="宋体"/>
          <w:color w:val="auto"/>
          <w:lang w:val="en-US" w:eastAsia="zh-CN"/>
        </w:rPr>
        <w:t xml:space="preserve">3  </w:t>
      </w:r>
      <w:r>
        <w:rPr>
          <w:rFonts w:hint="eastAsia" w:eastAsia="宋体"/>
          <w:color w:val="auto"/>
        </w:rPr>
        <w:t>带材</w:t>
      </w:r>
      <w:r>
        <w:rPr>
          <w:rFonts w:hint="eastAsia" w:eastAsia="宋体"/>
          <w:color w:val="auto"/>
          <w:lang w:eastAsia="zh-CN"/>
        </w:rPr>
        <w:t>外形</w:t>
      </w:r>
      <w:r>
        <w:rPr>
          <w:rFonts w:hint="eastAsia" w:eastAsia="宋体"/>
          <w:color w:val="auto"/>
        </w:rPr>
        <w:t>尺寸</w:t>
      </w:r>
      <w:r>
        <w:rPr>
          <w:rFonts w:hint="eastAsia" w:eastAsia="宋体"/>
          <w:color w:val="auto"/>
          <w:lang w:eastAsia="zh-CN"/>
        </w:rPr>
        <w:t>及其</w:t>
      </w:r>
      <w:r>
        <w:rPr>
          <w:rFonts w:hint="eastAsia" w:eastAsia="宋体"/>
          <w:color w:val="auto"/>
        </w:rPr>
        <w:t>偏差</w:t>
      </w:r>
      <w:r>
        <w:rPr>
          <w:rFonts w:hint="eastAsia" w:eastAsia="宋体"/>
          <w:color w:val="auto"/>
          <w:lang w:eastAsia="zh-CN"/>
        </w:rPr>
        <w:t>和</w:t>
      </w:r>
      <w:r>
        <w:rPr>
          <w:rFonts w:hint="eastAsia" w:eastAsia="宋体"/>
          <w:color w:val="auto"/>
        </w:rPr>
        <w:t>表面质量不合格时，判该卷</w:t>
      </w:r>
      <w:r>
        <w:rPr>
          <w:rFonts w:hint="eastAsia" w:eastAsia="宋体"/>
          <w:color w:val="auto"/>
          <w:lang w:eastAsia="zh-CN"/>
        </w:rPr>
        <w:t>带材</w:t>
      </w:r>
      <w:r>
        <w:rPr>
          <w:rFonts w:hint="eastAsia" w:eastAsia="宋体"/>
          <w:color w:val="auto"/>
        </w:rPr>
        <w:t>不合格。</w:t>
      </w:r>
    </w:p>
    <w:p>
      <w:pPr>
        <w:pStyle w:val="24"/>
        <w:numPr>
          <w:ilvl w:val="0"/>
          <w:numId w:val="0"/>
        </w:numPr>
        <w:spacing w:line="264" w:lineRule="auto"/>
        <w:rPr>
          <w:rFonts w:hint="eastAsia" w:eastAsia="宋体"/>
          <w:color w:val="auto"/>
        </w:rPr>
      </w:pPr>
      <w:r>
        <w:rPr>
          <w:rFonts w:hint="eastAsia" w:eastAsia="宋体"/>
          <w:color w:val="auto"/>
          <w:lang w:val="en-US" w:eastAsia="zh-CN"/>
        </w:rPr>
        <w:t>6</w:t>
      </w:r>
      <w:r>
        <w:rPr>
          <w:rFonts w:hint="eastAsia" w:eastAsia="宋体"/>
          <w:color w:val="auto"/>
        </w:rPr>
        <w:t>.5.</w:t>
      </w:r>
      <w:r>
        <w:rPr>
          <w:rFonts w:hint="eastAsia" w:eastAsia="宋体"/>
          <w:color w:val="auto"/>
          <w:lang w:val="en-US" w:eastAsia="zh-CN"/>
        </w:rPr>
        <w:t xml:space="preserve">4  </w:t>
      </w:r>
      <w:r>
        <w:rPr>
          <w:rFonts w:hint="eastAsia" w:eastAsia="宋体"/>
          <w:color w:val="auto"/>
        </w:rPr>
        <w:t>力学性能</w:t>
      </w:r>
      <w:r>
        <w:rPr>
          <w:rFonts w:hint="eastAsia" w:eastAsia="宋体"/>
          <w:color w:val="auto"/>
          <w:lang w:eastAsia="zh-CN"/>
        </w:rPr>
        <w:t>、弯曲</w:t>
      </w:r>
      <w:r>
        <w:rPr>
          <w:rFonts w:hint="eastAsia" w:eastAsia="宋体"/>
          <w:color w:val="auto"/>
        </w:rPr>
        <w:t>试验</w:t>
      </w:r>
      <w:r>
        <w:rPr>
          <w:rFonts w:hint="eastAsia" w:eastAsia="宋体"/>
          <w:color w:val="auto"/>
          <w:lang w:eastAsia="zh-CN"/>
        </w:rPr>
        <w:t>和晶粒度</w:t>
      </w:r>
      <w:r>
        <w:rPr>
          <w:rFonts w:hint="eastAsia" w:eastAsia="宋体"/>
          <w:color w:val="auto"/>
        </w:rPr>
        <w:t>结果中若有试样不合格时，应从该批带材中</w:t>
      </w:r>
      <w:r>
        <w:rPr>
          <w:rFonts w:hint="eastAsia" w:eastAsia="宋体"/>
          <w:color w:val="auto"/>
          <w:lang w:eastAsia="zh-CN"/>
        </w:rPr>
        <w:t>再</w:t>
      </w:r>
      <w:r>
        <w:rPr>
          <w:rFonts w:hint="eastAsia" w:eastAsia="宋体"/>
          <w:color w:val="auto"/>
        </w:rPr>
        <w:t>取双倍数量的试样进行重复试验。重复试验结果全部合格时，则判该批</w:t>
      </w:r>
      <w:r>
        <w:rPr>
          <w:rFonts w:hint="eastAsia" w:eastAsia="宋体"/>
          <w:color w:val="auto"/>
          <w:lang w:eastAsia="zh-CN"/>
        </w:rPr>
        <w:t>带材</w:t>
      </w:r>
      <w:r>
        <w:rPr>
          <w:rFonts w:hint="eastAsia" w:eastAsia="宋体"/>
          <w:color w:val="auto"/>
        </w:rPr>
        <w:t>合格；若重复试验仍有试样不合格时，则判该批</w:t>
      </w:r>
      <w:r>
        <w:rPr>
          <w:rFonts w:hint="eastAsia" w:eastAsia="宋体"/>
          <w:color w:val="auto"/>
          <w:lang w:eastAsia="zh-CN"/>
        </w:rPr>
        <w:t>带材</w:t>
      </w:r>
      <w:r>
        <w:rPr>
          <w:rFonts w:hint="eastAsia" w:eastAsia="宋体"/>
          <w:color w:val="auto"/>
        </w:rPr>
        <w:t>不合格，但允许供方逐卷检验，合格者组批交货。</w:t>
      </w:r>
    </w:p>
    <w:p>
      <w:pPr>
        <w:pStyle w:val="15"/>
        <w:ind w:firstLine="0" w:firstLineChars="0"/>
        <w:rPr>
          <w:rFonts w:hint="eastAsia"/>
          <w:color w:val="auto"/>
        </w:rPr>
      </w:pPr>
    </w:p>
    <w:p>
      <w:pPr>
        <w:pStyle w:val="26"/>
        <w:numPr>
          <w:ilvl w:val="0"/>
          <w:numId w:val="0"/>
        </w:numPr>
        <w:spacing w:beforeLines="0" w:afterLines="0" w:line="264" w:lineRule="auto"/>
        <w:rPr>
          <w:rFonts w:hint="eastAsia" w:ascii="Times New Roman"/>
          <w:color w:val="auto"/>
          <w:lang w:eastAsia="zh-CN"/>
        </w:rPr>
      </w:pPr>
      <w:r>
        <w:rPr>
          <w:rFonts w:hint="eastAsia" w:ascii="Times New Roman"/>
          <w:color w:val="auto"/>
          <w:lang w:val="en-US" w:eastAsia="zh-CN"/>
        </w:rPr>
        <w:t xml:space="preserve">7  </w:t>
      </w:r>
      <w:r>
        <w:rPr>
          <w:rFonts w:hint="eastAsia" w:ascii="Times New Roman"/>
          <w:color w:val="auto"/>
        </w:rPr>
        <w:t>标志、包装、运输</w:t>
      </w:r>
      <w:r>
        <w:rPr>
          <w:rFonts w:hint="eastAsia" w:ascii="Times New Roman"/>
          <w:color w:val="auto"/>
          <w:lang w:eastAsia="zh-CN"/>
        </w:rPr>
        <w:t>、</w:t>
      </w:r>
      <w:r>
        <w:rPr>
          <w:rFonts w:hint="eastAsia" w:ascii="Times New Roman"/>
          <w:color w:val="auto"/>
        </w:rPr>
        <w:t>贮存</w:t>
      </w:r>
      <w:r>
        <w:rPr>
          <w:rFonts w:hint="eastAsia" w:ascii="Times New Roman"/>
          <w:color w:val="auto"/>
          <w:lang w:eastAsia="zh-CN"/>
        </w:rPr>
        <w:t>和质量证明书</w:t>
      </w:r>
    </w:p>
    <w:p>
      <w:pPr>
        <w:pStyle w:val="15"/>
        <w:rPr>
          <w:rFonts w:hint="eastAsia"/>
          <w:color w:val="auto"/>
          <w:lang w:eastAsia="zh-CN"/>
        </w:rPr>
      </w:pPr>
    </w:p>
    <w:p>
      <w:pPr>
        <w:pStyle w:val="15"/>
        <w:spacing w:line="264" w:lineRule="auto"/>
        <w:ind w:firstLine="420"/>
        <w:rPr>
          <w:rFonts w:hint="eastAsia" w:ascii="Times New Roman"/>
          <w:color w:val="auto"/>
          <w:lang w:val="en-US" w:eastAsia="zh-CN"/>
        </w:rPr>
      </w:pPr>
      <w:r>
        <w:rPr>
          <w:rFonts w:hint="eastAsia" w:ascii="Times New Roman"/>
          <w:color w:val="auto"/>
        </w:rPr>
        <w:t>产品的标志、包装、运输</w:t>
      </w:r>
      <w:r>
        <w:rPr>
          <w:rFonts w:hint="eastAsia" w:ascii="Times New Roman"/>
          <w:color w:val="auto"/>
          <w:lang w:eastAsia="zh-CN"/>
        </w:rPr>
        <w:t>、</w:t>
      </w:r>
      <w:r>
        <w:rPr>
          <w:rFonts w:hint="eastAsia" w:ascii="Times New Roman"/>
          <w:color w:val="auto"/>
        </w:rPr>
        <w:t>贮存</w:t>
      </w:r>
      <w:r>
        <w:rPr>
          <w:rFonts w:hint="eastAsia" w:ascii="Times New Roman"/>
          <w:color w:val="auto"/>
          <w:lang w:eastAsia="zh-CN"/>
        </w:rPr>
        <w:t>和质量证明书</w:t>
      </w:r>
      <w:r>
        <w:rPr>
          <w:rFonts w:hint="eastAsia" w:ascii="Times New Roman"/>
          <w:color w:val="auto"/>
        </w:rPr>
        <w:t>应符合</w:t>
      </w:r>
      <w:r>
        <w:rPr>
          <w:rFonts w:ascii="Times New Roman"/>
          <w:color w:val="auto"/>
        </w:rPr>
        <w:t>GB/T 8888</w:t>
      </w:r>
      <w:r>
        <w:rPr>
          <w:rFonts w:hint="eastAsia" w:ascii="Times New Roman"/>
          <w:color w:val="auto"/>
        </w:rPr>
        <w:t>的规定。</w:t>
      </w:r>
      <w:r>
        <w:rPr>
          <w:rFonts w:hint="eastAsia" w:ascii="Times New Roman"/>
          <w:color w:val="auto"/>
          <w:lang w:val="en-US" w:eastAsia="zh-CN"/>
        </w:rPr>
        <w:t xml:space="preserve"> </w:t>
      </w:r>
    </w:p>
    <w:p>
      <w:pPr>
        <w:pStyle w:val="26"/>
        <w:numPr>
          <w:ilvl w:val="0"/>
          <w:numId w:val="0"/>
        </w:numPr>
        <w:spacing w:beforeLines="0" w:afterLines="0" w:line="264" w:lineRule="auto"/>
        <w:rPr>
          <w:rFonts w:hint="eastAsia" w:ascii="Times New Roman"/>
          <w:color w:val="auto"/>
        </w:rPr>
      </w:pPr>
    </w:p>
    <w:p>
      <w:pPr>
        <w:pStyle w:val="26"/>
        <w:numPr>
          <w:ilvl w:val="0"/>
          <w:numId w:val="0"/>
        </w:numPr>
        <w:spacing w:beforeLines="0" w:afterLines="0" w:line="264" w:lineRule="auto"/>
        <w:rPr>
          <w:rFonts w:hint="eastAsia" w:ascii="Times New Roman"/>
          <w:color w:val="auto"/>
        </w:rPr>
      </w:pPr>
      <w:r>
        <w:rPr>
          <w:rFonts w:hint="eastAsia" w:ascii="Times New Roman"/>
          <w:color w:val="auto"/>
          <w:lang w:val="en-US" w:eastAsia="zh-CN"/>
        </w:rPr>
        <w:t xml:space="preserve">8  </w:t>
      </w:r>
      <w:r>
        <w:rPr>
          <w:rFonts w:hint="eastAsia" w:ascii="Times New Roman"/>
          <w:color w:val="auto"/>
        </w:rPr>
        <w:t>订货单（或合同）内容</w:t>
      </w:r>
    </w:p>
    <w:p>
      <w:pPr>
        <w:pStyle w:val="15"/>
        <w:rPr>
          <w:color w:val="auto"/>
          <w:lang w:val="en-US" w:eastAsia="zh-CN"/>
        </w:rPr>
      </w:pPr>
    </w:p>
    <w:p>
      <w:pPr>
        <w:pStyle w:val="15"/>
        <w:spacing w:line="264" w:lineRule="auto"/>
        <w:ind w:firstLine="42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订购本标准所列</w:t>
      </w:r>
      <w:r>
        <w:rPr>
          <w:rFonts w:hint="eastAsia" w:ascii="Times New Roman"/>
          <w:color w:val="auto"/>
          <w:lang w:eastAsia="zh-CN"/>
        </w:rPr>
        <w:t>产品</w:t>
      </w:r>
      <w:r>
        <w:rPr>
          <w:rFonts w:hint="eastAsia" w:ascii="Times New Roman"/>
          <w:color w:val="auto"/>
        </w:rPr>
        <w:t>的订货单（或合同）内应包括下列内容：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产品名称；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牌号；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eastAsia="zh-CN"/>
        </w:rPr>
        <w:t>状态</w:t>
      </w:r>
      <w:r>
        <w:rPr>
          <w:rFonts w:hint="eastAsia" w:ascii="Times New Roman"/>
          <w:color w:val="auto"/>
        </w:rPr>
        <w:t>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eastAsia="zh-CN"/>
        </w:rPr>
        <w:t>尺寸规格</w:t>
      </w:r>
      <w:r>
        <w:rPr>
          <w:rFonts w:hint="eastAsia" w:ascii="Times New Roman"/>
          <w:color w:val="auto"/>
        </w:rPr>
        <w:t>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rFonts w:ascii="Times New Roman"/>
          <w:color w:val="auto"/>
        </w:rPr>
      </w:pPr>
      <w:r>
        <w:rPr>
          <w:rFonts w:hint="eastAsia" w:ascii="Times New Roman"/>
          <w:color w:val="auto"/>
          <w:lang w:eastAsia="zh-CN"/>
        </w:rPr>
        <w:t>尺寸</w:t>
      </w:r>
      <w:r>
        <w:rPr>
          <w:rFonts w:hint="eastAsia" w:ascii="Times New Roman"/>
          <w:color w:val="auto"/>
        </w:rPr>
        <w:t>允许偏差</w:t>
      </w:r>
      <w:r>
        <w:rPr>
          <w:rFonts w:hint="eastAsia" w:ascii="Times New Roman"/>
          <w:color w:val="auto"/>
          <w:lang w:eastAsia="zh-CN"/>
        </w:rPr>
        <w:t>（较高级或有特殊要求时，未注明时按普通级供货）</w:t>
      </w:r>
      <w:r>
        <w:rPr>
          <w:rFonts w:hint="eastAsia" w:ascii="Times New Roman"/>
          <w:color w:val="auto"/>
        </w:rPr>
        <w:t>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color w:val="auto"/>
        </w:rPr>
      </w:pPr>
      <w:r>
        <w:rPr>
          <w:rFonts w:hint="eastAsia"/>
          <w:color w:val="auto"/>
          <w:lang w:eastAsia="zh-CN"/>
        </w:rPr>
        <w:t>重量；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color w:val="auto"/>
        </w:rPr>
      </w:pPr>
      <w:r>
        <w:rPr>
          <w:color w:val="auto"/>
        </w:rPr>
        <w:pict>
          <v:line id="Line 12" o:spid="_x0000_s1035" o:spt="20" style="position:absolute;left:0pt;margin-left:139.5pt;margin-top:270.05pt;height:0pt;width:162.75pt;z-index:102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Times New Roman"/>
          <w:color w:val="auto"/>
          <w:lang w:eastAsia="zh-CN"/>
        </w:rPr>
        <w:t>拉伸试验和硬度试验的选择；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color w:val="auto"/>
        </w:rPr>
      </w:pPr>
      <w:r>
        <w:rPr>
          <w:rFonts w:hint="eastAsia" w:ascii="Times New Roman"/>
          <w:color w:val="auto"/>
          <w:lang w:eastAsia="zh-CN"/>
        </w:rPr>
        <w:t>弯曲性能、晶粒度和</w:t>
      </w:r>
      <w:r>
        <w:rPr>
          <w:rFonts w:hint="eastAsia" w:ascii="Times New Roman"/>
          <w:color w:val="auto"/>
        </w:rPr>
        <w:t>杨氏模量</w:t>
      </w:r>
      <w:r>
        <w:rPr>
          <w:rFonts w:hint="eastAsia" w:ascii="Times New Roman"/>
          <w:color w:val="auto"/>
          <w:lang w:eastAsia="zh-CN"/>
        </w:rPr>
        <w:t>（有要求时）；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rFonts w:ascii="Times New Roman"/>
          <w:color w:val="auto"/>
        </w:rPr>
      </w:pPr>
      <w:r>
        <w:rPr>
          <w:rFonts w:hint="eastAsia" w:ascii="Times New Roman"/>
          <w:color w:val="auto"/>
        </w:rPr>
        <w:t>本标准编号；</w:t>
      </w:r>
    </w:p>
    <w:p>
      <w:pPr>
        <w:pStyle w:val="29"/>
        <w:numPr>
          <w:ilvl w:val="1"/>
          <w:numId w:val="4"/>
        </w:numPr>
        <w:tabs>
          <w:tab w:val="left" w:pos="840"/>
        </w:tabs>
        <w:spacing w:line="264" w:lineRule="auto"/>
        <w:ind w:leftChars="0" w:firstLineChars="0"/>
        <w:rPr>
          <w:color w:val="auto"/>
        </w:rPr>
      </w:pPr>
      <w:r>
        <w:rPr>
          <w:rFonts w:hint="eastAsia"/>
          <w:color w:val="auto"/>
          <w:lang w:eastAsia="zh-CN"/>
        </w:rPr>
        <w:t>其他。</w:t>
      </w:r>
    </w:p>
    <w:p>
      <w:pPr>
        <w:pStyle w:val="29"/>
        <w:numPr>
          <w:ilvl w:val="0"/>
          <w:numId w:val="0"/>
        </w:numPr>
        <w:tabs>
          <w:tab w:val="left" w:pos="840"/>
        </w:tabs>
        <w:spacing w:line="264" w:lineRule="auto"/>
        <w:ind w:left="420" w:leftChars="0"/>
        <w:rPr>
          <w:color w:val="auto"/>
        </w:rPr>
      </w:pPr>
    </w:p>
    <w:sectPr>
      <w:footerReference r:id="rId8" w:type="default"/>
      <w:footerReference r:id="rId9" w:type="even"/>
      <w:pgSz w:w="11906" w:h="16838"/>
      <w:pgMar w:top="1701" w:right="1134" w:bottom="1134" w:left="1134" w:header="1417" w:footer="1134" w:gutter="283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6" o:spid="_x0000_s205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7" o:spid="_x0000_s205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8" o:spid="_x0000_s205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9" o:spid="_x0000_s2059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pBdr>
        <w:bottom w:val="none" w:color="auto" w:sz="0" w:space="0"/>
      </w:pBdr>
      <w:spacing w:after="0"/>
      <w:rPr>
        <w:rFonts w:hint="default" w:ascii="黑体" w:hAnsi="黑体" w:eastAsia="黑体" w:cs="黑体"/>
        <w:lang w:val="en-US" w:eastAsia="zh-CN"/>
      </w:rPr>
    </w:pPr>
    <w:r>
      <w:rPr>
        <w:rFonts w:hint="eastAsia" w:ascii="黑体" w:hAnsi="黑体" w:eastAsia="黑体" w:cs="黑体"/>
      </w:rPr>
      <w:t xml:space="preserve">GB/T </w:t>
    </w:r>
    <w:r>
      <w:rPr>
        <w:rFonts w:hint="eastAsia" w:ascii="黑体" w:hAnsi="黑体" w:eastAsia="黑体" w:cs="黑体"/>
        <w:lang w:val="en-US" w:eastAsia="zh-CN"/>
      </w:rPr>
      <w:t>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pBdr>
        <w:bottom w:val="none" w:color="auto" w:sz="0" w:space="0"/>
      </w:pBdr>
      <w:spacing w:after="0"/>
      <w:jc w:val="left"/>
    </w:pPr>
    <w:r>
      <w:rPr>
        <w:rFonts w:hint="eastAsia" w:ascii="黑体" w:hAnsi="黑体" w:eastAsia="黑体" w:cs="黑体"/>
      </w:rPr>
      <w:t xml:space="preserve">GB/T </w:t>
    </w:r>
    <w:r>
      <w:rPr>
        <w:rFonts w:hint="eastAsia" w:ascii="黑体" w:hAnsi="黑体" w:eastAsia="黑体" w:cs="黑体"/>
        <w:lang w:val="en-US" w:eastAsia="zh-CN"/>
      </w:rPr>
      <w:t>XXXX-XXXX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D7B"/>
    <w:multiLevelType w:val="multilevel"/>
    <w:tmpl w:val="496E4D7B"/>
    <w:lvl w:ilvl="0" w:tentative="0">
      <w:start w:val="1"/>
      <w:numFmt w:val="none"/>
      <w:pStyle w:val="28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14"/>
      <w:suff w:val="nothing"/>
      <w:lvlText w:val="表%1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pStyle w:val="26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pStyle w:val="25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pStyle w:val="24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2">
    <w:nsid w:val="65FD6AEF"/>
    <w:multiLevelType w:val="multilevel"/>
    <w:tmpl w:val="65FD6AEF"/>
    <w:lvl w:ilvl="0" w:tentative="0">
      <w:start w:val="1"/>
      <w:numFmt w:val="lowerLetter"/>
      <w:pStyle w:val="30"/>
      <w:lvlText w:val="%1.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1" w:tentative="0">
      <w:start w:val="1"/>
      <w:numFmt w:val="lowerLetter"/>
      <w:lvlText w:val="%2）"/>
      <w:lvlJc w:val="left"/>
      <w:pPr>
        <w:tabs>
          <w:tab w:val="left" w:pos="780"/>
        </w:tabs>
        <w:ind w:left="780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3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78F"/>
    <w:rsid w:val="00003400"/>
    <w:rsid w:val="00012333"/>
    <w:rsid w:val="00031F2D"/>
    <w:rsid w:val="000463D5"/>
    <w:rsid w:val="00047FBD"/>
    <w:rsid w:val="000607F5"/>
    <w:rsid w:val="000726D4"/>
    <w:rsid w:val="00093B1E"/>
    <w:rsid w:val="000A3FED"/>
    <w:rsid w:val="000C3F66"/>
    <w:rsid w:val="000E4375"/>
    <w:rsid w:val="000E6C95"/>
    <w:rsid w:val="000F0AFC"/>
    <w:rsid w:val="000F2C0D"/>
    <w:rsid w:val="00102136"/>
    <w:rsid w:val="00105073"/>
    <w:rsid w:val="00110E79"/>
    <w:rsid w:val="00115F10"/>
    <w:rsid w:val="00127C91"/>
    <w:rsid w:val="00141C17"/>
    <w:rsid w:val="001500F8"/>
    <w:rsid w:val="00151B70"/>
    <w:rsid w:val="001925D3"/>
    <w:rsid w:val="00197593"/>
    <w:rsid w:val="001A7B62"/>
    <w:rsid w:val="001B3613"/>
    <w:rsid w:val="001C0C9C"/>
    <w:rsid w:val="001E072F"/>
    <w:rsid w:val="00231EFF"/>
    <w:rsid w:val="00232162"/>
    <w:rsid w:val="00233BBB"/>
    <w:rsid w:val="00235934"/>
    <w:rsid w:val="002469E3"/>
    <w:rsid w:val="00267499"/>
    <w:rsid w:val="00272661"/>
    <w:rsid w:val="002B389C"/>
    <w:rsid w:val="002B5A29"/>
    <w:rsid w:val="002B7E5F"/>
    <w:rsid w:val="002E4987"/>
    <w:rsid w:val="002E6A76"/>
    <w:rsid w:val="003317CB"/>
    <w:rsid w:val="0034250C"/>
    <w:rsid w:val="003523A7"/>
    <w:rsid w:val="003726BA"/>
    <w:rsid w:val="003910E9"/>
    <w:rsid w:val="003958C5"/>
    <w:rsid w:val="003D21A1"/>
    <w:rsid w:val="003E599D"/>
    <w:rsid w:val="003F07A7"/>
    <w:rsid w:val="003F3FDC"/>
    <w:rsid w:val="00410A23"/>
    <w:rsid w:val="00417FF3"/>
    <w:rsid w:val="00421247"/>
    <w:rsid w:val="00426024"/>
    <w:rsid w:val="00435CB1"/>
    <w:rsid w:val="00473B2A"/>
    <w:rsid w:val="0049090A"/>
    <w:rsid w:val="004A6A94"/>
    <w:rsid w:val="004B2AE3"/>
    <w:rsid w:val="004B3EA0"/>
    <w:rsid w:val="004C3B5C"/>
    <w:rsid w:val="004D014A"/>
    <w:rsid w:val="004D163F"/>
    <w:rsid w:val="004D57E4"/>
    <w:rsid w:val="004E35B7"/>
    <w:rsid w:val="00515C07"/>
    <w:rsid w:val="00526B88"/>
    <w:rsid w:val="005537EE"/>
    <w:rsid w:val="005561CA"/>
    <w:rsid w:val="00557D10"/>
    <w:rsid w:val="0058019B"/>
    <w:rsid w:val="005C44A0"/>
    <w:rsid w:val="005C4B1D"/>
    <w:rsid w:val="005F19D3"/>
    <w:rsid w:val="006317EF"/>
    <w:rsid w:val="00633750"/>
    <w:rsid w:val="006412D9"/>
    <w:rsid w:val="00650F00"/>
    <w:rsid w:val="006547A3"/>
    <w:rsid w:val="0066396F"/>
    <w:rsid w:val="00664B53"/>
    <w:rsid w:val="0067727D"/>
    <w:rsid w:val="006927F6"/>
    <w:rsid w:val="006B3729"/>
    <w:rsid w:val="006C0FBD"/>
    <w:rsid w:val="006C61FA"/>
    <w:rsid w:val="006F63A3"/>
    <w:rsid w:val="0070571E"/>
    <w:rsid w:val="007241E7"/>
    <w:rsid w:val="00761C29"/>
    <w:rsid w:val="00766BFA"/>
    <w:rsid w:val="0077529D"/>
    <w:rsid w:val="00777B6E"/>
    <w:rsid w:val="0079454D"/>
    <w:rsid w:val="00794CF4"/>
    <w:rsid w:val="007C1E21"/>
    <w:rsid w:val="007C67BA"/>
    <w:rsid w:val="00806444"/>
    <w:rsid w:val="00847B9A"/>
    <w:rsid w:val="008504D4"/>
    <w:rsid w:val="00864E0F"/>
    <w:rsid w:val="00881443"/>
    <w:rsid w:val="0088522B"/>
    <w:rsid w:val="00896362"/>
    <w:rsid w:val="008979D1"/>
    <w:rsid w:val="008B0967"/>
    <w:rsid w:val="008B2B64"/>
    <w:rsid w:val="008B7462"/>
    <w:rsid w:val="008C3416"/>
    <w:rsid w:val="008D0ACA"/>
    <w:rsid w:val="008D2AC1"/>
    <w:rsid w:val="008D32DB"/>
    <w:rsid w:val="008F3F6C"/>
    <w:rsid w:val="00921106"/>
    <w:rsid w:val="0092708C"/>
    <w:rsid w:val="0093075D"/>
    <w:rsid w:val="00936C46"/>
    <w:rsid w:val="00961D8F"/>
    <w:rsid w:val="009628A9"/>
    <w:rsid w:val="00964BE3"/>
    <w:rsid w:val="00966421"/>
    <w:rsid w:val="009843E8"/>
    <w:rsid w:val="009B1454"/>
    <w:rsid w:val="009B1D9D"/>
    <w:rsid w:val="00A10C04"/>
    <w:rsid w:val="00A12A71"/>
    <w:rsid w:val="00A1665E"/>
    <w:rsid w:val="00A27C4D"/>
    <w:rsid w:val="00A3389A"/>
    <w:rsid w:val="00A344F5"/>
    <w:rsid w:val="00A364AF"/>
    <w:rsid w:val="00A416CD"/>
    <w:rsid w:val="00A43695"/>
    <w:rsid w:val="00A44153"/>
    <w:rsid w:val="00A60643"/>
    <w:rsid w:val="00A60934"/>
    <w:rsid w:val="00A97580"/>
    <w:rsid w:val="00AA705E"/>
    <w:rsid w:val="00AB0B7B"/>
    <w:rsid w:val="00AD4EB1"/>
    <w:rsid w:val="00AE627B"/>
    <w:rsid w:val="00AE78E4"/>
    <w:rsid w:val="00AF064C"/>
    <w:rsid w:val="00AF1B82"/>
    <w:rsid w:val="00AF325C"/>
    <w:rsid w:val="00AF5EC3"/>
    <w:rsid w:val="00B00540"/>
    <w:rsid w:val="00B4343F"/>
    <w:rsid w:val="00B51B5C"/>
    <w:rsid w:val="00B53B5F"/>
    <w:rsid w:val="00B760DA"/>
    <w:rsid w:val="00B83C3E"/>
    <w:rsid w:val="00B94C7B"/>
    <w:rsid w:val="00BB34CE"/>
    <w:rsid w:val="00BB3B64"/>
    <w:rsid w:val="00BF5921"/>
    <w:rsid w:val="00C028AC"/>
    <w:rsid w:val="00C06B76"/>
    <w:rsid w:val="00C06EC9"/>
    <w:rsid w:val="00C12B63"/>
    <w:rsid w:val="00C13CB2"/>
    <w:rsid w:val="00C171C1"/>
    <w:rsid w:val="00C314A1"/>
    <w:rsid w:val="00C33DFB"/>
    <w:rsid w:val="00C50B95"/>
    <w:rsid w:val="00C76D76"/>
    <w:rsid w:val="00C77B26"/>
    <w:rsid w:val="00C82DFD"/>
    <w:rsid w:val="00C95F5B"/>
    <w:rsid w:val="00CA38C6"/>
    <w:rsid w:val="00CB66AC"/>
    <w:rsid w:val="00CC0E5F"/>
    <w:rsid w:val="00CD6CF3"/>
    <w:rsid w:val="00CE0ED6"/>
    <w:rsid w:val="00D37845"/>
    <w:rsid w:val="00D824F2"/>
    <w:rsid w:val="00D82EA3"/>
    <w:rsid w:val="00D9123B"/>
    <w:rsid w:val="00DB551F"/>
    <w:rsid w:val="00DB7F72"/>
    <w:rsid w:val="00DC5FBA"/>
    <w:rsid w:val="00E054AB"/>
    <w:rsid w:val="00E42EFA"/>
    <w:rsid w:val="00E67700"/>
    <w:rsid w:val="00E67D02"/>
    <w:rsid w:val="00E75E8F"/>
    <w:rsid w:val="00E815E4"/>
    <w:rsid w:val="00E86984"/>
    <w:rsid w:val="00E92865"/>
    <w:rsid w:val="00E977C6"/>
    <w:rsid w:val="00EA008A"/>
    <w:rsid w:val="00EA38AF"/>
    <w:rsid w:val="00EC2E24"/>
    <w:rsid w:val="00EC313C"/>
    <w:rsid w:val="00ED3C9B"/>
    <w:rsid w:val="00EE078F"/>
    <w:rsid w:val="00EE65AA"/>
    <w:rsid w:val="00EE6DEB"/>
    <w:rsid w:val="00F336F3"/>
    <w:rsid w:val="00F43003"/>
    <w:rsid w:val="00F47BE8"/>
    <w:rsid w:val="00FD5E2A"/>
    <w:rsid w:val="00FD6A29"/>
    <w:rsid w:val="00FF4ABE"/>
    <w:rsid w:val="07217E11"/>
    <w:rsid w:val="073D754E"/>
    <w:rsid w:val="088D37CE"/>
    <w:rsid w:val="08DA44BC"/>
    <w:rsid w:val="091B01A8"/>
    <w:rsid w:val="098F5432"/>
    <w:rsid w:val="0A69701F"/>
    <w:rsid w:val="0AE06DC2"/>
    <w:rsid w:val="0F1B67DF"/>
    <w:rsid w:val="112D1206"/>
    <w:rsid w:val="11C440DC"/>
    <w:rsid w:val="127046A4"/>
    <w:rsid w:val="13220449"/>
    <w:rsid w:val="133514D2"/>
    <w:rsid w:val="14620E7E"/>
    <w:rsid w:val="146817C9"/>
    <w:rsid w:val="14DE09BC"/>
    <w:rsid w:val="16E06D97"/>
    <w:rsid w:val="17D262F0"/>
    <w:rsid w:val="18FA5EA9"/>
    <w:rsid w:val="192102C1"/>
    <w:rsid w:val="1A3F5B9B"/>
    <w:rsid w:val="1A435E66"/>
    <w:rsid w:val="1B7E784F"/>
    <w:rsid w:val="1D9A7961"/>
    <w:rsid w:val="1F665B86"/>
    <w:rsid w:val="20CE36FD"/>
    <w:rsid w:val="22730D06"/>
    <w:rsid w:val="23295B6A"/>
    <w:rsid w:val="23564483"/>
    <w:rsid w:val="239D22A7"/>
    <w:rsid w:val="26065B46"/>
    <w:rsid w:val="266202BB"/>
    <w:rsid w:val="2964428D"/>
    <w:rsid w:val="29C26B70"/>
    <w:rsid w:val="2BE55AD1"/>
    <w:rsid w:val="31016901"/>
    <w:rsid w:val="33365FF9"/>
    <w:rsid w:val="3486089D"/>
    <w:rsid w:val="366E57B8"/>
    <w:rsid w:val="37035F26"/>
    <w:rsid w:val="37616F47"/>
    <w:rsid w:val="3B85572D"/>
    <w:rsid w:val="3D0327D1"/>
    <w:rsid w:val="3E4A1A08"/>
    <w:rsid w:val="40E16DA0"/>
    <w:rsid w:val="423B73A8"/>
    <w:rsid w:val="466843DA"/>
    <w:rsid w:val="47C632D3"/>
    <w:rsid w:val="484F4DD1"/>
    <w:rsid w:val="4D6530AC"/>
    <w:rsid w:val="4D816EDC"/>
    <w:rsid w:val="4E4F7CE8"/>
    <w:rsid w:val="4EE42484"/>
    <w:rsid w:val="50613DEE"/>
    <w:rsid w:val="52117949"/>
    <w:rsid w:val="55036BB4"/>
    <w:rsid w:val="55C23C9C"/>
    <w:rsid w:val="59941E8D"/>
    <w:rsid w:val="5CA66C19"/>
    <w:rsid w:val="5CE44151"/>
    <w:rsid w:val="5E2C4BEC"/>
    <w:rsid w:val="60876027"/>
    <w:rsid w:val="617712FA"/>
    <w:rsid w:val="61D0302B"/>
    <w:rsid w:val="635F4C35"/>
    <w:rsid w:val="64D55958"/>
    <w:rsid w:val="66A501C5"/>
    <w:rsid w:val="66C66A64"/>
    <w:rsid w:val="66CC07FA"/>
    <w:rsid w:val="6782065C"/>
    <w:rsid w:val="69FA3E14"/>
    <w:rsid w:val="6B4216D6"/>
    <w:rsid w:val="6BDE0E5E"/>
    <w:rsid w:val="6C88583C"/>
    <w:rsid w:val="6FF17BA6"/>
    <w:rsid w:val="7094019E"/>
    <w:rsid w:val="718B0EBC"/>
    <w:rsid w:val="730F2B9E"/>
    <w:rsid w:val="73EB6D81"/>
    <w:rsid w:val="74294BBA"/>
    <w:rsid w:val="749B2221"/>
    <w:rsid w:val="7523307D"/>
    <w:rsid w:val="75860307"/>
    <w:rsid w:val="77896F9D"/>
    <w:rsid w:val="7A791C8A"/>
    <w:rsid w:val="7C0B7706"/>
    <w:rsid w:val="7F2F16C1"/>
    <w:rsid w:val="7F330FDE"/>
    <w:rsid w:val="7F5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2"/>
    <w:next w:val="4"/>
    <w:link w:val="33"/>
    <w:qFormat/>
    <w:locked/>
    <w:uiPriority w:val="0"/>
    <w:pPr>
      <w:keepNext w:val="0"/>
      <w:keepLines w:val="0"/>
      <w:numPr>
        <w:ilvl w:val="2"/>
        <w:numId w:val="1"/>
      </w:numPr>
      <w:adjustRightInd w:val="0"/>
      <w:spacing w:before="0" w:after="0" w:line="240" w:lineRule="auto"/>
      <w:jc w:val="left"/>
      <w:textAlignment w:val="baseline"/>
      <w:outlineLvl w:val="2"/>
    </w:pPr>
    <w:rPr>
      <w:rFonts w:ascii="宋体" w:hAnsi="Tahoma"/>
      <w:b w:val="0"/>
      <w:bCs w:val="0"/>
      <w:kern w:val="0"/>
      <w:sz w:val="21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link w:val="35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2"/>
    <w:unhideWhenUsed/>
    <w:qFormat/>
    <w:uiPriority w:val="99"/>
    <w:pPr>
      <w:ind w:firstLine="420" w:firstLineChars="200"/>
    </w:pPr>
    <w:rPr>
      <w:szCs w:val="24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5"/>
    <w:link w:val="36"/>
    <w:unhideWhenUsed/>
    <w:qFormat/>
    <w:uiPriority w:val="99"/>
    <w:pPr>
      <w:ind w:firstLine="420" w:firstLineChars="100"/>
    </w:pPr>
  </w:style>
  <w:style w:type="character" w:customStyle="1" w:styleId="12">
    <w:name w:val="页眉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前言、引言标题"/>
    <w:next w:val="1"/>
    <w:qFormat/>
    <w:uiPriority w:val="99"/>
    <w:pPr>
      <w:numPr>
        <w:ilvl w:val="0"/>
        <w:numId w:val="2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称谓"/>
    <w:next w:val="1"/>
    <w:qFormat/>
    <w:uiPriority w:val="9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8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0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1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2">
    <w:name w:val="实施日期"/>
    <w:basedOn w:val="1"/>
    <w:qFormat/>
    <w:uiPriority w:val="99"/>
    <w:pPr>
      <w:framePr w:w="4000" w:h="473" w:hRule="exact" w:vSpace="180" w:wrap="around" w:vAnchor="margin" w:hAnchor="text" w:xAlign="right" w:y="13511" w:anchorLock="1"/>
      <w:widowControl/>
      <w:jc w:val="right"/>
    </w:pPr>
    <w:rPr>
      <w:rFonts w:eastAsia="黑体"/>
      <w:kern w:val="0"/>
      <w:sz w:val="28"/>
    </w:rPr>
  </w:style>
  <w:style w:type="paragraph" w:customStyle="1" w:styleId="23">
    <w:name w:val="发布日期"/>
    <w:qFormat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4">
    <w:name w:val="二级条标题"/>
    <w:basedOn w:val="25"/>
    <w:next w:val="15"/>
    <w:qFormat/>
    <w:uiPriority w:val="99"/>
    <w:pPr>
      <w:numPr>
        <w:ilvl w:val="3"/>
      </w:numPr>
      <w:tabs>
        <w:tab w:val="left" w:pos="1418"/>
      </w:tabs>
      <w:outlineLvl w:val="3"/>
    </w:pPr>
  </w:style>
  <w:style w:type="paragraph" w:customStyle="1" w:styleId="25">
    <w:name w:val="一级条标题"/>
    <w:next w:val="15"/>
    <w:qFormat/>
    <w:uiPriority w:val="99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6">
    <w:name w:val="章标题"/>
    <w:next w:val="15"/>
    <w:qFormat/>
    <w:uiPriority w:val="99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7">
    <w:name w:val="目次、标准名称标题"/>
    <w:basedOn w:val="14"/>
    <w:next w:val="15"/>
    <w:qFormat/>
    <w:uiPriority w:val="99"/>
    <w:pPr>
      <w:spacing w:line="460" w:lineRule="exact"/>
    </w:pPr>
  </w:style>
  <w:style w:type="paragraph" w:customStyle="1" w:styleId="28">
    <w:name w:val="正文表标题"/>
    <w:next w:val="15"/>
    <w:qFormat/>
    <w:uiPriority w:val="99"/>
    <w:pPr>
      <w:numPr>
        <w:ilvl w:val="0"/>
        <w:numId w:val="3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9">
    <w:name w:val="字母编号列项（一级）"/>
    <w:qFormat/>
    <w:uiPriority w:val="99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">
    <w:name w:val="注×："/>
    <w:qFormat/>
    <w:uiPriority w:val="99"/>
    <w:pPr>
      <w:widowControl w:val="0"/>
      <w:numPr>
        <w:ilvl w:val="0"/>
        <w:numId w:val="4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31">
    <w:name w:val="发布"/>
    <w:basedOn w:val="11"/>
    <w:qFormat/>
    <w:uiPriority w:val="99"/>
    <w:rPr>
      <w:rFonts w:ascii="黑体" w:eastAsia="黑体" w:cs="Times New Roman"/>
      <w:spacing w:val="22"/>
      <w:w w:val="100"/>
      <w:position w:val="3"/>
      <w:sz w:val="28"/>
    </w:rPr>
  </w:style>
  <w:style w:type="character" w:customStyle="1" w:styleId="32">
    <w:name w:val="正文文本缩进 Char"/>
    <w:basedOn w:val="11"/>
    <w:link w:val="6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33">
    <w:name w:val="标题 3 Char"/>
    <w:basedOn w:val="11"/>
    <w:link w:val="3"/>
    <w:qFormat/>
    <w:uiPriority w:val="0"/>
    <w:rPr>
      <w:rFonts w:ascii="宋体" w:hAnsi="Tahoma"/>
      <w:sz w:val="21"/>
    </w:rPr>
  </w:style>
  <w:style w:type="character" w:customStyle="1" w:styleId="34">
    <w:name w:val="标题 1 Char"/>
    <w:basedOn w:val="11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35">
    <w:name w:val="正文文本 Char"/>
    <w:basedOn w:val="11"/>
    <w:link w:val="5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36">
    <w:name w:val="正文首行缩进 Char"/>
    <w:basedOn w:val="35"/>
    <w:link w:val="9"/>
    <w:qFormat/>
    <w:uiPriority w:val="99"/>
  </w:style>
  <w:style w:type="paragraph" w:customStyle="1" w:styleId="37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 textRotate="1"/>
    <customShpInfo spid="_x0000_s2057" textRotate="1"/>
    <customShpInfo spid="_x0000_s2058" textRotate="1"/>
    <customShpInfo spid="_x0000_s2059" textRotate="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A224B7-2EAE-473A-AEE4-9BDB8F4DFE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658</Words>
  <Characters>3753</Characters>
  <Lines>31</Lines>
  <Paragraphs>8</Paragraphs>
  <TotalTime>7</TotalTime>
  <ScaleCrop>false</ScaleCrop>
  <LinksUpToDate>false</LinksUpToDate>
  <CharactersWithSpaces>4403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2016-09-06T08:05:00Z</dcterms:created>
  <dc:creator>m8300</dc:creator>
  <cp:lastModifiedBy>Administrator</cp:lastModifiedBy>
  <cp:lastPrinted>2019-05-16T01:09:24Z</cp:lastPrinted>
  <dcterms:modified xsi:type="dcterms:W3CDTF">2019-05-16T01:11:18Z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