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adjustRightInd w:val="0"/>
        <w:snapToGrid w:val="0"/>
        <w:spacing w:before="0" w:line="360" w:lineRule="auto"/>
        <w:rPr>
          <w:rFonts w:asciiTheme="minorEastAsia" w:hAnsiTheme="minorEastAsia" w:eastAsiaTheme="minorEastAsia"/>
          <w:b/>
          <w:color w:val="000000"/>
          <w:sz w:val="44"/>
          <w:szCs w:val="44"/>
        </w:rPr>
      </w:pPr>
      <w:r>
        <w:rPr>
          <w:rFonts w:hint="eastAsia" w:asciiTheme="minorEastAsia" w:hAnsiTheme="minorEastAsia" w:eastAsiaTheme="minorEastAsia"/>
          <w:b/>
          <w:sz w:val="44"/>
          <w:szCs w:val="44"/>
        </w:rPr>
        <w:t>中国有色金属工业协会团体标准</w:t>
      </w:r>
    </w:p>
    <w:p>
      <w:pPr>
        <w:pStyle w:val="28"/>
        <w:adjustRightInd w:val="0"/>
        <w:snapToGrid w:val="0"/>
        <w:spacing w:before="0" w:line="360" w:lineRule="auto"/>
        <w:rPr>
          <w:rFonts w:hAnsi="宋体"/>
          <w:b/>
          <w:color w:val="000000"/>
          <w:sz w:val="36"/>
          <w:szCs w:val="36"/>
        </w:rPr>
      </w:pPr>
      <w:r>
        <w:rPr>
          <w:rFonts w:hint="eastAsia" w:hAnsi="宋体"/>
          <w:b/>
          <w:color w:val="000000"/>
          <w:sz w:val="36"/>
          <w:szCs w:val="36"/>
        </w:rPr>
        <w:t>《绿色设计产品评价技术规范 锌锭》</w:t>
      </w:r>
    </w:p>
    <w:p>
      <w:pPr>
        <w:pStyle w:val="28"/>
        <w:adjustRightInd w:val="0"/>
        <w:snapToGrid w:val="0"/>
        <w:spacing w:before="0" w:line="360" w:lineRule="auto"/>
        <w:rPr>
          <w:rFonts w:hAnsi="宋体"/>
          <w:b/>
          <w:color w:val="000000"/>
          <w:sz w:val="28"/>
          <w:szCs w:val="52"/>
        </w:rPr>
      </w:pPr>
      <w:r>
        <w:rPr>
          <w:rFonts w:hint="eastAsia" w:hAnsi="宋体"/>
          <w:b/>
          <w:color w:val="000000"/>
          <w:sz w:val="28"/>
          <w:szCs w:val="52"/>
        </w:rPr>
        <w:t>编制说明</w:t>
      </w:r>
    </w:p>
    <w:p>
      <w:pPr>
        <w:pStyle w:val="28"/>
        <w:adjustRightInd w:val="0"/>
        <w:snapToGrid w:val="0"/>
        <w:spacing w:before="0" w:line="360" w:lineRule="auto"/>
        <w:rPr>
          <w:rFonts w:hAnsi="宋体"/>
          <w:b/>
          <w:color w:val="000000"/>
          <w:sz w:val="28"/>
          <w:szCs w:val="52"/>
        </w:rPr>
      </w:pPr>
      <w:r>
        <w:rPr>
          <w:rFonts w:hint="eastAsia" w:hAnsi="宋体"/>
          <w:b/>
          <w:color w:val="000000"/>
          <w:sz w:val="28"/>
          <w:szCs w:val="52"/>
        </w:rPr>
        <w:t>（送审稿）</w:t>
      </w:r>
    </w:p>
    <w:p>
      <w:pPr>
        <w:pStyle w:val="28"/>
        <w:adjustRightInd w:val="0"/>
        <w:snapToGrid w:val="0"/>
        <w:spacing w:before="0" w:line="360" w:lineRule="auto"/>
        <w:rPr>
          <w:rFonts w:hAnsi="宋体"/>
          <w:color w:val="000000"/>
          <w:sz w:val="52"/>
          <w:szCs w:val="52"/>
        </w:rPr>
      </w:pPr>
    </w:p>
    <w:p>
      <w:pPr>
        <w:pStyle w:val="28"/>
        <w:adjustRightInd w:val="0"/>
        <w:snapToGrid w:val="0"/>
        <w:spacing w:before="0" w:line="360" w:lineRule="auto"/>
        <w:rPr>
          <w:rFonts w:hAnsi="宋体"/>
          <w:color w:val="000000"/>
          <w:sz w:val="52"/>
          <w:szCs w:val="52"/>
        </w:rPr>
      </w:pPr>
    </w:p>
    <w:p>
      <w:pPr>
        <w:pStyle w:val="28"/>
        <w:adjustRightInd w:val="0"/>
        <w:snapToGrid w:val="0"/>
        <w:spacing w:before="0" w:line="360" w:lineRule="auto"/>
        <w:rPr>
          <w:rFonts w:hAnsi="宋体"/>
          <w:color w:val="000000"/>
          <w:sz w:val="52"/>
          <w:szCs w:val="52"/>
        </w:rPr>
      </w:pPr>
    </w:p>
    <w:p>
      <w:pPr>
        <w:pStyle w:val="28"/>
        <w:adjustRightInd w:val="0"/>
        <w:snapToGrid w:val="0"/>
        <w:spacing w:before="0" w:line="360" w:lineRule="auto"/>
        <w:rPr>
          <w:rFonts w:hAnsi="宋体"/>
          <w:color w:val="000000"/>
          <w:sz w:val="52"/>
          <w:szCs w:val="52"/>
        </w:rPr>
      </w:pPr>
    </w:p>
    <w:p>
      <w:pPr>
        <w:pStyle w:val="28"/>
        <w:adjustRightInd w:val="0"/>
        <w:snapToGrid w:val="0"/>
        <w:spacing w:before="0" w:line="360" w:lineRule="auto"/>
        <w:rPr>
          <w:rFonts w:hAnsi="宋体"/>
          <w:color w:val="000000"/>
          <w:sz w:val="52"/>
          <w:szCs w:val="52"/>
        </w:rPr>
      </w:pPr>
    </w:p>
    <w:p>
      <w:pPr>
        <w:pStyle w:val="28"/>
        <w:adjustRightInd w:val="0"/>
        <w:snapToGrid w:val="0"/>
        <w:spacing w:before="0" w:line="360" w:lineRule="auto"/>
        <w:rPr>
          <w:rFonts w:hAnsi="宋体"/>
          <w:color w:val="000000"/>
          <w:sz w:val="24"/>
          <w:szCs w:val="24"/>
        </w:rPr>
      </w:pPr>
    </w:p>
    <w:p>
      <w:pPr>
        <w:pStyle w:val="28"/>
        <w:adjustRightInd w:val="0"/>
        <w:snapToGrid w:val="0"/>
        <w:spacing w:before="0" w:line="360" w:lineRule="auto"/>
        <w:rPr>
          <w:rFonts w:hAnsi="宋体"/>
          <w:color w:val="000000"/>
          <w:sz w:val="32"/>
          <w:szCs w:val="32"/>
        </w:rPr>
      </w:pPr>
    </w:p>
    <w:p>
      <w:pPr>
        <w:spacing w:before="120" w:beforeLines="50" w:after="120" w:afterLines="50"/>
        <w:jc w:val="center"/>
        <w:rPr>
          <w:rFonts w:asciiTheme="minorEastAsia" w:hAnsiTheme="minorEastAsia" w:eastAsiaTheme="minorEastAsia"/>
          <w:b/>
          <w:sz w:val="36"/>
          <w:szCs w:val="36"/>
        </w:rPr>
      </w:pPr>
      <w:r>
        <w:rPr>
          <w:rFonts w:hAnsi="宋体"/>
          <w:color w:val="000000"/>
          <w:sz w:val="32"/>
          <w:szCs w:val="32"/>
        </w:rPr>
        <w:t>201</w:t>
      </w:r>
      <w:r>
        <w:rPr>
          <w:rFonts w:hint="eastAsia" w:hAnsi="宋体"/>
          <w:color w:val="000000"/>
          <w:sz w:val="32"/>
          <w:szCs w:val="32"/>
        </w:rPr>
        <w:t>9年</w:t>
      </w:r>
      <w:r>
        <w:rPr>
          <w:rFonts w:hAnsi="宋体"/>
          <w:color w:val="000000"/>
          <w:sz w:val="32"/>
          <w:szCs w:val="32"/>
        </w:rPr>
        <w:t>5</w:t>
      </w:r>
      <w:r>
        <w:rPr>
          <w:rFonts w:hint="eastAsia" w:hAnsi="宋体"/>
          <w:color w:val="000000"/>
          <w:sz w:val="32"/>
          <w:szCs w:val="32"/>
        </w:rPr>
        <w:t>月</w:t>
      </w:r>
      <w:r>
        <w:rPr>
          <w:rFonts w:hAnsi="宋体"/>
          <w:color w:val="000000"/>
          <w:sz w:val="32"/>
          <w:szCs w:val="32"/>
        </w:rPr>
        <w:t>7</w:t>
      </w:r>
      <w:r>
        <w:rPr>
          <w:rFonts w:hint="eastAsia" w:hAnsi="宋体"/>
          <w:color w:val="000000"/>
          <w:sz w:val="32"/>
          <w:szCs w:val="32"/>
        </w:rPr>
        <w:t>日</w:t>
      </w:r>
    </w:p>
    <w:p>
      <w:pPr>
        <w:pStyle w:val="4"/>
        <w:ind w:left="220"/>
      </w:pPr>
      <w:r>
        <w:br w:type="page"/>
      </w:r>
    </w:p>
    <w:sdt>
      <w:sdtPr>
        <w:rPr>
          <w:rFonts w:ascii="Tahoma" w:hAnsi="Tahoma" w:eastAsia="微软雅黑" w:cstheme="minorBidi"/>
          <w:b w:val="0"/>
          <w:bCs w:val="0"/>
          <w:color w:val="auto"/>
          <w:sz w:val="22"/>
          <w:szCs w:val="22"/>
          <w:lang w:val="zh-CN"/>
        </w:rPr>
        <w:id w:val="411547112"/>
        <w:docPartObj>
          <w:docPartGallery w:val="Table of Contents"/>
          <w:docPartUnique/>
        </w:docPartObj>
      </w:sdtPr>
      <w:sdtEndPr>
        <w:rPr>
          <w:rFonts w:asciiTheme="minorEastAsia" w:hAnsiTheme="minorEastAsia" w:eastAsiaTheme="minorEastAsia" w:cstheme="minorBidi"/>
          <w:b w:val="0"/>
          <w:bCs w:val="0"/>
          <w:color w:val="auto"/>
          <w:sz w:val="24"/>
          <w:szCs w:val="24"/>
          <w:lang w:val="en-US"/>
        </w:rPr>
      </w:sdtEndPr>
      <w:sdtContent>
        <w:p>
          <w:pPr>
            <w:pStyle w:val="25"/>
            <w:spacing w:line="240" w:lineRule="auto"/>
            <w:jc w:val="center"/>
            <w:rPr>
              <w:rFonts w:asciiTheme="minorEastAsia" w:hAnsiTheme="minorEastAsia" w:eastAsiaTheme="minorEastAsia"/>
              <w:sz w:val="16"/>
              <w:szCs w:val="16"/>
            </w:rPr>
          </w:pPr>
          <w:r>
            <w:rPr>
              <w:rFonts w:asciiTheme="minorEastAsia" w:hAnsiTheme="minorEastAsia" w:eastAsiaTheme="minorEastAsia"/>
              <w:color w:val="auto"/>
              <w:sz w:val="44"/>
              <w:szCs w:val="44"/>
              <w:lang w:val="zh-CN"/>
            </w:rPr>
            <w:t>目录</w:t>
          </w:r>
        </w:p>
        <w:p>
          <w:pPr>
            <w:pStyle w:val="10"/>
            <w:rPr>
              <w:rFonts w:ascii="微软雅黑" w:hAnsi="微软雅黑"/>
              <w:kern w:val="2"/>
              <w:sz w:val="21"/>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"1-3" \h \z \u </w:instrText>
          </w:r>
          <w:r>
            <w:rPr>
              <w:rFonts w:asciiTheme="minorEastAsia" w:hAnsiTheme="minorEastAsia" w:eastAsiaTheme="minorEastAsia"/>
              <w:sz w:val="24"/>
              <w:szCs w:val="24"/>
            </w:rPr>
            <w:fldChar w:fldCharType="separate"/>
          </w:r>
          <w:r>
            <w:fldChar w:fldCharType="begin"/>
          </w:r>
          <w:r>
            <w:instrText xml:space="preserve"> HYPERLINK \l "_Toc2533260" </w:instrText>
          </w:r>
          <w:r>
            <w:fldChar w:fldCharType="separate"/>
          </w:r>
          <w:r>
            <w:rPr>
              <w:rStyle w:val="17"/>
              <w:rFonts w:hint="eastAsia" w:ascii="微软雅黑" w:hAnsi="微软雅黑"/>
            </w:rPr>
            <w:t>一、工作简况</w:t>
          </w:r>
          <w:r>
            <w:rPr>
              <w:rFonts w:ascii="微软雅黑" w:hAnsi="微软雅黑"/>
            </w:rPr>
            <w:tab/>
          </w:r>
          <w:r>
            <w:rPr>
              <w:rFonts w:ascii="微软雅黑" w:hAnsi="微软雅黑"/>
            </w:rPr>
            <w:fldChar w:fldCharType="begin"/>
          </w:r>
          <w:r>
            <w:rPr>
              <w:rFonts w:ascii="微软雅黑" w:hAnsi="微软雅黑"/>
            </w:rPr>
            <w:instrText xml:space="preserve"> PAGEREF _Toc2533260 \h </w:instrText>
          </w:r>
          <w:r>
            <w:rPr>
              <w:rFonts w:ascii="微软雅黑" w:hAnsi="微软雅黑"/>
            </w:rPr>
            <w:fldChar w:fldCharType="separate"/>
          </w:r>
          <w:r>
            <w:rPr>
              <w:rFonts w:ascii="微软雅黑" w:hAnsi="微软雅黑"/>
            </w:rPr>
            <w:t>3</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"_Toc2533261" </w:instrText>
          </w:r>
          <w:r>
            <w:fldChar w:fldCharType="separate"/>
          </w:r>
          <w:r>
            <w:rPr>
              <w:rStyle w:val="17"/>
              <w:rFonts w:ascii="微软雅黑" w:hAnsi="微软雅黑"/>
            </w:rPr>
            <w:t>1.</w:t>
          </w:r>
          <w:r>
            <w:rPr>
              <w:rStyle w:val="17"/>
              <w:rFonts w:hint="eastAsia" w:ascii="微软雅黑" w:hAnsi="微软雅黑"/>
            </w:rPr>
            <w:t>立项目的</w:t>
          </w:r>
          <w:r>
            <w:rPr>
              <w:rFonts w:ascii="微软雅黑" w:hAnsi="微软雅黑"/>
            </w:rPr>
            <w:tab/>
          </w:r>
          <w:r>
            <w:rPr>
              <w:rFonts w:ascii="微软雅黑" w:hAnsi="微软雅黑"/>
            </w:rPr>
            <w:fldChar w:fldCharType="begin"/>
          </w:r>
          <w:r>
            <w:rPr>
              <w:rFonts w:ascii="微软雅黑" w:hAnsi="微软雅黑"/>
            </w:rPr>
            <w:instrText xml:space="preserve"> PAGEREF _Toc2533261 \h </w:instrText>
          </w:r>
          <w:r>
            <w:rPr>
              <w:rFonts w:ascii="微软雅黑" w:hAnsi="微软雅黑"/>
            </w:rPr>
            <w:fldChar w:fldCharType="separate"/>
          </w:r>
          <w:r>
            <w:rPr>
              <w:rFonts w:ascii="微软雅黑" w:hAnsi="微软雅黑"/>
            </w:rPr>
            <w:t>3</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"_Toc2533262" </w:instrText>
          </w:r>
          <w:r>
            <w:fldChar w:fldCharType="separate"/>
          </w:r>
          <w:r>
            <w:rPr>
              <w:rStyle w:val="17"/>
              <w:rFonts w:ascii="微软雅黑" w:hAnsi="微软雅黑"/>
            </w:rPr>
            <w:t>1.1</w:t>
          </w:r>
          <w:r>
            <w:rPr>
              <w:rStyle w:val="17"/>
              <w:rFonts w:hint="eastAsia" w:ascii="微软雅黑" w:hAnsi="微软雅黑"/>
            </w:rPr>
            <w:t>标准制定的必要性</w:t>
          </w:r>
          <w:r>
            <w:rPr>
              <w:rFonts w:ascii="微软雅黑" w:hAnsi="微软雅黑"/>
            </w:rPr>
            <w:tab/>
          </w:r>
          <w:r>
            <w:rPr>
              <w:rFonts w:ascii="微软雅黑" w:hAnsi="微软雅黑"/>
            </w:rPr>
            <w:fldChar w:fldCharType="begin"/>
          </w:r>
          <w:r>
            <w:rPr>
              <w:rFonts w:ascii="微软雅黑" w:hAnsi="微软雅黑"/>
            </w:rPr>
            <w:instrText xml:space="preserve"> PAGEREF _Toc2533262 \h </w:instrText>
          </w:r>
          <w:r>
            <w:rPr>
              <w:rFonts w:ascii="微软雅黑" w:hAnsi="微软雅黑"/>
            </w:rPr>
            <w:fldChar w:fldCharType="separate"/>
          </w:r>
          <w:r>
            <w:rPr>
              <w:rFonts w:ascii="微软雅黑" w:hAnsi="微软雅黑"/>
            </w:rPr>
            <w:t>3</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"_Toc2533263" </w:instrText>
          </w:r>
          <w:r>
            <w:fldChar w:fldCharType="separate"/>
          </w:r>
          <w:r>
            <w:rPr>
              <w:rStyle w:val="17"/>
              <w:rFonts w:ascii="微软雅黑" w:hAnsi="微软雅黑"/>
            </w:rPr>
            <w:t>2.</w:t>
          </w:r>
          <w:r>
            <w:rPr>
              <w:rStyle w:val="17"/>
              <w:rFonts w:hint="eastAsia" w:ascii="微软雅黑" w:hAnsi="微软雅黑"/>
            </w:rPr>
            <w:t>立项来源</w:t>
          </w:r>
          <w:r>
            <w:rPr>
              <w:rFonts w:ascii="微软雅黑" w:hAnsi="微软雅黑"/>
            </w:rPr>
            <w:tab/>
          </w:r>
          <w:r>
            <w:rPr>
              <w:rFonts w:ascii="微软雅黑" w:hAnsi="微软雅黑"/>
            </w:rPr>
            <w:fldChar w:fldCharType="begin"/>
          </w:r>
          <w:r>
            <w:rPr>
              <w:rFonts w:ascii="微软雅黑" w:hAnsi="微软雅黑"/>
            </w:rPr>
            <w:instrText xml:space="preserve"> PAGEREF _Toc2533263 \h </w:instrText>
          </w:r>
          <w:r>
            <w:rPr>
              <w:rFonts w:ascii="微软雅黑" w:hAnsi="微软雅黑"/>
            </w:rPr>
            <w:fldChar w:fldCharType="separate"/>
          </w:r>
          <w:r>
            <w:rPr>
              <w:rFonts w:ascii="微软雅黑" w:hAnsi="微软雅黑"/>
            </w:rPr>
            <w:t>3</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"_Toc2533264" </w:instrText>
          </w:r>
          <w:r>
            <w:fldChar w:fldCharType="separate"/>
          </w:r>
          <w:r>
            <w:rPr>
              <w:rStyle w:val="17"/>
              <w:rFonts w:ascii="微软雅黑" w:hAnsi="微软雅黑"/>
            </w:rPr>
            <w:t>3.</w:t>
          </w:r>
          <w:r>
            <w:rPr>
              <w:rStyle w:val="17"/>
              <w:rFonts w:hint="eastAsia" w:ascii="微软雅黑" w:hAnsi="微软雅黑"/>
            </w:rPr>
            <w:t>项目编制组单位简况</w:t>
          </w:r>
          <w:r>
            <w:rPr>
              <w:rFonts w:ascii="微软雅黑" w:hAnsi="微软雅黑"/>
            </w:rPr>
            <w:tab/>
          </w:r>
          <w:r>
            <w:rPr>
              <w:rFonts w:ascii="微软雅黑" w:hAnsi="微软雅黑"/>
            </w:rPr>
            <w:fldChar w:fldCharType="begin"/>
          </w:r>
          <w:r>
            <w:rPr>
              <w:rFonts w:ascii="微软雅黑" w:hAnsi="微软雅黑"/>
            </w:rPr>
            <w:instrText xml:space="preserve"> PAGEREF _Toc2533264 \h </w:instrText>
          </w:r>
          <w:r>
            <w:rPr>
              <w:rFonts w:ascii="微软雅黑" w:hAnsi="微软雅黑"/>
            </w:rPr>
            <w:fldChar w:fldCharType="separate"/>
          </w:r>
          <w:r>
            <w:rPr>
              <w:rFonts w:ascii="微软雅黑" w:hAnsi="微软雅黑"/>
            </w:rPr>
            <w:t>4</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"_Toc2533265" </w:instrText>
          </w:r>
          <w:r>
            <w:fldChar w:fldCharType="separate"/>
          </w:r>
          <w:r>
            <w:rPr>
              <w:rStyle w:val="17"/>
              <w:rFonts w:ascii="微软雅黑" w:hAnsi="微软雅黑"/>
            </w:rPr>
            <w:t>3.1</w:t>
          </w:r>
          <w:r>
            <w:rPr>
              <w:rStyle w:val="17"/>
              <w:rFonts w:hint="eastAsia" w:ascii="微软雅黑" w:hAnsi="微软雅黑"/>
            </w:rPr>
            <w:t>编制组成员单位</w:t>
          </w:r>
          <w:r>
            <w:rPr>
              <w:rFonts w:ascii="微软雅黑" w:hAnsi="微软雅黑"/>
            </w:rPr>
            <w:tab/>
          </w:r>
          <w:r>
            <w:rPr>
              <w:rFonts w:ascii="微软雅黑" w:hAnsi="微软雅黑"/>
            </w:rPr>
            <w:fldChar w:fldCharType="begin"/>
          </w:r>
          <w:r>
            <w:rPr>
              <w:rFonts w:ascii="微软雅黑" w:hAnsi="微软雅黑"/>
            </w:rPr>
            <w:instrText xml:space="preserve"> PAGEREF _Toc2533265 \h </w:instrText>
          </w:r>
          <w:r>
            <w:rPr>
              <w:rFonts w:ascii="微软雅黑" w:hAnsi="微软雅黑"/>
            </w:rPr>
            <w:fldChar w:fldCharType="separate"/>
          </w:r>
          <w:r>
            <w:rPr>
              <w:rFonts w:ascii="微软雅黑" w:hAnsi="微软雅黑"/>
            </w:rPr>
            <w:t>4</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"_Toc2533266" </w:instrText>
          </w:r>
          <w:r>
            <w:fldChar w:fldCharType="separate"/>
          </w:r>
          <w:r>
            <w:rPr>
              <w:rStyle w:val="17"/>
              <w:rFonts w:ascii="微软雅黑" w:hAnsi="微软雅黑"/>
            </w:rPr>
            <w:t>3.2</w:t>
          </w:r>
          <w:r>
            <w:rPr>
              <w:rStyle w:val="17"/>
              <w:rFonts w:hint="eastAsia" w:ascii="微软雅黑" w:hAnsi="微软雅黑"/>
            </w:rPr>
            <w:t>主编单位简介</w:t>
          </w:r>
          <w:r>
            <w:rPr>
              <w:rFonts w:ascii="微软雅黑" w:hAnsi="微软雅黑"/>
            </w:rPr>
            <w:tab/>
          </w:r>
          <w:r>
            <w:rPr>
              <w:rFonts w:ascii="微软雅黑" w:hAnsi="微软雅黑"/>
            </w:rPr>
            <w:fldChar w:fldCharType="begin"/>
          </w:r>
          <w:r>
            <w:rPr>
              <w:rFonts w:ascii="微软雅黑" w:hAnsi="微软雅黑"/>
            </w:rPr>
            <w:instrText xml:space="preserve"> PAGEREF _Toc2533266 \h </w:instrText>
          </w:r>
          <w:r>
            <w:rPr>
              <w:rFonts w:ascii="微软雅黑" w:hAnsi="微软雅黑"/>
            </w:rPr>
            <w:fldChar w:fldCharType="separate"/>
          </w:r>
          <w:r>
            <w:rPr>
              <w:rFonts w:ascii="微软雅黑" w:hAnsi="微软雅黑"/>
            </w:rPr>
            <w:t>4</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"_Toc2533267" </w:instrText>
          </w:r>
          <w:r>
            <w:fldChar w:fldCharType="separate"/>
          </w:r>
          <w:r>
            <w:rPr>
              <w:rStyle w:val="17"/>
              <w:rFonts w:ascii="微软雅黑" w:hAnsi="微软雅黑"/>
            </w:rPr>
            <w:t>4.</w:t>
          </w:r>
          <w:r>
            <w:rPr>
              <w:rStyle w:val="17"/>
              <w:rFonts w:hint="eastAsia" w:ascii="微软雅黑" w:hAnsi="微软雅黑"/>
            </w:rPr>
            <w:t>主要工作过程</w:t>
          </w:r>
          <w:r>
            <w:rPr>
              <w:rFonts w:ascii="微软雅黑" w:hAnsi="微软雅黑"/>
            </w:rPr>
            <w:tab/>
          </w:r>
          <w:r>
            <w:rPr>
              <w:rFonts w:ascii="微软雅黑" w:hAnsi="微软雅黑"/>
            </w:rPr>
            <w:fldChar w:fldCharType="begin"/>
          </w:r>
          <w:r>
            <w:rPr>
              <w:rFonts w:ascii="微软雅黑" w:hAnsi="微软雅黑"/>
            </w:rPr>
            <w:instrText xml:space="preserve"> PAGEREF _Toc2533267 \h </w:instrText>
          </w:r>
          <w:r>
            <w:rPr>
              <w:rFonts w:ascii="微软雅黑" w:hAnsi="微软雅黑"/>
            </w:rPr>
            <w:fldChar w:fldCharType="separate"/>
          </w:r>
          <w:r>
            <w:rPr>
              <w:rFonts w:ascii="微软雅黑" w:hAnsi="微软雅黑"/>
            </w:rPr>
            <w:t>4</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"_Toc2533268" </w:instrText>
          </w:r>
          <w:r>
            <w:fldChar w:fldCharType="separate"/>
          </w:r>
          <w:r>
            <w:rPr>
              <w:rStyle w:val="17"/>
              <w:rFonts w:ascii="微软雅黑" w:hAnsi="微软雅黑"/>
            </w:rPr>
            <w:t>5.</w:t>
          </w:r>
          <w:r>
            <w:rPr>
              <w:rStyle w:val="17"/>
              <w:rFonts w:hint="eastAsia" w:ascii="微软雅黑" w:hAnsi="微软雅黑"/>
            </w:rPr>
            <w:t>标准的主要修改过程</w:t>
          </w:r>
          <w:r>
            <w:rPr>
              <w:rFonts w:ascii="微软雅黑" w:hAnsi="微软雅黑"/>
            </w:rPr>
            <w:tab/>
          </w:r>
          <w:r>
            <w:rPr>
              <w:rFonts w:ascii="微软雅黑" w:hAnsi="微软雅黑"/>
            </w:rPr>
            <w:fldChar w:fldCharType="begin"/>
          </w:r>
          <w:r>
            <w:rPr>
              <w:rFonts w:ascii="微软雅黑" w:hAnsi="微软雅黑"/>
            </w:rPr>
            <w:instrText xml:space="preserve"> PAGEREF _Toc2533268 \h </w:instrText>
          </w:r>
          <w:r>
            <w:rPr>
              <w:rFonts w:ascii="微软雅黑" w:hAnsi="微软雅黑"/>
            </w:rPr>
            <w:fldChar w:fldCharType="separate"/>
          </w:r>
          <w:r>
            <w:rPr>
              <w:rFonts w:ascii="微软雅黑" w:hAnsi="微软雅黑"/>
            </w:rPr>
            <w:t>5</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"_Toc2533269" </w:instrText>
          </w:r>
          <w:r>
            <w:fldChar w:fldCharType="separate"/>
          </w:r>
          <w:r>
            <w:rPr>
              <w:rStyle w:val="17"/>
              <w:rFonts w:hint="eastAsia" w:ascii="微软雅黑" w:hAnsi="微软雅黑"/>
            </w:rPr>
            <w:t>二、标准编制原则和确定标准主要内容</w:t>
          </w:r>
          <w:r>
            <w:rPr>
              <w:rFonts w:ascii="微软雅黑" w:hAnsi="微软雅黑"/>
            </w:rPr>
            <w:tab/>
          </w:r>
          <w:r>
            <w:rPr>
              <w:rFonts w:ascii="微软雅黑" w:hAnsi="微软雅黑"/>
            </w:rPr>
            <w:fldChar w:fldCharType="begin"/>
          </w:r>
          <w:r>
            <w:rPr>
              <w:rFonts w:ascii="微软雅黑" w:hAnsi="微软雅黑"/>
            </w:rPr>
            <w:instrText xml:space="preserve"> PAGEREF _Toc2533269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"_Toc2533270" </w:instrText>
          </w:r>
          <w:r>
            <w:fldChar w:fldCharType="separate"/>
          </w:r>
          <w:r>
            <w:rPr>
              <w:rStyle w:val="17"/>
              <w:rFonts w:ascii="微软雅黑" w:hAnsi="微软雅黑"/>
            </w:rPr>
            <w:t>1.</w:t>
          </w:r>
          <w:r>
            <w:rPr>
              <w:rStyle w:val="17"/>
              <w:rFonts w:hint="eastAsia" w:ascii="微软雅黑" w:hAnsi="微软雅黑"/>
            </w:rPr>
            <w:t>编制原则</w:t>
          </w:r>
          <w:r>
            <w:rPr>
              <w:rFonts w:ascii="微软雅黑" w:hAnsi="微软雅黑"/>
            </w:rPr>
            <w:tab/>
          </w:r>
          <w:r>
            <w:rPr>
              <w:rFonts w:ascii="微软雅黑" w:hAnsi="微软雅黑"/>
            </w:rPr>
            <w:fldChar w:fldCharType="begin"/>
          </w:r>
          <w:r>
            <w:rPr>
              <w:rFonts w:ascii="微软雅黑" w:hAnsi="微软雅黑"/>
            </w:rPr>
            <w:instrText xml:space="preserve"> PAGEREF _Toc2533270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"_Toc2533271" </w:instrText>
          </w:r>
          <w:r>
            <w:fldChar w:fldCharType="separate"/>
          </w:r>
          <w:r>
            <w:rPr>
              <w:rStyle w:val="17"/>
              <w:rFonts w:ascii="微软雅黑" w:hAnsi="微软雅黑"/>
            </w:rPr>
            <w:t xml:space="preserve">1.1 </w:t>
          </w:r>
          <w:r>
            <w:rPr>
              <w:rStyle w:val="17"/>
              <w:rFonts w:hint="eastAsia" w:ascii="微软雅黑" w:hAnsi="微软雅黑"/>
            </w:rPr>
            <w:t>指标选取的原则</w:t>
          </w:r>
          <w:r>
            <w:rPr>
              <w:rFonts w:ascii="微软雅黑" w:hAnsi="微软雅黑"/>
            </w:rPr>
            <w:tab/>
          </w:r>
          <w:r>
            <w:rPr>
              <w:rFonts w:ascii="微软雅黑" w:hAnsi="微软雅黑"/>
            </w:rPr>
            <w:fldChar w:fldCharType="begin"/>
          </w:r>
          <w:r>
            <w:rPr>
              <w:rFonts w:ascii="微软雅黑" w:hAnsi="微软雅黑"/>
            </w:rPr>
            <w:instrText xml:space="preserve"> PAGEREF _Toc2533271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"_Toc2533272" </w:instrText>
          </w:r>
          <w:r>
            <w:fldChar w:fldCharType="separate"/>
          </w:r>
          <w:r>
            <w:rPr>
              <w:rStyle w:val="17"/>
              <w:rFonts w:ascii="微软雅黑" w:hAnsi="微软雅黑"/>
            </w:rPr>
            <w:t xml:space="preserve">1.2 </w:t>
          </w:r>
          <w:r>
            <w:rPr>
              <w:rStyle w:val="17"/>
              <w:rFonts w:hint="eastAsia" w:ascii="微软雅黑" w:hAnsi="微软雅黑"/>
            </w:rPr>
            <w:t>生命周期评价与指标评价相结合的原则</w:t>
          </w:r>
          <w:r>
            <w:rPr>
              <w:rFonts w:ascii="微软雅黑" w:hAnsi="微软雅黑"/>
            </w:rPr>
            <w:tab/>
          </w:r>
          <w:r>
            <w:rPr>
              <w:rFonts w:ascii="微软雅黑" w:hAnsi="微软雅黑"/>
            </w:rPr>
            <w:fldChar w:fldCharType="begin"/>
          </w:r>
          <w:r>
            <w:rPr>
              <w:rFonts w:ascii="微软雅黑" w:hAnsi="微软雅黑"/>
            </w:rPr>
            <w:instrText xml:space="preserve"> PAGEREF _Toc2533272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"_Toc2533273" </w:instrText>
          </w:r>
          <w:r>
            <w:fldChar w:fldCharType="separate"/>
          </w:r>
          <w:r>
            <w:rPr>
              <w:rStyle w:val="17"/>
              <w:rFonts w:ascii="微软雅黑" w:hAnsi="微软雅黑"/>
            </w:rPr>
            <w:t xml:space="preserve">1.3 </w:t>
          </w:r>
          <w:r>
            <w:rPr>
              <w:rStyle w:val="17"/>
              <w:rFonts w:hint="eastAsia" w:ascii="微软雅黑" w:hAnsi="微软雅黑"/>
            </w:rPr>
            <w:t>环境影响种类最优选取原则</w:t>
          </w:r>
          <w:r>
            <w:rPr>
              <w:rFonts w:ascii="微软雅黑" w:hAnsi="微软雅黑"/>
            </w:rPr>
            <w:tab/>
          </w:r>
          <w:r>
            <w:rPr>
              <w:rFonts w:ascii="微软雅黑" w:hAnsi="微软雅黑"/>
            </w:rPr>
            <w:fldChar w:fldCharType="begin"/>
          </w:r>
          <w:r>
            <w:rPr>
              <w:rFonts w:ascii="微软雅黑" w:hAnsi="微软雅黑"/>
            </w:rPr>
            <w:instrText xml:space="preserve"> PAGEREF _Toc2533273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"_Toc2533274" </w:instrText>
          </w:r>
          <w:r>
            <w:fldChar w:fldCharType="separate"/>
          </w:r>
          <w:r>
            <w:rPr>
              <w:rStyle w:val="17"/>
              <w:rFonts w:ascii="微软雅黑" w:hAnsi="微软雅黑"/>
            </w:rPr>
            <w:t>1.4</w:t>
          </w:r>
          <w:r>
            <w:rPr>
              <w:rStyle w:val="17"/>
              <w:rFonts w:hint="eastAsia" w:ascii="微软雅黑" w:hAnsi="微软雅黑"/>
            </w:rPr>
            <w:t>持续改进原则</w:t>
          </w:r>
          <w:r>
            <w:rPr>
              <w:rFonts w:ascii="微软雅黑" w:hAnsi="微软雅黑"/>
            </w:rPr>
            <w:tab/>
          </w:r>
          <w:r>
            <w:rPr>
              <w:rFonts w:ascii="微软雅黑" w:hAnsi="微软雅黑"/>
            </w:rPr>
            <w:fldChar w:fldCharType="begin"/>
          </w:r>
          <w:r>
            <w:rPr>
              <w:rFonts w:ascii="微软雅黑" w:hAnsi="微软雅黑"/>
            </w:rPr>
            <w:instrText xml:space="preserve"> PAGEREF _Toc2533274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"_Toc2533275" </w:instrText>
          </w:r>
          <w:r>
            <w:fldChar w:fldCharType="separate"/>
          </w:r>
          <w:r>
            <w:rPr>
              <w:rStyle w:val="17"/>
              <w:rFonts w:ascii="微软雅黑" w:hAnsi="微软雅黑"/>
            </w:rPr>
            <w:t>2.</w:t>
          </w:r>
          <w:r>
            <w:rPr>
              <w:rStyle w:val="17"/>
              <w:rFonts w:hint="eastAsia" w:ascii="微软雅黑" w:hAnsi="微软雅黑"/>
            </w:rPr>
            <w:t>标准主要内容</w:t>
          </w:r>
          <w:r>
            <w:rPr>
              <w:rFonts w:ascii="微软雅黑" w:hAnsi="微软雅黑"/>
            </w:rPr>
            <w:tab/>
          </w:r>
          <w:r>
            <w:rPr>
              <w:rFonts w:ascii="微软雅黑" w:hAnsi="微软雅黑"/>
            </w:rPr>
            <w:fldChar w:fldCharType="begin"/>
          </w:r>
          <w:r>
            <w:rPr>
              <w:rFonts w:ascii="微软雅黑" w:hAnsi="微软雅黑"/>
            </w:rPr>
            <w:instrText xml:space="preserve"> PAGEREF _Toc2533275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"_Toc2533276" </w:instrText>
          </w:r>
          <w:r>
            <w:fldChar w:fldCharType="separate"/>
          </w:r>
          <w:r>
            <w:rPr>
              <w:rStyle w:val="17"/>
              <w:rFonts w:ascii="微软雅黑" w:hAnsi="微软雅黑"/>
            </w:rPr>
            <w:t>2.1</w:t>
          </w:r>
          <w:r>
            <w:rPr>
              <w:rStyle w:val="17"/>
              <w:rFonts w:hint="eastAsia" w:ascii="微软雅黑" w:hAnsi="微软雅黑"/>
            </w:rPr>
            <w:t>研究方法</w:t>
          </w:r>
          <w:r>
            <w:rPr>
              <w:rFonts w:ascii="微软雅黑" w:hAnsi="微软雅黑"/>
            </w:rPr>
            <w:tab/>
          </w:r>
          <w:r>
            <w:rPr>
              <w:rFonts w:ascii="微软雅黑" w:hAnsi="微软雅黑"/>
            </w:rPr>
            <w:fldChar w:fldCharType="begin"/>
          </w:r>
          <w:r>
            <w:rPr>
              <w:rFonts w:ascii="微软雅黑" w:hAnsi="微软雅黑"/>
            </w:rPr>
            <w:instrText xml:space="preserve"> PAGEREF _Toc2533276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5"/>
            <w:tabs>
              <w:tab w:val="right" w:leader="dot" w:pos="8296"/>
            </w:tabs>
            <w:ind w:left="880"/>
            <w:rPr>
              <w:rFonts w:ascii="微软雅黑" w:hAnsi="微软雅黑"/>
              <w:kern w:val="2"/>
              <w:sz w:val="21"/>
            </w:rPr>
          </w:pPr>
          <w:r>
            <w:fldChar w:fldCharType="begin"/>
          </w:r>
          <w:r>
            <w:instrText xml:space="preserve"> HYPERLINK \l "_Toc2533277" </w:instrText>
          </w:r>
          <w:r>
            <w:fldChar w:fldCharType="separate"/>
          </w:r>
          <w:r>
            <w:rPr>
              <w:rStyle w:val="17"/>
              <w:rFonts w:ascii="微软雅黑" w:hAnsi="微软雅黑"/>
            </w:rPr>
            <w:t>2.2</w:t>
          </w:r>
          <w:r>
            <w:rPr>
              <w:rStyle w:val="17"/>
              <w:rFonts w:hint="eastAsia" w:ascii="微软雅黑" w:hAnsi="微软雅黑"/>
            </w:rPr>
            <w:t>评价流程</w:t>
          </w:r>
          <w:r>
            <w:rPr>
              <w:rFonts w:ascii="微软雅黑" w:hAnsi="微软雅黑"/>
            </w:rPr>
            <w:tab/>
          </w:r>
          <w:r>
            <w:rPr>
              <w:rFonts w:ascii="微软雅黑" w:hAnsi="微软雅黑"/>
            </w:rPr>
            <w:fldChar w:fldCharType="begin"/>
          </w:r>
          <w:r>
            <w:rPr>
              <w:rFonts w:ascii="微软雅黑" w:hAnsi="微软雅黑"/>
            </w:rPr>
            <w:instrText xml:space="preserve"> PAGEREF _Toc2533277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"_Toc2533278" </w:instrText>
          </w:r>
          <w:r>
            <w:fldChar w:fldCharType="separate"/>
          </w:r>
          <w:r>
            <w:rPr>
              <w:rStyle w:val="17"/>
              <w:rFonts w:hint="eastAsia" w:ascii="微软雅黑" w:hAnsi="微软雅黑"/>
            </w:rPr>
            <w:t>三、标准主要内容的确定依据</w:t>
          </w:r>
          <w:r>
            <w:rPr>
              <w:rFonts w:ascii="微软雅黑" w:hAnsi="微软雅黑"/>
            </w:rPr>
            <w:tab/>
          </w:r>
          <w:r>
            <w:rPr>
              <w:rFonts w:ascii="微软雅黑" w:hAnsi="微软雅黑"/>
            </w:rPr>
            <w:fldChar w:fldCharType="begin"/>
          </w:r>
          <w:r>
            <w:rPr>
              <w:rFonts w:ascii="微软雅黑" w:hAnsi="微软雅黑"/>
            </w:rPr>
            <w:instrText xml:space="preserve"> PAGEREF _Toc2533278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"_Toc2533279" </w:instrText>
          </w:r>
          <w:r>
            <w:fldChar w:fldCharType="separate"/>
          </w:r>
          <w:r>
            <w:rPr>
              <w:rStyle w:val="17"/>
              <w:rFonts w:ascii="微软雅黑" w:hAnsi="微软雅黑"/>
            </w:rPr>
            <w:t>1.</w:t>
          </w:r>
          <w:r>
            <w:rPr>
              <w:rStyle w:val="17"/>
              <w:rFonts w:hint="eastAsia" w:ascii="微软雅黑" w:hAnsi="微软雅黑"/>
            </w:rPr>
            <w:t>标准引用文件</w:t>
          </w:r>
          <w:r>
            <w:rPr>
              <w:rFonts w:ascii="微软雅黑" w:hAnsi="微软雅黑"/>
            </w:rPr>
            <w:tab/>
          </w:r>
          <w:r>
            <w:rPr>
              <w:rFonts w:ascii="微软雅黑" w:hAnsi="微软雅黑"/>
            </w:rPr>
            <w:fldChar w:fldCharType="begin"/>
          </w:r>
          <w:r>
            <w:rPr>
              <w:rFonts w:ascii="微软雅黑" w:hAnsi="微软雅黑"/>
            </w:rPr>
            <w:instrText xml:space="preserve"> PAGEREF _Toc2533279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"_Toc2533280" </w:instrText>
          </w:r>
          <w:r>
            <w:fldChar w:fldCharType="separate"/>
          </w:r>
          <w:r>
            <w:rPr>
              <w:rStyle w:val="17"/>
              <w:rFonts w:ascii="微软雅黑" w:hAnsi="微软雅黑"/>
            </w:rPr>
            <w:t>2.</w:t>
          </w:r>
          <w:r>
            <w:rPr>
              <w:rStyle w:val="17"/>
              <w:rFonts w:hint="eastAsia" w:ascii="微软雅黑" w:hAnsi="微软雅黑"/>
            </w:rPr>
            <w:t>标准评价基本要求依据</w:t>
          </w:r>
          <w:r>
            <w:rPr>
              <w:rFonts w:ascii="微软雅黑" w:hAnsi="微软雅黑"/>
            </w:rPr>
            <w:tab/>
          </w:r>
          <w:r>
            <w:rPr>
              <w:rFonts w:ascii="微软雅黑" w:hAnsi="微软雅黑"/>
            </w:rPr>
            <w:fldChar w:fldCharType="begin"/>
          </w:r>
          <w:r>
            <w:rPr>
              <w:rFonts w:ascii="微软雅黑" w:hAnsi="微软雅黑"/>
            </w:rPr>
            <w:instrText xml:space="preserve"> PAGEREF _Toc2533280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1"/>
            <w:rPr>
              <w:rFonts w:ascii="微软雅黑" w:hAnsi="微软雅黑"/>
              <w:kern w:val="2"/>
              <w:sz w:val="21"/>
            </w:rPr>
          </w:pPr>
          <w:r>
            <w:fldChar w:fldCharType="begin"/>
          </w:r>
          <w:r>
            <w:instrText xml:space="preserve"> HYPERLINK \l "_Toc2533281" </w:instrText>
          </w:r>
          <w:r>
            <w:fldChar w:fldCharType="separate"/>
          </w:r>
          <w:r>
            <w:rPr>
              <w:rStyle w:val="17"/>
              <w:rFonts w:ascii="微软雅黑" w:hAnsi="微软雅黑"/>
            </w:rPr>
            <w:t>3.</w:t>
          </w:r>
          <w:r>
            <w:rPr>
              <w:rStyle w:val="17"/>
              <w:rFonts w:hint="eastAsia" w:ascii="微软雅黑" w:hAnsi="微软雅黑"/>
            </w:rPr>
            <w:t>标准指标主要内容的判定依据</w:t>
          </w:r>
          <w:r>
            <w:rPr>
              <w:rFonts w:ascii="微软雅黑" w:hAnsi="微软雅黑"/>
            </w:rPr>
            <w:tab/>
          </w:r>
          <w:r>
            <w:rPr>
              <w:rFonts w:ascii="微软雅黑" w:hAnsi="微软雅黑"/>
            </w:rPr>
            <w:fldChar w:fldCharType="begin"/>
          </w:r>
          <w:r>
            <w:rPr>
              <w:rFonts w:ascii="微软雅黑" w:hAnsi="微软雅黑"/>
            </w:rPr>
            <w:instrText xml:space="preserve"> PAGEREF _Toc2533281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"_Toc2533282" </w:instrText>
          </w:r>
          <w:r>
            <w:fldChar w:fldCharType="separate"/>
          </w:r>
          <w:r>
            <w:rPr>
              <w:rStyle w:val="17"/>
              <w:rFonts w:hint="eastAsia" w:ascii="微软雅黑" w:hAnsi="微软雅黑"/>
            </w:rPr>
            <w:t>四、与现行法律、法规、强制性国家标准及相关标准协调配套情况</w:t>
          </w:r>
          <w:r>
            <w:rPr>
              <w:rFonts w:ascii="微软雅黑" w:hAnsi="微软雅黑"/>
            </w:rPr>
            <w:tab/>
          </w:r>
          <w:r>
            <w:rPr>
              <w:rFonts w:ascii="微软雅黑" w:hAnsi="微软雅黑"/>
            </w:rPr>
            <w:fldChar w:fldCharType="begin"/>
          </w:r>
          <w:r>
            <w:rPr>
              <w:rFonts w:ascii="微软雅黑" w:hAnsi="微软雅黑"/>
            </w:rPr>
            <w:instrText xml:space="preserve"> PAGEREF _Toc2533282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"_Toc2533283" </w:instrText>
          </w:r>
          <w:r>
            <w:fldChar w:fldCharType="separate"/>
          </w:r>
          <w:r>
            <w:rPr>
              <w:rStyle w:val="17"/>
              <w:rFonts w:hint="eastAsia" w:ascii="微软雅黑" w:hAnsi="微软雅黑"/>
            </w:rPr>
            <w:t>五、标准中如涉及专利，应有明确的知识产权说明</w:t>
          </w:r>
          <w:r>
            <w:rPr>
              <w:rFonts w:ascii="微软雅黑" w:hAnsi="微软雅黑"/>
            </w:rPr>
            <w:tab/>
          </w:r>
          <w:r>
            <w:rPr>
              <w:rFonts w:ascii="微软雅黑" w:hAnsi="微软雅黑"/>
            </w:rPr>
            <w:fldChar w:fldCharType="begin"/>
          </w:r>
          <w:r>
            <w:rPr>
              <w:rFonts w:ascii="微软雅黑" w:hAnsi="微软雅黑"/>
            </w:rPr>
            <w:instrText xml:space="preserve"> PAGEREF _Toc2533283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"_Toc2533284" </w:instrText>
          </w:r>
          <w:r>
            <w:fldChar w:fldCharType="separate"/>
          </w:r>
          <w:r>
            <w:rPr>
              <w:rStyle w:val="17"/>
              <w:rFonts w:hint="eastAsia" w:ascii="微软雅黑" w:hAnsi="微软雅黑"/>
            </w:rPr>
            <w:t>六、废止现行有关标准的建议</w:t>
          </w:r>
          <w:r>
            <w:rPr>
              <w:rFonts w:ascii="微软雅黑" w:hAnsi="微软雅黑"/>
            </w:rPr>
            <w:tab/>
          </w:r>
          <w:r>
            <w:rPr>
              <w:rFonts w:ascii="微软雅黑" w:hAnsi="微软雅黑"/>
            </w:rPr>
            <w:fldChar w:fldCharType="begin"/>
          </w:r>
          <w:r>
            <w:rPr>
              <w:rFonts w:ascii="微软雅黑" w:hAnsi="微软雅黑"/>
            </w:rPr>
            <w:instrText xml:space="preserve"> PAGEREF _Toc2533284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pStyle w:val="10"/>
            <w:rPr>
              <w:rFonts w:ascii="微软雅黑" w:hAnsi="微软雅黑"/>
              <w:kern w:val="2"/>
              <w:sz w:val="21"/>
            </w:rPr>
          </w:pPr>
          <w:r>
            <w:fldChar w:fldCharType="begin"/>
          </w:r>
          <w:r>
            <w:instrText xml:space="preserve"> HYPERLINK \l "_Toc2533285" </w:instrText>
          </w:r>
          <w:r>
            <w:fldChar w:fldCharType="separate"/>
          </w:r>
          <w:r>
            <w:rPr>
              <w:rStyle w:val="17"/>
              <w:rFonts w:hint="eastAsia" w:ascii="微软雅黑" w:hAnsi="微软雅黑"/>
            </w:rPr>
            <w:t>七、市场前景可产生的经济和社会效益</w:t>
          </w:r>
          <w:r>
            <w:rPr>
              <w:rFonts w:ascii="微软雅黑" w:hAnsi="微软雅黑"/>
            </w:rPr>
            <w:tab/>
          </w:r>
          <w:r>
            <w:rPr>
              <w:rFonts w:ascii="微软雅黑" w:hAnsi="微软雅黑"/>
            </w:rPr>
            <w:fldChar w:fldCharType="begin"/>
          </w:r>
          <w:r>
            <w:rPr>
              <w:rFonts w:ascii="微软雅黑" w:hAnsi="微软雅黑"/>
            </w:rPr>
            <w:instrText xml:space="preserve"> PAGEREF _Toc2533285 \h </w:instrText>
          </w:r>
          <w:r>
            <w:rPr>
              <w:rFonts w:ascii="微软雅黑" w:hAnsi="微软雅黑"/>
            </w:rPr>
            <w:fldChar w:fldCharType="separate"/>
          </w:r>
          <w:r>
            <w:rPr>
              <w:rFonts w:ascii="微软雅黑" w:hAnsi="微软雅黑"/>
            </w:rPr>
            <w:t>8</w:t>
          </w:r>
          <w:r>
            <w:rPr>
              <w:rFonts w:ascii="微软雅黑" w:hAnsi="微软雅黑"/>
            </w:rPr>
            <w:fldChar w:fldCharType="end"/>
          </w:r>
          <w:r>
            <w:rPr>
              <w:rFonts w:ascii="微软雅黑" w:hAnsi="微软雅黑"/>
            </w:rPr>
            <w:fldChar w:fldCharType="end"/>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fldChar w:fldCharType="end"/>
          </w:r>
        </w:p>
      </w:sdtContent>
    </w:sdt>
    <w:p>
      <w:pPr>
        <w:adjustRightInd/>
        <w:snapToGrid/>
        <w:spacing w:line="220" w:lineRule="atLeast"/>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before="120" w:beforeLines="50" w:after="120" w:afterLines="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cs="Times New Roman" w:asciiTheme="minorEastAsia" w:hAnsiTheme="minorEastAsia" w:eastAsiaTheme="minorEastAsia"/>
          <w:b/>
          <w:sz w:val="36"/>
          <w:szCs w:val="36"/>
        </w:rPr>
        <w:t>绿色设计产品评价技术规范—锌锭</w:t>
      </w:r>
      <w:r>
        <w:rPr>
          <w:rFonts w:hint="eastAsia" w:asciiTheme="minorEastAsia" w:hAnsiTheme="minorEastAsia" w:eastAsiaTheme="minorEastAsia"/>
          <w:b/>
          <w:sz w:val="36"/>
          <w:szCs w:val="36"/>
        </w:rPr>
        <w:t>》编制说明</w:t>
      </w:r>
    </w:p>
    <w:p>
      <w:pPr>
        <w:pStyle w:val="2"/>
        <w:rPr>
          <w:szCs w:val="28"/>
        </w:rPr>
      </w:pPr>
      <w:bookmarkStart w:id="0" w:name="_Toc2533260"/>
      <w:r>
        <w:rPr>
          <w:rFonts w:hint="eastAsia"/>
        </w:rPr>
        <w:t>一、</w:t>
      </w:r>
      <w:r>
        <w:rPr>
          <w:rFonts w:hint="eastAsia"/>
          <w:szCs w:val="28"/>
        </w:rPr>
        <w:t>工作简况</w:t>
      </w:r>
      <w:bookmarkEnd w:id="0"/>
    </w:p>
    <w:p>
      <w:pPr>
        <w:pStyle w:val="3"/>
        <w:ind w:left="220"/>
        <w:rPr>
          <w:szCs w:val="28"/>
        </w:rPr>
      </w:pPr>
      <w:bookmarkStart w:id="1" w:name="_Toc2533261"/>
      <w:r>
        <w:rPr>
          <w:rFonts w:hint="eastAsia"/>
          <w:szCs w:val="28"/>
        </w:rPr>
        <w:t>1.立项目的</w:t>
      </w:r>
      <w:bookmarkEnd w:id="1"/>
    </w:p>
    <w:p>
      <w:pPr>
        <w:shd w:val="clear" w:color="auto" w:fill="FFFFFF"/>
        <w:spacing w:after="100" w:afterAutospacing="1"/>
        <w:ind w:firstLine="482"/>
        <w:rPr>
          <w:rFonts w:cs="Arial" w:asciiTheme="minorEastAsia" w:hAnsiTheme="minorEastAsia" w:eastAsiaTheme="minorEastAsia"/>
          <w:color w:val="333333"/>
          <w:sz w:val="24"/>
          <w:szCs w:val="24"/>
        </w:rPr>
      </w:pPr>
      <w:r>
        <w:rPr>
          <w:rFonts w:hint="eastAsia" w:asciiTheme="minorEastAsia" w:hAnsiTheme="minorEastAsia" w:eastAsiaTheme="minorEastAsia"/>
          <w:sz w:val="24"/>
          <w:szCs w:val="24"/>
        </w:rPr>
        <w:t>我国是锌资源大国，锌金属生产量在2</w:t>
      </w:r>
      <w:r>
        <w:rPr>
          <w:rFonts w:asciiTheme="minorEastAsia" w:hAnsiTheme="minorEastAsia" w:eastAsiaTheme="minorEastAsia"/>
          <w:sz w:val="24"/>
          <w:szCs w:val="24"/>
        </w:rPr>
        <w:t>0</w:t>
      </w:r>
      <w:r>
        <w:rPr>
          <w:rFonts w:hint="eastAsia" w:asciiTheme="minorEastAsia" w:hAnsiTheme="minorEastAsia" w:eastAsiaTheme="minorEastAsia"/>
          <w:sz w:val="24"/>
          <w:szCs w:val="24"/>
        </w:rPr>
        <w:t>世纪9</w:t>
      </w:r>
      <w:r>
        <w:rPr>
          <w:rFonts w:asciiTheme="minorEastAsia" w:hAnsiTheme="minorEastAsia" w:eastAsiaTheme="minorEastAsia"/>
          <w:sz w:val="24"/>
          <w:szCs w:val="24"/>
        </w:rPr>
        <w:t>0</w:t>
      </w:r>
      <w:r>
        <w:rPr>
          <w:rFonts w:hint="eastAsia" w:asciiTheme="minorEastAsia" w:hAnsiTheme="minorEastAsia" w:eastAsiaTheme="minorEastAsia"/>
          <w:sz w:val="24"/>
          <w:szCs w:val="24"/>
        </w:rPr>
        <w:t>年代已上升到世界第一位。电解锌的生</w:t>
      </w:r>
      <w:r>
        <w:rPr>
          <w:rFonts w:asciiTheme="minorEastAsia" w:hAnsiTheme="minorEastAsia" w:eastAsiaTheme="minorEastAsia"/>
          <w:sz w:val="24"/>
          <w:szCs w:val="24"/>
        </w:rPr>
        <w:t>产量</w:t>
      </w:r>
      <w:r>
        <w:rPr>
          <w:rFonts w:hint="eastAsia" w:asciiTheme="minorEastAsia" w:hAnsiTheme="minorEastAsia" w:eastAsiaTheme="minorEastAsia"/>
          <w:sz w:val="24"/>
          <w:szCs w:val="24"/>
        </w:rPr>
        <w:t>和</w:t>
      </w:r>
      <w:r>
        <w:rPr>
          <w:rFonts w:asciiTheme="minorEastAsia" w:hAnsiTheme="minorEastAsia" w:eastAsiaTheme="minorEastAsia"/>
          <w:sz w:val="24"/>
          <w:szCs w:val="24"/>
        </w:rPr>
        <w:t>消</w:t>
      </w:r>
      <w:r>
        <w:rPr>
          <w:rFonts w:hint="eastAsia" w:asciiTheme="minorEastAsia" w:hAnsiTheme="minorEastAsia" w:eastAsiaTheme="minorEastAsia"/>
          <w:sz w:val="24"/>
          <w:szCs w:val="24"/>
        </w:rPr>
        <w:t>费</w:t>
      </w:r>
      <w:r>
        <w:rPr>
          <w:rFonts w:asciiTheme="minorEastAsia" w:hAnsiTheme="minorEastAsia" w:eastAsiaTheme="minorEastAsia"/>
          <w:sz w:val="24"/>
          <w:szCs w:val="24"/>
        </w:rPr>
        <w:t>量占世界总产量的30%</w:t>
      </w:r>
      <w:r>
        <w:rPr>
          <w:rFonts w:hint="eastAsia" w:asciiTheme="minorEastAsia" w:hAnsiTheme="minorEastAsia" w:eastAsiaTheme="minorEastAsia"/>
          <w:sz w:val="24"/>
          <w:szCs w:val="24"/>
        </w:rPr>
        <w:t>以上。锌主要用于压铸合金、电池业、印染业、医药业、橡胶业、化学工业等领域，锌与其他金属的合金在电镀、喷涂等行业得到广泛的应用。在我国有色金属材料的消费中仅次于铝。在国家一系列政策密集出台的环境下，在国内市场强劲需求的推动下，我国锌产业整体保持平稳较快增长，随着产业投入加大、技术突破与规模积累，在可以预见的未来，开始迎来发展的加速期。</w:t>
      </w:r>
    </w:p>
    <w:p>
      <w:pPr>
        <w:spacing w:after="100" w:afterAutospacing="1"/>
        <w:ind w:firstLine="360" w:firstLineChars="15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党的十九大报告提出，加快建立绿色生产和消费的法律制度和政策导向，建立健全绿色低碳循环发展的经济体系。《中共中央国务院关于开展质量提升行动的指导意见》提出，推行绿色制造，推广清洁高效生产工艺，降低产品制造能耗、物耗和水耗，提升终端用能产品能效、水效。</w:t>
      </w:r>
      <w:r>
        <w:rPr>
          <w:rFonts w:hint="eastAsia" w:asciiTheme="minorEastAsia" w:hAnsiTheme="minorEastAsia" w:eastAsiaTheme="minorEastAsia"/>
          <w:sz w:val="24"/>
          <w:szCs w:val="24"/>
          <w:shd w:val="clear" w:color="auto" w:fill="FFFFFF"/>
        </w:rPr>
        <w:t>《中国制造2025》报告也指出:加快制造业绿色改造升级，积极推行低碳化、循环化和集约化；强化产品全生命周期绿色管理，全面推进钢铁、有色、化工、建材、轻工等传统制造业绿色改造。</w:t>
      </w:r>
      <w:r>
        <w:rPr>
          <w:rFonts w:asciiTheme="minorEastAsia" w:hAnsiTheme="minorEastAsia" w:eastAsiaTheme="minorEastAsia"/>
          <w:sz w:val="24"/>
          <w:szCs w:val="24"/>
          <w:shd w:val="clear" w:color="auto" w:fill="FFFFFF"/>
        </w:rPr>
        <w:t>建立统一的绿色产品体系有利于贯彻绿色发展理念、树立中国绿色产品的高端国际形象，有利于助推供给侧结构性改革、推动制造业水平和产品质量提升，有利于满足消费升级需求、为人民健康生活提供保障。</w:t>
      </w:r>
    </w:p>
    <w:p>
      <w:pPr>
        <w:spacing w:after="100" w:afterAutospacing="1"/>
        <w:ind w:firstLine="360" w:firstLineChars="150"/>
        <w:rPr>
          <w:rFonts w:hint="eastAsia" w:asciiTheme="minorEastAsia" w:hAnsiTheme="minorEastAsia" w:eastAsiaTheme="minorEastAsia"/>
          <w:sz w:val="24"/>
          <w:szCs w:val="24"/>
          <w:shd w:val="clear" w:color="auto" w:fill="FFFFFF"/>
        </w:rPr>
      </w:pPr>
    </w:p>
    <w:p>
      <w:pPr>
        <w:pStyle w:val="4"/>
        <w:ind w:left="220"/>
        <w:rPr>
          <w:rFonts w:ascii="微软雅黑" w:hAnsi="微软雅黑"/>
          <w:sz w:val="24"/>
          <w:szCs w:val="24"/>
        </w:rPr>
      </w:pPr>
      <w:bookmarkStart w:id="2" w:name="_Toc2533262"/>
      <w:r>
        <w:rPr>
          <w:rFonts w:hint="eastAsia" w:ascii="微软雅黑" w:hAnsi="微软雅黑"/>
          <w:sz w:val="24"/>
          <w:szCs w:val="24"/>
        </w:rPr>
        <w:t>1.1标准制定的必要性</w:t>
      </w:r>
      <w:bookmarkEnd w:id="2"/>
    </w:p>
    <w:p>
      <w:pPr>
        <w:spacing w:after="100" w:afterAutospacing="1"/>
        <w:ind w:firstLine="480" w:firstLineChars="200"/>
        <w:rPr>
          <w:rStyle w:val="30"/>
          <w:rFonts w:hint="default" w:asciiTheme="minorEastAsia" w:hAnsiTheme="minorEastAsia" w:eastAsiaTheme="minorEastAsia"/>
          <w:color w:val="000000"/>
          <w:sz w:val="24"/>
          <w:szCs w:val="24"/>
        </w:rPr>
      </w:pPr>
      <w:r>
        <w:rPr>
          <w:rStyle w:val="30"/>
          <w:rFonts w:hint="default" w:asciiTheme="minorEastAsia" w:hAnsiTheme="minorEastAsia" w:eastAsiaTheme="minorEastAsia"/>
          <w:color w:val="000000"/>
          <w:sz w:val="24"/>
          <w:szCs w:val="24"/>
        </w:rPr>
        <w:t>绿色设计产品作为生态型社会的重要组成部分，是建立生态型消费模式的基础。目前我国生态型锌锭的技术标准要求不完善，政策机制不够健全。因此，有必要通过开展生态型产品评价及其标准化工作，制定与国际接轨的、高水平的锌锭评价技术标准，并通过评价标准的示范应用，不断提升锌锭的绿色设计，为生态型社会建设提供评价技术、评价标准等基础支撑。</w:t>
      </w:r>
    </w:p>
    <w:p>
      <w:pPr>
        <w:spacing w:after="100" w:afterAutospacing="1"/>
        <w:ind w:firstLine="480" w:firstLineChars="200"/>
        <w:rPr>
          <w:rFonts w:cs="Times New Roman" w:asciiTheme="minorEastAsia" w:hAnsiTheme="minorEastAsia" w:eastAsiaTheme="minorEastAsia"/>
          <w:kern w:val="2"/>
          <w:sz w:val="24"/>
          <w:szCs w:val="24"/>
        </w:rPr>
      </w:pPr>
      <w:r>
        <w:rPr>
          <w:rStyle w:val="30"/>
          <w:rFonts w:hint="default" w:asciiTheme="minorEastAsia" w:hAnsiTheme="minorEastAsia" w:eastAsiaTheme="minorEastAsia"/>
          <w:color w:val="000000"/>
          <w:sz w:val="24"/>
          <w:szCs w:val="24"/>
        </w:rPr>
        <w:t>绿色设计的锌锭产品在开发应用过程中应以产品绿色设计理念为指导，降低环境负荷，最大程度的采用从原料、生产等各个环节减少对人类健康和环境产生危害的先进绿色技术和管理手段，减少或消除对人类和环境危害大的原料、产品和添加剂的生产和使用，实现锌锭产品和工艺的高效、低毒、无污染。</w:t>
      </w:r>
    </w:p>
    <w:p>
      <w:pPr>
        <w:spacing w:after="100" w:afterAutospacing="1"/>
        <w:ind w:firstLine="360" w:firstLineChars="150"/>
        <w:rPr>
          <w:rFonts w:asciiTheme="minorEastAsia" w:hAnsiTheme="minorEastAsia" w:eastAsiaTheme="minorEastAsia"/>
          <w:kern w:val="2"/>
          <w:sz w:val="24"/>
          <w:szCs w:val="24"/>
        </w:rPr>
      </w:pPr>
      <w:r>
        <w:rPr>
          <w:rFonts w:hint="eastAsia" w:cs="Times New Roman" w:asciiTheme="minorEastAsia" w:hAnsiTheme="minorEastAsia" w:eastAsiaTheme="minorEastAsia"/>
          <w:kern w:val="2"/>
          <w:sz w:val="24"/>
          <w:szCs w:val="24"/>
        </w:rPr>
        <w:t>本标准的制定，将规定锌锭生产企业的绿色要求，对促进我国有色行业的持续、健康发展具有重要的意义。</w:t>
      </w:r>
    </w:p>
    <w:p>
      <w:pPr>
        <w:pStyle w:val="3"/>
        <w:ind w:left="220"/>
        <w:rPr>
          <w:szCs w:val="28"/>
        </w:rPr>
      </w:pPr>
      <w:bookmarkStart w:id="3" w:name="_Toc2533263"/>
      <w:r>
        <w:rPr>
          <w:rFonts w:hint="eastAsia"/>
          <w:szCs w:val="28"/>
        </w:rPr>
        <w:t>2.立项来源</w:t>
      </w:r>
      <w:bookmarkEnd w:id="3"/>
    </w:p>
    <w:p>
      <w:pPr>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贯彻落实《国务院关于加强环境保护重点工作的意见》（国发〔2011〕35号）、《国务院关于印发“十二五”节能减排综合性工作方案的通知》（国发〔2011〕26号）和《国务院关于印发节能减排“十二五”规划的通知》（国发〔2012〕40号），河南豫光锌业有限公司根据《产品生态设计通则GB/T 24256-2009》、《生态设计产品评价通则GB/T 32161-2015》相关要求，开展工业产品锌锭绿色设计，从产品设计、原材料获取、制造、运输、销售、再利用等方面进行绿色设计，规范相关指标，向绿色低碳、清洁安全逐步转变。项目起止时间为2019年4月～2020年4月，技术归口单位为全国有色金属标准化技术委员会。</w:t>
      </w:r>
    </w:p>
    <w:p>
      <w:pPr>
        <w:pStyle w:val="3"/>
        <w:ind w:left="220"/>
      </w:pPr>
      <w:bookmarkStart w:id="4" w:name="_Toc2533264"/>
      <w:r>
        <w:rPr>
          <w:rFonts w:hint="eastAsia"/>
          <w:szCs w:val="28"/>
        </w:rPr>
        <w:t>3.</w:t>
      </w:r>
      <w:r>
        <w:rPr>
          <w:rFonts w:hint="eastAsia"/>
        </w:rPr>
        <w:t>项目编制组单位简况</w:t>
      </w:r>
      <w:bookmarkEnd w:id="4"/>
    </w:p>
    <w:p>
      <w:pPr>
        <w:pStyle w:val="4"/>
        <w:ind w:left="220"/>
        <w:rPr>
          <w:sz w:val="24"/>
          <w:szCs w:val="24"/>
        </w:rPr>
      </w:pPr>
      <w:bookmarkStart w:id="5" w:name="_Toc2533265"/>
      <w:r>
        <w:rPr>
          <w:rFonts w:hint="eastAsia"/>
          <w:sz w:val="24"/>
          <w:szCs w:val="24"/>
        </w:rPr>
        <w:t>3.1编制组成员单位</w:t>
      </w:r>
      <w:bookmarkEnd w:id="5"/>
    </w:p>
    <w:p>
      <w:pPr>
        <w:ind w:firstLine="220" w:firstLineChars="100"/>
        <w:rPr>
          <w:rFonts w:hint="eastAsia"/>
        </w:rPr>
      </w:pPr>
      <w:r>
        <w:rPr>
          <w:rFonts w:hint="eastAsia"/>
        </w:rPr>
        <w:t>河南豫光锌业有限公司</w:t>
      </w:r>
    </w:p>
    <w:p>
      <w:pPr>
        <w:pStyle w:val="4"/>
        <w:ind w:left="220"/>
        <w:rPr>
          <w:sz w:val="24"/>
          <w:szCs w:val="24"/>
        </w:rPr>
      </w:pPr>
      <w:bookmarkStart w:id="6" w:name="_Toc2533266"/>
      <w:r>
        <w:rPr>
          <w:rFonts w:hint="eastAsia"/>
          <w:sz w:val="24"/>
          <w:szCs w:val="24"/>
        </w:rPr>
        <w:t>3.2主编单位简介</w:t>
      </w:r>
      <w:bookmarkEnd w:id="6"/>
    </w:p>
    <w:p>
      <w:pPr>
        <w:spacing w:after="100" w:afterAutospacing="1"/>
        <w:ind w:firstLine="600" w:firstLineChars="25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河南豫光锌业有限公司位于济水河畔</w:t>
      </w:r>
      <w:r>
        <w:rPr>
          <w:rFonts w:hint="eastAsia" w:cs="宋体" w:asciiTheme="minorEastAsia" w:hAnsiTheme="minorEastAsia" w:eastAsiaTheme="minorEastAsia"/>
          <w:sz w:val="24"/>
          <w:szCs w:val="24"/>
          <w:lang w:eastAsia="zh-CN"/>
        </w:rPr>
        <w:t>的</w:t>
      </w:r>
      <w:r>
        <w:rPr>
          <w:rFonts w:hint="eastAsia" w:cs="宋体" w:asciiTheme="minorEastAsia" w:hAnsiTheme="minorEastAsia" w:eastAsiaTheme="minorEastAsia"/>
          <w:sz w:val="24"/>
          <w:szCs w:val="24"/>
        </w:rPr>
        <w:t>愚公故里</w:t>
      </w:r>
      <w:r>
        <w:rPr>
          <w:rFonts w:hint="eastAsia" w:cs="宋体" w:asciiTheme="minorEastAsia" w:hAnsiTheme="minorEastAsia" w:eastAsiaTheme="minorEastAsia"/>
          <w:sz w:val="24"/>
          <w:szCs w:val="24"/>
          <w:lang w:eastAsia="zh-CN"/>
        </w:rPr>
        <w:t>，公司</w:t>
      </w:r>
      <w:r>
        <w:rPr>
          <w:rFonts w:hint="eastAsia" w:cs="宋体" w:asciiTheme="minorEastAsia" w:hAnsiTheme="minorEastAsia" w:eastAsiaTheme="minorEastAsia"/>
          <w:sz w:val="24"/>
          <w:szCs w:val="24"/>
        </w:rPr>
        <w:t>成立于2004年，是河南豫光金铅集团有限责任公司为调整产业结构、充分发挥铅锌互补的冶炼优势，最大限度进行资源综合利用，提高盈利能力和市场竞争能力而组建的控股子公司。公司是一家是以生产重有色金属、综合回收有价金属为主的综合性企业，已经形成锌锭25万吨、锌合金10万吨、精铟30吨、精镉1000吨、硫酸40万吨的年生产能力。2008年6月，豫光牌高纯锌在伦敦金属交易所(LME)注册成功,成为国内第7家、河南省首家在LME注册的高纯锌产品生产企业。秉承“绿色发展 共享未来” 的使命，确定“创行业标杆 建百年豫光” 的企业愿景，树立“共享成功共享生活”的核心价值观。强化精细管理，发展循环经济，锌湿法清洁冶炼及资源高效利用技术研究及装置开发、锌浸出渣无害化处理工艺等自主核心技术，引领行业方展方向。节能降耗成效显著，电锌总能耗、回转炉焦耗等多项指标均达到行业先进水平。公司引进、消化、吸收国内外先进质量管理方法，先后通过质量、环境、职业健康安全及ISO/TS16949管理体系认证，公司获得“国家级绿色工厂”、“有色金属工业质量管理小组活动优秀企业”、“河南省质量诚信AAA级企业”等称号。锌锭、硫酸分别荣获得“全国用户满意产品”、“有色金属产品实物质量金杯奖”、“河南省名牌产品”等多项荣誉。</w:t>
      </w:r>
    </w:p>
    <w:p>
      <w:pPr>
        <w:pStyle w:val="12"/>
        <w:spacing w:line="440" w:lineRule="exact"/>
        <w:ind w:left="-110" w:leftChars="-50" w:right="-110" w:rightChars="-50" w:firstLine="480" w:firstLineChars="200"/>
        <w:jc w:val="both"/>
        <w:rPr>
          <w:rFonts w:ascii="仿宋" w:hAnsi="仿宋" w:eastAsia="仿宋"/>
          <w:bCs/>
          <w:sz w:val="24"/>
        </w:rPr>
      </w:pPr>
      <w:r>
        <w:rPr>
          <w:rFonts w:hint="eastAsia" w:ascii="仿宋" w:hAnsi="仿宋" w:eastAsia="仿宋" w:cs="仿宋"/>
          <w:i w:val="0"/>
          <w:iCs w:val="0"/>
          <w:kern w:val="0"/>
          <w:sz w:val="24"/>
          <w:szCs w:val="24"/>
          <w:lang w:val="en-US" w:eastAsia="zh-CN" w:bidi="ar-SA"/>
        </w:rPr>
        <w:t>2018-2019年牵头海绵镉、海绵铜，副产硫酸铅和锌冶炼行业绿色工厂评价要求等四项行业标准，立项编号分别为：</w:t>
      </w:r>
      <w:r>
        <w:rPr>
          <w:rFonts w:hint="eastAsia" w:ascii="宋体" w:hAnsi="宋体" w:eastAsia="宋体" w:cs="Times New Roman"/>
          <w:b w:val="0"/>
          <w:kern w:val="2"/>
          <w:sz w:val="24"/>
          <w:szCs w:val="24"/>
          <w:lang w:val="en-US" w:eastAsia="zh-CN" w:bidi="ar-SA"/>
        </w:rPr>
        <w:t>2017-020</w:t>
      </w:r>
      <w:r>
        <w:rPr>
          <w:rFonts w:hint="eastAsia" w:cs="Times New Roman"/>
          <w:b w:val="0"/>
          <w:kern w:val="2"/>
          <w:sz w:val="24"/>
          <w:szCs w:val="24"/>
          <w:lang w:val="en-US" w:eastAsia="zh-CN" w:bidi="ar-SA"/>
        </w:rPr>
        <w:t>3</w:t>
      </w:r>
      <w:r>
        <w:rPr>
          <w:rFonts w:hint="eastAsia" w:ascii="宋体" w:hAnsi="宋体" w:eastAsia="宋体" w:cs="Times New Roman"/>
          <w:b w:val="0"/>
          <w:kern w:val="2"/>
          <w:sz w:val="24"/>
          <w:szCs w:val="24"/>
          <w:lang w:val="en-US" w:eastAsia="zh-CN" w:bidi="ar-SA"/>
        </w:rPr>
        <w:t>T-YS、2017-0204T-YS、</w:t>
      </w:r>
      <w:r>
        <w:rPr>
          <w:rFonts w:hint="eastAsia" w:ascii="宋体" w:hAnsi="宋体" w:eastAsia="宋体" w:cs="Times New Roman"/>
          <w:b w:val="0"/>
          <w:color w:val="auto"/>
          <w:kern w:val="2"/>
          <w:sz w:val="24"/>
          <w:szCs w:val="24"/>
          <w:lang w:val="en-US" w:eastAsia="zh-CN" w:bidi="ar-SA"/>
        </w:rPr>
        <w:t>2017-0</w:t>
      </w:r>
      <w:r>
        <w:rPr>
          <w:rFonts w:hint="eastAsia" w:cs="Times New Roman"/>
          <w:b w:val="0"/>
          <w:color w:val="auto"/>
          <w:kern w:val="2"/>
          <w:sz w:val="24"/>
          <w:szCs w:val="24"/>
          <w:lang w:val="en-US" w:eastAsia="zh-CN" w:bidi="ar-SA"/>
        </w:rPr>
        <w:t>194</w:t>
      </w:r>
      <w:r>
        <w:rPr>
          <w:rFonts w:hint="eastAsia" w:ascii="宋体" w:hAnsi="宋体" w:eastAsia="宋体" w:cs="Times New Roman"/>
          <w:b w:val="0"/>
          <w:color w:val="auto"/>
          <w:kern w:val="2"/>
          <w:sz w:val="24"/>
          <w:szCs w:val="24"/>
          <w:lang w:val="en-US" w:eastAsia="zh-CN" w:bidi="ar-SA"/>
        </w:rPr>
        <w:t>T-YS、</w:t>
      </w:r>
      <w:r>
        <w:rPr>
          <w:rFonts w:ascii="仿宋" w:hAnsi="仿宋" w:eastAsia="仿宋"/>
          <w:bCs/>
          <w:sz w:val="24"/>
        </w:rPr>
        <w:t>2018-2013T-YS</w:t>
      </w:r>
    </w:p>
    <w:p>
      <w:pPr>
        <w:pStyle w:val="3"/>
        <w:ind w:left="220"/>
        <w:rPr>
          <w:sz w:val="24"/>
          <w:szCs w:val="24"/>
        </w:rPr>
      </w:pPr>
      <w:bookmarkStart w:id="7" w:name="_Toc2533267"/>
      <w:r>
        <w:rPr>
          <w:rFonts w:hint="eastAsia"/>
        </w:rPr>
        <w:t>4.主要工作过程</w:t>
      </w:r>
      <w:bookmarkEnd w:id="7"/>
    </w:p>
    <w:p>
      <w:pPr>
        <w:spacing w:after="12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1)标准起草单位在接到中国有色金属工业协会下达的项目任务后，成立了专门的</w:t>
      </w:r>
      <w:r>
        <w:rPr>
          <w:rFonts w:asciiTheme="minorEastAsia" w:hAnsiTheme="minorEastAsia" w:eastAsiaTheme="minorEastAsia"/>
          <w:sz w:val="24"/>
          <w:szCs w:val="24"/>
        </w:rPr>
        <w:t>《</w:t>
      </w:r>
      <w:r>
        <w:rPr>
          <w:rFonts w:hint="eastAsia" w:asciiTheme="minorEastAsia" w:hAnsiTheme="minorEastAsia" w:eastAsiaTheme="minorEastAsia"/>
          <w:sz w:val="24"/>
          <w:szCs w:val="24"/>
        </w:rPr>
        <w:t>绿色设计产品评价技术规范-锌锭</w:t>
      </w:r>
      <w:r>
        <w:rPr>
          <w:rFonts w:asciiTheme="minorEastAsia" w:hAnsiTheme="minorEastAsia" w:eastAsiaTheme="minorEastAsia"/>
          <w:sz w:val="24"/>
          <w:szCs w:val="24"/>
        </w:rPr>
        <w:t>》</w:t>
      </w:r>
      <w:r>
        <w:rPr>
          <w:rFonts w:hint="eastAsia" w:asciiTheme="minorEastAsia" w:hAnsiTheme="minorEastAsia" w:eastAsiaTheme="minorEastAsia"/>
          <w:sz w:val="24"/>
          <w:szCs w:val="24"/>
        </w:rPr>
        <w:t>编制组，并制定了相关工作计划。根据工作计划进度安排，标准编制组查阅了国内外相关政策、标准、文献，认真学习了</w:t>
      </w:r>
      <w:r>
        <w:rPr>
          <w:rFonts w:asciiTheme="minorEastAsia" w:hAnsiTheme="minorEastAsia" w:eastAsiaTheme="minorEastAsia"/>
          <w:sz w:val="24"/>
          <w:szCs w:val="24"/>
        </w:rPr>
        <w:t>《</w:t>
      </w:r>
      <w:r>
        <w:rPr>
          <w:rFonts w:hint="eastAsia" w:asciiTheme="minorEastAsia" w:hAnsiTheme="minorEastAsia" w:eastAsiaTheme="minorEastAsia"/>
          <w:sz w:val="24"/>
          <w:szCs w:val="24"/>
        </w:rPr>
        <w:t>绿色设计产品评价技术规范</w:t>
      </w:r>
      <w:r>
        <w:rPr>
          <w:rFonts w:asciiTheme="minorEastAsia" w:hAnsiTheme="minorEastAsia" w:eastAsiaTheme="minorEastAsia"/>
          <w:sz w:val="24"/>
          <w:szCs w:val="24"/>
        </w:rPr>
        <w:t>》</w:t>
      </w:r>
      <w:r>
        <w:rPr>
          <w:rFonts w:hint="eastAsia" w:asciiTheme="minorEastAsia" w:hAnsiTheme="minorEastAsia" w:eastAsiaTheme="minorEastAsia"/>
          <w:sz w:val="24"/>
          <w:szCs w:val="24"/>
        </w:rPr>
        <w:t>编制原则和需要注意的内容。编制组对锌锭生产现状进行调研，调研方式主要有：资料调研、网上调研等，在调研工作的基础上，经逐步修改完善，形成</w:t>
      </w:r>
      <w:r>
        <w:rPr>
          <w:rFonts w:asciiTheme="minorEastAsia" w:hAnsiTheme="minorEastAsia" w:eastAsiaTheme="minorEastAsia"/>
          <w:sz w:val="24"/>
          <w:szCs w:val="24"/>
        </w:rPr>
        <w:t>《</w:t>
      </w:r>
      <w:r>
        <w:rPr>
          <w:rFonts w:hint="eastAsia" w:asciiTheme="minorEastAsia" w:hAnsiTheme="minorEastAsia" w:eastAsiaTheme="minorEastAsia"/>
          <w:sz w:val="24"/>
          <w:szCs w:val="24"/>
        </w:rPr>
        <w:t>绿色设计产品评价技术规范-锌锭</w:t>
      </w:r>
      <w:r>
        <w:rPr>
          <w:rFonts w:asciiTheme="minorEastAsia" w:hAnsiTheme="minorEastAsia" w:eastAsiaTheme="minorEastAsia"/>
          <w:sz w:val="24"/>
          <w:szCs w:val="24"/>
        </w:rPr>
        <w:t>》</w:t>
      </w:r>
      <w:r>
        <w:rPr>
          <w:rFonts w:hint="eastAsia" w:asciiTheme="minorEastAsia" w:hAnsiTheme="minorEastAsia" w:eastAsiaTheme="minorEastAsia"/>
          <w:sz w:val="24"/>
          <w:szCs w:val="24"/>
        </w:rPr>
        <w:t>讨论稿。</w:t>
      </w:r>
    </w:p>
    <w:p>
      <w:pPr>
        <w:spacing w:after="120"/>
        <w:ind w:firstLine="480" w:firstLineChars="200"/>
        <w:rPr>
          <w:rFonts w:hint="eastAsia" w:asciiTheme="minorEastAsia" w:hAnsiTheme="minorEastAsia" w:eastAsiaTheme="minorEastAsia"/>
          <w:sz w:val="24"/>
          <w:szCs w:val="24"/>
        </w:rPr>
      </w:pPr>
      <w:r>
        <w:rPr>
          <w:rFonts w:hint="eastAsia" w:ascii="宋体" w:hAnsi="宋体" w:eastAsia="宋体" w:cs="Times New Roman"/>
          <w:color w:val="000000"/>
          <w:sz w:val="24"/>
          <w:szCs w:val="24"/>
        </w:rPr>
        <w:t>2）201</w:t>
      </w:r>
      <w:r>
        <w:rPr>
          <w:rFonts w:ascii="宋体" w:hAnsi="宋体" w:eastAsia="宋体" w:cs="Times New Roman"/>
          <w:color w:val="000000"/>
          <w:sz w:val="24"/>
          <w:szCs w:val="24"/>
        </w:rPr>
        <w:t>9</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5</w:t>
      </w:r>
      <w:r>
        <w:rPr>
          <w:rFonts w:hint="eastAsia" w:ascii="宋体" w:hAnsi="宋体" w:eastAsia="宋体" w:cs="Times New Roman"/>
          <w:color w:val="000000"/>
          <w:sz w:val="24"/>
          <w:szCs w:val="24"/>
        </w:rPr>
        <w:t>月，集团公司邀请专</w:t>
      </w:r>
      <w:r>
        <w:rPr>
          <w:rFonts w:hint="eastAsia" w:asciiTheme="minorEastAsia" w:hAnsiTheme="minorEastAsia" w:eastAsiaTheme="minorEastAsia"/>
          <w:sz w:val="24"/>
          <w:szCs w:val="24"/>
        </w:rPr>
        <w:t>家在河南济源组织标准编写培训，对标准的基本框架进行了初步确定，对前期讨论稿进行了部分修改。</w:t>
      </w:r>
    </w:p>
    <w:p>
      <w:pPr>
        <w:spacing w:after="12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3）2019年5月15日至5月1</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日，根据全国有色金属标准化委员会[2018]39号文，在河南济源召开会议，会议对《绿色设计产品评价技术规范 锌锭》标准初稿进行了讨论和任务落实，对标准中涉及的关键技术指标进行了深入讨论。起草组根据专家意见对草案进行了修改和完善。（附：会议纪要）</w:t>
      </w:r>
    </w:p>
    <w:p>
      <w:pPr>
        <w:spacing w:after="120"/>
        <w:ind w:firstLine="480" w:firstLineChars="200"/>
        <w:rPr>
          <w:rFonts w:ascii="宋体" w:hAnsi="宋体" w:eastAsia="宋体" w:cs="Times New Roman"/>
          <w:color w:val="FFFFFF" w:themeColor="background1"/>
          <w:sz w:val="24"/>
          <w:szCs w:val="24"/>
          <w14:textFill>
            <w14:solidFill>
              <w14:schemeClr w14:val="bg1"/>
            </w14:solidFill>
          </w14:textFill>
        </w:rPr>
      </w:pPr>
      <w:r>
        <w:rPr>
          <w:rFonts w:hint="eastAsia" w:asciiTheme="minorEastAsia" w:hAnsiTheme="minorEastAsia" w:eastAsiaTheme="minorEastAsia"/>
          <w:sz w:val="24"/>
          <w:szCs w:val="24"/>
        </w:rPr>
        <w:t>4) 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年9月，</w:t>
      </w:r>
    </w:p>
    <w:p>
      <w:pPr>
        <w:pStyle w:val="3"/>
        <w:ind w:left="220"/>
        <w:rPr>
          <w:rFonts w:hint="eastAsia" w:ascii="Arial" w:hAnsi="Arial"/>
        </w:rPr>
      </w:pPr>
      <w:bookmarkStart w:id="8" w:name="_Toc2533268"/>
      <w:r>
        <w:rPr>
          <w:rFonts w:hint="eastAsia" w:ascii="Arial" w:hAnsi="Arial"/>
        </w:rPr>
        <w:t>5.标准的主要修改过程</w:t>
      </w:r>
      <w:bookmarkEnd w:id="8"/>
    </w:p>
    <w:p>
      <w:pPr>
        <w:spacing w:after="120"/>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本标准变动较大主要是锌锭产品指标要求，201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月在组织标准编写培训后，最初产品指标要求为：</w:t>
      </w:r>
    </w:p>
    <w:tbl>
      <w:tblPr>
        <w:tblStyle w:val="1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0"/>
        <w:gridCol w:w="2150"/>
        <w:gridCol w:w="928"/>
        <w:gridCol w:w="1064"/>
        <w:gridCol w:w="227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631" w:hRule="atLeast"/>
          <w:tblHeader/>
        </w:trPr>
        <w:tc>
          <w:tcPr>
            <w:tcW w:w="1000" w:type="dxa"/>
            <w:tcBorders>
              <w:top w:val="single" w:color="auto" w:sz="12" w:space="0"/>
              <w:left w:val="single" w:color="auto" w:sz="12" w:space="0"/>
            </w:tcBorders>
            <w:noWrap w:val="0"/>
            <w:vAlign w:val="center"/>
          </w:tcPr>
          <w:p>
            <w:pPr>
              <w:jc w:val="center"/>
              <w:rPr>
                <w:b/>
                <w:sz w:val="18"/>
                <w:szCs w:val="18"/>
              </w:rPr>
            </w:pPr>
            <w:r>
              <w:rPr>
                <w:rFonts w:hint="eastAsia"/>
                <w:b/>
                <w:sz w:val="18"/>
                <w:szCs w:val="18"/>
              </w:rPr>
              <w:t>一级指标</w:t>
            </w:r>
          </w:p>
        </w:tc>
        <w:tc>
          <w:tcPr>
            <w:tcW w:w="2150" w:type="dxa"/>
            <w:tcBorders>
              <w:top w:val="single" w:color="auto" w:sz="12" w:space="0"/>
            </w:tcBorders>
            <w:noWrap w:val="0"/>
            <w:vAlign w:val="center"/>
          </w:tcPr>
          <w:p>
            <w:pPr>
              <w:jc w:val="center"/>
              <w:rPr>
                <w:b/>
                <w:sz w:val="18"/>
                <w:szCs w:val="18"/>
              </w:rPr>
            </w:pPr>
            <w:r>
              <w:rPr>
                <w:rFonts w:hint="eastAsia"/>
                <w:b/>
                <w:sz w:val="18"/>
                <w:szCs w:val="18"/>
              </w:rPr>
              <w:t>二级指标</w:t>
            </w:r>
          </w:p>
        </w:tc>
        <w:tc>
          <w:tcPr>
            <w:tcW w:w="928" w:type="dxa"/>
            <w:tcBorders>
              <w:top w:val="single" w:color="auto" w:sz="12" w:space="0"/>
            </w:tcBorders>
            <w:noWrap w:val="0"/>
            <w:vAlign w:val="center"/>
          </w:tcPr>
          <w:p>
            <w:pPr>
              <w:jc w:val="center"/>
              <w:rPr>
                <w:b/>
                <w:sz w:val="18"/>
                <w:szCs w:val="18"/>
              </w:rPr>
            </w:pPr>
            <w:r>
              <w:rPr>
                <w:rFonts w:hint="eastAsia"/>
                <w:b/>
                <w:sz w:val="18"/>
                <w:szCs w:val="18"/>
              </w:rPr>
              <w:t>单位</w:t>
            </w:r>
          </w:p>
        </w:tc>
        <w:tc>
          <w:tcPr>
            <w:tcW w:w="1064" w:type="dxa"/>
            <w:tcBorders>
              <w:top w:val="single" w:color="auto" w:sz="12" w:space="0"/>
            </w:tcBorders>
            <w:noWrap w:val="0"/>
            <w:vAlign w:val="center"/>
          </w:tcPr>
          <w:p>
            <w:pPr>
              <w:jc w:val="center"/>
              <w:rPr>
                <w:b/>
                <w:sz w:val="18"/>
                <w:szCs w:val="18"/>
              </w:rPr>
            </w:pPr>
            <w:r>
              <w:rPr>
                <w:rFonts w:hint="eastAsia"/>
                <w:b/>
                <w:sz w:val="18"/>
                <w:szCs w:val="18"/>
              </w:rPr>
              <w:t>基准值</w:t>
            </w:r>
          </w:p>
        </w:tc>
        <w:tc>
          <w:tcPr>
            <w:tcW w:w="2274" w:type="dxa"/>
            <w:tcBorders>
              <w:top w:val="single" w:color="auto" w:sz="12" w:space="0"/>
            </w:tcBorders>
            <w:noWrap w:val="0"/>
            <w:vAlign w:val="center"/>
          </w:tcPr>
          <w:p>
            <w:pPr>
              <w:jc w:val="center"/>
              <w:rPr>
                <w:b/>
                <w:sz w:val="18"/>
                <w:szCs w:val="18"/>
              </w:rPr>
            </w:pPr>
            <w:r>
              <w:rPr>
                <w:rFonts w:hint="eastAsia"/>
                <w:b/>
                <w:sz w:val="18"/>
                <w:szCs w:val="18"/>
              </w:rPr>
              <w:t>判定依据</w:t>
            </w:r>
          </w:p>
        </w:tc>
        <w:tc>
          <w:tcPr>
            <w:tcW w:w="1004" w:type="dxa"/>
            <w:tcBorders>
              <w:top w:val="single" w:color="auto" w:sz="12" w:space="0"/>
              <w:right w:val="single" w:color="auto" w:sz="12" w:space="0"/>
            </w:tcBorders>
            <w:noWrap w:val="0"/>
            <w:vAlign w:val="center"/>
          </w:tcPr>
          <w:p>
            <w:pPr>
              <w:jc w:val="center"/>
              <w:rPr>
                <w:b/>
                <w:sz w:val="18"/>
                <w:szCs w:val="18"/>
              </w:rPr>
            </w:pPr>
            <w:r>
              <w:rPr>
                <w:rFonts w:hint="eastAsia"/>
                <w:b/>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00" w:type="dxa"/>
            <w:vMerge w:val="restart"/>
            <w:tcBorders>
              <w:left w:val="single" w:color="auto" w:sz="12" w:space="0"/>
            </w:tcBorders>
            <w:noWrap w:val="0"/>
            <w:vAlign w:val="center"/>
          </w:tcPr>
          <w:p>
            <w:pPr>
              <w:ind w:firstLine="90" w:firstLineChars="50"/>
              <w:rPr>
                <w:b/>
                <w:sz w:val="18"/>
                <w:szCs w:val="18"/>
              </w:rPr>
            </w:pPr>
            <w:r>
              <w:rPr>
                <w:rFonts w:hint="eastAsia"/>
                <w:b/>
                <w:sz w:val="18"/>
                <w:szCs w:val="18"/>
              </w:rPr>
              <w:t>资源</w:t>
            </w:r>
            <w:r>
              <w:rPr>
                <w:rFonts w:hint="eastAsia" w:ascii="微软雅黑" w:hAnsi="微软雅黑"/>
                <w:sz w:val="18"/>
                <w:szCs w:val="18"/>
              </w:rPr>
              <w:t>属性</w:t>
            </w:r>
          </w:p>
        </w:tc>
        <w:tc>
          <w:tcPr>
            <w:tcW w:w="2150" w:type="dxa"/>
            <w:noWrap w:val="0"/>
            <w:vAlign w:val="center"/>
          </w:tcPr>
          <w:p>
            <w:pPr>
              <w:rPr>
                <w:rFonts w:hint="eastAsia" w:ascii="微软雅黑" w:hAnsi="微软雅黑"/>
                <w:sz w:val="18"/>
                <w:szCs w:val="18"/>
              </w:rPr>
            </w:pPr>
            <w:r>
              <w:rPr>
                <w:rFonts w:hint="eastAsia" w:ascii="微软雅黑" w:hAnsi="微软雅黑"/>
                <w:sz w:val="18"/>
                <w:szCs w:val="18"/>
              </w:rPr>
              <w:t>锌总回收率</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≥97.5%</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00" w:type="dxa"/>
            <w:vMerge w:val="continue"/>
            <w:tcBorders>
              <w:left w:val="single" w:color="auto" w:sz="12" w:space="0"/>
            </w:tcBorders>
            <w:noWrap w:val="0"/>
            <w:vAlign w:val="center"/>
          </w:tcPr>
          <w:p>
            <w:pPr>
              <w:rPr>
                <w:b/>
                <w:sz w:val="18"/>
                <w:szCs w:val="18"/>
              </w:rPr>
            </w:pPr>
          </w:p>
        </w:tc>
        <w:tc>
          <w:tcPr>
            <w:tcW w:w="2150" w:type="dxa"/>
            <w:noWrap w:val="0"/>
            <w:vAlign w:val="center"/>
          </w:tcPr>
          <w:p>
            <w:pPr>
              <w:rPr>
                <w:rFonts w:hint="eastAsia" w:ascii="微软雅黑" w:hAnsi="微软雅黑"/>
                <w:sz w:val="18"/>
                <w:szCs w:val="18"/>
              </w:rPr>
            </w:pPr>
            <w:r>
              <w:rPr>
                <w:rFonts w:hint="eastAsia" w:ascii="微软雅黑" w:hAnsi="微软雅黑"/>
                <w:sz w:val="18"/>
                <w:szCs w:val="18"/>
              </w:rPr>
              <w:t>硫利用率</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≥96.5%</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00" w:type="dxa"/>
            <w:vMerge w:val="continue"/>
            <w:tcBorders>
              <w:left w:val="single" w:color="auto" w:sz="12" w:space="0"/>
            </w:tcBorders>
            <w:noWrap w:val="0"/>
            <w:vAlign w:val="center"/>
          </w:tcPr>
          <w:p>
            <w:pPr>
              <w:rPr>
                <w:sz w:val="18"/>
                <w:szCs w:val="18"/>
              </w:rPr>
            </w:pPr>
          </w:p>
        </w:tc>
        <w:tc>
          <w:tcPr>
            <w:tcW w:w="2150"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锌精矿成分</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lang w:val="de-DE"/>
              </w:rPr>
              <w:t>YS/T</w:t>
            </w:r>
            <w:r>
              <w:rPr>
                <w:rFonts w:hint="eastAsia" w:ascii="微软雅黑" w:hAnsi="微软雅黑"/>
                <w:sz w:val="18"/>
                <w:szCs w:val="18"/>
              </w:rPr>
              <w:t xml:space="preserve"> 320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YS/T320 ，分析检验结果</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00" w:type="dxa"/>
            <w:vMerge w:val="continue"/>
            <w:tcBorders>
              <w:left w:val="single" w:color="auto" w:sz="12" w:space="0"/>
            </w:tcBorders>
            <w:noWrap w:val="0"/>
            <w:vAlign w:val="center"/>
          </w:tcPr>
          <w:p>
            <w:pPr>
              <w:rPr>
                <w:sz w:val="18"/>
                <w:szCs w:val="18"/>
              </w:rPr>
            </w:pPr>
          </w:p>
        </w:tc>
        <w:tc>
          <w:tcPr>
            <w:tcW w:w="2150" w:type="dxa"/>
            <w:noWrap w:val="0"/>
            <w:vAlign w:val="center"/>
          </w:tcPr>
          <w:p>
            <w:pPr>
              <w:rPr>
                <w:rFonts w:hint="eastAsia" w:ascii="微软雅黑" w:hAnsi="微软雅黑"/>
                <w:sz w:val="18"/>
                <w:szCs w:val="18"/>
              </w:rPr>
            </w:pPr>
            <w:r>
              <w:rPr>
                <w:rFonts w:hint="eastAsia" w:ascii="微软雅黑" w:hAnsi="微软雅黑"/>
                <w:sz w:val="18"/>
                <w:szCs w:val="18"/>
              </w:rPr>
              <w:t>水循环利用率</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≥97</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00" w:type="dxa"/>
            <w:vMerge w:val="restart"/>
            <w:tcBorders>
              <w:left w:val="single" w:color="auto" w:sz="12" w:space="0"/>
            </w:tcBorders>
            <w:noWrap w:val="0"/>
            <w:vAlign w:val="center"/>
          </w:tcPr>
          <w:p>
            <w:pPr>
              <w:rPr>
                <w:b/>
                <w:sz w:val="18"/>
                <w:szCs w:val="18"/>
              </w:rPr>
            </w:pPr>
            <w:r>
              <w:rPr>
                <w:rFonts w:hint="eastAsia"/>
                <w:b/>
                <w:sz w:val="18"/>
                <w:szCs w:val="18"/>
              </w:rPr>
              <w:t>能源属性</w:t>
            </w:r>
          </w:p>
        </w:tc>
        <w:tc>
          <w:tcPr>
            <w:tcW w:w="2150" w:type="dxa"/>
            <w:noWrap w:val="0"/>
            <w:vAlign w:val="center"/>
          </w:tcPr>
          <w:p>
            <w:pPr>
              <w:ind w:firstLine="90" w:firstLineChars="50"/>
              <w:rPr>
                <w:rFonts w:hint="eastAsia" w:ascii="微软雅黑" w:hAnsi="微软雅黑" w:eastAsia="微软雅黑"/>
                <w:sz w:val="18"/>
                <w:szCs w:val="18"/>
                <w:lang w:eastAsia="zh-CN"/>
              </w:rPr>
            </w:pPr>
            <w:r>
              <w:rPr>
                <w:rFonts w:hint="eastAsia" w:ascii="微软雅黑" w:hAnsi="微软雅黑"/>
                <w:sz w:val="18"/>
                <w:szCs w:val="18"/>
              </w:rPr>
              <w:t>火法炼锌 精馏锌 （精矿-精馏锌）</w:t>
            </w:r>
            <w:r>
              <w:rPr>
                <w:rFonts w:hint="eastAsia" w:ascii="微软雅黑" w:hAnsi="微软雅黑"/>
                <w:sz w:val="18"/>
                <w:szCs w:val="18"/>
                <w:lang w:eastAsia="zh-CN"/>
              </w:rPr>
              <w:t>综合能耗</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≤1850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GB 21249先进值</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00" w:type="dxa"/>
            <w:vMerge w:val="continue"/>
            <w:tcBorders>
              <w:left w:val="single" w:color="auto" w:sz="12" w:space="0"/>
            </w:tcBorders>
            <w:noWrap w:val="0"/>
            <w:vAlign w:val="center"/>
          </w:tcPr>
          <w:p>
            <w:pPr>
              <w:rPr>
                <w:rFonts w:hint="eastAsia"/>
                <w:b/>
                <w:sz w:val="18"/>
                <w:szCs w:val="18"/>
              </w:rPr>
            </w:pPr>
          </w:p>
        </w:tc>
        <w:tc>
          <w:tcPr>
            <w:tcW w:w="2150" w:type="dxa"/>
            <w:noWrap w:val="0"/>
            <w:vAlign w:val="center"/>
          </w:tcPr>
          <w:p>
            <w:pPr>
              <w:ind w:firstLine="90" w:firstLineChars="50"/>
              <w:rPr>
                <w:rFonts w:ascii="微软雅黑" w:hAnsi="微软雅黑"/>
                <w:sz w:val="18"/>
                <w:szCs w:val="18"/>
              </w:rPr>
            </w:pPr>
            <w:r>
              <w:rPr>
                <w:rFonts w:hint="eastAsia" w:ascii="微软雅黑" w:hAnsi="微软雅黑"/>
                <w:sz w:val="18"/>
                <w:szCs w:val="18"/>
              </w:rPr>
              <w:t>湿法炼锌 电锌锌锭（有浸出渣火法处理工艺）（精矿-电锌锌锭）</w:t>
            </w:r>
            <w:r>
              <w:rPr>
                <w:rFonts w:hint="eastAsia" w:ascii="微软雅黑" w:hAnsi="微软雅黑"/>
                <w:sz w:val="18"/>
                <w:szCs w:val="18"/>
                <w:lang w:eastAsia="zh-CN"/>
              </w:rPr>
              <w:t>综合能耗</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064" w:type="dxa"/>
            <w:noWrap w:val="0"/>
            <w:vAlign w:val="center"/>
          </w:tcPr>
          <w:p>
            <w:pPr>
              <w:ind w:firstLine="90" w:firstLineChars="50"/>
              <w:rPr>
                <w:rFonts w:ascii="微软雅黑" w:hAnsi="微软雅黑"/>
                <w:sz w:val="18"/>
                <w:szCs w:val="18"/>
              </w:rPr>
            </w:pPr>
            <w:r>
              <w:rPr>
                <w:rFonts w:hint="eastAsia" w:ascii="微软雅黑" w:hAnsi="微软雅黑"/>
                <w:sz w:val="18"/>
                <w:szCs w:val="18"/>
              </w:rPr>
              <w:t>≤1150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GB 21249先进值</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00" w:type="dxa"/>
            <w:vMerge w:val="continue"/>
            <w:tcBorders>
              <w:left w:val="single" w:color="auto" w:sz="12" w:space="0"/>
            </w:tcBorders>
            <w:noWrap w:val="0"/>
            <w:vAlign w:val="center"/>
          </w:tcPr>
          <w:p>
            <w:pPr>
              <w:rPr>
                <w:rFonts w:hint="eastAsia"/>
                <w:b/>
                <w:sz w:val="18"/>
                <w:szCs w:val="18"/>
              </w:rPr>
            </w:pPr>
          </w:p>
        </w:tc>
        <w:tc>
          <w:tcPr>
            <w:tcW w:w="2150" w:type="dxa"/>
            <w:noWrap w:val="0"/>
            <w:vAlign w:val="center"/>
          </w:tcPr>
          <w:p>
            <w:pPr>
              <w:ind w:firstLine="90" w:firstLineChars="50"/>
              <w:rPr>
                <w:rFonts w:ascii="微软雅黑" w:hAnsi="微软雅黑"/>
                <w:sz w:val="18"/>
                <w:szCs w:val="18"/>
              </w:rPr>
            </w:pPr>
            <w:r>
              <w:rPr>
                <w:rFonts w:hint="eastAsia" w:ascii="微软雅黑" w:hAnsi="微软雅黑"/>
                <w:sz w:val="18"/>
                <w:szCs w:val="18"/>
              </w:rPr>
              <w:t>湿法炼锌 电锌锌锭（无浸出渣火法处理工艺）（精矿-电锌锌锭）</w:t>
            </w:r>
            <w:r>
              <w:rPr>
                <w:rFonts w:hint="eastAsia" w:ascii="微软雅黑" w:hAnsi="微软雅黑"/>
                <w:sz w:val="18"/>
                <w:szCs w:val="18"/>
                <w:lang w:eastAsia="zh-CN"/>
              </w:rPr>
              <w:t>综合能耗</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064" w:type="dxa"/>
            <w:noWrap w:val="0"/>
            <w:vAlign w:val="center"/>
          </w:tcPr>
          <w:p>
            <w:pPr>
              <w:ind w:firstLine="90" w:firstLineChars="50"/>
              <w:rPr>
                <w:rFonts w:ascii="微软雅黑" w:hAnsi="微软雅黑"/>
                <w:sz w:val="18"/>
                <w:szCs w:val="18"/>
              </w:rPr>
            </w:pPr>
            <w:r>
              <w:rPr>
                <w:rFonts w:hint="eastAsia" w:ascii="微软雅黑" w:hAnsi="微软雅黑"/>
                <w:sz w:val="18"/>
                <w:szCs w:val="18"/>
              </w:rPr>
              <w:t>≤850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GB 21249先进值</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00" w:type="dxa"/>
            <w:vMerge w:val="continue"/>
            <w:tcBorders>
              <w:left w:val="single" w:color="auto" w:sz="12" w:space="0"/>
            </w:tcBorders>
            <w:noWrap w:val="0"/>
            <w:vAlign w:val="center"/>
          </w:tcPr>
          <w:p>
            <w:pPr>
              <w:rPr>
                <w:rFonts w:hint="eastAsia"/>
                <w:b/>
                <w:sz w:val="18"/>
                <w:szCs w:val="18"/>
              </w:rPr>
            </w:pPr>
          </w:p>
        </w:tc>
        <w:tc>
          <w:tcPr>
            <w:tcW w:w="2150"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湿法炼锌 电锌锌锭（氧化锌-电锌锌锭）</w:t>
            </w:r>
            <w:r>
              <w:rPr>
                <w:rFonts w:hint="eastAsia" w:ascii="微软雅黑" w:hAnsi="微软雅黑"/>
                <w:sz w:val="18"/>
                <w:szCs w:val="18"/>
                <w:lang w:eastAsia="zh-CN"/>
              </w:rPr>
              <w:t>综合能耗</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064" w:type="dxa"/>
            <w:noWrap w:val="0"/>
            <w:vAlign w:val="center"/>
          </w:tcPr>
          <w:p>
            <w:pPr>
              <w:ind w:firstLine="90" w:firstLineChars="50"/>
              <w:rPr>
                <w:rFonts w:ascii="微软雅黑" w:hAnsi="微软雅黑"/>
                <w:sz w:val="18"/>
                <w:szCs w:val="18"/>
              </w:rPr>
            </w:pPr>
            <w:r>
              <w:rPr>
                <w:rFonts w:hint="eastAsia" w:ascii="微软雅黑" w:hAnsi="微软雅黑"/>
                <w:sz w:val="18"/>
                <w:szCs w:val="18"/>
              </w:rPr>
              <w:t>≤850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GB 21249先进值</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00" w:type="dxa"/>
            <w:vMerge w:val="restart"/>
            <w:tcBorders>
              <w:left w:val="single" w:color="auto" w:sz="12" w:space="0"/>
            </w:tcBorders>
            <w:noWrap w:val="0"/>
            <w:vAlign w:val="center"/>
          </w:tcPr>
          <w:p>
            <w:pPr>
              <w:rPr>
                <w:b/>
                <w:sz w:val="18"/>
                <w:szCs w:val="18"/>
              </w:rPr>
            </w:pPr>
            <w:r>
              <w:rPr>
                <w:rFonts w:hint="eastAsia"/>
                <w:b/>
                <w:sz w:val="18"/>
                <w:szCs w:val="18"/>
              </w:rPr>
              <w:t>环境属性</w:t>
            </w:r>
          </w:p>
        </w:tc>
        <w:tc>
          <w:tcPr>
            <w:tcW w:w="2150" w:type="dxa"/>
            <w:noWrap w:val="0"/>
            <w:vAlign w:val="center"/>
          </w:tcPr>
          <w:p>
            <w:pPr>
              <w:rPr>
                <w:rFonts w:hint="eastAsia" w:ascii="微软雅黑" w:hAnsi="微软雅黑"/>
                <w:sz w:val="18"/>
                <w:szCs w:val="18"/>
              </w:rPr>
            </w:pPr>
            <w:r>
              <w:rPr>
                <w:rFonts w:hint="eastAsia" w:ascii="微软雅黑" w:hAnsi="微软雅黑"/>
                <w:sz w:val="18"/>
                <w:szCs w:val="18"/>
              </w:rPr>
              <w:t>水污染物排放浓度限值</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mg/L</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新建企业排放限值</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00" w:type="dxa"/>
            <w:vMerge w:val="continue"/>
            <w:tcBorders>
              <w:left w:val="single" w:color="auto" w:sz="12" w:space="0"/>
            </w:tcBorders>
            <w:noWrap w:val="0"/>
            <w:vAlign w:val="center"/>
          </w:tcPr>
          <w:p>
            <w:pPr>
              <w:rPr>
                <w:b/>
                <w:sz w:val="18"/>
                <w:szCs w:val="18"/>
              </w:rPr>
            </w:pPr>
          </w:p>
        </w:tc>
        <w:tc>
          <w:tcPr>
            <w:tcW w:w="2150" w:type="dxa"/>
            <w:noWrap w:val="0"/>
            <w:vAlign w:val="center"/>
          </w:tcPr>
          <w:p>
            <w:pPr>
              <w:rPr>
                <w:rFonts w:hint="eastAsia" w:ascii="微软雅黑" w:hAnsi="微软雅黑"/>
                <w:sz w:val="18"/>
                <w:szCs w:val="18"/>
              </w:rPr>
            </w:pPr>
            <w:r>
              <w:rPr>
                <w:rFonts w:hint="eastAsia" w:ascii="微软雅黑" w:hAnsi="微软雅黑"/>
                <w:sz w:val="18"/>
                <w:szCs w:val="18"/>
              </w:rPr>
              <w:t>大气污染物排放浓度限值</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mg/m3</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大气污染物特别排放限值</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000" w:type="dxa"/>
            <w:vMerge w:val="continue"/>
            <w:tcBorders>
              <w:left w:val="single" w:color="auto" w:sz="12" w:space="0"/>
            </w:tcBorders>
            <w:noWrap w:val="0"/>
            <w:vAlign w:val="center"/>
          </w:tcPr>
          <w:p>
            <w:pPr>
              <w:rPr>
                <w:color w:val="000000"/>
                <w:sz w:val="18"/>
                <w:szCs w:val="18"/>
              </w:rPr>
            </w:pPr>
          </w:p>
        </w:tc>
        <w:tc>
          <w:tcPr>
            <w:tcW w:w="2150"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单位产品基准排水量</w:t>
            </w:r>
          </w:p>
        </w:tc>
        <w:tc>
          <w:tcPr>
            <w:tcW w:w="928"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m3/t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≤10</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04" w:type="dxa"/>
            <w:tcBorders>
              <w:right w:val="single" w:color="auto" w:sz="12" w:space="0"/>
            </w:tcBorders>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000" w:type="dxa"/>
            <w:tcBorders>
              <w:left w:val="single" w:color="auto" w:sz="12" w:space="0"/>
            </w:tcBorders>
            <w:noWrap w:val="0"/>
            <w:vAlign w:val="center"/>
          </w:tcPr>
          <w:p>
            <w:pPr>
              <w:rPr>
                <w:b/>
                <w:color w:val="000000"/>
                <w:sz w:val="18"/>
                <w:szCs w:val="18"/>
              </w:rPr>
            </w:pPr>
            <w:r>
              <w:rPr>
                <w:rFonts w:hint="eastAsia"/>
                <w:b/>
                <w:color w:val="000000"/>
                <w:sz w:val="18"/>
                <w:szCs w:val="18"/>
              </w:rPr>
              <w:t>产品属性</w:t>
            </w:r>
          </w:p>
        </w:tc>
        <w:tc>
          <w:tcPr>
            <w:tcW w:w="2150" w:type="dxa"/>
            <w:noWrap w:val="0"/>
            <w:vAlign w:val="center"/>
          </w:tcPr>
          <w:p>
            <w:pPr>
              <w:rPr>
                <w:rFonts w:ascii="宋体" w:hAnsi="宋体"/>
                <w:color w:val="000000"/>
                <w:sz w:val="18"/>
                <w:szCs w:val="18"/>
              </w:rPr>
            </w:pPr>
            <w:r>
              <w:rPr>
                <w:rFonts w:ascii="宋体" w:hAnsi="宋体"/>
                <w:color w:val="000000"/>
                <w:sz w:val="18"/>
                <w:szCs w:val="18"/>
              </w:rPr>
              <w:t>产品质量</w:t>
            </w:r>
          </w:p>
        </w:tc>
        <w:tc>
          <w:tcPr>
            <w:tcW w:w="928" w:type="dxa"/>
            <w:noWrap w:val="0"/>
            <w:vAlign w:val="center"/>
          </w:tcPr>
          <w:p>
            <w:pPr>
              <w:rPr>
                <w:rFonts w:ascii="宋体" w:hAnsi="宋体"/>
                <w:color w:val="000000"/>
                <w:sz w:val="18"/>
                <w:szCs w:val="18"/>
              </w:rPr>
            </w:pPr>
            <w:r>
              <w:rPr>
                <w:rFonts w:hint="eastAsia" w:ascii="宋体" w:hAnsi="宋体"/>
                <w:color w:val="000000"/>
                <w:sz w:val="18"/>
                <w:szCs w:val="18"/>
              </w:rPr>
              <w:t>--</w:t>
            </w:r>
          </w:p>
        </w:tc>
        <w:tc>
          <w:tcPr>
            <w:tcW w:w="106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2274" w:type="dxa"/>
            <w:noWrap w:val="0"/>
            <w:vAlign w:val="center"/>
          </w:tcPr>
          <w:p>
            <w:pPr>
              <w:ind w:firstLine="90" w:firstLineChars="50"/>
              <w:rPr>
                <w:rFonts w:hint="eastAsia" w:ascii="微软雅黑" w:hAnsi="微软雅黑"/>
                <w:sz w:val="18"/>
                <w:szCs w:val="18"/>
              </w:rPr>
            </w:pPr>
            <w:r>
              <w:rPr>
                <w:rFonts w:hint="eastAsia" w:ascii="微软雅黑" w:hAnsi="微软雅黑"/>
                <w:sz w:val="18"/>
                <w:szCs w:val="18"/>
              </w:rPr>
              <w:t>GB/T 470《锌锭》</w:t>
            </w:r>
          </w:p>
        </w:tc>
        <w:tc>
          <w:tcPr>
            <w:tcW w:w="1004" w:type="dxa"/>
            <w:tcBorders>
              <w:right w:val="single" w:color="auto" w:sz="12" w:space="0"/>
            </w:tcBorders>
            <w:noWrap w:val="0"/>
            <w:vAlign w:val="center"/>
          </w:tcPr>
          <w:p>
            <w:pPr>
              <w:ind w:firstLine="90" w:firstLineChars="50"/>
              <w:rPr>
                <w:color w:val="000000"/>
                <w:sz w:val="18"/>
                <w:szCs w:val="18"/>
              </w:rPr>
            </w:pPr>
            <w:r>
              <w:rPr>
                <w:rFonts w:hint="eastAsia"/>
                <w:color w:val="000000"/>
                <w:sz w:val="18"/>
                <w:szCs w:val="18"/>
              </w:rPr>
              <w:t>产品使用</w:t>
            </w:r>
          </w:p>
        </w:tc>
      </w:tr>
    </w:tbl>
    <w:p>
      <w:pPr>
        <w:spacing w:after="120"/>
        <w:ind w:firstLine="480" w:firstLineChars="200"/>
        <w:rPr>
          <w:rFonts w:hint="eastAsia" w:asciiTheme="minorEastAsia" w:hAnsiTheme="minorEastAsia" w:eastAsiaTheme="minorEastAsia"/>
          <w:sz w:val="24"/>
          <w:szCs w:val="24"/>
        </w:rPr>
      </w:pPr>
    </w:p>
    <w:p>
      <w:pPr>
        <w:spacing w:after="120"/>
        <w:ind w:firstLine="480" w:firstLineChars="200"/>
        <w:rPr>
          <w:rFonts w:hint="eastAsia" w:asciiTheme="minorEastAsia" w:hAnsiTheme="minorEastAsia" w:eastAsiaTheme="minorEastAsia"/>
          <w:sz w:val="24"/>
          <w:szCs w:val="24"/>
        </w:rPr>
      </w:pPr>
    </w:p>
    <w:p>
      <w:pPr>
        <w:spacing w:after="0" w:line="240" w:lineRule="exact"/>
        <w:ind w:firstLine="360" w:firstLineChars="150"/>
        <w:rPr>
          <w:rFonts w:asciiTheme="minorEastAsia" w:hAnsiTheme="minorEastAsia" w:eastAsiaTheme="minorEastAsia"/>
          <w:color w:val="000000" w:themeColor="text1"/>
          <w:sz w:val="24"/>
          <w:szCs w:val="24"/>
          <w14:textFill>
            <w14:solidFill>
              <w14:schemeClr w14:val="tx1"/>
            </w14:solidFill>
          </w14:textFill>
        </w:rPr>
      </w:pPr>
    </w:p>
    <w:p>
      <w:pPr>
        <w:spacing w:after="0"/>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201</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olor w:val="000000" w:themeColor="text1"/>
          <w:sz w:val="24"/>
          <w:szCs w:val="24"/>
          <w14:textFill>
            <w14:solidFill>
              <w14:schemeClr w14:val="tx1"/>
            </w14:solidFill>
          </w14:textFill>
        </w:rPr>
        <w:t>年</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月参加全国有色金属标准化委员会组织的会议，会议要求:</w:t>
      </w:r>
    </w:p>
    <w:p>
      <w:pPr>
        <w:spacing w:after="0"/>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p>
    <w:p>
      <w:pPr>
        <w:spacing w:after="0"/>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按会议要求，评价的要求为行业的先进水平，不是平均水平，</w:t>
      </w:r>
      <w:r>
        <w:rPr>
          <w:rFonts w:hint="eastAsia" w:ascii="宋体" w:hAnsi="宋体" w:eastAsia="宋体" w:cs="Times New Roman"/>
          <w:color w:val="000000" w:themeColor="text1"/>
          <w:sz w:val="24"/>
          <w:szCs w:val="24"/>
          <w:lang w:eastAsia="zh-CN"/>
          <w14:textFill>
            <w14:solidFill>
              <w14:schemeClr w14:val="tx1"/>
            </w14:solidFill>
          </w14:textFill>
        </w:rPr>
        <w:t>锌</w:t>
      </w:r>
      <w:r>
        <w:rPr>
          <w:rFonts w:hint="eastAsia" w:ascii="宋体" w:hAnsi="宋体" w:eastAsia="宋体" w:cs="Times New Roman"/>
          <w:color w:val="000000" w:themeColor="text1"/>
          <w:sz w:val="24"/>
          <w:szCs w:val="24"/>
          <w14:textFill>
            <w14:solidFill>
              <w14:schemeClr w14:val="tx1"/>
            </w14:solidFill>
          </w14:textFill>
        </w:rPr>
        <w:t>冶炼综合回收率由97%变化为97.5%，</w:t>
      </w:r>
      <w:r>
        <w:rPr>
          <w:rFonts w:hint="eastAsia" w:asciiTheme="minorEastAsia" w:hAnsiTheme="minorEastAsia" w:eastAsiaTheme="minorEastAsia"/>
          <w:color w:val="000000" w:themeColor="text1"/>
          <w:sz w:val="24"/>
          <w:szCs w:val="24"/>
          <w14:textFill>
            <w14:solidFill>
              <w14:schemeClr w14:val="tx1"/>
            </w14:solidFill>
          </w14:textFill>
        </w:rPr>
        <w:t>第一轮修订为：</w:t>
      </w:r>
    </w:p>
    <w:tbl>
      <w:tblPr>
        <w:tblStyle w:val="13"/>
        <w:tblW w:w="9005"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70"/>
        <w:gridCol w:w="2299"/>
        <w:gridCol w:w="992"/>
        <w:gridCol w:w="1138"/>
        <w:gridCol w:w="2432"/>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631" w:hRule="atLeast"/>
          <w:tblHeader/>
        </w:trPr>
        <w:tc>
          <w:tcPr>
            <w:tcW w:w="1070" w:type="dxa"/>
            <w:tcBorders>
              <w:top w:val="single" w:color="auto" w:sz="12" w:space="0"/>
              <w:left w:val="single" w:color="auto" w:sz="12" w:space="0"/>
            </w:tcBorders>
            <w:vAlign w:val="center"/>
          </w:tcPr>
          <w:p>
            <w:pPr>
              <w:jc w:val="center"/>
              <w:rPr>
                <w:b/>
                <w:sz w:val="18"/>
                <w:szCs w:val="18"/>
              </w:rPr>
            </w:pPr>
            <w:r>
              <w:rPr>
                <w:rFonts w:hint="eastAsia"/>
                <w:b/>
                <w:sz w:val="18"/>
                <w:szCs w:val="18"/>
              </w:rPr>
              <w:t>一级指标</w:t>
            </w:r>
          </w:p>
        </w:tc>
        <w:tc>
          <w:tcPr>
            <w:tcW w:w="2299" w:type="dxa"/>
            <w:tcBorders>
              <w:top w:val="single" w:color="auto" w:sz="12" w:space="0"/>
            </w:tcBorders>
            <w:vAlign w:val="center"/>
          </w:tcPr>
          <w:p>
            <w:pPr>
              <w:jc w:val="center"/>
              <w:rPr>
                <w:b/>
                <w:sz w:val="18"/>
                <w:szCs w:val="18"/>
              </w:rPr>
            </w:pPr>
            <w:r>
              <w:rPr>
                <w:rFonts w:hint="eastAsia"/>
                <w:b/>
                <w:sz w:val="18"/>
                <w:szCs w:val="18"/>
              </w:rPr>
              <w:t>二级指标</w:t>
            </w:r>
          </w:p>
        </w:tc>
        <w:tc>
          <w:tcPr>
            <w:tcW w:w="992" w:type="dxa"/>
            <w:tcBorders>
              <w:top w:val="single" w:color="auto" w:sz="12" w:space="0"/>
            </w:tcBorders>
            <w:vAlign w:val="center"/>
          </w:tcPr>
          <w:p>
            <w:pPr>
              <w:jc w:val="center"/>
              <w:rPr>
                <w:b/>
                <w:sz w:val="18"/>
                <w:szCs w:val="18"/>
              </w:rPr>
            </w:pPr>
            <w:r>
              <w:rPr>
                <w:rFonts w:hint="eastAsia"/>
                <w:b/>
                <w:sz w:val="18"/>
                <w:szCs w:val="18"/>
              </w:rPr>
              <w:t>单位</w:t>
            </w:r>
          </w:p>
        </w:tc>
        <w:tc>
          <w:tcPr>
            <w:tcW w:w="1138" w:type="dxa"/>
            <w:tcBorders>
              <w:top w:val="single" w:color="auto" w:sz="12" w:space="0"/>
            </w:tcBorders>
            <w:vAlign w:val="center"/>
          </w:tcPr>
          <w:p>
            <w:pPr>
              <w:jc w:val="center"/>
              <w:rPr>
                <w:b/>
                <w:sz w:val="18"/>
                <w:szCs w:val="18"/>
              </w:rPr>
            </w:pPr>
            <w:r>
              <w:rPr>
                <w:rFonts w:hint="eastAsia"/>
                <w:b/>
                <w:sz w:val="18"/>
                <w:szCs w:val="18"/>
              </w:rPr>
              <w:t>基准值</w:t>
            </w:r>
          </w:p>
        </w:tc>
        <w:tc>
          <w:tcPr>
            <w:tcW w:w="2432" w:type="dxa"/>
            <w:tcBorders>
              <w:top w:val="single" w:color="auto" w:sz="12" w:space="0"/>
            </w:tcBorders>
            <w:vAlign w:val="center"/>
          </w:tcPr>
          <w:p>
            <w:pPr>
              <w:jc w:val="center"/>
              <w:rPr>
                <w:b/>
                <w:sz w:val="18"/>
                <w:szCs w:val="18"/>
              </w:rPr>
            </w:pPr>
            <w:r>
              <w:rPr>
                <w:rFonts w:hint="eastAsia"/>
                <w:b/>
                <w:sz w:val="18"/>
                <w:szCs w:val="18"/>
              </w:rPr>
              <w:t>判定依据</w:t>
            </w:r>
          </w:p>
        </w:tc>
        <w:tc>
          <w:tcPr>
            <w:tcW w:w="1074" w:type="dxa"/>
            <w:tcBorders>
              <w:top w:val="single" w:color="auto" w:sz="12" w:space="0"/>
              <w:right w:val="single" w:color="auto" w:sz="12" w:space="0"/>
            </w:tcBorders>
            <w:vAlign w:val="center"/>
          </w:tcPr>
          <w:p>
            <w:pPr>
              <w:jc w:val="center"/>
              <w:rPr>
                <w:b/>
                <w:sz w:val="18"/>
                <w:szCs w:val="18"/>
              </w:rPr>
            </w:pPr>
            <w:r>
              <w:rPr>
                <w:rFonts w:hint="eastAsia"/>
                <w:b/>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70" w:type="dxa"/>
            <w:vMerge w:val="restart"/>
            <w:tcBorders>
              <w:left w:val="single" w:color="auto" w:sz="12" w:space="0"/>
            </w:tcBorders>
            <w:vAlign w:val="center"/>
          </w:tcPr>
          <w:p>
            <w:pPr>
              <w:ind w:firstLine="90" w:firstLineChars="50"/>
              <w:rPr>
                <w:b/>
                <w:sz w:val="18"/>
                <w:szCs w:val="18"/>
              </w:rPr>
            </w:pPr>
            <w:r>
              <w:rPr>
                <w:rFonts w:hint="eastAsia"/>
                <w:b/>
                <w:sz w:val="18"/>
                <w:szCs w:val="18"/>
              </w:rPr>
              <w:t>资源</w:t>
            </w:r>
            <w:r>
              <w:rPr>
                <w:rFonts w:hint="eastAsia" w:ascii="微软雅黑" w:hAnsi="微软雅黑"/>
                <w:sz w:val="18"/>
                <w:szCs w:val="18"/>
              </w:rPr>
              <w:t>属性</w:t>
            </w:r>
          </w:p>
        </w:tc>
        <w:tc>
          <w:tcPr>
            <w:tcW w:w="2299" w:type="dxa"/>
            <w:vAlign w:val="center"/>
          </w:tcPr>
          <w:p>
            <w:pPr>
              <w:rPr>
                <w:rFonts w:hint="eastAsia" w:ascii="微软雅黑" w:hAnsi="微软雅黑"/>
                <w:sz w:val="18"/>
                <w:szCs w:val="18"/>
              </w:rPr>
            </w:pPr>
            <w:r>
              <w:rPr>
                <w:rFonts w:hint="eastAsia" w:ascii="微软雅黑" w:hAnsi="微软雅黑"/>
                <w:sz w:val="18"/>
                <w:szCs w:val="18"/>
              </w:rPr>
              <w:t>锌总回收率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bookmarkStart w:id="26" w:name="_GoBack"/>
            <w:bookmarkEnd w:id="26"/>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70" w:type="dxa"/>
            <w:vMerge w:val="continue"/>
            <w:tcBorders>
              <w:left w:val="single" w:color="auto" w:sz="12" w:space="0"/>
            </w:tcBorders>
            <w:vAlign w:val="center"/>
          </w:tcPr>
          <w:p>
            <w:pPr>
              <w:rPr>
                <w:b/>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硫利用率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70" w:type="dxa"/>
            <w:vMerge w:val="continue"/>
            <w:tcBorders>
              <w:left w:val="single" w:color="auto" w:sz="12" w:space="0"/>
            </w:tcBorders>
            <w:vAlign w:val="center"/>
          </w:tcPr>
          <w:p>
            <w:pPr>
              <w:rPr>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锌精矿成分</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70" w:type="dxa"/>
            <w:vMerge w:val="continue"/>
            <w:tcBorders>
              <w:left w:val="single" w:color="auto" w:sz="12" w:space="0"/>
            </w:tcBorders>
            <w:vAlign w:val="center"/>
          </w:tcPr>
          <w:p>
            <w:pPr>
              <w:rPr>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水循环利用率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70" w:type="dxa"/>
            <w:tcBorders>
              <w:left w:val="single" w:color="auto" w:sz="12" w:space="0"/>
            </w:tcBorders>
            <w:vAlign w:val="center"/>
          </w:tcPr>
          <w:p>
            <w:pPr>
              <w:rPr>
                <w:b/>
                <w:sz w:val="18"/>
                <w:szCs w:val="18"/>
              </w:rPr>
            </w:pPr>
            <w:r>
              <w:rPr>
                <w:rFonts w:hint="eastAsia"/>
                <w:b/>
                <w:sz w:val="18"/>
                <w:szCs w:val="18"/>
              </w:rPr>
              <w:t>能源属性</w:t>
            </w:r>
          </w:p>
        </w:tc>
        <w:tc>
          <w:tcPr>
            <w:tcW w:w="2299" w:type="dxa"/>
            <w:vAlign w:val="center"/>
          </w:tcPr>
          <w:p>
            <w:pPr>
              <w:ind w:firstLine="90" w:firstLineChars="50"/>
              <w:rPr>
                <w:rFonts w:hint="eastAsia" w:ascii="微软雅黑" w:hAnsi="微软雅黑" w:eastAsia="微软雅黑"/>
                <w:sz w:val="18"/>
                <w:szCs w:val="18"/>
                <w:lang w:eastAsia="zh-CN"/>
              </w:rPr>
            </w:pPr>
            <w:r>
              <w:rPr>
                <w:rFonts w:hint="eastAsia" w:ascii="微软雅黑" w:hAnsi="微软雅黑"/>
                <w:sz w:val="18"/>
                <w:szCs w:val="18"/>
                <w:lang w:eastAsia="zh-CN"/>
              </w:rPr>
              <w:t>综合能耗</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70" w:type="dxa"/>
            <w:vMerge w:val="restart"/>
            <w:tcBorders>
              <w:left w:val="single" w:color="auto" w:sz="12" w:space="0"/>
            </w:tcBorders>
            <w:vAlign w:val="center"/>
          </w:tcPr>
          <w:p>
            <w:pPr>
              <w:rPr>
                <w:b/>
                <w:sz w:val="18"/>
                <w:szCs w:val="18"/>
              </w:rPr>
            </w:pPr>
            <w:r>
              <w:rPr>
                <w:rFonts w:hint="eastAsia"/>
                <w:b/>
                <w:sz w:val="18"/>
                <w:szCs w:val="18"/>
              </w:rPr>
              <w:t>环境属性</w:t>
            </w:r>
          </w:p>
        </w:tc>
        <w:tc>
          <w:tcPr>
            <w:tcW w:w="2299" w:type="dxa"/>
            <w:vAlign w:val="center"/>
          </w:tcPr>
          <w:p>
            <w:pPr>
              <w:rPr>
                <w:rFonts w:hint="eastAsia" w:ascii="微软雅黑" w:hAnsi="微软雅黑"/>
                <w:sz w:val="18"/>
                <w:szCs w:val="18"/>
              </w:rPr>
            </w:pPr>
            <w:r>
              <w:rPr>
                <w:rFonts w:hint="eastAsia" w:ascii="微软雅黑" w:hAnsi="微软雅黑"/>
                <w:sz w:val="18"/>
                <w:szCs w:val="18"/>
              </w:rPr>
              <w:t>水污染物排放浓度限值</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mg/L</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70" w:type="dxa"/>
            <w:vMerge w:val="continue"/>
            <w:tcBorders>
              <w:left w:val="single" w:color="auto" w:sz="12" w:space="0"/>
            </w:tcBorders>
            <w:vAlign w:val="center"/>
          </w:tcPr>
          <w:p>
            <w:pPr>
              <w:rPr>
                <w:b/>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大气污染物排放浓度限值</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mg/m3</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070" w:type="dxa"/>
            <w:vMerge w:val="continue"/>
            <w:tcBorders>
              <w:left w:val="single" w:color="auto" w:sz="12" w:space="0"/>
            </w:tcBorders>
            <w:vAlign w:val="center"/>
          </w:tcPr>
          <w:p>
            <w:pPr>
              <w:rPr>
                <w:color w:val="000000"/>
                <w:sz w:val="18"/>
                <w:szCs w:val="18"/>
              </w:rPr>
            </w:pPr>
          </w:p>
        </w:tc>
        <w:tc>
          <w:tcPr>
            <w:tcW w:w="2299" w:type="dxa"/>
            <w:vAlign w:val="center"/>
          </w:tcPr>
          <w:p>
            <w:pPr>
              <w:ind w:firstLine="90" w:firstLineChars="50"/>
              <w:rPr>
                <w:rFonts w:hint="eastAsia" w:ascii="微软雅黑" w:hAnsi="微软雅黑"/>
                <w:sz w:val="18"/>
                <w:szCs w:val="18"/>
              </w:rPr>
            </w:pPr>
            <w:r>
              <w:rPr>
                <w:rFonts w:hint="eastAsia" w:ascii="微软雅黑" w:hAnsi="微软雅黑"/>
                <w:sz w:val="18"/>
                <w:szCs w:val="18"/>
              </w:rPr>
              <w:t>单位产品基准排水量</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m3/t</w:t>
            </w:r>
          </w:p>
        </w:tc>
        <w:tc>
          <w:tcPr>
            <w:tcW w:w="1138" w:type="dxa"/>
            <w:vAlign w:val="center"/>
          </w:tcPr>
          <w:p>
            <w:pPr>
              <w:ind w:firstLine="90" w:firstLineChars="50"/>
              <w:rPr>
                <w:rFonts w:hint="eastAsia" w:ascii="微软雅黑" w:hAnsi="微软雅黑"/>
                <w:sz w:val="18"/>
                <w:szCs w:val="18"/>
              </w:rPr>
            </w:pPr>
          </w:p>
        </w:tc>
        <w:tc>
          <w:tcPr>
            <w:tcW w:w="2432" w:type="dxa"/>
            <w:vAlign w:val="center"/>
          </w:tcPr>
          <w:p>
            <w:pPr>
              <w:ind w:firstLine="90" w:firstLineChars="50"/>
              <w:rPr>
                <w:rFonts w:hint="eastAsia" w:ascii="微软雅黑" w:hAnsi="微软雅黑"/>
                <w:sz w:val="18"/>
                <w:szCs w:val="18"/>
              </w:rPr>
            </w:pPr>
          </w:p>
        </w:tc>
        <w:tc>
          <w:tcPr>
            <w:tcW w:w="1074" w:type="dxa"/>
            <w:tcBorders>
              <w:right w:val="single" w:color="auto" w:sz="12" w:space="0"/>
            </w:tcBorders>
            <w:vAlign w:val="center"/>
          </w:tcPr>
          <w:p>
            <w:pPr>
              <w:ind w:firstLine="90" w:firstLineChars="50"/>
              <w:rPr>
                <w:rFonts w:hint="eastAsia" w:ascii="微软雅黑" w:hAnsi="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070" w:type="dxa"/>
            <w:tcBorders>
              <w:left w:val="single" w:color="auto" w:sz="12" w:space="0"/>
            </w:tcBorders>
            <w:vAlign w:val="center"/>
          </w:tcPr>
          <w:p>
            <w:pPr>
              <w:rPr>
                <w:b/>
                <w:color w:val="000000"/>
                <w:sz w:val="18"/>
                <w:szCs w:val="18"/>
              </w:rPr>
            </w:pPr>
            <w:r>
              <w:rPr>
                <w:rFonts w:hint="eastAsia"/>
                <w:b/>
                <w:color w:val="000000"/>
                <w:sz w:val="18"/>
                <w:szCs w:val="18"/>
              </w:rPr>
              <w:t>产品属性</w:t>
            </w:r>
          </w:p>
        </w:tc>
        <w:tc>
          <w:tcPr>
            <w:tcW w:w="2299" w:type="dxa"/>
            <w:vAlign w:val="center"/>
          </w:tcPr>
          <w:p>
            <w:pPr>
              <w:rPr>
                <w:rFonts w:ascii="宋体" w:hAnsi="宋体"/>
                <w:color w:val="000000"/>
                <w:sz w:val="18"/>
                <w:szCs w:val="18"/>
              </w:rPr>
            </w:pPr>
            <w:r>
              <w:rPr>
                <w:rFonts w:ascii="宋体" w:hAnsi="宋体"/>
                <w:color w:val="000000"/>
                <w:sz w:val="18"/>
                <w:szCs w:val="18"/>
              </w:rPr>
              <w:t>产品质量</w:t>
            </w:r>
          </w:p>
        </w:tc>
        <w:tc>
          <w:tcPr>
            <w:tcW w:w="992" w:type="dxa"/>
            <w:vAlign w:val="center"/>
          </w:tcPr>
          <w:p>
            <w:pPr>
              <w:rPr>
                <w:rFonts w:ascii="宋体" w:hAnsi="宋体"/>
                <w:color w:val="000000"/>
                <w:sz w:val="18"/>
                <w:szCs w:val="18"/>
              </w:rPr>
            </w:pPr>
            <w:r>
              <w:rPr>
                <w:rFonts w:hint="eastAsia" w:ascii="宋体" w:hAnsi="宋体"/>
                <w:color w:val="000000"/>
                <w:sz w:val="18"/>
                <w:szCs w:val="18"/>
              </w:rPr>
              <w:t>--</w:t>
            </w:r>
          </w:p>
        </w:tc>
        <w:tc>
          <w:tcPr>
            <w:tcW w:w="1138" w:type="dxa"/>
            <w:vAlign w:val="center"/>
          </w:tcPr>
          <w:p>
            <w:pPr>
              <w:rPr>
                <w:rFonts w:ascii="宋体" w:hAnsi="宋体"/>
                <w:color w:val="000000"/>
                <w:sz w:val="18"/>
                <w:szCs w:val="18"/>
              </w:rPr>
            </w:pPr>
          </w:p>
        </w:tc>
        <w:tc>
          <w:tcPr>
            <w:tcW w:w="2432" w:type="dxa"/>
            <w:vAlign w:val="center"/>
          </w:tcPr>
          <w:p>
            <w:pPr>
              <w:rPr>
                <w:rFonts w:hint="eastAsia" w:ascii="宋体" w:hAnsi="宋体"/>
                <w:color w:val="000000"/>
                <w:sz w:val="18"/>
                <w:szCs w:val="18"/>
              </w:rPr>
            </w:pPr>
          </w:p>
        </w:tc>
        <w:tc>
          <w:tcPr>
            <w:tcW w:w="1074" w:type="dxa"/>
            <w:tcBorders>
              <w:right w:val="single" w:color="auto" w:sz="12" w:space="0"/>
            </w:tcBorders>
            <w:vAlign w:val="center"/>
          </w:tcPr>
          <w:p>
            <w:pPr>
              <w:ind w:firstLine="90" w:firstLineChars="50"/>
              <w:rPr>
                <w:color w:val="000000"/>
                <w:sz w:val="18"/>
                <w:szCs w:val="18"/>
              </w:rPr>
            </w:pPr>
          </w:p>
        </w:tc>
      </w:tr>
    </w:tbl>
    <w:p>
      <w:pPr>
        <w:spacing w:after="0"/>
        <w:ind w:firstLine="480" w:firstLineChars="200"/>
        <w:rPr>
          <w:rFonts w:hint="eastAsia" w:asciiTheme="minorEastAsia" w:hAnsiTheme="minorEastAsia" w:eastAsiaTheme="minorEastAsia"/>
          <w:color w:val="0000FF"/>
          <w:sz w:val="24"/>
          <w:szCs w:val="24"/>
        </w:rPr>
      </w:pPr>
    </w:p>
    <w:p>
      <w:pPr>
        <w:spacing w:after="0"/>
        <w:ind w:firstLine="480" w:firstLineChars="200"/>
        <w:rPr>
          <w:rFonts w:hint="eastAsia" w:asciiTheme="minorEastAsia" w:hAnsiTheme="minorEastAsia" w:eastAsiaTheme="minorEastAsia"/>
          <w:color w:val="0000FF"/>
          <w:sz w:val="24"/>
          <w:szCs w:val="24"/>
        </w:rPr>
      </w:pPr>
    </w:p>
    <w:p>
      <w:pPr>
        <w:pStyle w:val="2"/>
      </w:pPr>
      <w:bookmarkStart w:id="9" w:name="_Toc2533269"/>
      <w:r>
        <w:rPr>
          <w:rFonts w:hint="eastAsia"/>
        </w:rPr>
        <w:t>二、标准编制原则和确定标准主要内容</w:t>
      </w:r>
      <w:bookmarkEnd w:id="9"/>
    </w:p>
    <w:p>
      <w:pPr>
        <w:pStyle w:val="3"/>
        <w:ind w:left="220"/>
      </w:pPr>
      <w:bookmarkStart w:id="10" w:name="_Toc2533270"/>
      <w:r>
        <w:rPr>
          <w:rFonts w:hint="eastAsia"/>
        </w:rPr>
        <w:t>1.编制原则</w:t>
      </w:r>
      <w:bookmarkEnd w:id="10"/>
    </w:p>
    <w:p>
      <w:pPr>
        <w:pStyle w:val="4"/>
        <w:ind w:left="220"/>
        <w:rPr>
          <w:sz w:val="24"/>
          <w:szCs w:val="24"/>
        </w:rPr>
      </w:pPr>
      <w:bookmarkStart w:id="11" w:name="_Toc2533271"/>
      <w:r>
        <w:rPr>
          <w:rFonts w:hint="eastAsia"/>
          <w:sz w:val="24"/>
          <w:szCs w:val="24"/>
        </w:rPr>
        <w:t>1.1 指标选取的原则</w:t>
      </w:r>
      <w:bookmarkEnd w:id="11"/>
    </w:p>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从原材料获取、产品生产、包装等生命周期阶段出发，重点分析产品在不同阶段的资源能源消耗、生态环境影响及人体健康安全影响因素，选取能够表征该类产品主要绿色特性并能量化和可检测验证的指标构成绿色产品评价指标体系。</w:t>
      </w:r>
    </w:p>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产品绿色性能的提升不应牺牲产品的质量性能，产品质量、安全或其他一些强制性标准作为绿色产品评价的基础。</w:t>
      </w:r>
    </w:p>
    <w:p>
      <w:pPr>
        <w:pStyle w:val="4"/>
        <w:ind w:left="220"/>
        <w:rPr>
          <w:sz w:val="24"/>
          <w:szCs w:val="24"/>
        </w:rPr>
      </w:pPr>
      <w:bookmarkStart w:id="12" w:name="_Toc2533272"/>
      <w:r>
        <w:rPr>
          <w:rFonts w:hint="eastAsia"/>
          <w:sz w:val="24"/>
          <w:szCs w:val="24"/>
        </w:rPr>
        <w:t>1.2 生命周期评价与指标评价相结合的原则</w:t>
      </w:r>
      <w:bookmarkEnd w:id="12"/>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pPr>
        <w:pStyle w:val="4"/>
        <w:ind w:left="220"/>
        <w:rPr>
          <w:sz w:val="24"/>
          <w:szCs w:val="24"/>
        </w:rPr>
      </w:pPr>
      <w:bookmarkStart w:id="13" w:name="_Toc2533273"/>
      <w:r>
        <w:rPr>
          <w:rFonts w:hint="eastAsia"/>
          <w:sz w:val="24"/>
          <w:szCs w:val="24"/>
        </w:rPr>
        <w:t>1.3 环境影响种类最优选取原则</w:t>
      </w:r>
      <w:bookmarkEnd w:id="13"/>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根据锌锭产品特点，选取具有影响大、社会关注度高、关键法律或政策明确要求的环境影响种类，在资源消耗、气候变化、酸化、富营养化、光化学烟雾五方面对锌锭进行绿色评价。</w:t>
      </w:r>
    </w:p>
    <w:p>
      <w:pPr>
        <w:pStyle w:val="4"/>
        <w:ind w:left="220"/>
        <w:rPr>
          <w:sz w:val="24"/>
          <w:szCs w:val="24"/>
        </w:rPr>
      </w:pPr>
      <w:bookmarkStart w:id="14" w:name="_Toc2533274"/>
      <w:r>
        <w:rPr>
          <w:rFonts w:hint="eastAsia"/>
          <w:sz w:val="24"/>
          <w:szCs w:val="24"/>
        </w:rPr>
        <w:t>1.4持续改进原则</w:t>
      </w:r>
      <w:bookmarkEnd w:id="14"/>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指标具有一定的实效性。随着生产设备的改善、工艺的革新和技术的发展，原有的标准指标将难以起到促进企业加强管理和技术改造的作用。因此标准需要随着时间的推移和技术进步进行相应的调整和修订。</w:t>
      </w:r>
    </w:p>
    <w:p>
      <w:pPr>
        <w:pStyle w:val="3"/>
        <w:ind w:left="220"/>
      </w:pPr>
      <w:bookmarkStart w:id="15" w:name="_Toc2533275"/>
      <w:r>
        <w:rPr>
          <w:rFonts w:hint="eastAsia"/>
        </w:rPr>
        <w:t>2.标准主要内容</w:t>
      </w:r>
      <w:bookmarkEnd w:id="15"/>
    </w:p>
    <w:p>
      <w:pPr>
        <w:pStyle w:val="4"/>
        <w:ind w:left="220"/>
        <w:rPr>
          <w:rFonts w:ascii="微软雅黑" w:hAnsi="微软雅黑"/>
          <w:sz w:val="24"/>
          <w:szCs w:val="24"/>
        </w:rPr>
      </w:pPr>
      <w:bookmarkStart w:id="16" w:name="_Toc2533276"/>
      <w:r>
        <w:rPr>
          <w:rFonts w:hint="eastAsia" w:ascii="微软雅黑" w:hAnsi="微软雅黑"/>
          <w:sz w:val="24"/>
          <w:szCs w:val="24"/>
        </w:rPr>
        <w:t>2.1研究方法</w:t>
      </w:r>
      <w:bookmarkEnd w:id="16"/>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按照《绿色设计产品评价技术规范-锌锭》中“4.1基本要求”和“4.2评价指标要求”开展自我评价或第三方评价，绿色设计产品同时满足以下条件，按照相关程序要求经过公示无异议后的可称为绿色设计产品。</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1）满足基本要求和评价指标要求；</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Style w:val="30"/>
          <w:rFonts w:hint="default" w:hAnsi="Times New Roman"/>
          <w:color w:val="000000"/>
          <w:sz w:val="24"/>
        </w:rPr>
        <w:t>提供经过评审的产品生命周期评价报告</w:t>
      </w:r>
      <w:r>
        <w:rPr>
          <w:rFonts w:hint="eastAsia" w:asciiTheme="minorEastAsia" w:hAnsiTheme="minorEastAsia" w:eastAsiaTheme="minorEastAsia"/>
          <w:sz w:val="24"/>
          <w:szCs w:val="24"/>
        </w:rPr>
        <w:t>。</w:t>
      </w:r>
    </w:p>
    <w:p>
      <w:pPr>
        <w:pStyle w:val="4"/>
        <w:ind w:left="220"/>
        <w:rPr>
          <w:sz w:val="24"/>
          <w:szCs w:val="24"/>
        </w:rPr>
      </w:pPr>
      <w:bookmarkStart w:id="17" w:name="_Toc2533277"/>
      <w:r>
        <w:rPr>
          <w:rFonts w:hint="eastAsia"/>
          <w:sz w:val="24"/>
          <w:szCs w:val="24"/>
        </w:rPr>
        <w:t>2.2评价流程</w:t>
      </w:r>
      <w:bookmarkEnd w:id="17"/>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根据锌锭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p>
    <w:p>
      <w:pPr>
        <w:ind w:left="220"/>
        <w:rPr>
          <w:color w:val="000000"/>
          <w:szCs w:val="21"/>
        </w:rPr>
      </w:pPr>
      <w:r>
        <w:drawing>
          <wp:inline distT="0" distB="0" distL="0" distR="0">
            <wp:extent cx="5274310" cy="40532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4053809"/>
                    </a:xfrm>
                    <a:prstGeom prst="rect">
                      <a:avLst/>
                    </a:prstGeom>
                    <a:noFill/>
                    <a:ln>
                      <a:noFill/>
                    </a:ln>
                  </pic:spPr>
                </pic:pic>
              </a:graphicData>
            </a:graphic>
          </wp:inline>
        </w:drawing>
      </w:r>
    </w:p>
    <w:p>
      <w:pPr>
        <w:jc w:val="center"/>
        <w:rPr>
          <w:rFonts w:ascii="黑体" w:eastAsia="黑体"/>
          <w:color w:val="000000"/>
          <w:szCs w:val="21"/>
        </w:rPr>
      </w:pPr>
      <w:r>
        <w:rPr>
          <w:rFonts w:hint="eastAsia" w:ascii="黑体" w:eastAsia="黑体"/>
          <w:color w:val="000000"/>
          <w:szCs w:val="21"/>
        </w:rPr>
        <w:t>图</w:t>
      </w:r>
      <w:r>
        <w:rPr>
          <w:rFonts w:ascii="黑体" w:eastAsia="黑体"/>
          <w:color w:val="000000"/>
          <w:szCs w:val="21"/>
        </w:rPr>
        <w:t xml:space="preserve">1  </w:t>
      </w:r>
      <w:r>
        <w:rPr>
          <w:rFonts w:hint="eastAsia" w:ascii="黑体" w:eastAsia="黑体"/>
          <w:color w:val="000000"/>
          <w:szCs w:val="21"/>
        </w:rPr>
        <w:t>锌锭绿色设计产品评价流程</w:t>
      </w:r>
    </w:p>
    <w:p>
      <w:pPr>
        <w:pStyle w:val="2"/>
      </w:pPr>
      <w:bookmarkStart w:id="18" w:name="_Toc2533278"/>
      <w:r>
        <w:rPr>
          <w:rFonts w:hint="eastAsia"/>
        </w:rPr>
        <w:t>三、标准主要内容的确定依据</w:t>
      </w:r>
      <w:bookmarkEnd w:id="18"/>
    </w:p>
    <w:p>
      <w:pPr>
        <w:pStyle w:val="3"/>
        <w:ind w:left="220"/>
      </w:pPr>
      <w:bookmarkStart w:id="19" w:name="_Toc2533279"/>
      <w:r>
        <w:rPr>
          <w:rFonts w:hint="eastAsia"/>
        </w:rPr>
        <w:t>1</w:t>
      </w:r>
      <w:r>
        <w:rPr>
          <w:rFonts w:hint="eastAsia"/>
          <w:szCs w:val="28"/>
        </w:rPr>
        <w:t>.</w:t>
      </w:r>
      <w:r>
        <w:rPr>
          <w:rFonts w:hint="eastAsia"/>
        </w:rPr>
        <w:t>标准引用文件</w:t>
      </w:r>
      <w:bookmarkEnd w:id="19"/>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下列文件对于本文件的应用是必不可少的。凡是注日期的引用文件，仅注日期的版本适用于本文件。凡是不注日期的引用文件，其最新版本（包括所有的修改单）适用于本文件。</w:t>
      </w:r>
    </w:p>
    <w:tbl>
      <w:tblPr>
        <w:tblStyle w:val="13"/>
        <w:tblW w:w="7779" w:type="dxa"/>
        <w:tblInd w:w="550" w:type="dxa"/>
        <w:tblLayout w:type="fixed"/>
        <w:tblCellMar>
          <w:top w:w="0" w:type="dxa"/>
          <w:left w:w="108" w:type="dxa"/>
          <w:bottom w:w="0" w:type="dxa"/>
          <w:right w:w="108" w:type="dxa"/>
        </w:tblCellMar>
      </w:tblPr>
      <w:tblGrid>
        <w:gridCol w:w="3101"/>
        <w:gridCol w:w="4678"/>
      </w:tblGrid>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 xml:space="preserve">GB/T </w:t>
            </w:r>
            <w:r>
              <w:rPr>
                <w:rFonts w:hint="eastAsia" w:ascii="宋体" w:hAnsi="宋体" w:eastAsia="宋体" w:cs="Times New Roman"/>
                <w:kern w:val="2"/>
                <w:sz w:val="21"/>
                <w:szCs w:val="21"/>
              </w:rPr>
              <w:t>470</w:t>
            </w:r>
          </w:p>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 xml:space="preserve">GB/T </w:t>
            </w:r>
            <w:r>
              <w:rPr>
                <w:rFonts w:hint="eastAsia" w:ascii="宋体" w:hAnsi="宋体" w:eastAsia="宋体" w:cs="Times New Roman"/>
                <w:kern w:val="2"/>
                <w:sz w:val="21"/>
                <w:szCs w:val="21"/>
              </w:rPr>
              <w:t>815</w:t>
            </w:r>
            <w:r>
              <w:rPr>
                <w:rFonts w:ascii="宋体" w:hAnsi="宋体" w:eastAsia="宋体" w:cs="Times New Roman"/>
                <w:kern w:val="2"/>
                <w:sz w:val="21"/>
                <w:szCs w:val="21"/>
              </w:rPr>
              <w:t>1</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锌锭</w:t>
            </w:r>
          </w:p>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锌精矿化学分析方法</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GB/T 12689</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锌及锌合金化学分析方法</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   17167</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用能单位能源计量器具配比和管理通则</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   18597</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危险废物贮存污染控制标准</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   18599</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一般工业固体废物贮存、处置场污染控制标准</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GB/T 19001</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质量管理体系</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要求</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GB</w:t>
            </w:r>
            <w:r>
              <w:rPr>
                <w:rFonts w:hint="eastAsia" w:ascii="宋体" w:hAnsi="宋体" w:eastAsia="宋体" w:cs="Times New Roman"/>
                <w:kern w:val="2"/>
                <w:sz w:val="21"/>
                <w:szCs w:val="21"/>
              </w:rPr>
              <w:t>/T</w:t>
            </w:r>
            <w:r>
              <w:rPr>
                <w:rFonts w:ascii="宋体" w:hAnsi="宋体" w:eastAsia="宋体" w:cs="Times New Roman"/>
                <w:kern w:val="2"/>
                <w:sz w:val="21"/>
                <w:szCs w:val="21"/>
              </w:rPr>
              <w:t xml:space="preserve"> 20424</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重金属精矿产品中有害元素的限量规范</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 xml:space="preserve">GB   </w:t>
            </w:r>
            <w:r>
              <w:rPr>
                <w:rFonts w:hint="eastAsia" w:ascii="宋体" w:hAnsi="宋体" w:eastAsia="宋体" w:cs="Times New Roman"/>
                <w:kern w:val="2"/>
                <w:sz w:val="21"/>
                <w:szCs w:val="21"/>
              </w:rPr>
              <w:t>21249</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锌冶炼企业单位产品能源消耗限额</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 xml:space="preserve">GB/T </w:t>
            </w:r>
            <w:r>
              <w:rPr>
                <w:rFonts w:hint="eastAsia" w:ascii="宋体" w:hAnsi="宋体" w:eastAsia="宋体" w:cs="Times New Roman"/>
                <w:kern w:val="2"/>
                <w:sz w:val="21"/>
                <w:szCs w:val="21"/>
              </w:rPr>
              <w:t>23331</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能源管理体系 要求</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GB/T 24001</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环境管理体系</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要求及使用指南</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GB/T 24040</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环境管理</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生命周期评价</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原则与框架</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GB/T 24044</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环境管理</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生命周期评价</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要求与指南</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 xml:space="preserve">GB </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25466</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铅、锌工业污染物排放标准</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GB/T 25973</w:t>
            </w:r>
          </w:p>
          <w:p>
            <w:pPr>
              <w:widowControl w:val="0"/>
              <w:adjustRightInd/>
              <w:snapToGrid/>
              <w:spacing w:after="0" w:line="276" w:lineRule="auto"/>
              <w:rPr>
                <w:rFonts w:hint="eastAsia" w:ascii="宋体" w:hAnsi="宋体" w:eastAsia="宋体" w:cs="Times New Roman"/>
                <w:kern w:val="2"/>
                <w:sz w:val="21"/>
                <w:szCs w:val="21"/>
              </w:rPr>
            </w:pPr>
            <w:r>
              <w:rPr>
                <w:rFonts w:ascii="宋体" w:hAnsi="宋体" w:eastAsia="宋体" w:cs="Times New Roman"/>
                <w:kern w:val="2"/>
                <w:sz w:val="21"/>
                <w:szCs w:val="21"/>
              </w:rPr>
              <w:t>GB/T 26042</w:t>
            </w:r>
          </w:p>
        </w:tc>
        <w:tc>
          <w:tcPr>
            <w:tcW w:w="4678" w:type="dxa"/>
          </w:tcPr>
          <w:p>
            <w:pPr>
              <w:widowControl w:val="0"/>
              <w:adjustRightInd/>
              <w:snapToGrid/>
              <w:spacing w:after="0" w:line="276" w:lineRule="auto"/>
              <w:rPr>
                <w:rFonts w:ascii="宋体" w:hAnsi="宋体" w:eastAsia="宋体" w:cs="宋体"/>
                <w:sz w:val="21"/>
                <w:szCs w:val="21"/>
              </w:rPr>
            </w:pPr>
            <w:r>
              <w:rPr>
                <w:rFonts w:hint="eastAsia" w:ascii="宋体" w:hAnsi="宋体" w:eastAsia="宋体" w:cs="宋体"/>
                <w:sz w:val="21"/>
                <w:szCs w:val="21"/>
              </w:rPr>
              <w:t>工业企业清洁生产审核 技术导则</w:t>
            </w:r>
          </w:p>
          <w:p>
            <w:pPr>
              <w:widowControl w:val="0"/>
              <w:adjustRightInd/>
              <w:snapToGrid/>
              <w:spacing w:after="0" w:line="276" w:lineRule="auto"/>
              <w:rPr>
                <w:rFonts w:hint="eastAsia" w:ascii="宋体" w:hAnsi="宋体" w:eastAsia="宋体" w:cs="宋体"/>
                <w:sz w:val="21"/>
                <w:szCs w:val="21"/>
              </w:rPr>
            </w:pPr>
            <w:r>
              <w:rPr>
                <w:rFonts w:ascii="宋体" w:hAnsi="宋体" w:eastAsia="宋体" w:cs="Times New Roman"/>
                <w:kern w:val="2"/>
                <w:sz w:val="21"/>
                <w:szCs w:val="21"/>
              </w:rPr>
              <w:t>锌及锌合金化学分析方法</w:t>
            </w:r>
            <w:r>
              <w:rPr>
                <w:rFonts w:hint="eastAsia" w:ascii="宋体" w:hAnsi="宋体" w:eastAsia="宋体" w:cs="Times New Roman"/>
                <w:kern w:val="2"/>
                <w:sz w:val="21"/>
                <w:szCs w:val="21"/>
              </w:rPr>
              <w:t xml:space="preserve"> </w:t>
            </w:r>
            <w:r>
              <w:rPr>
                <w:rFonts w:hint="eastAsia" w:ascii="宋体" w:hAnsi="宋体" w:eastAsia="宋体" w:cs="Times New Roman"/>
                <w:kern w:val="2"/>
                <w:sz w:val="21"/>
              </w:rPr>
              <w:t>光电发射光谱法</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GB/T 28001</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职业健康安全管理体系</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要求</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lang w:val="de-DE"/>
              </w:rPr>
            </w:pPr>
            <w:r>
              <w:rPr>
                <w:rFonts w:ascii="宋体" w:hAnsi="宋体" w:eastAsia="宋体" w:cs="Times New Roman"/>
                <w:kern w:val="2"/>
                <w:sz w:val="21"/>
                <w:szCs w:val="21"/>
                <w:lang w:val="de-DE"/>
              </w:rPr>
              <w:t>GB/T 32161</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生态设计产品评价通则</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lang w:val="de-DE"/>
              </w:rPr>
              <w:t>GB/T</w:t>
            </w:r>
            <w:r>
              <w:rPr>
                <w:rFonts w:ascii="宋体" w:hAnsi="宋体" w:eastAsia="宋体" w:cs="Times New Roman"/>
                <w:kern w:val="2"/>
                <w:sz w:val="21"/>
                <w:szCs w:val="21"/>
              </w:rPr>
              <w:t xml:space="preserve"> 33000</w:t>
            </w:r>
          </w:p>
        </w:tc>
        <w:tc>
          <w:tcPr>
            <w:tcW w:w="4678"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企业安全生产标准化基本规范</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GB/T 36132</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绿色工厂评价通则</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ascii="宋体" w:hAnsi="宋体" w:eastAsia="宋体" w:cs="Times New Roman"/>
                <w:kern w:val="2"/>
                <w:sz w:val="21"/>
                <w:szCs w:val="21"/>
              </w:rPr>
              <w:t>YS/T 320</w:t>
            </w:r>
          </w:p>
        </w:tc>
        <w:tc>
          <w:tcPr>
            <w:tcW w:w="4678" w:type="dxa"/>
          </w:tcPr>
          <w:p>
            <w:pPr>
              <w:widowControl w:val="0"/>
              <w:adjustRightInd/>
              <w:snapToGrid/>
              <w:spacing w:after="0" w:line="276" w:lineRule="auto"/>
              <w:rPr>
                <w:rFonts w:hint="eastAsia" w:ascii="宋体" w:hAnsi="宋体" w:eastAsia="宋体" w:cs="Times New Roman"/>
                <w:kern w:val="2"/>
                <w:sz w:val="21"/>
                <w:szCs w:val="21"/>
              </w:rPr>
            </w:pPr>
            <w:r>
              <w:rPr>
                <w:rFonts w:hint="eastAsia" w:ascii="宋体" w:hAnsi="宋体" w:eastAsia="宋体" w:cs="Times New Roman"/>
                <w:kern w:val="2"/>
                <w:sz w:val="21"/>
                <w:szCs w:val="21"/>
              </w:rPr>
              <w:t>锌精矿</w:t>
            </w:r>
          </w:p>
        </w:tc>
      </w:tr>
      <w:tr>
        <w:tblPrEx>
          <w:tblLayout w:type="fixed"/>
          <w:tblCellMar>
            <w:top w:w="0" w:type="dxa"/>
            <w:left w:w="108" w:type="dxa"/>
            <w:bottom w:w="0" w:type="dxa"/>
            <w:right w:w="108" w:type="dxa"/>
          </w:tblCellMar>
        </w:tblPrEx>
        <w:tc>
          <w:tcPr>
            <w:tcW w:w="3101" w:type="dxa"/>
          </w:tcPr>
          <w:p>
            <w:pPr>
              <w:widowControl w:val="0"/>
              <w:adjustRightInd/>
              <w:snapToGrid/>
              <w:spacing w:after="0" w:line="276" w:lineRule="auto"/>
              <w:rPr>
                <w:rFonts w:ascii="宋体" w:hAnsi="宋体" w:eastAsia="宋体" w:cs="Times New Roman"/>
                <w:kern w:val="2"/>
                <w:sz w:val="21"/>
                <w:szCs w:val="21"/>
              </w:rPr>
            </w:pPr>
            <w:r>
              <w:rPr>
                <w:rFonts w:hint="eastAsia" w:ascii="宋体" w:hAnsi="宋体" w:eastAsia="宋体" w:cs="Times New Roman"/>
                <w:kern w:val="2"/>
                <w:sz w:val="21"/>
                <w:szCs w:val="21"/>
              </w:rPr>
              <w:t>工业与信息化部 公告</w:t>
            </w:r>
          </w:p>
          <w:p>
            <w:pPr>
              <w:widowControl w:val="0"/>
              <w:adjustRightInd/>
              <w:snapToGrid/>
              <w:spacing w:after="0" w:line="276" w:lineRule="auto"/>
              <w:rPr>
                <w:rFonts w:hint="eastAsia" w:ascii="宋体" w:hAnsi="宋体" w:eastAsia="宋体" w:cs="宋体"/>
                <w:sz w:val="21"/>
                <w:szCs w:val="21"/>
              </w:rPr>
            </w:pPr>
          </w:p>
        </w:tc>
        <w:tc>
          <w:tcPr>
            <w:tcW w:w="4678" w:type="dxa"/>
          </w:tcPr>
          <w:p>
            <w:pPr>
              <w:widowControl w:val="0"/>
              <w:adjustRightInd/>
              <w:snapToGrid/>
              <w:spacing w:after="0" w:line="276" w:lineRule="auto"/>
              <w:rPr>
                <w:rFonts w:hint="eastAsia" w:ascii="宋体" w:hAnsi="宋体" w:eastAsia="宋体" w:cs="宋体"/>
                <w:sz w:val="21"/>
                <w:szCs w:val="21"/>
              </w:rPr>
            </w:pPr>
            <w:r>
              <w:rPr>
                <w:rFonts w:hint="eastAsia" w:ascii="宋体" w:hAnsi="宋体" w:eastAsia="宋体" w:cs="Times New Roman"/>
                <w:kern w:val="2"/>
                <w:sz w:val="21"/>
              </w:rPr>
              <w:t>锌冶炼行业规范条件</w:t>
            </w:r>
          </w:p>
        </w:tc>
      </w:tr>
    </w:tbl>
    <w:p>
      <w:pPr>
        <w:rPr>
          <w:rFonts w:hint="eastAsia" w:asciiTheme="minorEastAsia" w:hAnsiTheme="minorEastAsia" w:eastAsiaTheme="minorEastAsia"/>
          <w:sz w:val="24"/>
          <w:szCs w:val="24"/>
        </w:rPr>
      </w:pPr>
    </w:p>
    <w:p>
      <w:pPr>
        <w:pStyle w:val="3"/>
        <w:ind w:left="220"/>
      </w:pPr>
      <w:bookmarkStart w:id="20" w:name="_Toc2533280"/>
      <w:r>
        <w:rPr>
          <w:rFonts w:hint="eastAsia"/>
        </w:rPr>
        <w:t>2</w:t>
      </w:r>
      <w:r>
        <w:rPr>
          <w:rFonts w:hint="eastAsia"/>
          <w:szCs w:val="28"/>
        </w:rPr>
        <w:t>.标准评价基本要求依据</w:t>
      </w:r>
      <w:bookmarkEnd w:id="20"/>
    </w:p>
    <w:p>
      <w:pPr>
        <w:rPr>
          <w:rFonts w:asciiTheme="minorEastAsia" w:hAnsiTheme="minorEastAsia" w:eastAsiaTheme="minorEastAsia"/>
          <w:sz w:val="24"/>
          <w:szCs w:val="24"/>
        </w:rPr>
      </w:pPr>
      <w:r>
        <w:rPr>
          <w:rFonts w:hint="eastAsia" w:asciiTheme="minorEastAsia" w:hAnsiTheme="minorEastAsia" w:eastAsiaTheme="minorEastAsia"/>
          <w:sz w:val="24"/>
          <w:szCs w:val="24"/>
        </w:rPr>
        <w:t>生产企业要满足以下要求，包括但不限于</w:t>
      </w:r>
    </w:p>
    <w:p>
      <w:pPr>
        <w:pStyle w:val="21"/>
        <w:numPr>
          <w:ilvl w:val="0"/>
          <w:numId w:val="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企业应达到国家工业与信息化部公告的《锌冶炼行业规范条件》要求，产品质量应符合</w:t>
      </w:r>
      <w:r>
        <w:rPr>
          <w:rFonts w:asciiTheme="minorEastAsia" w:hAnsiTheme="minorEastAsia" w:eastAsiaTheme="minorEastAsia"/>
          <w:sz w:val="24"/>
          <w:szCs w:val="24"/>
        </w:rPr>
        <w:t>GB/T470</w:t>
      </w:r>
      <w:r>
        <w:rPr>
          <w:rFonts w:hint="eastAsia" w:asciiTheme="minorEastAsia" w:hAnsiTheme="minorEastAsia" w:eastAsiaTheme="minorEastAsia"/>
          <w:sz w:val="24"/>
          <w:szCs w:val="24"/>
        </w:rPr>
        <w:t>的要求。</w:t>
      </w:r>
    </w:p>
    <w:p>
      <w:pPr>
        <w:ind w:firstLine="360" w:firstLineChars="150"/>
        <w:rPr>
          <w:rFonts w:ascii="微软雅黑" w:hAnsi="微软雅黑"/>
          <w:sz w:val="24"/>
          <w:szCs w:val="24"/>
        </w:rPr>
      </w:pPr>
      <w:r>
        <w:rPr>
          <w:rFonts w:hint="eastAsia" w:ascii="微软雅黑" w:hAnsi="微软雅黑"/>
          <w:sz w:val="24"/>
          <w:szCs w:val="24"/>
        </w:rPr>
        <w:t>说明：进入锌冶炼行业的规范条件要求。</w:t>
      </w:r>
    </w:p>
    <w:p>
      <w:pPr>
        <w:pStyle w:val="21"/>
        <w:numPr>
          <w:ilvl w:val="0"/>
          <w:numId w:val="1"/>
        </w:numPr>
        <w:ind w:firstLineChars="0"/>
        <w:rPr>
          <w:rFonts w:asciiTheme="minorEastAsia" w:hAnsiTheme="minorEastAsia" w:eastAsiaTheme="minorEastAsia"/>
          <w:color w:val="FF0000"/>
          <w:sz w:val="24"/>
          <w:szCs w:val="24"/>
        </w:rPr>
      </w:pPr>
      <w:r>
        <w:rPr>
          <w:rFonts w:hint="eastAsia" w:asciiTheme="minorEastAsia" w:hAnsiTheme="minorEastAsia" w:eastAsiaTheme="minorEastAsia"/>
          <w:sz w:val="24"/>
          <w:szCs w:val="24"/>
        </w:rPr>
        <w:t>企业近三年无重大安全、环境污染和质量事故，污染物的排放应达到</w:t>
      </w:r>
      <w:r>
        <w:rPr>
          <w:rFonts w:asciiTheme="minorEastAsia" w:hAnsiTheme="minorEastAsia" w:eastAsiaTheme="minorEastAsia"/>
          <w:sz w:val="24"/>
          <w:szCs w:val="24"/>
        </w:rPr>
        <w:t xml:space="preserve">GB </w:t>
      </w:r>
      <w:r>
        <w:rPr>
          <w:rFonts w:hint="eastAsia" w:asciiTheme="minorEastAsia" w:hAnsiTheme="minorEastAsia" w:eastAsiaTheme="minorEastAsia"/>
          <w:sz w:val="24"/>
          <w:szCs w:val="24"/>
        </w:rPr>
        <w:t>2546</w:t>
      </w:r>
      <w:r>
        <w:rPr>
          <w:rFonts w:asciiTheme="minorEastAsia" w:hAnsiTheme="minorEastAsia" w:eastAsiaTheme="minorEastAsia"/>
          <w:sz w:val="24"/>
          <w:szCs w:val="24"/>
        </w:rPr>
        <w:t>6</w:t>
      </w:r>
      <w:r>
        <w:rPr>
          <w:rFonts w:hint="eastAsia" w:asciiTheme="minorEastAsia" w:hAnsiTheme="minorEastAsia" w:eastAsiaTheme="minorEastAsia"/>
          <w:sz w:val="24"/>
          <w:szCs w:val="24"/>
        </w:rPr>
        <w:t>的要求，拥有完善的“三废”处理设施，并根据环保法律法规和标准要求配备污染物检测和在线监控设备；污染物排放总量应达到排污许可证的要求；</w:t>
      </w:r>
    </w:p>
    <w:p>
      <w:pPr>
        <w:ind w:firstLine="360" w:firstLineChars="150"/>
        <w:rPr>
          <w:rFonts w:ascii="微软雅黑" w:hAnsi="微软雅黑"/>
          <w:sz w:val="24"/>
          <w:szCs w:val="24"/>
        </w:rPr>
      </w:pPr>
      <w:r>
        <w:rPr>
          <w:rFonts w:hint="eastAsia" w:ascii="微软雅黑" w:hAnsi="微软雅黑"/>
          <w:sz w:val="24"/>
          <w:szCs w:val="24"/>
        </w:rPr>
        <w:t>说明：企业污染物排放的基本要求。</w:t>
      </w:r>
    </w:p>
    <w:p>
      <w:pPr>
        <w:pStyle w:val="21"/>
        <w:numPr>
          <w:ilvl w:val="0"/>
          <w:numId w:val="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企业安全管理应达到</w:t>
      </w:r>
      <w:r>
        <w:rPr>
          <w:rFonts w:asciiTheme="minorEastAsia" w:hAnsiTheme="minorEastAsia" w:eastAsiaTheme="minorEastAsia"/>
          <w:sz w:val="24"/>
          <w:szCs w:val="24"/>
        </w:rPr>
        <w:t>GB/T 33000</w:t>
      </w:r>
      <w:r>
        <w:rPr>
          <w:rFonts w:hint="eastAsia" w:asciiTheme="minorEastAsia" w:hAnsiTheme="minorEastAsia" w:eastAsiaTheme="minorEastAsia"/>
          <w:sz w:val="24"/>
          <w:szCs w:val="24"/>
        </w:rPr>
        <w:t>的要求；应按照</w:t>
      </w:r>
      <w:r>
        <w:rPr>
          <w:rFonts w:asciiTheme="minorEastAsia" w:hAnsiTheme="minorEastAsia" w:eastAsiaTheme="minorEastAsia"/>
          <w:sz w:val="24"/>
          <w:szCs w:val="24"/>
        </w:rPr>
        <w:t xml:space="preserve">GB/T 19001 </w:t>
      </w:r>
      <w:r>
        <w:rPr>
          <w:rFonts w:hint="eastAsia" w:asciiTheme="minorEastAsia" w:hAnsiTheme="minorEastAsia" w:eastAsiaTheme="minorEastAsia"/>
          <w:sz w:val="24"/>
          <w:szCs w:val="24"/>
        </w:rPr>
        <w:t>、GB/T 23331、</w:t>
      </w:r>
      <w:r>
        <w:rPr>
          <w:rFonts w:asciiTheme="minorEastAsia" w:hAnsiTheme="minorEastAsia" w:eastAsiaTheme="minorEastAsia"/>
          <w:sz w:val="24"/>
          <w:szCs w:val="24"/>
        </w:rPr>
        <w:t>GB/T 24001</w:t>
      </w:r>
      <w:r>
        <w:rPr>
          <w:rFonts w:hint="eastAsia" w:asciiTheme="minorEastAsia" w:hAnsiTheme="minorEastAsia" w:eastAsiaTheme="minorEastAsia"/>
          <w:sz w:val="24"/>
          <w:szCs w:val="24"/>
        </w:rPr>
        <w:t>和</w:t>
      </w:r>
      <w:r>
        <w:rPr>
          <w:rFonts w:asciiTheme="minorEastAsia" w:hAnsiTheme="minorEastAsia" w:eastAsiaTheme="minorEastAsia"/>
          <w:sz w:val="24"/>
          <w:szCs w:val="24"/>
        </w:rPr>
        <w:t>GB/T 28001</w:t>
      </w:r>
      <w:r>
        <w:rPr>
          <w:rFonts w:hint="eastAsia" w:asciiTheme="minorEastAsia" w:hAnsiTheme="minorEastAsia" w:eastAsiaTheme="minorEastAsia"/>
          <w:sz w:val="24"/>
          <w:szCs w:val="24"/>
        </w:rPr>
        <w:t>分别建立并运行质量管理体系、能源管理体系、环境管理体系和职业健康安全管理体系。</w:t>
      </w:r>
    </w:p>
    <w:p>
      <w:pPr>
        <w:pStyle w:val="21"/>
        <w:numPr>
          <w:ilvl w:val="0"/>
          <w:numId w:val="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单位产品能源消耗应达到</w:t>
      </w:r>
      <w:r>
        <w:rPr>
          <w:rFonts w:asciiTheme="minorEastAsia" w:hAnsiTheme="minorEastAsia" w:eastAsiaTheme="minorEastAsia"/>
          <w:sz w:val="24"/>
          <w:szCs w:val="24"/>
        </w:rPr>
        <w:t>GB 21</w:t>
      </w:r>
      <w:r>
        <w:rPr>
          <w:rFonts w:hint="eastAsia" w:asciiTheme="minorEastAsia" w:hAnsiTheme="minorEastAsia" w:eastAsiaTheme="minorEastAsia"/>
          <w:sz w:val="24"/>
          <w:szCs w:val="24"/>
        </w:rPr>
        <w:t>24</w:t>
      </w:r>
      <w:r>
        <w:rPr>
          <w:rFonts w:asciiTheme="minorEastAsia" w:hAnsiTheme="minorEastAsia" w:eastAsiaTheme="minorEastAsia"/>
          <w:sz w:val="24"/>
          <w:szCs w:val="24"/>
        </w:rPr>
        <w:t>9</w:t>
      </w:r>
      <w:r>
        <w:rPr>
          <w:rFonts w:hint="eastAsia" w:asciiTheme="minorEastAsia" w:hAnsiTheme="minorEastAsia" w:eastAsiaTheme="minorEastAsia"/>
          <w:sz w:val="24"/>
          <w:szCs w:val="24"/>
        </w:rPr>
        <w:t>的要求。</w:t>
      </w:r>
    </w:p>
    <w:p>
      <w:pPr>
        <w:ind w:firstLine="360" w:firstLineChars="150"/>
        <w:rPr>
          <w:rFonts w:asciiTheme="minorEastAsia" w:hAnsiTheme="minorEastAsia" w:eastAsiaTheme="minorEastAsia"/>
          <w:sz w:val="24"/>
          <w:szCs w:val="24"/>
        </w:rPr>
      </w:pPr>
      <w:r>
        <w:rPr>
          <w:rFonts w:hint="eastAsia" w:ascii="微软雅黑" w:hAnsi="微软雅黑"/>
          <w:sz w:val="24"/>
          <w:szCs w:val="24"/>
        </w:rPr>
        <w:t>说明：3、4点主要是从企业质量管理，环境管理，安全管理、能源管理等体系的建立和实施等方面要求企业达到的基本要求。</w:t>
      </w:r>
    </w:p>
    <w:p>
      <w:pPr>
        <w:pStyle w:val="21"/>
        <w:numPr>
          <w:ilvl w:val="0"/>
          <w:numId w:val="1"/>
        </w:numPr>
        <w:ind w:firstLine="0" w:firstLineChars="0"/>
        <w:rPr>
          <w:rFonts w:ascii="微软雅黑" w:hAnsi="微软雅黑"/>
          <w:sz w:val="24"/>
          <w:szCs w:val="24"/>
        </w:rPr>
      </w:pPr>
      <w:r>
        <w:rPr>
          <w:rFonts w:hint="eastAsia" w:asciiTheme="minorEastAsia" w:hAnsiTheme="minorEastAsia" w:eastAsiaTheme="minorEastAsia"/>
          <w:sz w:val="24"/>
          <w:szCs w:val="24"/>
        </w:rPr>
        <w:t>入炉锌精矿化学成分指经生产配料后的锌精矿化学成分，入炉锌精矿化学成分中</w:t>
      </w:r>
      <w:r>
        <w:rPr>
          <w:rFonts w:hint="eastAsia" w:cs="宋体" w:asciiTheme="minorEastAsia" w:hAnsiTheme="minorEastAsia" w:eastAsiaTheme="minorEastAsia"/>
          <w:sz w:val="24"/>
          <w:szCs w:val="24"/>
        </w:rPr>
        <w:t>Hg、F、Cd杂质限量符合GB20424的要求，其余化学成分</w:t>
      </w:r>
      <w:r>
        <w:rPr>
          <w:rFonts w:cs="宋体" w:asciiTheme="minorEastAsia" w:hAnsiTheme="minorEastAsia" w:eastAsiaTheme="minorEastAsia"/>
          <w:sz w:val="24"/>
          <w:szCs w:val="24"/>
        </w:rPr>
        <w:t>符合</w:t>
      </w:r>
      <w:r>
        <w:rPr>
          <w:rFonts w:hint="eastAsia" w:cs="Calibri" w:asciiTheme="minorEastAsia" w:hAnsiTheme="minorEastAsia" w:eastAsiaTheme="minorEastAsia"/>
          <w:sz w:val="24"/>
          <w:szCs w:val="24"/>
          <w:lang w:val="de-DE"/>
        </w:rPr>
        <w:t xml:space="preserve">YS/T </w:t>
      </w:r>
      <w:r>
        <w:rPr>
          <w:rFonts w:cs="Calibri" w:asciiTheme="minorEastAsia" w:hAnsiTheme="minorEastAsia" w:eastAsiaTheme="minorEastAsia"/>
          <w:sz w:val="24"/>
          <w:szCs w:val="24"/>
          <w:lang w:val="de-DE"/>
        </w:rPr>
        <w:t>320</w:t>
      </w:r>
      <w:r>
        <w:rPr>
          <w:rFonts w:cs="宋体" w:asciiTheme="minorEastAsia" w:hAnsiTheme="minorEastAsia" w:eastAsiaTheme="minorEastAsia"/>
          <w:sz w:val="24"/>
          <w:szCs w:val="24"/>
        </w:rPr>
        <w:t>的要求</w:t>
      </w:r>
      <w:r>
        <w:rPr>
          <w:rFonts w:hint="eastAsia" w:cs="宋体" w:asciiTheme="minorEastAsia" w:hAnsiTheme="minorEastAsia" w:eastAsiaTheme="minorEastAsia"/>
          <w:sz w:val="24"/>
          <w:szCs w:val="24"/>
        </w:rPr>
        <w:t>。</w:t>
      </w:r>
    </w:p>
    <w:p>
      <w:pPr>
        <w:pStyle w:val="21"/>
        <w:ind w:left="420" w:firstLine="0" w:firstLineChars="0"/>
        <w:rPr>
          <w:rFonts w:ascii="微软雅黑" w:hAnsi="微软雅黑"/>
          <w:sz w:val="24"/>
          <w:szCs w:val="24"/>
        </w:rPr>
      </w:pPr>
      <w:r>
        <w:rPr>
          <w:rFonts w:hint="eastAsia" w:ascii="微软雅黑" w:hAnsi="微软雅黑"/>
          <w:sz w:val="24"/>
          <w:szCs w:val="24"/>
        </w:rPr>
        <w:t>说明：生产所用原料应符合标准，尽可能的降低对环境的影响。</w:t>
      </w:r>
    </w:p>
    <w:p>
      <w:pPr>
        <w:pStyle w:val="21"/>
        <w:numPr>
          <w:ilvl w:val="0"/>
          <w:numId w:val="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所产锌冶炼固废应进行无害化/资源化处理，一般固体废弃物按照GB 18599的要求进行贮存、处置，危险固废按GB 18597要求进行收集、贮存、运输、处置。</w:t>
      </w:r>
    </w:p>
    <w:p>
      <w:pPr>
        <w:ind w:firstLine="360" w:firstLineChars="150"/>
        <w:rPr>
          <w:rFonts w:ascii="微软雅黑" w:hAnsi="微软雅黑"/>
          <w:sz w:val="24"/>
          <w:szCs w:val="24"/>
        </w:rPr>
      </w:pPr>
      <w:r>
        <w:rPr>
          <w:rFonts w:hint="eastAsia" w:ascii="微软雅黑" w:hAnsi="微软雅黑"/>
          <w:sz w:val="24"/>
          <w:szCs w:val="24"/>
        </w:rPr>
        <w:t>说明：企业有处理固废进行无害化/资源化处理的能力。</w:t>
      </w:r>
    </w:p>
    <w:p>
      <w:pPr>
        <w:pStyle w:val="21"/>
        <w:numPr>
          <w:ilvl w:val="0"/>
          <w:numId w:val="1"/>
        </w:numPr>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生产过程中宜采用国家鼓励的先进技术和工艺，不能采取国家明令禁止、淘汰的工艺和设备。</w:t>
      </w:r>
    </w:p>
    <w:p>
      <w:pPr>
        <w:pStyle w:val="21"/>
        <w:ind w:left="420" w:firstLine="0" w:firstLineChars="0"/>
        <w:rPr>
          <w:rFonts w:asciiTheme="minorEastAsia" w:hAnsiTheme="minorEastAsia" w:eastAsiaTheme="minorEastAsia"/>
          <w:sz w:val="24"/>
          <w:szCs w:val="24"/>
        </w:rPr>
      </w:pPr>
      <w:r>
        <w:rPr>
          <w:rFonts w:hint="eastAsia" w:ascii="微软雅黑" w:hAnsi="微软雅黑"/>
          <w:sz w:val="24"/>
          <w:szCs w:val="24"/>
        </w:rPr>
        <w:t>说明：企业需要达到的最基本条件。</w:t>
      </w:r>
    </w:p>
    <w:p>
      <w:pPr>
        <w:pStyle w:val="21"/>
        <w:numPr>
          <w:ilvl w:val="0"/>
          <w:numId w:val="1"/>
        </w:numPr>
        <w:ind w:firstLineChars="0"/>
        <w:rPr>
          <w:rFonts w:asciiTheme="minorEastAsia" w:hAnsiTheme="minorEastAsia" w:eastAsiaTheme="minorEastAsia"/>
          <w:sz w:val="24"/>
          <w:szCs w:val="24"/>
        </w:rPr>
      </w:pPr>
      <w:r>
        <w:rPr>
          <w:rFonts w:hint="eastAsia" w:ascii="宋体" w:hAnsi="宋体"/>
          <w:szCs w:val="21"/>
        </w:rPr>
        <w:t>产品包装材料应采用可再生利用或可降解材料。</w:t>
      </w:r>
    </w:p>
    <w:p>
      <w:pPr>
        <w:ind w:firstLine="480" w:firstLineChars="200"/>
        <w:rPr>
          <w:rFonts w:ascii="微软雅黑" w:hAnsi="微软雅黑"/>
          <w:sz w:val="24"/>
          <w:szCs w:val="24"/>
        </w:rPr>
      </w:pPr>
      <w:r>
        <w:rPr>
          <w:rFonts w:hint="eastAsia" w:ascii="微软雅黑" w:hAnsi="微软雅黑"/>
          <w:sz w:val="24"/>
          <w:szCs w:val="24"/>
        </w:rPr>
        <w:t>说明：企业生产绿色产品，也要使用绿色无害材料。</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以上8点是锌锭生产企业必须满足的基本要求，缺一不可。</w:t>
      </w:r>
    </w:p>
    <w:p>
      <w:pPr>
        <w:pStyle w:val="3"/>
        <w:ind w:left="220"/>
        <w:rPr>
          <w:szCs w:val="28"/>
        </w:rPr>
      </w:pPr>
      <w:bookmarkStart w:id="21" w:name="_Toc2533281"/>
      <w:r>
        <w:rPr>
          <w:rFonts w:hint="eastAsia"/>
          <w:szCs w:val="28"/>
        </w:rPr>
        <w:t>3.</w:t>
      </w:r>
      <w:r>
        <w:rPr>
          <w:rFonts w:hint="eastAsia"/>
        </w:rPr>
        <w:t>标准指标主要内容的判定依据</w:t>
      </w:r>
      <w:bookmarkEnd w:id="21"/>
    </w:p>
    <w:p>
      <w:pPr>
        <w:pStyle w:val="29"/>
        <w:ind w:firstLine="472"/>
        <w:rPr>
          <w:rStyle w:val="30"/>
          <w:rFonts w:hint="default" w:hAnsi="Times New Roman"/>
          <w:color w:val="000000"/>
          <w:sz w:val="24"/>
          <w:szCs w:val="24"/>
        </w:rPr>
      </w:pPr>
      <w:r>
        <w:rPr>
          <w:rStyle w:val="30"/>
          <w:rFonts w:hint="default" w:hAnsi="Times New Roman"/>
          <w:color w:val="000000"/>
          <w:sz w:val="24"/>
          <w:szCs w:val="24"/>
        </w:rPr>
        <w:t>锌锭产品评价指标由一级指标和二级指标组成。一级指标包括资源属性指标、能源属性指标、环境属性指标和产品属性指标。二级指标是对一级指标的具体化，明确规定所要达到的具体数值。具体见表1。本标准的功能单位为t。</w:t>
      </w:r>
    </w:p>
    <w:p>
      <w:pPr>
        <w:spacing w:before="120" w:beforeLines="50" w:after="120" w:afterLines="50" w:line="360" w:lineRule="auto"/>
        <w:ind w:left="425"/>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表1  锌锭产品评价指标要求</w:t>
      </w:r>
    </w:p>
    <w:tbl>
      <w:tblPr>
        <w:tblStyle w:val="13"/>
        <w:tblW w:w="9005"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70"/>
        <w:gridCol w:w="2299"/>
        <w:gridCol w:w="992"/>
        <w:gridCol w:w="1138"/>
        <w:gridCol w:w="2432"/>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631" w:hRule="atLeast"/>
          <w:tblHeader/>
        </w:trPr>
        <w:tc>
          <w:tcPr>
            <w:tcW w:w="1070" w:type="dxa"/>
            <w:tcBorders>
              <w:top w:val="single" w:color="auto" w:sz="12" w:space="0"/>
              <w:left w:val="single" w:color="auto" w:sz="12" w:space="0"/>
            </w:tcBorders>
            <w:vAlign w:val="center"/>
          </w:tcPr>
          <w:p>
            <w:pPr>
              <w:jc w:val="center"/>
              <w:rPr>
                <w:b/>
                <w:sz w:val="18"/>
                <w:szCs w:val="18"/>
              </w:rPr>
            </w:pPr>
            <w:r>
              <w:rPr>
                <w:rFonts w:hint="eastAsia"/>
                <w:b/>
                <w:sz w:val="18"/>
                <w:szCs w:val="18"/>
              </w:rPr>
              <w:t>一级指标</w:t>
            </w:r>
          </w:p>
        </w:tc>
        <w:tc>
          <w:tcPr>
            <w:tcW w:w="2299" w:type="dxa"/>
            <w:tcBorders>
              <w:top w:val="single" w:color="auto" w:sz="12" w:space="0"/>
            </w:tcBorders>
            <w:vAlign w:val="center"/>
          </w:tcPr>
          <w:p>
            <w:pPr>
              <w:jc w:val="center"/>
              <w:rPr>
                <w:b/>
                <w:sz w:val="18"/>
                <w:szCs w:val="18"/>
              </w:rPr>
            </w:pPr>
            <w:r>
              <w:rPr>
                <w:rFonts w:hint="eastAsia"/>
                <w:b/>
                <w:sz w:val="18"/>
                <w:szCs w:val="18"/>
              </w:rPr>
              <w:t>二级指标</w:t>
            </w:r>
          </w:p>
        </w:tc>
        <w:tc>
          <w:tcPr>
            <w:tcW w:w="992" w:type="dxa"/>
            <w:tcBorders>
              <w:top w:val="single" w:color="auto" w:sz="12" w:space="0"/>
            </w:tcBorders>
            <w:vAlign w:val="center"/>
          </w:tcPr>
          <w:p>
            <w:pPr>
              <w:jc w:val="center"/>
              <w:rPr>
                <w:b/>
                <w:sz w:val="18"/>
                <w:szCs w:val="18"/>
              </w:rPr>
            </w:pPr>
            <w:r>
              <w:rPr>
                <w:rFonts w:hint="eastAsia"/>
                <w:b/>
                <w:sz w:val="18"/>
                <w:szCs w:val="18"/>
              </w:rPr>
              <w:t>单位</w:t>
            </w:r>
          </w:p>
        </w:tc>
        <w:tc>
          <w:tcPr>
            <w:tcW w:w="1138" w:type="dxa"/>
            <w:tcBorders>
              <w:top w:val="single" w:color="auto" w:sz="12" w:space="0"/>
            </w:tcBorders>
            <w:vAlign w:val="center"/>
          </w:tcPr>
          <w:p>
            <w:pPr>
              <w:jc w:val="center"/>
              <w:rPr>
                <w:b/>
                <w:sz w:val="18"/>
                <w:szCs w:val="18"/>
              </w:rPr>
            </w:pPr>
            <w:r>
              <w:rPr>
                <w:rFonts w:hint="eastAsia"/>
                <w:b/>
                <w:sz w:val="18"/>
                <w:szCs w:val="18"/>
              </w:rPr>
              <w:t>基准值</w:t>
            </w:r>
          </w:p>
        </w:tc>
        <w:tc>
          <w:tcPr>
            <w:tcW w:w="2432" w:type="dxa"/>
            <w:tcBorders>
              <w:top w:val="single" w:color="auto" w:sz="12" w:space="0"/>
            </w:tcBorders>
            <w:vAlign w:val="center"/>
          </w:tcPr>
          <w:p>
            <w:pPr>
              <w:jc w:val="center"/>
              <w:rPr>
                <w:b/>
                <w:sz w:val="18"/>
                <w:szCs w:val="18"/>
              </w:rPr>
            </w:pPr>
            <w:r>
              <w:rPr>
                <w:rFonts w:hint="eastAsia"/>
                <w:b/>
                <w:sz w:val="18"/>
                <w:szCs w:val="18"/>
              </w:rPr>
              <w:t>判定依据</w:t>
            </w:r>
          </w:p>
        </w:tc>
        <w:tc>
          <w:tcPr>
            <w:tcW w:w="1074" w:type="dxa"/>
            <w:tcBorders>
              <w:top w:val="single" w:color="auto" w:sz="12" w:space="0"/>
              <w:right w:val="single" w:color="auto" w:sz="12" w:space="0"/>
            </w:tcBorders>
            <w:vAlign w:val="center"/>
          </w:tcPr>
          <w:p>
            <w:pPr>
              <w:jc w:val="center"/>
              <w:rPr>
                <w:b/>
                <w:sz w:val="18"/>
                <w:szCs w:val="18"/>
              </w:rPr>
            </w:pPr>
            <w:r>
              <w:rPr>
                <w:rFonts w:hint="eastAsia"/>
                <w:b/>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70" w:type="dxa"/>
            <w:vMerge w:val="restart"/>
            <w:tcBorders>
              <w:left w:val="single" w:color="auto" w:sz="12" w:space="0"/>
            </w:tcBorders>
            <w:vAlign w:val="center"/>
          </w:tcPr>
          <w:p>
            <w:pPr>
              <w:ind w:firstLine="90" w:firstLineChars="50"/>
              <w:rPr>
                <w:b/>
                <w:sz w:val="18"/>
                <w:szCs w:val="18"/>
              </w:rPr>
            </w:pPr>
            <w:r>
              <w:rPr>
                <w:rFonts w:hint="eastAsia"/>
                <w:b/>
                <w:sz w:val="18"/>
                <w:szCs w:val="18"/>
              </w:rPr>
              <w:t>资源</w:t>
            </w:r>
            <w:r>
              <w:rPr>
                <w:rFonts w:hint="eastAsia" w:ascii="微软雅黑" w:hAnsi="微软雅黑"/>
                <w:sz w:val="18"/>
                <w:szCs w:val="18"/>
              </w:rPr>
              <w:t>属性</w:t>
            </w:r>
          </w:p>
        </w:tc>
        <w:tc>
          <w:tcPr>
            <w:tcW w:w="2299" w:type="dxa"/>
            <w:vAlign w:val="center"/>
          </w:tcPr>
          <w:p>
            <w:pPr>
              <w:rPr>
                <w:rFonts w:hint="eastAsia" w:ascii="微软雅黑" w:hAnsi="微软雅黑"/>
                <w:sz w:val="18"/>
                <w:szCs w:val="18"/>
              </w:rPr>
            </w:pPr>
            <w:r>
              <w:rPr>
                <w:rFonts w:hint="eastAsia" w:ascii="微软雅黑" w:hAnsi="微软雅黑"/>
                <w:sz w:val="18"/>
                <w:szCs w:val="18"/>
              </w:rPr>
              <w:t>锌总回收率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≥97.5%</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2" w:hRule="atLeast"/>
        </w:trPr>
        <w:tc>
          <w:tcPr>
            <w:tcW w:w="1070" w:type="dxa"/>
            <w:vMerge w:val="continue"/>
            <w:tcBorders>
              <w:left w:val="single" w:color="auto" w:sz="12" w:space="0"/>
            </w:tcBorders>
            <w:vAlign w:val="center"/>
          </w:tcPr>
          <w:p>
            <w:pPr>
              <w:rPr>
                <w:b/>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硫利用率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≥96.5%</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70" w:type="dxa"/>
            <w:vMerge w:val="continue"/>
            <w:tcBorders>
              <w:left w:val="single" w:color="auto" w:sz="12" w:space="0"/>
            </w:tcBorders>
            <w:vAlign w:val="center"/>
          </w:tcPr>
          <w:p>
            <w:pPr>
              <w:rPr>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锌精矿成分</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lang w:val="de-DE"/>
              </w:rPr>
              <w:t>YS/T</w:t>
            </w:r>
            <w:r>
              <w:rPr>
                <w:rFonts w:hint="eastAsia" w:ascii="微软雅黑" w:hAnsi="微软雅黑"/>
                <w:sz w:val="18"/>
                <w:szCs w:val="18"/>
              </w:rPr>
              <w:t xml:space="preserve"> </w:t>
            </w:r>
            <w:r>
              <w:rPr>
                <w:rFonts w:ascii="微软雅黑" w:hAnsi="微软雅黑"/>
                <w:sz w:val="18"/>
                <w:szCs w:val="18"/>
              </w:rPr>
              <w:t>320</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YS/T</w:t>
            </w:r>
            <w:r>
              <w:rPr>
                <w:rFonts w:ascii="微软雅黑" w:hAnsi="微软雅黑"/>
                <w:sz w:val="18"/>
                <w:szCs w:val="18"/>
              </w:rPr>
              <w:t>320</w:t>
            </w:r>
            <w:r>
              <w:rPr>
                <w:rFonts w:hint="eastAsia" w:ascii="微软雅黑" w:hAnsi="微软雅黑"/>
                <w:sz w:val="18"/>
                <w:szCs w:val="18"/>
              </w:rPr>
              <w:t xml:space="preserve"> ，分析检验结果</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70" w:type="dxa"/>
            <w:vMerge w:val="continue"/>
            <w:tcBorders>
              <w:left w:val="single" w:color="auto" w:sz="12" w:space="0"/>
            </w:tcBorders>
            <w:vAlign w:val="center"/>
          </w:tcPr>
          <w:p>
            <w:pPr>
              <w:rPr>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水循环利用率</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≥97</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《铅锌行业规范条件（2015）</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2" w:hRule="atLeast"/>
        </w:trPr>
        <w:tc>
          <w:tcPr>
            <w:tcW w:w="1070" w:type="dxa"/>
            <w:tcBorders>
              <w:left w:val="single" w:color="auto" w:sz="12" w:space="0"/>
            </w:tcBorders>
            <w:vAlign w:val="center"/>
          </w:tcPr>
          <w:p>
            <w:pPr>
              <w:rPr>
                <w:b/>
                <w:sz w:val="18"/>
                <w:szCs w:val="18"/>
              </w:rPr>
            </w:pPr>
            <w:r>
              <w:rPr>
                <w:rFonts w:hint="eastAsia"/>
                <w:b/>
                <w:sz w:val="18"/>
                <w:szCs w:val="18"/>
              </w:rPr>
              <w:t>能源属性</w:t>
            </w:r>
          </w:p>
        </w:tc>
        <w:tc>
          <w:tcPr>
            <w:tcW w:w="2299" w:type="dxa"/>
            <w:vAlign w:val="center"/>
          </w:tcPr>
          <w:p>
            <w:pPr>
              <w:ind w:firstLine="90" w:firstLineChars="50"/>
              <w:rPr>
                <w:rFonts w:hint="eastAsia" w:ascii="微软雅黑" w:hAnsi="微软雅黑" w:eastAsia="微软雅黑"/>
                <w:sz w:val="18"/>
                <w:szCs w:val="18"/>
                <w:lang w:eastAsia="zh-CN"/>
              </w:rPr>
            </w:pPr>
            <w:r>
              <w:rPr>
                <w:rFonts w:hint="eastAsia" w:ascii="微软雅黑" w:hAnsi="微软雅黑"/>
                <w:sz w:val="18"/>
                <w:szCs w:val="18"/>
                <w:lang w:eastAsia="zh-CN"/>
              </w:rPr>
              <w:t>综合能耗</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kgce/t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先进值</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GB 21249先进值</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70" w:type="dxa"/>
            <w:vMerge w:val="restart"/>
            <w:tcBorders>
              <w:left w:val="single" w:color="auto" w:sz="12" w:space="0"/>
            </w:tcBorders>
            <w:vAlign w:val="center"/>
          </w:tcPr>
          <w:p>
            <w:pPr>
              <w:rPr>
                <w:b/>
                <w:sz w:val="18"/>
                <w:szCs w:val="18"/>
              </w:rPr>
            </w:pPr>
            <w:r>
              <w:rPr>
                <w:rFonts w:hint="eastAsia"/>
                <w:b/>
                <w:sz w:val="18"/>
                <w:szCs w:val="18"/>
              </w:rPr>
              <w:t>环境属性</w:t>
            </w:r>
          </w:p>
        </w:tc>
        <w:tc>
          <w:tcPr>
            <w:tcW w:w="2299" w:type="dxa"/>
            <w:vAlign w:val="center"/>
          </w:tcPr>
          <w:p>
            <w:pPr>
              <w:rPr>
                <w:rFonts w:hint="eastAsia" w:ascii="微软雅黑" w:hAnsi="微软雅黑"/>
                <w:sz w:val="18"/>
                <w:szCs w:val="18"/>
              </w:rPr>
            </w:pPr>
            <w:r>
              <w:rPr>
                <w:rFonts w:hint="eastAsia" w:ascii="微软雅黑" w:hAnsi="微软雅黑"/>
                <w:sz w:val="18"/>
                <w:szCs w:val="18"/>
              </w:rPr>
              <w:t>水污染物排放浓度限值</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mg/L</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新建企业排放限值</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1070" w:type="dxa"/>
            <w:vMerge w:val="continue"/>
            <w:tcBorders>
              <w:left w:val="single" w:color="auto" w:sz="12" w:space="0"/>
            </w:tcBorders>
            <w:vAlign w:val="center"/>
          </w:tcPr>
          <w:p>
            <w:pPr>
              <w:rPr>
                <w:b/>
                <w:sz w:val="18"/>
                <w:szCs w:val="18"/>
              </w:rPr>
            </w:pPr>
          </w:p>
        </w:tc>
        <w:tc>
          <w:tcPr>
            <w:tcW w:w="2299" w:type="dxa"/>
            <w:vAlign w:val="center"/>
          </w:tcPr>
          <w:p>
            <w:pPr>
              <w:rPr>
                <w:rFonts w:hint="eastAsia" w:ascii="微软雅黑" w:hAnsi="微软雅黑"/>
                <w:sz w:val="18"/>
                <w:szCs w:val="18"/>
              </w:rPr>
            </w:pPr>
            <w:r>
              <w:rPr>
                <w:rFonts w:hint="eastAsia" w:ascii="微软雅黑" w:hAnsi="微软雅黑"/>
                <w:sz w:val="18"/>
                <w:szCs w:val="18"/>
              </w:rPr>
              <w:t>大气污染物排放浓度限值</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mg/m3</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大气污染物特别排放限值</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1070" w:type="dxa"/>
            <w:vMerge w:val="continue"/>
            <w:tcBorders>
              <w:left w:val="single" w:color="auto" w:sz="12" w:space="0"/>
            </w:tcBorders>
            <w:vAlign w:val="center"/>
          </w:tcPr>
          <w:p>
            <w:pPr>
              <w:rPr>
                <w:color w:val="000000"/>
                <w:sz w:val="18"/>
                <w:szCs w:val="18"/>
              </w:rPr>
            </w:pPr>
          </w:p>
        </w:tc>
        <w:tc>
          <w:tcPr>
            <w:tcW w:w="2299" w:type="dxa"/>
            <w:vAlign w:val="center"/>
          </w:tcPr>
          <w:p>
            <w:pPr>
              <w:ind w:firstLine="90" w:firstLineChars="50"/>
              <w:rPr>
                <w:rFonts w:hint="eastAsia" w:ascii="微软雅黑" w:hAnsi="微软雅黑"/>
                <w:sz w:val="18"/>
                <w:szCs w:val="18"/>
              </w:rPr>
            </w:pPr>
            <w:r>
              <w:rPr>
                <w:rFonts w:hint="eastAsia" w:ascii="微软雅黑" w:hAnsi="微软雅黑"/>
                <w:sz w:val="18"/>
                <w:szCs w:val="18"/>
              </w:rPr>
              <w:t>单位产品基准排水量</w:t>
            </w:r>
          </w:p>
        </w:tc>
        <w:tc>
          <w:tcPr>
            <w:tcW w:w="992" w:type="dxa"/>
            <w:vAlign w:val="center"/>
          </w:tcPr>
          <w:p>
            <w:pPr>
              <w:ind w:firstLine="90" w:firstLineChars="50"/>
              <w:rPr>
                <w:rFonts w:hint="eastAsia" w:ascii="微软雅黑" w:hAnsi="微软雅黑"/>
                <w:sz w:val="18"/>
                <w:szCs w:val="18"/>
              </w:rPr>
            </w:pPr>
            <w:r>
              <w:rPr>
                <w:rFonts w:hint="eastAsia" w:ascii="微软雅黑" w:hAnsi="微软雅黑"/>
                <w:sz w:val="18"/>
                <w:szCs w:val="18"/>
              </w:rPr>
              <w:t>m3/t</w:t>
            </w:r>
          </w:p>
        </w:tc>
        <w:tc>
          <w:tcPr>
            <w:tcW w:w="1138" w:type="dxa"/>
            <w:vAlign w:val="center"/>
          </w:tcPr>
          <w:p>
            <w:pPr>
              <w:ind w:firstLine="90" w:firstLineChars="50"/>
              <w:rPr>
                <w:rFonts w:hint="eastAsia" w:ascii="微软雅黑" w:hAnsi="微软雅黑"/>
                <w:sz w:val="18"/>
                <w:szCs w:val="18"/>
              </w:rPr>
            </w:pPr>
            <w:r>
              <w:rPr>
                <w:rFonts w:hint="eastAsia" w:ascii="微软雅黑" w:hAnsi="微软雅黑"/>
                <w:sz w:val="18"/>
                <w:szCs w:val="18"/>
              </w:rPr>
              <w:t>≤10</w:t>
            </w:r>
          </w:p>
        </w:tc>
        <w:tc>
          <w:tcPr>
            <w:tcW w:w="2432" w:type="dxa"/>
            <w:vAlign w:val="center"/>
          </w:tcPr>
          <w:p>
            <w:pPr>
              <w:ind w:firstLine="90" w:firstLineChars="50"/>
              <w:rPr>
                <w:rFonts w:hint="eastAsia" w:ascii="微软雅黑" w:hAnsi="微软雅黑"/>
                <w:sz w:val="18"/>
                <w:szCs w:val="18"/>
              </w:rPr>
            </w:pPr>
            <w:r>
              <w:rPr>
                <w:rFonts w:hint="eastAsia" w:ascii="微软雅黑" w:hAnsi="微软雅黑"/>
                <w:sz w:val="18"/>
                <w:szCs w:val="18"/>
              </w:rPr>
              <w:t>依据GB 25466检测方法提供检测报告</w:t>
            </w:r>
          </w:p>
        </w:tc>
        <w:tc>
          <w:tcPr>
            <w:tcW w:w="1074" w:type="dxa"/>
            <w:tcBorders>
              <w:right w:val="single" w:color="auto" w:sz="12" w:space="0"/>
            </w:tcBorders>
            <w:vAlign w:val="center"/>
          </w:tcPr>
          <w:p>
            <w:pPr>
              <w:ind w:firstLine="90" w:firstLineChars="50"/>
              <w:rPr>
                <w:rFonts w:hint="eastAsia" w:ascii="微软雅黑" w:hAnsi="微软雅黑"/>
                <w:sz w:val="18"/>
                <w:szCs w:val="18"/>
              </w:rPr>
            </w:pPr>
            <w:r>
              <w:rPr>
                <w:rFonts w:hint="eastAsia" w:ascii="微软雅黑" w:hAnsi="微软雅黑"/>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070" w:type="dxa"/>
            <w:tcBorders>
              <w:left w:val="single" w:color="auto" w:sz="12" w:space="0"/>
            </w:tcBorders>
            <w:vAlign w:val="center"/>
          </w:tcPr>
          <w:p>
            <w:pPr>
              <w:rPr>
                <w:b/>
                <w:color w:val="000000"/>
                <w:sz w:val="18"/>
                <w:szCs w:val="18"/>
              </w:rPr>
            </w:pPr>
            <w:r>
              <w:rPr>
                <w:rFonts w:hint="eastAsia"/>
                <w:b/>
                <w:color w:val="000000"/>
                <w:sz w:val="18"/>
                <w:szCs w:val="18"/>
              </w:rPr>
              <w:t>产品属性</w:t>
            </w:r>
          </w:p>
        </w:tc>
        <w:tc>
          <w:tcPr>
            <w:tcW w:w="2299" w:type="dxa"/>
            <w:vAlign w:val="center"/>
          </w:tcPr>
          <w:p>
            <w:pPr>
              <w:rPr>
                <w:rFonts w:ascii="宋体" w:hAnsi="宋体"/>
                <w:color w:val="000000"/>
                <w:sz w:val="18"/>
                <w:szCs w:val="18"/>
              </w:rPr>
            </w:pPr>
            <w:r>
              <w:rPr>
                <w:rFonts w:ascii="宋体" w:hAnsi="宋体"/>
                <w:color w:val="000000"/>
                <w:sz w:val="18"/>
                <w:szCs w:val="18"/>
              </w:rPr>
              <w:t>产品质量</w:t>
            </w:r>
          </w:p>
        </w:tc>
        <w:tc>
          <w:tcPr>
            <w:tcW w:w="992" w:type="dxa"/>
            <w:vAlign w:val="center"/>
          </w:tcPr>
          <w:p>
            <w:pPr>
              <w:rPr>
                <w:rFonts w:ascii="宋体" w:hAnsi="宋体"/>
                <w:color w:val="000000"/>
                <w:sz w:val="18"/>
                <w:szCs w:val="18"/>
              </w:rPr>
            </w:pPr>
            <w:r>
              <w:rPr>
                <w:rFonts w:hint="eastAsia" w:ascii="宋体" w:hAnsi="宋体"/>
                <w:color w:val="000000"/>
                <w:sz w:val="18"/>
                <w:szCs w:val="18"/>
              </w:rPr>
              <w:t>--</w:t>
            </w:r>
          </w:p>
        </w:tc>
        <w:tc>
          <w:tcPr>
            <w:tcW w:w="1138" w:type="dxa"/>
            <w:vAlign w:val="center"/>
          </w:tcPr>
          <w:p>
            <w:pPr>
              <w:rPr>
                <w:rFonts w:ascii="宋体" w:hAnsi="宋体"/>
                <w:color w:val="000000"/>
                <w:sz w:val="18"/>
                <w:szCs w:val="18"/>
              </w:rPr>
            </w:pPr>
            <w:r>
              <w:rPr>
                <w:rFonts w:hint="eastAsia" w:ascii="宋体" w:hAnsi="宋体"/>
                <w:color w:val="000000"/>
                <w:sz w:val="18"/>
                <w:szCs w:val="18"/>
              </w:rPr>
              <w:t>--</w:t>
            </w:r>
          </w:p>
        </w:tc>
        <w:tc>
          <w:tcPr>
            <w:tcW w:w="2432" w:type="dxa"/>
            <w:vAlign w:val="center"/>
          </w:tcPr>
          <w:p>
            <w:pPr>
              <w:rPr>
                <w:rFonts w:hint="eastAsia" w:ascii="宋体" w:hAnsi="宋体"/>
                <w:color w:val="000000"/>
                <w:sz w:val="18"/>
                <w:szCs w:val="18"/>
              </w:rPr>
            </w:pPr>
            <w:r>
              <w:rPr>
                <w:rFonts w:hint="eastAsia" w:ascii="宋体" w:hAnsi="宋体"/>
                <w:color w:val="000000"/>
                <w:sz w:val="18"/>
                <w:szCs w:val="18"/>
              </w:rPr>
              <w:t xml:space="preserve">GB/T </w:t>
            </w:r>
            <w:r>
              <w:rPr>
                <w:rFonts w:ascii="宋体" w:hAnsi="宋体"/>
                <w:color w:val="000000"/>
                <w:sz w:val="18"/>
                <w:szCs w:val="18"/>
              </w:rPr>
              <w:t>470</w:t>
            </w:r>
            <w:r>
              <w:rPr>
                <w:rFonts w:hint="eastAsia" w:ascii="宋体" w:hAnsi="宋体"/>
                <w:color w:val="000000"/>
                <w:sz w:val="18"/>
                <w:szCs w:val="18"/>
              </w:rPr>
              <w:t>《锌锭》</w:t>
            </w:r>
          </w:p>
        </w:tc>
        <w:tc>
          <w:tcPr>
            <w:tcW w:w="1074" w:type="dxa"/>
            <w:tcBorders>
              <w:right w:val="single" w:color="auto" w:sz="12" w:space="0"/>
            </w:tcBorders>
            <w:vAlign w:val="center"/>
          </w:tcPr>
          <w:p>
            <w:pPr>
              <w:ind w:firstLine="90" w:firstLineChars="50"/>
              <w:rPr>
                <w:color w:val="000000"/>
                <w:sz w:val="18"/>
                <w:szCs w:val="18"/>
              </w:rPr>
            </w:pPr>
            <w:r>
              <w:rPr>
                <w:rFonts w:hint="eastAsia"/>
                <w:color w:val="000000"/>
                <w:sz w:val="18"/>
                <w:szCs w:val="18"/>
              </w:rPr>
              <w:t>产品使用</w:t>
            </w:r>
          </w:p>
        </w:tc>
      </w:tr>
    </w:tbl>
    <w:p>
      <w:pPr>
        <w:rPr>
          <w:rFonts w:asciiTheme="minorEastAsia" w:hAnsiTheme="minorEastAsia" w:eastAsiaTheme="minorEastAsia"/>
          <w:color w:val="0000FF"/>
          <w:sz w:val="24"/>
          <w:szCs w:val="24"/>
          <w:highlight w:val="cyan"/>
        </w:rPr>
      </w:pPr>
    </w:p>
    <w:p>
      <w:pPr>
        <w:pStyle w:val="21"/>
        <w:numPr>
          <w:ilvl w:val="0"/>
          <w:numId w:val="2"/>
        </w:numPr>
        <w:ind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能源属性中各项综合能耗依据</w:t>
      </w:r>
      <w:r>
        <w:rPr>
          <w:rFonts w:asciiTheme="minorEastAsia" w:hAnsiTheme="minorEastAsia" w:eastAsiaTheme="minorEastAsia"/>
          <w:sz w:val="24"/>
          <w:szCs w:val="24"/>
        </w:rPr>
        <w:t>GB 21</w:t>
      </w:r>
      <w:r>
        <w:rPr>
          <w:rFonts w:hint="eastAsia" w:asciiTheme="minorEastAsia" w:hAnsiTheme="minorEastAsia" w:eastAsiaTheme="minorEastAsia"/>
          <w:sz w:val="24"/>
          <w:szCs w:val="24"/>
        </w:rPr>
        <w:t>24</w:t>
      </w:r>
      <w:r>
        <w:rPr>
          <w:rFonts w:asciiTheme="minorEastAsia" w:hAnsiTheme="minorEastAsia" w:eastAsiaTheme="minorEastAsia"/>
          <w:sz w:val="24"/>
          <w:szCs w:val="24"/>
        </w:rPr>
        <w:t>9</w:t>
      </w:r>
      <w:r>
        <w:rPr>
          <w:rFonts w:hint="eastAsia" w:asciiTheme="minorEastAsia" w:hAnsiTheme="minorEastAsia" w:eastAsiaTheme="minorEastAsia"/>
          <w:sz w:val="24"/>
          <w:szCs w:val="24"/>
        </w:rPr>
        <w:t>锌冶炼企业单位产品能源消耗限额</w:t>
      </w:r>
      <w:r>
        <w:rPr>
          <w:rFonts w:hint="eastAsia" w:asciiTheme="minorEastAsia" w:hAnsiTheme="minorEastAsia" w:eastAsiaTheme="minorEastAsia"/>
          <w:color w:val="000000" w:themeColor="text1"/>
          <w:sz w:val="24"/>
          <w:szCs w:val="24"/>
        </w:rPr>
        <w:t>标准，按绿色产品评价标准编制要求，采用的综合能耗指标的基准值为锌冶炼单位能耗先进值（锌精矿冶炼工艺）和锌冶炼单位能耗先进值。</w:t>
      </w:r>
    </w:p>
    <w:p>
      <w:pPr>
        <w:pStyle w:val="21"/>
        <w:numPr>
          <w:ilvl w:val="0"/>
          <w:numId w:val="2"/>
        </w:numPr>
        <w:ind w:firstLineChars="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环境属性中</w:t>
      </w:r>
      <w:r>
        <w:rPr>
          <w:rFonts w:hint="eastAsia" w:asciiTheme="minorEastAsia" w:hAnsiTheme="minorEastAsia" w:eastAsiaTheme="minorEastAsia"/>
          <w:sz w:val="24"/>
          <w:szCs w:val="24"/>
        </w:rPr>
        <w:t>水污染物排放浓度限值和</w:t>
      </w:r>
      <w:r>
        <w:rPr>
          <w:rFonts w:hint="eastAsia" w:asciiTheme="minorEastAsia" w:hAnsiTheme="minorEastAsia" w:eastAsiaTheme="minorEastAsia"/>
          <w:color w:val="000000"/>
          <w:sz w:val="24"/>
          <w:szCs w:val="24"/>
        </w:rPr>
        <w:t>大气污染物排放浓度限值符合</w:t>
      </w:r>
      <w:r>
        <w:rPr>
          <w:rFonts w:asciiTheme="minorEastAsia" w:hAnsiTheme="minorEastAsia" w:eastAsiaTheme="minorEastAsia"/>
          <w:sz w:val="24"/>
          <w:szCs w:val="24"/>
        </w:rPr>
        <w:t xml:space="preserve">GB </w:t>
      </w:r>
      <w:r>
        <w:rPr>
          <w:rFonts w:hint="eastAsia" w:asciiTheme="minorEastAsia" w:hAnsiTheme="minorEastAsia" w:eastAsiaTheme="minorEastAsia"/>
          <w:sz w:val="24"/>
          <w:szCs w:val="24"/>
        </w:rPr>
        <w:t>2546</w:t>
      </w:r>
      <w:r>
        <w:rPr>
          <w:rFonts w:asciiTheme="minorEastAsia" w:hAnsiTheme="minorEastAsia" w:eastAsiaTheme="minorEastAsia"/>
          <w:sz w:val="24"/>
          <w:szCs w:val="24"/>
        </w:rPr>
        <w:t>6</w:t>
      </w:r>
      <w:r>
        <w:rPr>
          <w:rFonts w:hint="eastAsia" w:cs="宋体" w:asciiTheme="minorEastAsia" w:hAnsiTheme="minorEastAsia" w:eastAsiaTheme="minorEastAsia"/>
          <w:sz w:val="24"/>
          <w:szCs w:val="24"/>
        </w:rPr>
        <w:t>工业污染物排放标准</w:t>
      </w:r>
      <w:r>
        <w:rPr>
          <w:rFonts w:hint="eastAsia" w:asciiTheme="minorEastAsia" w:hAnsiTheme="minorEastAsia" w:eastAsiaTheme="minorEastAsia"/>
          <w:color w:val="000000" w:themeColor="text1"/>
          <w:sz w:val="24"/>
          <w:szCs w:val="24"/>
        </w:rPr>
        <w:t>。</w:t>
      </w:r>
    </w:p>
    <w:p>
      <w:pPr>
        <w:pStyle w:val="21"/>
        <w:numPr>
          <w:ilvl w:val="0"/>
          <w:numId w:val="2"/>
        </w:numPr>
        <w:ind w:firstLineChars="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环境属性中单位产品基准排水量依据GB 25466标准，要求达到单位产品基准排水量的要求小于等于10 m3/t，废水排放量的基准值定为小于等于10 m3/t。</w:t>
      </w:r>
    </w:p>
    <w:p>
      <w:pPr>
        <w:pStyle w:val="2"/>
      </w:pPr>
      <w:bookmarkStart w:id="22" w:name="_Toc2533282"/>
      <w:r>
        <w:rPr>
          <w:rFonts w:hint="eastAsia"/>
        </w:rPr>
        <w:t>四、与现行法律、法规、强制性国家标准及相关标准协调配套情况</w:t>
      </w:r>
      <w:bookmarkEnd w:id="22"/>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目前我国无锌锭绿色产品设计评价的国家标准或行业标准，本标准是新制定的团体标准。本标准制定与现行的相关法律、法规、强制性国家标准及相关标准不冲突。</w:t>
      </w:r>
    </w:p>
    <w:p>
      <w:pPr>
        <w:pStyle w:val="2"/>
      </w:pPr>
      <w:bookmarkStart w:id="23" w:name="_Toc2533283"/>
      <w:r>
        <w:rPr>
          <w:rFonts w:hint="eastAsia"/>
        </w:rPr>
        <w:t>五、标准中如涉及专利，应有明确的知识产权说明</w:t>
      </w:r>
      <w:bookmarkEnd w:id="23"/>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标准中不涉及任何专利和知识产权。</w:t>
      </w:r>
    </w:p>
    <w:p>
      <w:pPr>
        <w:pStyle w:val="2"/>
      </w:pPr>
      <w:bookmarkStart w:id="24" w:name="_Toc2533284"/>
      <w:r>
        <w:rPr>
          <w:rFonts w:hint="eastAsia"/>
        </w:rPr>
        <w:t>六、废止现行有关标准的建议</w:t>
      </w:r>
      <w:bookmarkEnd w:id="24"/>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无</w:t>
      </w:r>
    </w:p>
    <w:p>
      <w:pPr>
        <w:pStyle w:val="2"/>
      </w:pPr>
      <w:bookmarkStart w:id="25" w:name="_Toc2533285"/>
      <w:r>
        <w:rPr>
          <w:rFonts w:hint="eastAsia"/>
        </w:rPr>
        <w:t>七、市场前景可产生的经济和社会效益</w:t>
      </w:r>
      <w:bookmarkEnd w:id="25"/>
    </w:p>
    <w:p>
      <w:pPr>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1. 该项目的实施，将为锌锭生产企业下一步对锌锭申报绿色产品提供基础条件，减少贸易壁垒。</w:t>
      </w:r>
    </w:p>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2. 该项目的实施，将规范锌锭生产企业的绿色要求，对促进我国有色行业的持续、健康发展具有重要的意义。</w:t>
      </w:r>
    </w:p>
    <w:sectPr>
      <w:head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5C63"/>
    <w:multiLevelType w:val="multilevel"/>
    <w:tmpl w:val="34195C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9E1DB8"/>
    <w:multiLevelType w:val="multilevel"/>
    <w:tmpl w:val="359E1D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56B9"/>
    <w:rsid w:val="00031435"/>
    <w:rsid w:val="00032F66"/>
    <w:rsid w:val="00053E05"/>
    <w:rsid w:val="0006439C"/>
    <w:rsid w:val="00064DCE"/>
    <w:rsid w:val="00064E48"/>
    <w:rsid w:val="000814F5"/>
    <w:rsid w:val="00083740"/>
    <w:rsid w:val="00084090"/>
    <w:rsid w:val="00097BB7"/>
    <w:rsid w:val="000A4C04"/>
    <w:rsid w:val="000B07BB"/>
    <w:rsid w:val="000B19B0"/>
    <w:rsid w:val="000C2648"/>
    <w:rsid w:val="000C5C71"/>
    <w:rsid w:val="000D6235"/>
    <w:rsid w:val="000D7235"/>
    <w:rsid w:val="000D7C2D"/>
    <w:rsid w:val="000E75DB"/>
    <w:rsid w:val="000F5019"/>
    <w:rsid w:val="00103F91"/>
    <w:rsid w:val="00104355"/>
    <w:rsid w:val="00107637"/>
    <w:rsid w:val="00110E0D"/>
    <w:rsid w:val="00133DB7"/>
    <w:rsid w:val="001352AB"/>
    <w:rsid w:val="001451DE"/>
    <w:rsid w:val="00171D5D"/>
    <w:rsid w:val="00176596"/>
    <w:rsid w:val="001767F8"/>
    <w:rsid w:val="0019642A"/>
    <w:rsid w:val="00196CE5"/>
    <w:rsid w:val="001A0815"/>
    <w:rsid w:val="001A3146"/>
    <w:rsid w:val="001A43F3"/>
    <w:rsid w:val="001B17FB"/>
    <w:rsid w:val="001B6517"/>
    <w:rsid w:val="001D51AE"/>
    <w:rsid w:val="002033B0"/>
    <w:rsid w:val="00205CFB"/>
    <w:rsid w:val="00214C97"/>
    <w:rsid w:val="002151C3"/>
    <w:rsid w:val="002238F4"/>
    <w:rsid w:val="00226458"/>
    <w:rsid w:val="00243144"/>
    <w:rsid w:val="0025432F"/>
    <w:rsid w:val="00257E09"/>
    <w:rsid w:val="0026336A"/>
    <w:rsid w:val="00263683"/>
    <w:rsid w:val="00277F16"/>
    <w:rsid w:val="002841C4"/>
    <w:rsid w:val="00287D08"/>
    <w:rsid w:val="002B02FF"/>
    <w:rsid w:val="002B5922"/>
    <w:rsid w:val="002B7F65"/>
    <w:rsid w:val="002C22D9"/>
    <w:rsid w:val="002D0760"/>
    <w:rsid w:val="002D313B"/>
    <w:rsid w:val="002E4338"/>
    <w:rsid w:val="002E5140"/>
    <w:rsid w:val="00302CEB"/>
    <w:rsid w:val="003107A2"/>
    <w:rsid w:val="00312FE8"/>
    <w:rsid w:val="00323B43"/>
    <w:rsid w:val="00341423"/>
    <w:rsid w:val="0034403B"/>
    <w:rsid w:val="00355472"/>
    <w:rsid w:val="00375431"/>
    <w:rsid w:val="00391640"/>
    <w:rsid w:val="003A0D0D"/>
    <w:rsid w:val="003A4EEF"/>
    <w:rsid w:val="003C63C8"/>
    <w:rsid w:val="003D2901"/>
    <w:rsid w:val="003D37D8"/>
    <w:rsid w:val="003F4DB7"/>
    <w:rsid w:val="003F59C7"/>
    <w:rsid w:val="00415F01"/>
    <w:rsid w:val="004211CA"/>
    <w:rsid w:val="00424ED0"/>
    <w:rsid w:val="00426133"/>
    <w:rsid w:val="00432F09"/>
    <w:rsid w:val="004358AB"/>
    <w:rsid w:val="004651FA"/>
    <w:rsid w:val="004700A9"/>
    <w:rsid w:val="00481BFA"/>
    <w:rsid w:val="0049306E"/>
    <w:rsid w:val="004A7AFB"/>
    <w:rsid w:val="004B17C9"/>
    <w:rsid w:val="004B6B29"/>
    <w:rsid w:val="004C0A44"/>
    <w:rsid w:val="004D652F"/>
    <w:rsid w:val="0051048C"/>
    <w:rsid w:val="005167E0"/>
    <w:rsid w:val="00524F02"/>
    <w:rsid w:val="005274E9"/>
    <w:rsid w:val="00530A79"/>
    <w:rsid w:val="0054130B"/>
    <w:rsid w:val="00571216"/>
    <w:rsid w:val="00580CF8"/>
    <w:rsid w:val="00587BDA"/>
    <w:rsid w:val="005B434D"/>
    <w:rsid w:val="005B44B0"/>
    <w:rsid w:val="005C2709"/>
    <w:rsid w:val="005C63BC"/>
    <w:rsid w:val="005D2AED"/>
    <w:rsid w:val="005D64F4"/>
    <w:rsid w:val="005E269E"/>
    <w:rsid w:val="005E28DC"/>
    <w:rsid w:val="005E4C5F"/>
    <w:rsid w:val="005F48A4"/>
    <w:rsid w:val="006115A0"/>
    <w:rsid w:val="006301E4"/>
    <w:rsid w:val="00633258"/>
    <w:rsid w:val="00646971"/>
    <w:rsid w:val="006519F5"/>
    <w:rsid w:val="00652213"/>
    <w:rsid w:val="00684581"/>
    <w:rsid w:val="0068610F"/>
    <w:rsid w:val="00697225"/>
    <w:rsid w:val="006A71CF"/>
    <w:rsid w:val="006B5A60"/>
    <w:rsid w:val="006B5C37"/>
    <w:rsid w:val="006C7E3E"/>
    <w:rsid w:val="006D5A2E"/>
    <w:rsid w:val="006F6056"/>
    <w:rsid w:val="00706E3A"/>
    <w:rsid w:val="00715D5C"/>
    <w:rsid w:val="007207E1"/>
    <w:rsid w:val="00722AD9"/>
    <w:rsid w:val="007308A0"/>
    <w:rsid w:val="0073502C"/>
    <w:rsid w:val="0073544E"/>
    <w:rsid w:val="00770E15"/>
    <w:rsid w:val="00771D99"/>
    <w:rsid w:val="007723B0"/>
    <w:rsid w:val="007909B6"/>
    <w:rsid w:val="007945A1"/>
    <w:rsid w:val="00794E7B"/>
    <w:rsid w:val="007B28E2"/>
    <w:rsid w:val="007B46D8"/>
    <w:rsid w:val="007B4F75"/>
    <w:rsid w:val="007B762F"/>
    <w:rsid w:val="007C0B67"/>
    <w:rsid w:val="007C0FB4"/>
    <w:rsid w:val="007D00EC"/>
    <w:rsid w:val="008008B8"/>
    <w:rsid w:val="008050A4"/>
    <w:rsid w:val="00814D3E"/>
    <w:rsid w:val="0083763F"/>
    <w:rsid w:val="00841882"/>
    <w:rsid w:val="00843F49"/>
    <w:rsid w:val="00854E24"/>
    <w:rsid w:val="00863B99"/>
    <w:rsid w:val="00867341"/>
    <w:rsid w:val="008723D8"/>
    <w:rsid w:val="00876DE9"/>
    <w:rsid w:val="00883E79"/>
    <w:rsid w:val="00884CBD"/>
    <w:rsid w:val="00886D9A"/>
    <w:rsid w:val="0089157C"/>
    <w:rsid w:val="0089285B"/>
    <w:rsid w:val="00895D0B"/>
    <w:rsid w:val="00896846"/>
    <w:rsid w:val="008A4713"/>
    <w:rsid w:val="008B7726"/>
    <w:rsid w:val="008F1124"/>
    <w:rsid w:val="00900081"/>
    <w:rsid w:val="009016E6"/>
    <w:rsid w:val="00901B4B"/>
    <w:rsid w:val="00902287"/>
    <w:rsid w:val="00911030"/>
    <w:rsid w:val="00930242"/>
    <w:rsid w:val="00937EA1"/>
    <w:rsid w:val="00943C51"/>
    <w:rsid w:val="00952A7A"/>
    <w:rsid w:val="00954638"/>
    <w:rsid w:val="00960AF6"/>
    <w:rsid w:val="00963C39"/>
    <w:rsid w:val="00970E6E"/>
    <w:rsid w:val="0097196E"/>
    <w:rsid w:val="009879F1"/>
    <w:rsid w:val="00991138"/>
    <w:rsid w:val="00991505"/>
    <w:rsid w:val="0099458B"/>
    <w:rsid w:val="009A083D"/>
    <w:rsid w:val="009C11A3"/>
    <w:rsid w:val="009D1CA0"/>
    <w:rsid w:val="009F1D60"/>
    <w:rsid w:val="009F4BBD"/>
    <w:rsid w:val="00A06302"/>
    <w:rsid w:val="00A156E4"/>
    <w:rsid w:val="00A3248B"/>
    <w:rsid w:val="00A43FFA"/>
    <w:rsid w:val="00A506BA"/>
    <w:rsid w:val="00A53A3F"/>
    <w:rsid w:val="00A54C78"/>
    <w:rsid w:val="00A70F89"/>
    <w:rsid w:val="00A83F2D"/>
    <w:rsid w:val="00AB3817"/>
    <w:rsid w:val="00AB7BE6"/>
    <w:rsid w:val="00AD2E89"/>
    <w:rsid w:val="00AD3D5A"/>
    <w:rsid w:val="00AF3673"/>
    <w:rsid w:val="00B00C63"/>
    <w:rsid w:val="00B20A30"/>
    <w:rsid w:val="00B464F1"/>
    <w:rsid w:val="00B475E7"/>
    <w:rsid w:val="00B617E4"/>
    <w:rsid w:val="00B756E8"/>
    <w:rsid w:val="00B85A09"/>
    <w:rsid w:val="00B9365E"/>
    <w:rsid w:val="00BB2ECD"/>
    <w:rsid w:val="00BB61E9"/>
    <w:rsid w:val="00BD2782"/>
    <w:rsid w:val="00BE44ED"/>
    <w:rsid w:val="00BF2A06"/>
    <w:rsid w:val="00C02A62"/>
    <w:rsid w:val="00C05CB0"/>
    <w:rsid w:val="00C066A6"/>
    <w:rsid w:val="00C16518"/>
    <w:rsid w:val="00C205EC"/>
    <w:rsid w:val="00C3063B"/>
    <w:rsid w:val="00C46A73"/>
    <w:rsid w:val="00C514C7"/>
    <w:rsid w:val="00C51EB4"/>
    <w:rsid w:val="00C552F1"/>
    <w:rsid w:val="00C60A18"/>
    <w:rsid w:val="00C62853"/>
    <w:rsid w:val="00C66853"/>
    <w:rsid w:val="00C70A58"/>
    <w:rsid w:val="00C756D4"/>
    <w:rsid w:val="00C92E8E"/>
    <w:rsid w:val="00CA447D"/>
    <w:rsid w:val="00CC568C"/>
    <w:rsid w:val="00CC6BC6"/>
    <w:rsid w:val="00CD1F2C"/>
    <w:rsid w:val="00D021B4"/>
    <w:rsid w:val="00D1193B"/>
    <w:rsid w:val="00D31D50"/>
    <w:rsid w:val="00D4088B"/>
    <w:rsid w:val="00D71ED7"/>
    <w:rsid w:val="00D94B3D"/>
    <w:rsid w:val="00DB2A7C"/>
    <w:rsid w:val="00DC4B11"/>
    <w:rsid w:val="00DD137C"/>
    <w:rsid w:val="00DD4824"/>
    <w:rsid w:val="00DE0C5A"/>
    <w:rsid w:val="00DE3D2B"/>
    <w:rsid w:val="00DF2199"/>
    <w:rsid w:val="00DF4870"/>
    <w:rsid w:val="00E02A4D"/>
    <w:rsid w:val="00E108C7"/>
    <w:rsid w:val="00E10F84"/>
    <w:rsid w:val="00E126E6"/>
    <w:rsid w:val="00E21CA8"/>
    <w:rsid w:val="00E2437F"/>
    <w:rsid w:val="00E45DBF"/>
    <w:rsid w:val="00E7438E"/>
    <w:rsid w:val="00E84D01"/>
    <w:rsid w:val="00E908D2"/>
    <w:rsid w:val="00E97617"/>
    <w:rsid w:val="00EA109C"/>
    <w:rsid w:val="00EA1550"/>
    <w:rsid w:val="00EA5A01"/>
    <w:rsid w:val="00EC0052"/>
    <w:rsid w:val="00EC4D9D"/>
    <w:rsid w:val="00EC5B6E"/>
    <w:rsid w:val="00ED5124"/>
    <w:rsid w:val="00F01C73"/>
    <w:rsid w:val="00F026CC"/>
    <w:rsid w:val="00F11B22"/>
    <w:rsid w:val="00F16B01"/>
    <w:rsid w:val="00F2516C"/>
    <w:rsid w:val="00F50086"/>
    <w:rsid w:val="00F51A5E"/>
    <w:rsid w:val="00F67772"/>
    <w:rsid w:val="00F7534E"/>
    <w:rsid w:val="00F76931"/>
    <w:rsid w:val="00F860F8"/>
    <w:rsid w:val="00F901C5"/>
    <w:rsid w:val="00FB21E7"/>
    <w:rsid w:val="00FC20EB"/>
    <w:rsid w:val="00FF04DC"/>
    <w:rsid w:val="1EBF3C04"/>
    <w:rsid w:val="60A16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4"/>
    <w:qFormat/>
    <w:uiPriority w:val="9"/>
    <w:pPr>
      <w:keepNext/>
      <w:keepLines/>
      <w:spacing w:after="0"/>
      <w:outlineLvl w:val="0"/>
    </w:pPr>
    <w:rPr>
      <w:b/>
      <w:bCs/>
      <w:kern w:val="44"/>
      <w:sz w:val="30"/>
      <w:szCs w:val="44"/>
    </w:rPr>
  </w:style>
  <w:style w:type="paragraph" w:styleId="3">
    <w:name w:val="heading 2"/>
    <w:basedOn w:val="1"/>
    <w:next w:val="1"/>
    <w:link w:val="20"/>
    <w:qFormat/>
    <w:uiPriority w:val="0"/>
    <w:pPr>
      <w:keepNext/>
      <w:keepLines/>
      <w:widowControl w:val="0"/>
      <w:adjustRightInd/>
      <w:snapToGrid/>
      <w:spacing w:after="0"/>
      <w:ind w:left="100" w:leftChars="100"/>
      <w:jc w:val="both"/>
      <w:outlineLvl w:val="1"/>
    </w:pPr>
    <w:rPr>
      <w:rFonts w:ascii="Arial" w:hAnsi="Arial" w:eastAsia="黑体" w:cs="Times New Roman"/>
      <w:bCs/>
      <w:kern w:val="2"/>
      <w:sz w:val="28"/>
      <w:szCs w:val="32"/>
    </w:rPr>
  </w:style>
  <w:style w:type="paragraph" w:styleId="4">
    <w:name w:val="heading 3"/>
    <w:basedOn w:val="1"/>
    <w:next w:val="1"/>
    <w:link w:val="27"/>
    <w:unhideWhenUsed/>
    <w:qFormat/>
    <w:uiPriority w:val="9"/>
    <w:pPr>
      <w:keepNext/>
      <w:keepLines/>
      <w:spacing w:after="0"/>
      <w:ind w:left="100" w:leftChars="100"/>
      <w:outlineLvl w:val="2"/>
    </w:pPr>
    <w:rPr>
      <w:bCs/>
      <w:sz w:val="28"/>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unhideWhenUsed/>
    <w:uiPriority w:val="39"/>
    <w:pPr>
      <w:ind w:left="840" w:leftChars="400"/>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6"/>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tabs>
        <w:tab w:val="right" w:leader="dot" w:pos="8296"/>
      </w:tabs>
      <w:spacing w:after="0" w:line="240" w:lineRule="atLeast"/>
    </w:pPr>
  </w:style>
  <w:style w:type="paragraph" w:styleId="11">
    <w:name w:val="toc 2"/>
    <w:basedOn w:val="1"/>
    <w:next w:val="1"/>
    <w:unhideWhenUsed/>
    <w:qFormat/>
    <w:uiPriority w:val="39"/>
    <w:pPr>
      <w:tabs>
        <w:tab w:val="right" w:leader="dot" w:pos="8296"/>
      </w:tabs>
      <w:spacing w:after="0"/>
      <w:ind w:left="440" w:leftChars="200"/>
    </w:pPr>
  </w:style>
  <w:style w:type="paragraph" w:styleId="12">
    <w:name w:val="Normal (Web)"/>
    <w:basedOn w:val="1"/>
    <w:unhideWhenUsed/>
    <w:qFormat/>
    <w:uiPriority w:val="99"/>
    <w:pPr>
      <w:widowControl/>
      <w:spacing w:before="100" w:beforeAutospacing="1" w:after="100" w:afterAutospacing="1"/>
      <w:jc w:val="left"/>
    </w:pPr>
    <w:rPr>
      <w:rFonts w:eastAsia="等线"/>
      <w:kern w:val="0"/>
      <w:sz w:val="24"/>
    </w:rPr>
  </w:style>
  <w:style w:type="table" w:styleId="14">
    <w:name w:val="Table Grid"/>
    <w:basedOn w:val="13"/>
    <w:uiPriority w:val="59"/>
    <w:pPr>
      <w:spacing w:after="0" w:line="240" w:lineRule="auto"/>
    </w:pPr>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rPr>
  </w:style>
  <w:style w:type="character" w:customStyle="1" w:styleId="18">
    <w:name w:val="页眉 字符"/>
    <w:basedOn w:val="15"/>
    <w:link w:val="9"/>
    <w:qFormat/>
    <w:uiPriority w:val="99"/>
    <w:rPr>
      <w:rFonts w:ascii="Tahoma" w:hAnsi="Tahoma"/>
      <w:sz w:val="18"/>
      <w:szCs w:val="18"/>
    </w:rPr>
  </w:style>
  <w:style w:type="character" w:customStyle="1" w:styleId="19">
    <w:name w:val="页脚 字符"/>
    <w:basedOn w:val="15"/>
    <w:link w:val="8"/>
    <w:qFormat/>
    <w:uiPriority w:val="99"/>
    <w:rPr>
      <w:rFonts w:ascii="Tahoma" w:hAnsi="Tahoma"/>
      <w:sz w:val="18"/>
      <w:szCs w:val="18"/>
    </w:rPr>
  </w:style>
  <w:style w:type="character" w:customStyle="1" w:styleId="20">
    <w:name w:val="标题 2 字符"/>
    <w:basedOn w:val="15"/>
    <w:link w:val="3"/>
    <w:qFormat/>
    <w:uiPriority w:val="0"/>
    <w:rPr>
      <w:rFonts w:ascii="Arial" w:hAnsi="Arial" w:eastAsia="黑体" w:cs="Times New Roman"/>
      <w:bCs/>
      <w:kern w:val="2"/>
      <w:sz w:val="28"/>
      <w:szCs w:val="32"/>
    </w:rPr>
  </w:style>
  <w:style w:type="paragraph" w:styleId="21">
    <w:name w:val="List Paragraph"/>
    <w:basedOn w:val="1"/>
    <w:qFormat/>
    <w:uiPriority w:val="34"/>
    <w:pPr>
      <w:ind w:firstLine="420" w:firstLineChars="200"/>
    </w:pPr>
  </w:style>
  <w:style w:type="character" w:customStyle="1" w:styleId="22">
    <w:name w:val="日期 字符"/>
    <w:basedOn w:val="15"/>
    <w:link w:val="6"/>
    <w:semiHidden/>
    <w:qFormat/>
    <w:uiPriority w:val="99"/>
    <w:rPr>
      <w:rFonts w:ascii="Tahoma" w:hAnsi="Tahoma"/>
    </w:rPr>
  </w:style>
  <w:style w:type="paragraph" w:styleId="23">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24">
    <w:name w:val="标题 1 字符"/>
    <w:basedOn w:val="15"/>
    <w:link w:val="2"/>
    <w:uiPriority w:val="9"/>
    <w:rPr>
      <w:rFonts w:ascii="Tahoma" w:hAnsi="Tahoma"/>
      <w:b/>
      <w:bCs/>
      <w:kern w:val="44"/>
      <w:sz w:val="30"/>
      <w:szCs w:val="44"/>
    </w:rPr>
  </w:style>
  <w:style w:type="paragraph" w:customStyle="1" w:styleId="25">
    <w:name w:val="TOC Heading"/>
    <w:basedOn w:val="2"/>
    <w:next w:val="1"/>
    <w:semiHidden/>
    <w:unhideWhenUsed/>
    <w:qFormat/>
    <w:uiPriority w:val="39"/>
    <w:pPr>
      <w:adjustRightInd/>
      <w:snapToGrid/>
      <w:spacing w:before="480" w:line="276" w:lineRule="auto"/>
      <w:outlineLvl w:val="9"/>
    </w:pPr>
    <w:rPr>
      <w:rFonts w:asciiTheme="majorHAnsi" w:hAnsiTheme="majorHAnsi" w:eastAsiaTheme="majorEastAsia" w:cstheme="majorBidi"/>
      <w:color w:val="366091" w:themeColor="accent1" w:themeShade="BF"/>
      <w:kern w:val="0"/>
      <w:szCs w:val="28"/>
    </w:rPr>
  </w:style>
  <w:style w:type="character" w:customStyle="1" w:styleId="26">
    <w:name w:val="批注框文本 字符"/>
    <w:basedOn w:val="15"/>
    <w:link w:val="7"/>
    <w:semiHidden/>
    <w:qFormat/>
    <w:uiPriority w:val="99"/>
    <w:rPr>
      <w:rFonts w:ascii="Tahoma" w:hAnsi="Tahoma"/>
      <w:sz w:val="18"/>
      <w:szCs w:val="18"/>
    </w:rPr>
  </w:style>
  <w:style w:type="character" w:customStyle="1" w:styleId="27">
    <w:name w:val="标题 3 字符"/>
    <w:basedOn w:val="15"/>
    <w:link w:val="4"/>
    <w:uiPriority w:val="9"/>
    <w:rPr>
      <w:rFonts w:ascii="Tahoma" w:hAnsi="Tahoma"/>
      <w:bCs/>
      <w:sz w:val="28"/>
      <w:szCs w:val="32"/>
    </w:rPr>
  </w:style>
  <w:style w:type="paragraph" w:customStyle="1" w:styleId="28">
    <w:name w:val="封面标准文稿编辑信息"/>
    <w:qFormat/>
    <w:uiPriority w:val="99"/>
    <w:pPr>
      <w:spacing w:before="180" w:after="0" w:line="180" w:lineRule="exact"/>
      <w:jc w:val="center"/>
    </w:pPr>
    <w:rPr>
      <w:rFonts w:ascii="宋体" w:hAnsi="Times New Roman" w:eastAsia="宋体" w:cs="Times New Roman"/>
      <w:sz w:val="21"/>
      <w:szCs w:val="20"/>
      <w:lang w:val="en-US" w:eastAsia="zh-CN" w:bidi="ar-SA"/>
    </w:rPr>
  </w:style>
  <w:style w:type="paragraph" w:customStyle="1" w:styleId="29">
    <w:name w:val="样式 标准正文 + 首行缩进:  2 字符"/>
    <w:basedOn w:val="1"/>
    <w:uiPriority w:val="0"/>
    <w:pPr>
      <w:widowControl w:val="0"/>
      <w:snapToGrid/>
      <w:spacing w:after="0" w:line="360" w:lineRule="auto"/>
      <w:ind w:firstLine="200" w:firstLineChars="200"/>
    </w:pPr>
    <w:rPr>
      <w:rFonts w:ascii="Times New Roman" w:hAnsi="Times New Roman" w:eastAsia="宋体" w:cs="宋体"/>
      <w:spacing w:val="-4"/>
      <w:kern w:val="21"/>
      <w:sz w:val="24"/>
      <w:szCs w:val="20"/>
    </w:rPr>
  </w:style>
  <w:style w:type="character" w:customStyle="1" w:styleId="30">
    <w:name w:val="表中文字"/>
    <w:uiPriority w:val="0"/>
    <w:rPr>
      <w:rFonts w:hint="eastAsia" w:ascii="宋体" w:hAnsi="宋体" w:eastAsia="宋体"/>
      <w:sz w:val="18"/>
    </w:rPr>
  </w:style>
  <w:style w:type="paragraph" w:customStyle="1" w:styleId="31">
    <w:name w:val="Default"/>
    <w:uiPriority w:val="0"/>
    <w:pPr>
      <w:widowControl w:val="0"/>
      <w:autoSpaceDE w:val="0"/>
      <w:autoSpaceDN w:val="0"/>
      <w:adjustRightInd w:val="0"/>
      <w:spacing w:after="0" w:line="240" w:lineRule="auto"/>
    </w:pPr>
    <w:rPr>
      <w:rFonts w:ascii="宋体" w:hAnsi="Calibri" w:eastAsia="宋体" w:cs="宋体"/>
      <w:color w:val="000000"/>
      <w:sz w:val="24"/>
      <w:szCs w:val="24"/>
      <w:lang w:val="en-US" w:eastAsia="zh-CN" w:bidi="ar-SA"/>
    </w:rPr>
  </w:style>
  <w:style w:type="character" w:customStyle="1" w:styleId="32">
    <w:name w:val="Subtle Emphasis"/>
    <w:basedOn w:val="15"/>
    <w:qFormat/>
    <w:uiPriority w:val="19"/>
    <w:rPr>
      <w:i/>
      <w:iCs/>
      <w:color w:val="3F3F3F" w:themeColor="text1" w:themeTint="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17156-DCD1-4CC4-806B-F16A82885F8C}">
  <ds:schemaRefs/>
</ds:datastoreItem>
</file>

<file path=docProps/app.xml><?xml version="1.0" encoding="utf-8"?>
<Properties xmlns="http://schemas.openxmlformats.org/officeDocument/2006/extended-properties" xmlns:vt="http://schemas.openxmlformats.org/officeDocument/2006/docPropsVTypes">
  <Template>Normal</Template>
  <Pages>15</Pages>
  <Words>1972</Words>
  <Characters>11241</Characters>
  <Lines>93</Lines>
  <Paragraphs>26</Paragraphs>
  <TotalTime>3</TotalTime>
  <ScaleCrop>false</ScaleCrop>
  <LinksUpToDate>false</LinksUpToDate>
  <CharactersWithSpaces>13187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2019-05-10T03:09:10Z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