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36"/>
          <w:szCs w:val="36"/>
        </w:rPr>
      </w:pPr>
    </w:p>
    <w:p>
      <w:pPr>
        <w:pStyle w:val="19"/>
        <w:spacing w:line="360" w:lineRule="auto"/>
        <w:ind w:firstLine="643"/>
        <w:jc w:val="center"/>
        <w:rPr>
          <w:rFonts w:asciiTheme="minorEastAsia" w:hAnsiTheme="minorEastAsia" w:eastAsiaTheme="minorEastAsia"/>
          <w:b/>
          <w:color w:val="000000"/>
          <w:kern w:val="2"/>
          <w:sz w:val="32"/>
          <w:szCs w:val="32"/>
        </w:rPr>
      </w:pPr>
      <w:r>
        <w:rPr>
          <w:rFonts w:hint="eastAsia" w:asciiTheme="minorEastAsia" w:hAnsiTheme="minorEastAsia" w:eastAsiaTheme="minorEastAsia"/>
          <w:b/>
          <w:color w:val="000000"/>
          <w:kern w:val="2"/>
          <w:sz w:val="32"/>
          <w:szCs w:val="32"/>
        </w:rPr>
        <w:t>机动车尾气净化器中助剂元素化学分析方法</w:t>
      </w:r>
    </w:p>
    <w:p>
      <w:pPr>
        <w:pStyle w:val="19"/>
        <w:spacing w:line="360" w:lineRule="auto"/>
        <w:ind w:firstLine="643"/>
        <w:jc w:val="center"/>
        <w:rPr>
          <w:rFonts w:asciiTheme="minorEastAsia" w:hAnsiTheme="minorEastAsia" w:eastAsiaTheme="minorEastAsia"/>
          <w:b/>
          <w:color w:val="000000"/>
          <w:kern w:val="2"/>
          <w:sz w:val="32"/>
          <w:szCs w:val="32"/>
        </w:rPr>
      </w:pPr>
      <w:r>
        <w:rPr>
          <w:rFonts w:hint="eastAsia" w:asciiTheme="minorEastAsia" w:hAnsiTheme="minorEastAsia" w:eastAsiaTheme="minorEastAsia"/>
          <w:b/>
          <w:color w:val="000000"/>
          <w:kern w:val="2"/>
          <w:sz w:val="32"/>
          <w:szCs w:val="32"/>
        </w:rPr>
        <w:t xml:space="preserve">   Ce、Zr、La、Pr、Ba、Nd的测定</w:t>
      </w:r>
    </w:p>
    <w:p>
      <w:pPr>
        <w:pStyle w:val="19"/>
        <w:spacing w:line="360" w:lineRule="auto"/>
        <w:ind w:firstLine="643"/>
        <w:jc w:val="center"/>
        <w:rPr>
          <w:rFonts w:asciiTheme="minorEastAsia" w:hAnsiTheme="minorEastAsia" w:eastAsiaTheme="minorEastAsia"/>
          <w:b/>
          <w:color w:val="000000"/>
        </w:rPr>
      </w:pPr>
      <w:r>
        <w:rPr>
          <w:rFonts w:hint="eastAsia" w:asciiTheme="minorEastAsia" w:hAnsiTheme="minorEastAsia" w:eastAsiaTheme="minorEastAsia"/>
          <w:b/>
          <w:color w:val="000000"/>
          <w:kern w:val="2"/>
          <w:sz w:val="32"/>
          <w:szCs w:val="32"/>
        </w:rPr>
        <w:t>电感耦合等离子体原子发射光谱法</w:t>
      </w:r>
    </w:p>
    <w:p>
      <w:pPr>
        <w:jc w:val="center"/>
        <w:rPr>
          <w:rFonts w:ascii="宋体"/>
          <w:sz w:val="32"/>
          <w:szCs w:val="32"/>
        </w:rPr>
      </w:pPr>
    </w:p>
    <w:p>
      <w:pPr>
        <w:jc w:val="center"/>
        <w:rPr>
          <w:rFonts w:ascii="宋体"/>
          <w:sz w:val="32"/>
          <w:szCs w:val="32"/>
        </w:rPr>
      </w:pPr>
      <w:r>
        <w:rPr>
          <w:rFonts w:hint="eastAsia" w:ascii="宋体" w:hAnsi="宋体"/>
          <w:sz w:val="32"/>
          <w:szCs w:val="32"/>
        </w:rPr>
        <w:t>实验报告</w:t>
      </w:r>
    </w:p>
    <w:p/>
    <w:p>
      <w:pPr>
        <w:widowControl/>
        <w:jc w:val="left"/>
      </w:pPr>
      <w:r>
        <w:br w:type="page"/>
      </w:r>
    </w:p>
    <w:p>
      <w:pPr>
        <w:pStyle w:val="19"/>
        <w:spacing w:line="360" w:lineRule="auto"/>
        <w:ind w:firstLine="640"/>
        <w:jc w:val="center"/>
        <w:rPr>
          <w:rFonts w:hAnsi="宋体"/>
          <w:color w:val="000000"/>
          <w:kern w:val="2"/>
          <w:sz w:val="32"/>
          <w:szCs w:val="32"/>
        </w:rPr>
      </w:pPr>
      <w:r>
        <w:rPr>
          <w:rFonts w:hint="eastAsia" w:hAnsi="宋体"/>
          <w:color w:val="000000"/>
          <w:kern w:val="2"/>
          <w:sz w:val="32"/>
          <w:szCs w:val="32"/>
        </w:rPr>
        <w:t>机动车尾气净化器中助剂元素化学分析方法</w:t>
      </w:r>
    </w:p>
    <w:p>
      <w:pPr>
        <w:pStyle w:val="19"/>
        <w:spacing w:line="360" w:lineRule="auto"/>
        <w:ind w:firstLine="640"/>
        <w:jc w:val="center"/>
        <w:rPr>
          <w:rFonts w:hAnsi="宋体"/>
          <w:color w:val="000000"/>
          <w:kern w:val="2"/>
          <w:sz w:val="32"/>
          <w:szCs w:val="32"/>
        </w:rPr>
      </w:pPr>
      <w:r>
        <w:rPr>
          <w:rFonts w:hint="eastAsia" w:hAnsi="宋体"/>
          <w:color w:val="000000"/>
          <w:kern w:val="2"/>
          <w:sz w:val="32"/>
          <w:szCs w:val="32"/>
        </w:rPr>
        <w:t xml:space="preserve">   Ce、Zr、La、Pr、Ba、Nd的测定</w:t>
      </w:r>
    </w:p>
    <w:p>
      <w:pPr>
        <w:pStyle w:val="19"/>
        <w:spacing w:line="360" w:lineRule="auto"/>
        <w:ind w:firstLine="640"/>
        <w:jc w:val="center"/>
        <w:rPr>
          <w:rFonts w:hAnsi="宋体"/>
          <w:color w:val="000000"/>
        </w:rPr>
      </w:pPr>
      <w:r>
        <w:rPr>
          <w:rFonts w:hint="eastAsia" w:hAnsi="宋体"/>
          <w:color w:val="000000"/>
          <w:kern w:val="2"/>
          <w:sz w:val="32"/>
          <w:szCs w:val="32"/>
        </w:rPr>
        <w:t>电感耦合等离子体原子发射光谱法</w:t>
      </w:r>
    </w:p>
    <w:p>
      <w:pPr>
        <w:jc w:val="center"/>
        <w:rPr>
          <w:b w:val="0"/>
          <w:sz w:val="18"/>
          <w:szCs w:val="18"/>
        </w:rPr>
      </w:pPr>
      <w:r>
        <w:rPr>
          <w:rFonts w:hint="eastAsia"/>
          <w:b w:val="0"/>
          <w:sz w:val="18"/>
          <w:szCs w:val="18"/>
        </w:rPr>
        <w:t>任传婷、方卫、徐光、汪原伊、马媛、甘建壮</w:t>
      </w:r>
    </w:p>
    <w:p>
      <w:pPr>
        <w:jc w:val="center"/>
        <w:rPr>
          <w:b w:val="0"/>
          <w:sz w:val="18"/>
          <w:szCs w:val="18"/>
        </w:rPr>
      </w:pPr>
      <w:r>
        <w:rPr>
          <w:rFonts w:hint="eastAsia"/>
          <w:b w:val="0"/>
          <w:sz w:val="18"/>
          <w:szCs w:val="18"/>
        </w:rPr>
        <w:t>（贵研铂业股份有限公司稀贵金属综合利用新技术国家重点实验室，</w:t>
      </w:r>
    </w:p>
    <w:p>
      <w:pPr>
        <w:jc w:val="center"/>
        <w:rPr>
          <w:b w:val="0"/>
          <w:sz w:val="18"/>
          <w:szCs w:val="18"/>
        </w:rPr>
      </w:pPr>
      <w:r>
        <w:rPr>
          <w:rFonts w:hint="eastAsia"/>
          <w:b w:val="0"/>
          <w:sz w:val="18"/>
          <w:szCs w:val="18"/>
        </w:rPr>
        <w:t>贵研检测科技（云南）有限公司，昆明</w:t>
      </w:r>
      <w:r>
        <w:rPr>
          <w:b w:val="0"/>
          <w:sz w:val="18"/>
          <w:szCs w:val="18"/>
        </w:rPr>
        <w:t xml:space="preserve"> 650106</w:t>
      </w:r>
      <w:r>
        <w:rPr>
          <w:rFonts w:hint="eastAsia"/>
          <w:b w:val="0"/>
          <w:sz w:val="18"/>
          <w:szCs w:val="18"/>
        </w:rPr>
        <w:t>）</w:t>
      </w:r>
    </w:p>
    <w:p>
      <w:pPr>
        <w:rPr>
          <w:b w:val="0"/>
          <w:szCs w:val="28"/>
        </w:rPr>
      </w:pPr>
      <w:r>
        <w:rPr>
          <w:rFonts w:hint="eastAsia"/>
          <w:b w:val="0"/>
          <w:szCs w:val="28"/>
        </w:rPr>
        <w:t>前言</w:t>
      </w:r>
    </w:p>
    <w:p>
      <w:pPr>
        <w:spacing w:line="360" w:lineRule="auto"/>
        <w:ind w:firstLine="480" w:firstLineChars="200"/>
        <w:rPr>
          <w:rFonts w:eastAsiaTheme="minorEastAsia"/>
          <w:b w:val="0"/>
          <w:sz w:val="24"/>
        </w:rPr>
      </w:pPr>
      <w:r>
        <w:rPr>
          <w:rFonts w:hAnsiTheme="minorEastAsia" w:eastAsiaTheme="minorEastAsia"/>
          <w:b w:val="0"/>
          <w:sz w:val="24"/>
        </w:rPr>
        <w:t>汽车排放的尾气已成为主要的大气污染源</w:t>
      </w:r>
      <w:r>
        <w:rPr>
          <w:rFonts w:eastAsiaTheme="minorEastAsia"/>
          <w:b w:val="0"/>
          <w:sz w:val="24"/>
        </w:rPr>
        <w:t xml:space="preserve">, </w:t>
      </w:r>
      <w:r>
        <w:rPr>
          <w:rFonts w:hAnsiTheme="minorEastAsia" w:eastAsiaTheme="minorEastAsia"/>
          <w:b w:val="0"/>
          <w:sz w:val="24"/>
        </w:rPr>
        <w:t>安装汽车尾气净化转化器是减少汽车污染的最有效的手段。转化器中成分的活性主要取决于分布在氧化铝和铈锆载体中的贵金属元素（</w:t>
      </w:r>
      <w:r>
        <w:rPr>
          <w:rFonts w:eastAsiaTheme="minorEastAsia"/>
          <w:b w:val="0"/>
          <w:sz w:val="24"/>
        </w:rPr>
        <w:t>Pt</w:t>
      </w:r>
      <w:r>
        <w:rPr>
          <w:rFonts w:hAnsiTheme="minorEastAsia" w:eastAsiaTheme="minorEastAsia"/>
          <w:b w:val="0"/>
          <w:sz w:val="24"/>
        </w:rPr>
        <w:t>、</w:t>
      </w:r>
      <w:r>
        <w:rPr>
          <w:rFonts w:eastAsiaTheme="minorEastAsia"/>
          <w:b w:val="0"/>
          <w:sz w:val="24"/>
        </w:rPr>
        <w:t>Pd</w:t>
      </w:r>
      <w:r>
        <w:rPr>
          <w:rFonts w:hAnsiTheme="minorEastAsia" w:eastAsiaTheme="minorEastAsia"/>
          <w:b w:val="0"/>
          <w:sz w:val="24"/>
        </w:rPr>
        <w:t>和</w:t>
      </w:r>
      <w:r>
        <w:rPr>
          <w:rFonts w:eastAsiaTheme="minorEastAsia"/>
          <w:b w:val="0"/>
          <w:sz w:val="24"/>
        </w:rPr>
        <w:t>Rh</w:t>
      </w:r>
      <w:r>
        <w:rPr>
          <w:rFonts w:hAnsiTheme="minorEastAsia" w:eastAsiaTheme="minorEastAsia"/>
          <w:b w:val="0"/>
          <w:sz w:val="24"/>
        </w:rPr>
        <w:t>）</w:t>
      </w:r>
      <w:r>
        <w:rPr>
          <w:rFonts w:eastAsiaTheme="minorEastAsia"/>
          <w:b w:val="0"/>
          <w:sz w:val="24"/>
        </w:rPr>
        <w:t>,</w:t>
      </w:r>
      <w:r>
        <w:rPr>
          <w:rFonts w:hAnsiTheme="minorEastAsia" w:eastAsiaTheme="minorEastAsia"/>
          <w:b w:val="0"/>
          <w:sz w:val="24"/>
        </w:rPr>
        <w:t>而稀土元素</w:t>
      </w:r>
      <w:r>
        <w:rPr>
          <w:rFonts w:eastAsiaTheme="minorEastAsia"/>
          <w:b w:val="0"/>
          <w:sz w:val="24"/>
        </w:rPr>
        <w:t>Ce</w:t>
      </w:r>
      <w:r>
        <w:rPr>
          <w:rFonts w:hAnsiTheme="minorEastAsia" w:eastAsiaTheme="minorEastAsia"/>
          <w:b w:val="0"/>
          <w:sz w:val="24"/>
        </w:rPr>
        <w:t>、</w:t>
      </w:r>
      <w:r>
        <w:rPr>
          <w:rFonts w:eastAsiaTheme="minorEastAsia"/>
          <w:b w:val="0"/>
          <w:sz w:val="24"/>
        </w:rPr>
        <w:t>La</w:t>
      </w:r>
      <w:r>
        <w:rPr>
          <w:rFonts w:hAnsiTheme="minorEastAsia" w:eastAsiaTheme="minorEastAsia"/>
          <w:b w:val="0"/>
          <w:sz w:val="24"/>
        </w:rPr>
        <w:t>、</w:t>
      </w:r>
      <w:r>
        <w:rPr>
          <w:rFonts w:eastAsiaTheme="minorEastAsia"/>
          <w:b w:val="0"/>
          <w:sz w:val="24"/>
        </w:rPr>
        <w:t>Nd</w:t>
      </w:r>
      <w:r>
        <w:rPr>
          <w:rFonts w:hAnsiTheme="minorEastAsia" w:eastAsiaTheme="minorEastAsia"/>
          <w:b w:val="0"/>
          <w:sz w:val="24"/>
        </w:rPr>
        <w:t>、</w:t>
      </w:r>
      <w:r>
        <w:rPr>
          <w:rFonts w:eastAsiaTheme="minorEastAsia"/>
          <w:b w:val="0"/>
          <w:sz w:val="24"/>
        </w:rPr>
        <w:t>Pr</w:t>
      </w:r>
      <w:r>
        <w:rPr>
          <w:rFonts w:hAnsiTheme="minorEastAsia" w:eastAsiaTheme="minorEastAsia"/>
          <w:b w:val="0"/>
          <w:sz w:val="24"/>
        </w:rPr>
        <w:t>和</w:t>
      </w:r>
      <w:r>
        <w:rPr>
          <w:rFonts w:eastAsiaTheme="minorEastAsia"/>
          <w:b w:val="0"/>
          <w:sz w:val="24"/>
        </w:rPr>
        <w:t>Zr</w:t>
      </w:r>
      <w:r>
        <w:rPr>
          <w:rFonts w:hAnsiTheme="minorEastAsia" w:eastAsiaTheme="minorEastAsia"/>
          <w:b w:val="0"/>
          <w:sz w:val="24"/>
        </w:rPr>
        <w:t>、</w:t>
      </w:r>
      <w:r>
        <w:rPr>
          <w:rFonts w:eastAsiaTheme="minorEastAsia"/>
          <w:b w:val="0"/>
          <w:sz w:val="24"/>
        </w:rPr>
        <w:t>Ba</w:t>
      </w:r>
      <w:r>
        <w:rPr>
          <w:rFonts w:hAnsiTheme="minorEastAsia" w:eastAsiaTheme="minorEastAsia"/>
          <w:b w:val="0"/>
          <w:sz w:val="24"/>
        </w:rPr>
        <w:t>等元素作为助剂活性成分加入，用于稳定、阻止载体、贵金属烧结失活，调节转化器的储氧能力，提高转化器的寿命等</w:t>
      </w:r>
      <w:r>
        <w:rPr>
          <w:rFonts w:eastAsiaTheme="minorEastAsia"/>
          <w:b w:val="0"/>
          <w:sz w:val="24"/>
          <w:vertAlign w:val="superscript"/>
        </w:rPr>
        <w:t>[1-6]</w:t>
      </w:r>
      <w:r>
        <w:rPr>
          <w:rFonts w:hAnsiTheme="minorEastAsia" w:eastAsiaTheme="minorEastAsia"/>
          <w:b w:val="0"/>
          <w:sz w:val="24"/>
        </w:rPr>
        <w:t>。这些助剂成分不仅增加了催化活性，还可以降低贵金属的用量。随着机动车尾气排放标准的提高，稀土在尾气净化转化器中的应用越来越多，含量可达催化剂的百分之几十，同时逐渐形成了机动车用稀土催化材料的研究开发热潮。</w:t>
      </w:r>
    </w:p>
    <w:p>
      <w:pPr>
        <w:autoSpaceDE w:val="0"/>
        <w:autoSpaceDN w:val="0"/>
        <w:adjustRightInd w:val="0"/>
        <w:spacing w:line="360" w:lineRule="auto"/>
        <w:ind w:firstLine="435"/>
        <w:rPr>
          <w:color w:val="000000"/>
          <w:sz w:val="24"/>
        </w:rPr>
      </w:pPr>
      <w:r>
        <w:rPr>
          <w:rFonts w:hAnsiTheme="minorEastAsia" w:eastAsiaTheme="minorEastAsia"/>
          <w:b w:val="0"/>
          <w:sz w:val="24"/>
        </w:rPr>
        <w:t>稀土元素作为一种战略性资源，世界各国对其开发应用日趋重视。近几年，稀土元素价格的迅猛上涨。同时，日益严格的排放标准，也要求稀土元素等在转化器上的用量提出严格的要求，需要严格控制转化器生产工艺。这些方面对机动车转化器稀土元素的测定提出了迫切需求。</w:t>
      </w:r>
      <w:r>
        <w:rPr>
          <w:b w:val="0"/>
          <w:sz w:val="24"/>
        </w:rPr>
        <w:t>虽然大多数从事催化剂生产和回收企业都建立有自己的一些方法手段，</w:t>
      </w:r>
      <w:r>
        <w:rPr>
          <w:b w:val="0"/>
          <w:color w:val="000000"/>
          <w:sz w:val="24"/>
        </w:rPr>
        <w:t>相关研究</w:t>
      </w:r>
      <w:r>
        <w:rPr>
          <w:b w:val="0"/>
          <w:bCs/>
          <w:sz w:val="24"/>
        </w:rPr>
        <w:t>主要为滴定法、光度法、AAS法、ICP-AES法等，但基本上只是测定单一元素或几个同类元素。国内也有相关报道ICP-AES同时测定稀土汽车尾气净化催化剂中Ce、La、Pr、Y、Al、Zr的含量，采用王水和硫酸溶样，但并未包含Ba、Nd等元素</w:t>
      </w:r>
      <w:r>
        <w:rPr>
          <w:b w:val="0"/>
          <w:bCs/>
          <w:sz w:val="24"/>
          <w:vertAlign w:val="superscript"/>
        </w:rPr>
        <w:t>[7]</w:t>
      </w:r>
      <w:r>
        <w:rPr>
          <w:b w:val="0"/>
          <w:bCs/>
          <w:sz w:val="24"/>
        </w:rPr>
        <w:t>。有本单位的硕士论文</w:t>
      </w:r>
      <w:r>
        <w:rPr>
          <w:b w:val="0"/>
          <w:bCs/>
          <w:sz w:val="24"/>
          <w:vertAlign w:val="superscript"/>
        </w:rPr>
        <w:t>[8]</w:t>
      </w:r>
      <w:r>
        <w:rPr>
          <w:b w:val="0"/>
          <w:bCs/>
          <w:sz w:val="24"/>
        </w:rPr>
        <w:t>系统的研究了催化剂中助剂元素Ce、La、Ba、Y、Zr、Ti，样品进行两次溶解，过程繁琐。虽然作者本人曾经也报道过ICP-AES法测定汽车催化剂中的助剂元素，但包含La、Ba、Zr、Ti、Ce等元素，而且进行两次溶解，过程也比较繁琐，消解时间长</w:t>
      </w:r>
      <w:r>
        <w:rPr>
          <w:b w:val="0"/>
          <w:bCs/>
          <w:sz w:val="24"/>
          <w:vertAlign w:val="superscript"/>
        </w:rPr>
        <w:t>[9]</w:t>
      </w:r>
      <w:r>
        <w:rPr>
          <w:b w:val="0"/>
          <w:bCs/>
          <w:sz w:val="24"/>
        </w:rPr>
        <w:t>。</w:t>
      </w:r>
      <w:r>
        <w:rPr>
          <w:rFonts w:hAnsiTheme="minorEastAsia" w:eastAsiaTheme="minorEastAsia"/>
          <w:b w:val="0"/>
          <w:sz w:val="24"/>
        </w:rPr>
        <w:t>到目前为止，对机动车转化器中稀土元素的检测还没有相应的国家</w:t>
      </w:r>
      <w:r>
        <w:rPr>
          <w:rFonts w:eastAsiaTheme="minorEastAsia"/>
          <w:b w:val="0"/>
          <w:sz w:val="24"/>
        </w:rPr>
        <w:t>/</w:t>
      </w:r>
      <w:r>
        <w:rPr>
          <w:rFonts w:hAnsiTheme="minorEastAsia" w:eastAsiaTheme="minorEastAsia"/>
          <w:b w:val="0"/>
          <w:sz w:val="24"/>
        </w:rPr>
        <w:t>行业标准，不能不说是件遗憾的事。因此，尽快制定机动车转化器中稀土元素等检测的国家标准，是十分的重要和迫切。</w:t>
      </w:r>
    </w:p>
    <w:p>
      <w:pPr>
        <w:spacing w:line="360" w:lineRule="auto"/>
        <w:ind w:firstLine="480" w:firstLineChars="200"/>
        <w:rPr>
          <w:rFonts w:eastAsiaTheme="minorEastAsia"/>
          <w:b w:val="0"/>
          <w:sz w:val="24"/>
        </w:rPr>
      </w:pPr>
      <w:r>
        <w:rPr>
          <w:rFonts w:hAnsiTheme="minorEastAsia" w:eastAsiaTheme="minorEastAsia"/>
          <w:b w:val="0"/>
          <w:sz w:val="24"/>
        </w:rPr>
        <w:t>本研究采用盐酸、硝酸、过氧化氢、氢氟酸消解试样，一次全溶解，</w:t>
      </w:r>
      <w:r>
        <w:rPr>
          <w:rFonts w:eastAsiaTheme="minorEastAsia"/>
          <w:b w:val="0"/>
          <w:sz w:val="24"/>
        </w:rPr>
        <w:t>ICP-AES</w:t>
      </w:r>
      <w:r>
        <w:rPr>
          <w:rFonts w:hAnsiTheme="minorEastAsia" w:eastAsiaTheme="minorEastAsia"/>
          <w:b w:val="0"/>
          <w:sz w:val="24"/>
        </w:rPr>
        <w:t>同时测定机动车转化器中</w:t>
      </w:r>
      <w:r>
        <w:rPr>
          <w:rFonts w:eastAsiaTheme="minorEastAsia"/>
          <w:b w:val="0"/>
          <w:sz w:val="24"/>
        </w:rPr>
        <w:t>La</w:t>
      </w:r>
      <w:r>
        <w:rPr>
          <w:rFonts w:hAnsiTheme="minorEastAsia" w:eastAsiaTheme="minorEastAsia"/>
          <w:b w:val="0"/>
          <w:sz w:val="24"/>
        </w:rPr>
        <w:t>、</w:t>
      </w:r>
      <w:r>
        <w:rPr>
          <w:rFonts w:eastAsiaTheme="minorEastAsia"/>
          <w:b w:val="0"/>
          <w:sz w:val="24"/>
        </w:rPr>
        <w:t>Ce</w:t>
      </w:r>
      <w:r>
        <w:rPr>
          <w:rFonts w:hAnsiTheme="minorEastAsia" w:eastAsiaTheme="minorEastAsia"/>
          <w:b w:val="0"/>
          <w:sz w:val="24"/>
        </w:rPr>
        <w:t>、</w:t>
      </w:r>
      <w:r>
        <w:rPr>
          <w:rFonts w:eastAsiaTheme="minorEastAsia"/>
          <w:b w:val="0"/>
          <w:sz w:val="24"/>
        </w:rPr>
        <w:t>Pr</w:t>
      </w:r>
      <w:r>
        <w:rPr>
          <w:rFonts w:hAnsiTheme="minorEastAsia" w:eastAsiaTheme="minorEastAsia"/>
          <w:b w:val="0"/>
          <w:sz w:val="24"/>
        </w:rPr>
        <w:t>、</w:t>
      </w:r>
      <w:r>
        <w:rPr>
          <w:rFonts w:eastAsiaTheme="minorEastAsia"/>
          <w:b w:val="0"/>
          <w:sz w:val="24"/>
        </w:rPr>
        <w:t>Nd</w:t>
      </w:r>
      <w:r>
        <w:rPr>
          <w:rFonts w:hAnsiTheme="minorEastAsia" w:eastAsiaTheme="minorEastAsia"/>
          <w:b w:val="0"/>
          <w:sz w:val="24"/>
        </w:rPr>
        <w:t>、</w:t>
      </w:r>
      <w:r>
        <w:rPr>
          <w:rFonts w:eastAsiaTheme="minorEastAsia"/>
          <w:b w:val="0"/>
          <w:sz w:val="24"/>
        </w:rPr>
        <w:t>Ba</w:t>
      </w:r>
      <w:r>
        <w:rPr>
          <w:rFonts w:hAnsiTheme="minorEastAsia" w:eastAsiaTheme="minorEastAsia"/>
          <w:b w:val="0"/>
          <w:sz w:val="24"/>
        </w:rPr>
        <w:t>、</w:t>
      </w:r>
      <w:r>
        <w:rPr>
          <w:rFonts w:eastAsiaTheme="minorEastAsia"/>
          <w:b w:val="0"/>
          <w:sz w:val="24"/>
        </w:rPr>
        <w:t>Zr</w:t>
      </w:r>
      <w:r>
        <w:rPr>
          <w:rFonts w:hAnsiTheme="minorEastAsia" w:eastAsiaTheme="minorEastAsia"/>
          <w:b w:val="0"/>
          <w:sz w:val="24"/>
        </w:rPr>
        <w:t>，建立了机动车转化器中镧、铈、镨、钕、钡、锆等元素的测定方法。分析速度快，结果准确。测定范围为：</w:t>
      </w:r>
      <w:r>
        <w:rPr>
          <w:rFonts w:eastAsiaTheme="minorEastAsia"/>
          <w:b w:val="0"/>
          <w:sz w:val="24"/>
        </w:rPr>
        <w:t>0.05%</w:t>
      </w:r>
      <w:r>
        <w:rPr>
          <w:rFonts w:hAnsiTheme="minorEastAsia" w:eastAsiaTheme="minorEastAsia"/>
          <w:b w:val="0"/>
          <w:sz w:val="24"/>
        </w:rPr>
        <w:t>～</w:t>
      </w:r>
      <w:r>
        <w:rPr>
          <w:rFonts w:eastAsiaTheme="minorEastAsia"/>
          <w:b w:val="0"/>
          <w:sz w:val="24"/>
        </w:rPr>
        <w:t>10%</w:t>
      </w:r>
      <w:r>
        <w:rPr>
          <w:rFonts w:hAnsiTheme="minorEastAsia" w:eastAsiaTheme="minorEastAsia"/>
          <w:b w:val="0"/>
          <w:sz w:val="24"/>
        </w:rPr>
        <w:t>，其中</w:t>
      </w:r>
      <w:r>
        <w:rPr>
          <w:rFonts w:eastAsiaTheme="minorEastAsia"/>
          <w:b w:val="0"/>
          <w:sz w:val="24"/>
        </w:rPr>
        <w:t>Ce</w:t>
      </w:r>
      <w:r>
        <w:rPr>
          <w:rFonts w:hAnsiTheme="minorEastAsia" w:eastAsiaTheme="minorEastAsia"/>
          <w:b w:val="0"/>
          <w:sz w:val="24"/>
        </w:rPr>
        <w:t>、</w:t>
      </w:r>
      <w:r>
        <w:rPr>
          <w:rFonts w:eastAsiaTheme="minorEastAsia"/>
          <w:b w:val="0"/>
          <w:sz w:val="24"/>
        </w:rPr>
        <w:t>Zr</w:t>
      </w:r>
      <w:r>
        <w:rPr>
          <w:rFonts w:hAnsiTheme="minorEastAsia" w:eastAsiaTheme="minorEastAsia"/>
          <w:b w:val="0"/>
          <w:sz w:val="24"/>
        </w:rPr>
        <w:t>：</w:t>
      </w:r>
      <w:r>
        <w:rPr>
          <w:rFonts w:eastAsiaTheme="minorEastAsia"/>
          <w:b w:val="0"/>
          <w:sz w:val="24"/>
        </w:rPr>
        <w:t>0.1%</w:t>
      </w:r>
      <w:r>
        <w:rPr>
          <w:rFonts w:hAnsiTheme="minorEastAsia" w:eastAsiaTheme="minorEastAsia"/>
          <w:b w:val="0"/>
          <w:sz w:val="24"/>
        </w:rPr>
        <w:t>～</w:t>
      </w:r>
      <w:r>
        <w:rPr>
          <w:rFonts w:eastAsiaTheme="minorEastAsia"/>
          <w:b w:val="0"/>
          <w:sz w:val="24"/>
        </w:rPr>
        <w:t>10%</w:t>
      </w:r>
      <w:r>
        <w:rPr>
          <w:rFonts w:hAnsiTheme="minorEastAsia" w:eastAsiaTheme="minorEastAsia"/>
          <w:b w:val="0"/>
          <w:sz w:val="24"/>
        </w:rPr>
        <w:t>，</w:t>
      </w:r>
      <w:r>
        <w:rPr>
          <w:rFonts w:eastAsiaTheme="minorEastAsia"/>
          <w:b w:val="0"/>
          <w:sz w:val="24"/>
        </w:rPr>
        <w:t>La</w:t>
      </w:r>
      <w:r>
        <w:rPr>
          <w:rFonts w:hAnsiTheme="minorEastAsia" w:eastAsiaTheme="minorEastAsia"/>
          <w:b w:val="0"/>
          <w:sz w:val="24"/>
        </w:rPr>
        <w:t>、</w:t>
      </w:r>
      <w:r>
        <w:rPr>
          <w:rFonts w:eastAsiaTheme="minorEastAsia"/>
          <w:b w:val="0"/>
          <w:sz w:val="24"/>
        </w:rPr>
        <w:t>Pr</w:t>
      </w:r>
      <w:r>
        <w:rPr>
          <w:rFonts w:hAnsiTheme="minorEastAsia" w:eastAsiaTheme="minorEastAsia"/>
          <w:b w:val="0"/>
          <w:sz w:val="24"/>
        </w:rPr>
        <w:t>、</w:t>
      </w:r>
      <w:r>
        <w:rPr>
          <w:rFonts w:eastAsiaTheme="minorEastAsia"/>
          <w:b w:val="0"/>
          <w:sz w:val="24"/>
        </w:rPr>
        <w:t>Ba</w:t>
      </w:r>
      <w:r>
        <w:rPr>
          <w:rFonts w:hAnsiTheme="minorEastAsia" w:eastAsiaTheme="minorEastAsia"/>
          <w:b w:val="0"/>
          <w:sz w:val="24"/>
        </w:rPr>
        <w:t>、</w:t>
      </w:r>
      <w:r>
        <w:rPr>
          <w:rFonts w:eastAsiaTheme="minorEastAsia"/>
          <w:b w:val="0"/>
          <w:sz w:val="24"/>
        </w:rPr>
        <w:t>Nd</w:t>
      </w:r>
      <w:r>
        <w:rPr>
          <w:rFonts w:hAnsiTheme="minorEastAsia" w:eastAsiaTheme="minorEastAsia"/>
          <w:b w:val="0"/>
          <w:sz w:val="24"/>
        </w:rPr>
        <w:t>：</w:t>
      </w:r>
      <w:r>
        <w:rPr>
          <w:rFonts w:eastAsiaTheme="minorEastAsia"/>
          <w:b w:val="0"/>
          <w:sz w:val="24"/>
        </w:rPr>
        <w:t>0.05%</w:t>
      </w:r>
      <w:r>
        <w:rPr>
          <w:rFonts w:hAnsiTheme="minorEastAsia" w:eastAsiaTheme="minorEastAsia"/>
          <w:b w:val="0"/>
          <w:sz w:val="24"/>
        </w:rPr>
        <w:t>～</w:t>
      </w:r>
      <w:r>
        <w:rPr>
          <w:rFonts w:eastAsiaTheme="minorEastAsia"/>
          <w:b w:val="0"/>
          <w:sz w:val="24"/>
        </w:rPr>
        <w:t>5%</w:t>
      </w:r>
      <w:r>
        <w:rPr>
          <w:rFonts w:hAnsiTheme="minorEastAsia" w:eastAsiaTheme="minorEastAsia"/>
          <w:b w:val="0"/>
          <w:sz w:val="24"/>
        </w:rPr>
        <w:t>。加标回收率为</w:t>
      </w:r>
      <w:r>
        <w:rPr>
          <w:rFonts w:eastAsiaTheme="minorEastAsia"/>
          <w:b w:val="0"/>
          <w:sz w:val="24"/>
        </w:rPr>
        <w:t>92.2%</w:t>
      </w:r>
      <w:r>
        <w:rPr>
          <w:rFonts w:hAnsiTheme="minorEastAsia" w:eastAsiaTheme="minorEastAsia"/>
          <w:b w:val="0"/>
          <w:sz w:val="24"/>
        </w:rPr>
        <w:t>～</w:t>
      </w:r>
      <w:r>
        <w:rPr>
          <w:rFonts w:eastAsiaTheme="minorEastAsia"/>
          <w:b w:val="0"/>
          <w:sz w:val="24"/>
        </w:rPr>
        <w:t>98.3%</w:t>
      </w:r>
      <w:r>
        <w:rPr>
          <w:rFonts w:hAnsiTheme="minorEastAsia" w:eastAsiaTheme="minorEastAsia"/>
          <w:b w:val="0"/>
          <w:sz w:val="24"/>
        </w:rPr>
        <w:t>，精密度为</w:t>
      </w:r>
      <w:r>
        <w:rPr>
          <w:rFonts w:eastAsiaTheme="minorEastAsia"/>
          <w:b w:val="0"/>
          <w:sz w:val="24"/>
        </w:rPr>
        <w:t>0.43%</w:t>
      </w:r>
      <w:r>
        <w:rPr>
          <w:rFonts w:hAnsiTheme="minorEastAsia" w:eastAsiaTheme="minorEastAsia"/>
          <w:b w:val="0"/>
          <w:sz w:val="24"/>
        </w:rPr>
        <w:t>～</w:t>
      </w:r>
      <w:r>
        <w:rPr>
          <w:rFonts w:eastAsiaTheme="minorEastAsia"/>
          <w:b w:val="0"/>
          <w:sz w:val="24"/>
        </w:rPr>
        <w:t>3.76%</w:t>
      </w:r>
      <w:r>
        <w:rPr>
          <w:rFonts w:hAnsiTheme="minorEastAsia" w:eastAsiaTheme="minorEastAsia"/>
          <w:b w:val="0"/>
          <w:sz w:val="24"/>
        </w:rPr>
        <w:t>。</w:t>
      </w:r>
    </w:p>
    <w:p>
      <w:pPr>
        <w:spacing w:line="360" w:lineRule="auto"/>
        <w:rPr>
          <w:rFonts w:hAnsi="宋体"/>
          <w:b w:val="0"/>
          <w:szCs w:val="28"/>
        </w:rPr>
      </w:pPr>
      <w:r>
        <w:rPr>
          <w:rFonts w:hAnsi="宋体"/>
          <w:b w:val="0"/>
          <w:szCs w:val="28"/>
        </w:rPr>
        <w:t>1</w:t>
      </w:r>
      <w:r>
        <w:rPr>
          <w:rFonts w:hint="eastAsia" w:hAnsi="宋体"/>
          <w:b w:val="0"/>
          <w:szCs w:val="28"/>
        </w:rPr>
        <w:t>实验部分</w:t>
      </w:r>
    </w:p>
    <w:p>
      <w:pPr>
        <w:spacing w:line="360" w:lineRule="auto"/>
        <w:rPr>
          <w:b w:val="0"/>
          <w:sz w:val="24"/>
        </w:rPr>
      </w:pPr>
      <w:r>
        <w:rPr>
          <w:b w:val="0"/>
          <w:sz w:val="24"/>
        </w:rPr>
        <w:t>1.1  仪器及工作条件</w:t>
      </w:r>
    </w:p>
    <w:p>
      <w:pPr>
        <w:pStyle w:val="13"/>
        <w:numPr>
          <w:ilvl w:val="0"/>
          <w:numId w:val="0"/>
        </w:numPr>
        <w:spacing w:line="360" w:lineRule="auto"/>
        <w:ind w:left="20" w:leftChars="7" w:firstLine="480" w:firstLineChars="200"/>
        <w:rPr>
          <w:rFonts w:ascii="Times New Roman" w:eastAsia="宋体"/>
          <w:sz w:val="24"/>
          <w:szCs w:val="24"/>
        </w:rPr>
      </w:pPr>
      <w:r>
        <w:rPr>
          <w:rFonts w:ascii="Times New Roman" w:eastAsia="宋体"/>
          <w:sz w:val="24"/>
          <w:szCs w:val="24"/>
        </w:rPr>
        <w:t>5300DV型电感耦合等离子体原子发射光谱仪（美国PE公司）：中阶梯光栅+石英棱镜二维分光，</w:t>
      </w:r>
      <w:r>
        <w:rPr>
          <w:rFonts w:ascii="Times New Roman" w:eastAsia="宋体"/>
          <w:color w:val="000000"/>
          <w:sz w:val="24"/>
          <w:szCs w:val="24"/>
        </w:rPr>
        <w:t>200 nm处分辨率：0.005 nm。</w:t>
      </w:r>
      <w:r>
        <w:rPr>
          <w:rFonts w:ascii="Times New Roman" w:eastAsia="宋体"/>
          <w:sz w:val="24"/>
          <w:szCs w:val="24"/>
        </w:rPr>
        <w:t>每6分钟测定一次，仪器一小时十次测定的长短程稳定性（RSD）小于1.0％。</w:t>
      </w:r>
    </w:p>
    <w:p>
      <w:pPr>
        <w:spacing w:line="360" w:lineRule="auto"/>
        <w:ind w:firstLine="472" w:firstLineChars="197"/>
        <w:rPr>
          <w:b w:val="0"/>
          <w:sz w:val="24"/>
        </w:rPr>
      </w:pPr>
      <w:r>
        <w:rPr>
          <w:b w:val="0"/>
          <w:sz w:val="24"/>
        </w:rPr>
        <w:t>仪器测定条件（推荐）如下：测定条件为，分析功率1.3 KW；冷却气流量15 L/min；雾化气流量0.8 L/min；载气流量0.2 L/min；进样泵速1.5mL/min；观测高度为线圈上方15 mm；积分时间5 s。</w:t>
      </w:r>
    </w:p>
    <w:p>
      <w:pPr>
        <w:spacing w:line="360" w:lineRule="auto"/>
        <w:rPr>
          <w:b w:val="0"/>
          <w:sz w:val="24"/>
        </w:rPr>
      </w:pPr>
      <w:r>
        <w:rPr>
          <w:b w:val="0"/>
          <w:sz w:val="24"/>
        </w:rPr>
        <w:t>1.2试剂</w:t>
      </w:r>
    </w:p>
    <w:p>
      <w:pPr>
        <w:spacing w:line="360" w:lineRule="auto"/>
        <w:ind w:firstLine="480" w:firstLineChars="200"/>
        <w:rPr>
          <w:b w:val="0"/>
          <w:sz w:val="24"/>
        </w:rPr>
      </w:pPr>
      <w:r>
        <w:rPr>
          <w:b w:val="0"/>
          <w:color w:val="000000"/>
          <w:sz w:val="24"/>
        </w:rPr>
        <w:t>除非另有说明，本部分中使用确认为优级纯的试剂和一级水或相当纯度的水。</w:t>
      </w:r>
      <w:r>
        <w:rPr>
          <w:b w:val="0"/>
          <w:sz w:val="24"/>
        </w:rPr>
        <w:t>标准溶液、试剂溶液</w:t>
      </w:r>
      <w:r>
        <w:rPr>
          <w:b w:val="0"/>
          <w:bCs/>
          <w:sz w:val="24"/>
        </w:rPr>
        <w:t>贮</w:t>
      </w:r>
      <w:r>
        <w:rPr>
          <w:b w:val="0"/>
          <w:sz w:val="24"/>
        </w:rPr>
        <w:t>存于塑料瓶中。</w:t>
      </w:r>
    </w:p>
    <w:p>
      <w:pPr>
        <w:pStyle w:val="19"/>
        <w:spacing w:line="360" w:lineRule="auto"/>
        <w:ind w:firstLine="0" w:firstLineChars="0"/>
        <w:rPr>
          <w:rFonts w:ascii="Times New Roman"/>
          <w:color w:val="000000"/>
          <w:sz w:val="24"/>
          <w:szCs w:val="24"/>
        </w:rPr>
      </w:pPr>
      <w:r>
        <w:rPr>
          <w:rFonts w:ascii="Times New Roman"/>
          <w:color w:val="000000"/>
          <w:sz w:val="24"/>
          <w:szCs w:val="24"/>
        </w:rPr>
        <w:t>1.2.1盐酸（ρ1.19 g/ mL）。</w:t>
      </w:r>
    </w:p>
    <w:p>
      <w:pPr>
        <w:pStyle w:val="19"/>
        <w:spacing w:line="360" w:lineRule="auto"/>
        <w:ind w:firstLine="0" w:firstLineChars="0"/>
        <w:rPr>
          <w:rFonts w:ascii="Times New Roman"/>
          <w:color w:val="000000"/>
          <w:sz w:val="24"/>
          <w:szCs w:val="24"/>
        </w:rPr>
      </w:pPr>
      <w:r>
        <w:rPr>
          <w:rFonts w:ascii="Times New Roman"/>
          <w:color w:val="000000"/>
          <w:sz w:val="24"/>
          <w:szCs w:val="24"/>
        </w:rPr>
        <w:t>1.2.2硝酸（ρ1.42 g/mL）。</w:t>
      </w:r>
    </w:p>
    <w:p>
      <w:pPr>
        <w:pStyle w:val="19"/>
        <w:spacing w:line="360" w:lineRule="auto"/>
        <w:ind w:firstLine="0" w:firstLineChars="0"/>
        <w:rPr>
          <w:rFonts w:ascii="Times New Roman"/>
          <w:color w:val="000000"/>
          <w:sz w:val="24"/>
          <w:szCs w:val="24"/>
        </w:rPr>
      </w:pPr>
      <w:r>
        <w:rPr>
          <w:rFonts w:ascii="Times New Roman"/>
          <w:color w:val="000000"/>
          <w:sz w:val="24"/>
          <w:szCs w:val="24"/>
        </w:rPr>
        <w:t>1.2.3 过氧化氢（30%，v/v）。</w:t>
      </w:r>
    </w:p>
    <w:p>
      <w:pPr>
        <w:pStyle w:val="19"/>
        <w:spacing w:line="360" w:lineRule="auto"/>
        <w:ind w:firstLine="0" w:firstLineChars="0"/>
        <w:rPr>
          <w:rFonts w:ascii="Times New Roman"/>
          <w:color w:val="000000"/>
          <w:sz w:val="24"/>
          <w:szCs w:val="24"/>
        </w:rPr>
      </w:pPr>
      <w:r>
        <w:rPr>
          <w:rFonts w:ascii="Times New Roman"/>
          <w:color w:val="000000"/>
          <w:sz w:val="24"/>
          <w:szCs w:val="24"/>
        </w:rPr>
        <w:t>1.2.4 氢氟酸（）</w:t>
      </w:r>
    </w:p>
    <w:p>
      <w:pPr>
        <w:pStyle w:val="19"/>
        <w:spacing w:line="360" w:lineRule="auto"/>
        <w:ind w:firstLine="0" w:firstLineChars="0"/>
        <w:rPr>
          <w:rFonts w:ascii="Times New Roman"/>
          <w:color w:val="000000"/>
          <w:sz w:val="24"/>
          <w:szCs w:val="24"/>
        </w:rPr>
      </w:pPr>
      <w:r>
        <w:rPr>
          <w:rFonts w:ascii="Times New Roman"/>
          <w:color w:val="000000"/>
          <w:sz w:val="24"/>
          <w:szCs w:val="24"/>
        </w:rPr>
        <w:t>1.2.5 盐酸（1+9）。</w:t>
      </w:r>
    </w:p>
    <w:p>
      <w:pPr>
        <w:pStyle w:val="19"/>
        <w:spacing w:line="360" w:lineRule="auto"/>
        <w:ind w:firstLine="0" w:firstLineChars="0"/>
        <w:rPr>
          <w:rFonts w:ascii="Times New Roman"/>
          <w:color w:val="000000"/>
          <w:sz w:val="24"/>
          <w:szCs w:val="24"/>
        </w:rPr>
      </w:pPr>
      <w:r>
        <w:rPr>
          <w:rFonts w:ascii="Times New Roman"/>
          <w:color w:val="000000"/>
          <w:sz w:val="24"/>
          <w:szCs w:val="24"/>
        </w:rPr>
        <w:t>1.2.6 盐酸（1+1）</w:t>
      </w:r>
    </w:p>
    <w:p>
      <w:pPr>
        <w:pStyle w:val="19"/>
        <w:spacing w:line="360" w:lineRule="auto"/>
        <w:ind w:firstLine="0" w:firstLineChars="0"/>
        <w:rPr>
          <w:rFonts w:ascii="Times New Roman"/>
          <w:color w:val="000000"/>
          <w:sz w:val="24"/>
          <w:szCs w:val="24"/>
        </w:rPr>
      </w:pPr>
      <w:r>
        <w:rPr>
          <w:rFonts w:ascii="Times New Roman"/>
          <w:color w:val="000000"/>
          <w:sz w:val="24"/>
          <w:szCs w:val="24"/>
        </w:rPr>
        <w:t>1.2.7 硝酸（1+1）</w:t>
      </w:r>
    </w:p>
    <w:p>
      <w:pPr>
        <w:pStyle w:val="19"/>
        <w:spacing w:line="360" w:lineRule="auto"/>
        <w:ind w:firstLine="0" w:firstLineChars="0"/>
        <w:rPr>
          <w:rFonts w:ascii="Times New Roman"/>
          <w:color w:val="000000"/>
          <w:sz w:val="24"/>
          <w:szCs w:val="24"/>
        </w:rPr>
      </w:pPr>
      <w:r>
        <w:rPr>
          <w:rFonts w:ascii="Times New Roman"/>
          <w:color w:val="000000"/>
          <w:sz w:val="24"/>
          <w:szCs w:val="24"/>
        </w:rPr>
        <w:t>1.2.8 王水（1+1）</w:t>
      </w:r>
    </w:p>
    <w:p>
      <w:pPr>
        <w:pStyle w:val="19"/>
        <w:spacing w:line="360" w:lineRule="auto"/>
        <w:ind w:firstLine="0" w:firstLineChars="0"/>
        <w:rPr>
          <w:rFonts w:ascii="Times New Roman"/>
          <w:color w:val="000000"/>
          <w:sz w:val="24"/>
          <w:szCs w:val="24"/>
        </w:rPr>
      </w:pPr>
      <w:r>
        <w:rPr>
          <w:rFonts w:ascii="Times New Roman"/>
          <w:color w:val="000000"/>
          <w:sz w:val="24"/>
          <w:szCs w:val="24"/>
        </w:rPr>
        <w:t>1.2.9镧标准贮存溶液：准确称取0.1173g经850</w:t>
      </w:r>
      <w:r>
        <w:rPr>
          <w:rFonts w:ascii="Times New Roman" w:hAnsi="宋体"/>
          <w:color w:val="000000"/>
          <w:sz w:val="24"/>
          <w:szCs w:val="24"/>
        </w:rPr>
        <w:t>℃</w:t>
      </w:r>
      <w:r>
        <w:rPr>
          <w:rFonts w:ascii="Times New Roman"/>
          <w:color w:val="000000"/>
          <w:sz w:val="24"/>
          <w:szCs w:val="24"/>
        </w:rPr>
        <w:t>灼烧过的高纯三氧化二镧（La2O3），置于烧杯中，用水润湿，加入20mL盐酸（1.2.6），低温加热至溶解。冷却后移入100mL容量瓶中，用水稀释至刻度，摇匀。此溶液1mL含1.0mg镧。</w:t>
      </w:r>
    </w:p>
    <w:p>
      <w:pPr>
        <w:pStyle w:val="19"/>
        <w:spacing w:line="360" w:lineRule="auto"/>
        <w:ind w:firstLine="0" w:firstLineChars="0"/>
        <w:rPr>
          <w:rFonts w:ascii="Times New Roman"/>
          <w:color w:val="000000"/>
          <w:sz w:val="24"/>
          <w:szCs w:val="24"/>
        </w:rPr>
      </w:pPr>
      <w:r>
        <w:rPr>
          <w:rFonts w:ascii="Times New Roman"/>
          <w:color w:val="000000"/>
          <w:sz w:val="24"/>
          <w:szCs w:val="24"/>
        </w:rPr>
        <w:t>1.2.10 镨标准贮存溶液：准确称取0.1208g高纯氧化镨（Pr6O11），置于烧杯中，加入30mL王水（1.2.8），低温加热至溶解。冷却后移入100mL容量瓶中，用水稀释至刻度，摇匀。此溶液1mL含1.0mg镨。</w:t>
      </w:r>
    </w:p>
    <w:p>
      <w:pPr>
        <w:pStyle w:val="19"/>
        <w:spacing w:line="360" w:lineRule="auto"/>
        <w:ind w:firstLine="0" w:firstLineChars="0"/>
        <w:rPr>
          <w:rFonts w:ascii="Times New Roman"/>
          <w:color w:val="000000"/>
          <w:sz w:val="24"/>
          <w:szCs w:val="24"/>
        </w:rPr>
      </w:pPr>
      <w:r>
        <w:rPr>
          <w:rFonts w:ascii="Times New Roman"/>
          <w:color w:val="000000"/>
          <w:sz w:val="24"/>
          <w:szCs w:val="24"/>
        </w:rPr>
        <w:t>1.2.11 钕标准贮存溶液：准确称取0.1166g高纯三氧化二钕（Nd2O3），置于烧杯中，加入40mL盐酸（1.2.6），低温加热至溶解。冷却后移入100mL容量瓶中，用水稀释至刻度，摇匀。此溶液1mL含1.0mg钕。</w:t>
      </w:r>
    </w:p>
    <w:p>
      <w:pPr>
        <w:pStyle w:val="19"/>
        <w:spacing w:line="360" w:lineRule="auto"/>
        <w:ind w:firstLine="0" w:firstLineChars="0"/>
        <w:rPr>
          <w:rFonts w:ascii="Times New Roman"/>
          <w:color w:val="000000"/>
          <w:sz w:val="24"/>
          <w:szCs w:val="24"/>
        </w:rPr>
      </w:pPr>
      <w:r>
        <w:rPr>
          <w:rFonts w:ascii="Times New Roman"/>
          <w:color w:val="000000"/>
          <w:sz w:val="24"/>
          <w:szCs w:val="24"/>
        </w:rPr>
        <w:t>1.2.12 钡标准贮存溶液：准确称取0.1437g经105</w:t>
      </w:r>
      <w:r>
        <w:rPr>
          <w:rFonts w:ascii="Times New Roman" w:hAnsi="宋体"/>
          <w:color w:val="000000"/>
          <w:sz w:val="24"/>
          <w:szCs w:val="24"/>
        </w:rPr>
        <w:t>℃</w:t>
      </w:r>
      <w:r>
        <w:rPr>
          <w:rFonts w:ascii="Times New Roman"/>
          <w:color w:val="000000"/>
          <w:sz w:val="24"/>
          <w:szCs w:val="24"/>
        </w:rPr>
        <w:t>干燥2h的高纯碳酸钡（BaCO3），置于烧杯中，加入水及20mL硝酸（1.2.7），低温加热至溶解。冷却后移入100mL容量瓶中，用水稀释至刻度，摇匀。此溶液1mL含1.0mg钡。</w:t>
      </w:r>
    </w:p>
    <w:p>
      <w:pPr>
        <w:pStyle w:val="19"/>
        <w:spacing w:line="360" w:lineRule="auto"/>
        <w:ind w:firstLine="0" w:firstLineChars="0"/>
        <w:rPr>
          <w:rFonts w:ascii="Times New Roman"/>
          <w:color w:val="000000"/>
          <w:sz w:val="24"/>
          <w:szCs w:val="24"/>
        </w:rPr>
      </w:pPr>
      <w:r>
        <w:rPr>
          <w:rFonts w:ascii="Times New Roman"/>
          <w:color w:val="000000"/>
          <w:sz w:val="24"/>
          <w:szCs w:val="24"/>
        </w:rPr>
        <w:t>1.2.13 铈标准贮存溶液：准确称取0.1228g经850</w:t>
      </w:r>
      <w:r>
        <w:rPr>
          <w:rFonts w:ascii="Times New Roman" w:hAnsi="宋体"/>
          <w:color w:val="000000"/>
          <w:sz w:val="24"/>
          <w:szCs w:val="24"/>
        </w:rPr>
        <w:t>℃</w:t>
      </w:r>
      <w:r>
        <w:rPr>
          <w:rFonts w:ascii="Times New Roman"/>
          <w:color w:val="000000"/>
          <w:sz w:val="24"/>
          <w:szCs w:val="24"/>
        </w:rPr>
        <w:t>灼烧过的高纯二氧化铈（CeO2），置于烧杯中，加入20mL硝酸（1.2.7），并缓慢加入2mLH2O2，低温加热至溶解。冷却后移入100mL容量瓶中，用水稀释至刻度，摇匀。此溶液1mL含1.0mg铈。</w:t>
      </w:r>
    </w:p>
    <w:p>
      <w:pPr>
        <w:pStyle w:val="19"/>
        <w:spacing w:line="360" w:lineRule="auto"/>
        <w:ind w:firstLine="0" w:firstLineChars="0"/>
        <w:rPr>
          <w:rFonts w:ascii="Times New Roman"/>
          <w:color w:val="000000"/>
          <w:sz w:val="24"/>
          <w:szCs w:val="24"/>
        </w:rPr>
      </w:pPr>
      <w:r>
        <w:rPr>
          <w:rFonts w:ascii="Times New Roman"/>
          <w:color w:val="000000"/>
          <w:sz w:val="24"/>
          <w:szCs w:val="24"/>
        </w:rPr>
        <w:t>1.2.14 锆标准贮存溶液：准确称取0.1351g高纯二氧化锆（ZrO2），置于聚四氟乙烯烧杯中，加入5mL氢氟酸，盖上烧杯盖，加热至溶解后，移去烧杯盖冒烟至烧杯内溶液为0.5mL左右，加入20mL硝酸（1.2.7），冷却后移入100mL容量瓶中，用水稀释至刻度，摇匀。摇匀后立即转移至100mL塑料瓶中保存。此溶液1mL含1.0mg锆。</w:t>
      </w:r>
    </w:p>
    <w:p>
      <w:pPr>
        <w:pStyle w:val="19"/>
        <w:spacing w:line="360" w:lineRule="auto"/>
        <w:ind w:firstLine="0" w:firstLineChars="0"/>
        <w:rPr>
          <w:rFonts w:ascii="Times New Roman"/>
          <w:color w:val="000000"/>
          <w:sz w:val="24"/>
          <w:szCs w:val="24"/>
        </w:rPr>
      </w:pPr>
      <w:r>
        <w:rPr>
          <w:rFonts w:ascii="Times New Roman"/>
          <w:color w:val="000000"/>
          <w:sz w:val="24"/>
          <w:szCs w:val="24"/>
        </w:rPr>
        <w:t>1.2.15 混合标准溶液：分别移取10.00mL标准贮存溶液（1.2.13、1.2.14）、5.00mL标准贮存溶液（1.2.9～1.2.12），置于100mL容量瓶中，用盐酸（1.2.5）稀释至刻度，摇匀。此溶液1mL含100.00µg铈、锆，50.00µg镧、镨、钕、钡。</w:t>
      </w:r>
    </w:p>
    <w:p>
      <w:pPr>
        <w:pStyle w:val="19"/>
        <w:spacing w:line="360" w:lineRule="auto"/>
        <w:ind w:firstLine="0" w:firstLineChars="0"/>
        <w:rPr>
          <w:rFonts w:ascii="Times New Roman"/>
          <w:color w:val="000000"/>
          <w:sz w:val="24"/>
          <w:szCs w:val="24"/>
        </w:rPr>
      </w:pPr>
      <w:r>
        <w:rPr>
          <w:rFonts w:ascii="Times New Roman"/>
          <w:color w:val="000000"/>
          <w:sz w:val="24"/>
          <w:szCs w:val="24"/>
        </w:rPr>
        <w:t>1.2.16 氩气（体积分数≥99.99%）。</w:t>
      </w:r>
    </w:p>
    <w:p>
      <w:pPr>
        <w:spacing w:line="360" w:lineRule="auto"/>
        <w:rPr>
          <w:b w:val="0"/>
          <w:sz w:val="24"/>
        </w:rPr>
      </w:pPr>
      <w:r>
        <w:rPr>
          <w:b w:val="0"/>
          <w:sz w:val="24"/>
        </w:rPr>
        <w:t>1.3 实验方法</w:t>
      </w:r>
    </w:p>
    <w:p>
      <w:pPr>
        <w:autoSpaceDE w:val="0"/>
        <w:autoSpaceDN w:val="0"/>
        <w:adjustRightInd w:val="0"/>
        <w:spacing w:line="360" w:lineRule="auto"/>
        <w:ind w:firstLine="600" w:firstLineChars="250"/>
        <w:jc w:val="left"/>
        <w:rPr>
          <w:b w:val="0"/>
          <w:color w:val="000000"/>
          <w:sz w:val="24"/>
        </w:rPr>
      </w:pPr>
      <w:r>
        <w:rPr>
          <w:b w:val="0"/>
          <w:color w:val="000000"/>
          <w:sz w:val="24"/>
        </w:rPr>
        <w:t>称取0.1g试样（精确至0.1000g）置于放入30 mL体积的聚四氟乙烯消化罐中，加入15 mL盐酸（1.2.1）+3mL硝酸（1.2.2）+2mL 过氧化氢（1.2.3）+0.3mL（约8滴）氢氟酸（1.2.4），旋紧盖子。放入恒温150℃的烘箱中溶解12小时，取出，冷却至室温后开罐，将其中的试样用蒸馏水全部转移入200 mL烧杯中，在电炉上蒸发至约20 mL体积，用盐酸（1.2.5）移入100 mL容量瓶中，定容，混匀。</w:t>
      </w:r>
      <w:r>
        <w:rPr>
          <w:b w:val="0"/>
          <w:sz w:val="24"/>
        </w:rPr>
        <w:t>待测。同时做空白试验。</w:t>
      </w:r>
    </w:p>
    <w:p>
      <w:pPr>
        <w:spacing w:line="360" w:lineRule="auto"/>
        <w:rPr>
          <w:b w:val="0"/>
          <w:sz w:val="24"/>
        </w:rPr>
      </w:pPr>
      <w:r>
        <w:rPr>
          <w:b w:val="0"/>
          <w:sz w:val="24"/>
        </w:rPr>
        <w:t>1.4工作曲线溶液的配制</w:t>
      </w:r>
    </w:p>
    <w:p>
      <w:pPr>
        <w:spacing w:line="360" w:lineRule="auto"/>
        <w:ind w:firstLine="480" w:firstLineChars="200"/>
        <w:rPr>
          <w:b w:val="0"/>
          <w:kern w:val="0"/>
          <w:sz w:val="24"/>
        </w:rPr>
      </w:pPr>
      <w:r>
        <w:rPr>
          <w:b w:val="0"/>
          <w:kern w:val="0"/>
          <w:sz w:val="24"/>
        </w:rPr>
        <w:t>用表1配制的混合标准液在选定的仪器条件下进行测定</w:t>
      </w:r>
      <w:r>
        <w:rPr>
          <w:rFonts w:hint="eastAsia"/>
          <w:b w:val="0"/>
          <w:kern w:val="0"/>
          <w:sz w:val="24"/>
        </w:rPr>
        <w:t>。</w:t>
      </w:r>
    </w:p>
    <w:p>
      <w:pPr>
        <w:spacing w:line="360" w:lineRule="auto"/>
        <w:ind w:firstLine="420" w:firstLineChars="200"/>
        <w:jc w:val="center"/>
        <w:rPr>
          <w:b w:val="0"/>
          <w:bCs/>
          <w:sz w:val="21"/>
          <w:szCs w:val="21"/>
        </w:rPr>
      </w:pPr>
      <w:r>
        <w:rPr>
          <w:rFonts w:hint="eastAsia"/>
          <w:b w:val="0"/>
          <w:sz w:val="21"/>
          <w:szCs w:val="21"/>
        </w:rPr>
        <w:t>表1 混合标准溶液的浓度和元素（10%HCl介质，单位：</w:t>
      </w:r>
      <w:r>
        <w:rPr>
          <w:b w:val="0"/>
          <w:bCs/>
          <w:sz w:val="21"/>
          <w:szCs w:val="21"/>
        </w:rPr>
        <w:t>µg</w:t>
      </w:r>
      <w:r>
        <w:rPr>
          <w:rFonts w:hint="eastAsia"/>
          <w:b w:val="0"/>
          <w:bCs/>
          <w:sz w:val="21"/>
          <w:szCs w:val="21"/>
        </w:rPr>
        <w:t>/mL</w:t>
      </w:r>
      <w:r>
        <w:rPr>
          <w:rFonts w:hint="eastAsia"/>
          <w:b w:val="0"/>
          <w:sz w:val="21"/>
          <w:szCs w:val="21"/>
        </w:rPr>
        <w:t>）</w:t>
      </w:r>
    </w:p>
    <w:tbl>
      <w:tblPr>
        <w:tblStyle w:val="7"/>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90"/>
        <w:gridCol w:w="1190"/>
        <w:gridCol w:w="1190"/>
        <w:gridCol w:w="1190"/>
        <w:gridCol w:w="119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190" w:type="dxa"/>
            <w:vAlign w:val="center"/>
          </w:tcPr>
          <w:p>
            <w:pPr>
              <w:spacing w:line="360" w:lineRule="auto"/>
              <w:jc w:val="center"/>
              <w:rPr>
                <w:b w:val="0"/>
                <w:sz w:val="18"/>
                <w:szCs w:val="18"/>
              </w:rPr>
            </w:pPr>
            <w:r>
              <w:rPr>
                <w:b w:val="0"/>
                <w:sz w:val="18"/>
                <w:szCs w:val="18"/>
              </w:rPr>
              <w:pict>
                <v:group id="__TH_G12五号20" o:spid="_x0000_s2068" o:spt="203" style="position:absolute;left:0pt;margin-left:-5.15pt;margin-top:0pt;height:93pt;width:59pt;z-index:251664384;mso-width-relative:page;mso-height-relative:page;" coordorigin="1697,1918" coordsize="1180,1860">
                  <o:lock v:ext="edit"/>
                  <v:line id="__TH_L14" o:spid="_x0000_s2062" o:spt="20" style="position:absolute;left:1697;top:1918;height:1860;width:1180;" coordsize="21600,21600">
                    <v:path arrowok="t"/>
                    <v:fill focussize="0,0"/>
                    <v:stroke weight="0.5pt"/>
                    <v:imagedata o:title=""/>
                    <o:lock v:ext="edit"/>
                  </v:line>
                  <v:shape id="__TH_B1115" o:spid="_x0000_s2063" o:spt="202" type="#_x0000_t202" style="position:absolute;left:2200;top:2115;height:262;width:253;" filled="f" stroked="f" coordsize="21600,21600">
                    <v:path/>
                    <v:fill on="f" focussize="0,0"/>
                    <v:stroke on="f" joinstyle="miter"/>
                    <v:imagedata o:title=""/>
                    <o:lock v:ext="edit"/>
                    <v:textbox inset="0mm,0mm,0mm,0mm">
                      <w:txbxContent>
                        <w:p>
                          <w:pPr>
                            <w:snapToGrid w:val="0"/>
                            <w:rPr>
                              <w:b w:val="0"/>
                              <w:sz w:val="21"/>
                            </w:rPr>
                          </w:pPr>
                          <w:r>
                            <w:rPr>
                              <w:rFonts w:hint="eastAsia"/>
                              <w:b w:val="0"/>
                              <w:sz w:val="21"/>
                            </w:rPr>
                            <w:t>元</w:t>
                          </w:r>
                        </w:p>
                      </w:txbxContent>
                    </v:textbox>
                  </v:shape>
                  <v:shape id="__TH_B1216" o:spid="_x0000_s2064" o:spt="202" type="#_x0000_t202" style="position:absolute;left:2483;top:2561;height:262;width:253;" filled="f" stroked="f" coordsize="21600,21600">
                    <v:path/>
                    <v:fill on="f" focussize="0,0"/>
                    <v:stroke on="f" joinstyle="miter"/>
                    <v:imagedata o:title=""/>
                    <o:lock v:ext="edit"/>
                    <v:textbox inset="0mm,0mm,0mm,0mm">
                      <w:txbxContent>
                        <w:p>
                          <w:pPr>
                            <w:snapToGrid w:val="0"/>
                            <w:rPr>
                              <w:b w:val="0"/>
                              <w:sz w:val="21"/>
                            </w:rPr>
                          </w:pPr>
                          <w:r>
                            <w:rPr>
                              <w:rFonts w:hint="eastAsia"/>
                              <w:b w:val="0"/>
                              <w:sz w:val="21"/>
                            </w:rPr>
                            <w:t>素</w:t>
                          </w:r>
                        </w:p>
                      </w:txbxContent>
                    </v:textbox>
                  </v:shape>
                  <v:shape id="__TH_B2117" o:spid="_x0000_s2065" o:spt="202" type="#_x0000_t202" style="position:absolute;left:1810;top:2692;height:263;width:252;" filled="f" stroked="f" coordsize="21600,21600">
                    <v:path/>
                    <v:fill on="f" focussize="0,0"/>
                    <v:stroke on="f" joinstyle="miter"/>
                    <v:imagedata o:title=""/>
                    <o:lock v:ext="edit"/>
                    <v:textbox inset="0mm,0mm,0mm,0mm">
                      <w:txbxContent>
                        <w:p>
                          <w:pPr>
                            <w:snapToGrid w:val="0"/>
                            <w:rPr>
                              <w:b w:val="0"/>
                              <w:sz w:val="21"/>
                            </w:rPr>
                          </w:pPr>
                          <w:r>
                            <w:rPr>
                              <w:rFonts w:hint="eastAsia"/>
                              <w:b w:val="0"/>
                              <w:sz w:val="21"/>
                            </w:rPr>
                            <w:t>标</w:t>
                          </w:r>
                        </w:p>
                      </w:txbxContent>
                    </v:textbox>
                  </v:shape>
                  <v:shape id="__TH_B2218" o:spid="_x0000_s2066" o:spt="202" type="#_x0000_t202" style="position:absolute;left:2025;top:3032;height:263;width:253;" filled="f" stroked="f" coordsize="21600,21600">
                    <v:path/>
                    <v:fill on="f" focussize="0,0"/>
                    <v:stroke on="f" joinstyle="miter"/>
                    <v:imagedata o:title=""/>
                    <o:lock v:ext="edit"/>
                    <v:textbox inset="0mm,0mm,0mm,0mm">
                      <w:txbxContent>
                        <w:p>
                          <w:pPr>
                            <w:snapToGrid w:val="0"/>
                            <w:rPr>
                              <w:b w:val="0"/>
                              <w:sz w:val="21"/>
                            </w:rPr>
                          </w:pPr>
                          <w:r>
                            <w:rPr>
                              <w:rFonts w:hint="eastAsia"/>
                              <w:b w:val="0"/>
                              <w:sz w:val="21"/>
                            </w:rPr>
                            <w:t>准</w:t>
                          </w:r>
                        </w:p>
                      </w:txbxContent>
                    </v:textbox>
                  </v:shape>
                  <v:shape id="__TH_B2319" o:spid="_x0000_s2067" o:spt="202" type="#_x0000_t202" style="position:absolute;left:2241;top:3372;height:262;width:252;" filled="f" stroked="f" coordsize="21600,21600">
                    <v:path/>
                    <v:fill on="f" focussize="0,0"/>
                    <v:stroke on="f" joinstyle="miter"/>
                    <v:imagedata o:title=""/>
                    <o:lock v:ext="edit"/>
                    <v:textbox inset="0mm,0mm,0mm,0mm">
                      <w:txbxContent>
                        <w:p>
                          <w:pPr>
                            <w:snapToGrid w:val="0"/>
                            <w:rPr>
                              <w:b w:val="0"/>
                              <w:sz w:val="21"/>
                            </w:rPr>
                          </w:pPr>
                          <w:r>
                            <w:rPr>
                              <w:rFonts w:hint="eastAsia"/>
                              <w:b w:val="0"/>
                              <w:sz w:val="21"/>
                            </w:rPr>
                            <w:t>号</w:t>
                          </w:r>
                        </w:p>
                      </w:txbxContent>
                    </v:textbox>
                  </v:shape>
                </v:group>
              </w:pict>
            </w:r>
          </w:p>
        </w:tc>
        <w:tc>
          <w:tcPr>
            <w:tcW w:w="1190" w:type="dxa"/>
            <w:vAlign w:val="center"/>
          </w:tcPr>
          <w:p>
            <w:pPr>
              <w:spacing w:line="360" w:lineRule="auto"/>
              <w:jc w:val="center"/>
              <w:rPr>
                <w:b w:val="0"/>
                <w:sz w:val="18"/>
                <w:szCs w:val="18"/>
              </w:rPr>
            </w:pPr>
            <w:r>
              <w:rPr>
                <w:rFonts w:hint="eastAsia"/>
                <w:b w:val="0"/>
                <w:sz w:val="18"/>
                <w:szCs w:val="18"/>
              </w:rPr>
              <w:t>Ce</w:t>
            </w:r>
          </w:p>
        </w:tc>
        <w:tc>
          <w:tcPr>
            <w:tcW w:w="1190" w:type="dxa"/>
            <w:vAlign w:val="center"/>
          </w:tcPr>
          <w:p>
            <w:pPr>
              <w:spacing w:line="360" w:lineRule="auto"/>
              <w:jc w:val="center"/>
              <w:rPr>
                <w:b w:val="0"/>
                <w:sz w:val="18"/>
                <w:szCs w:val="18"/>
              </w:rPr>
            </w:pPr>
            <w:r>
              <w:rPr>
                <w:rFonts w:hint="eastAsia"/>
                <w:b w:val="0"/>
                <w:sz w:val="18"/>
                <w:szCs w:val="18"/>
              </w:rPr>
              <w:t>Zr</w:t>
            </w:r>
          </w:p>
        </w:tc>
        <w:tc>
          <w:tcPr>
            <w:tcW w:w="1190" w:type="dxa"/>
            <w:vAlign w:val="center"/>
          </w:tcPr>
          <w:p>
            <w:pPr>
              <w:spacing w:line="360" w:lineRule="auto"/>
              <w:jc w:val="center"/>
              <w:rPr>
                <w:b w:val="0"/>
                <w:sz w:val="18"/>
                <w:szCs w:val="18"/>
              </w:rPr>
            </w:pPr>
            <w:r>
              <w:rPr>
                <w:rFonts w:hint="eastAsia"/>
                <w:b w:val="0"/>
                <w:sz w:val="18"/>
                <w:szCs w:val="18"/>
              </w:rPr>
              <w:t>La</w:t>
            </w:r>
          </w:p>
        </w:tc>
        <w:tc>
          <w:tcPr>
            <w:tcW w:w="1190" w:type="dxa"/>
            <w:vAlign w:val="center"/>
          </w:tcPr>
          <w:p>
            <w:pPr>
              <w:spacing w:line="360" w:lineRule="auto"/>
              <w:jc w:val="center"/>
              <w:rPr>
                <w:b w:val="0"/>
                <w:sz w:val="18"/>
                <w:szCs w:val="18"/>
              </w:rPr>
            </w:pPr>
            <w:r>
              <w:rPr>
                <w:rFonts w:hint="eastAsia"/>
                <w:b w:val="0"/>
                <w:sz w:val="18"/>
                <w:szCs w:val="18"/>
              </w:rPr>
              <w:t>Pr</w:t>
            </w:r>
          </w:p>
        </w:tc>
        <w:tc>
          <w:tcPr>
            <w:tcW w:w="1190" w:type="dxa"/>
            <w:vAlign w:val="center"/>
          </w:tcPr>
          <w:p>
            <w:pPr>
              <w:spacing w:line="360" w:lineRule="auto"/>
              <w:jc w:val="center"/>
              <w:rPr>
                <w:b w:val="0"/>
                <w:sz w:val="18"/>
                <w:szCs w:val="18"/>
              </w:rPr>
            </w:pPr>
            <w:r>
              <w:rPr>
                <w:rFonts w:hint="eastAsia"/>
                <w:b w:val="0"/>
                <w:sz w:val="18"/>
                <w:szCs w:val="18"/>
              </w:rPr>
              <w:t>Nd</w:t>
            </w:r>
          </w:p>
        </w:tc>
        <w:tc>
          <w:tcPr>
            <w:tcW w:w="1189" w:type="dxa"/>
            <w:vAlign w:val="center"/>
          </w:tcPr>
          <w:p>
            <w:pPr>
              <w:spacing w:line="360" w:lineRule="auto"/>
              <w:jc w:val="center"/>
              <w:rPr>
                <w:b w:val="0"/>
                <w:sz w:val="18"/>
                <w:szCs w:val="18"/>
              </w:rPr>
            </w:pPr>
            <w:r>
              <w:rPr>
                <w:rFonts w:hint="eastAsia"/>
                <w:b w:val="0"/>
                <w:sz w:val="18"/>
                <w:szCs w:val="18"/>
              </w:rPr>
              <w:t>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0" w:type="dxa"/>
            <w:vAlign w:val="center"/>
          </w:tcPr>
          <w:p>
            <w:pPr>
              <w:spacing w:line="360" w:lineRule="auto"/>
              <w:jc w:val="center"/>
              <w:rPr>
                <w:b w:val="0"/>
                <w:sz w:val="18"/>
                <w:szCs w:val="18"/>
              </w:rPr>
            </w:pPr>
            <w:r>
              <w:rPr>
                <w:rFonts w:hint="eastAsia"/>
                <w:b w:val="0"/>
                <w:sz w:val="18"/>
                <w:szCs w:val="18"/>
              </w:rPr>
              <w:t>STD-1</w:t>
            </w:r>
          </w:p>
        </w:tc>
        <w:tc>
          <w:tcPr>
            <w:tcW w:w="1190" w:type="dxa"/>
            <w:vAlign w:val="center"/>
          </w:tcPr>
          <w:p>
            <w:pPr>
              <w:spacing w:line="360" w:lineRule="auto"/>
              <w:jc w:val="center"/>
              <w:rPr>
                <w:b w:val="0"/>
                <w:sz w:val="18"/>
                <w:szCs w:val="18"/>
              </w:rPr>
            </w:pPr>
            <w:r>
              <w:rPr>
                <w:rFonts w:hint="eastAsia"/>
                <w:b w:val="0"/>
                <w:sz w:val="18"/>
                <w:szCs w:val="18"/>
              </w:rPr>
              <w:t>1.00</w:t>
            </w:r>
          </w:p>
        </w:tc>
        <w:tc>
          <w:tcPr>
            <w:tcW w:w="1190" w:type="dxa"/>
            <w:vAlign w:val="center"/>
          </w:tcPr>
          <w:p>
            <w:pPr>
              <w:spacing w:line="360" w:lineRule="auto"/>
              <w:jc w:val="center"/>
              <w:rPr>
                <w:b w:val="0"/>
                <w:sz w:val="18"/>
                <w:szCs w:val="18"/>
              </w:rPr>
            </w:pPr>
            <w:r>
              <w:rPr>
                <w:rFonts w:hint="eastAsia"/>
                <w:b w:val="0"/>
                <w:sz w:val="18"/>
                <w:szCs w:val="18"/>
              </w:rPr>
              <w:t>1.00</w:t>
            </w:r>
          </w:p>
        </w:tc>
        <w:tc>
          <w:tcPr>
            <w:tcW w:w="1190" w:type="dxa"/>
            <w:vAlign w:val="center"/>
          </w:tcPr>
          <w:p>
            <w:pPr>
              <w:spacing w:line="360" w:lineRule="auto"/>
              <w:jc w:val="center"/>
              <w:rPr>
                <w:b w:val="0"/>
                <w:sz w:val="18"/>
                <w:szCs w:val="18"/>
              </w:rPr>
            </w:pPr>
            <w:r>
              <w:rPr>
                <w:rFonts w:hint="eastAsia"/>
                <w:b w:val="0"/>
                <w:sz w:val="18"/>
                <w:szCs w:val="18"/>
              </w:rPr>
              <w:t>0.500</w:t>
            </w:r>
          </w:p>
        </w:tc>
        <w:tc>
          <w:tcPr>
            <w:tcW w:w="1190" w:type="dxa"/>
            <w:vAlign w:val="center"/>
          </w:tcPr>
          <w:p>
            <w:pPr>
              <w:spacing w:line="360" w:lineRule="auto"/>
              <w:jc w:val="center"/>
              <w:rPr>
                <w:b w:val="0"/>
                <w:sz w:val="18"/>
                <w:szCs w:val="18"/>
              </w:rPr>
            </w:pPr>
            <w:r>
              <w:rPr>
                <w:rFonts w:hint="eastAsia"/>
                <w:b w:val="0"/>
                <w:sz w:val="18"/>
                <w:szCs w:val="18"/>
              </w:rPr>
              <w:t>0.500</w:t>
            </w:r>
          </w:p>
        </w:tc>
        <w:tc>
          <w:tcPr>
            <w:tcW w:w="1190" w:type="dxa"/>
            <w:vAlign w:val="center"/>
          </w:tcPr>
          <w:p>
            <w:pPr>
              <w:spacing w:line="360" w:lineRule="auto"/>
              <w:jc w:val="center"/>
              <w:rPr>
                <w:b w:val="0"/>
                <w:sz w:val="18"/>
                <w:szCs w:val="18"/>
              </w:rPr>
            </w:pPr>
            <w:r>
              <w:rPr>
                <w:rFonts w:hint="eastAsia"/>
                <w:b w:val="0"/>
                <w:sz w:val="18"/>
                <w:szCs w:val="18"/>
              </w:rPr>
              <w:t>0.500</w:t>
            </w:r>
          </w:p>
        </w:tc>
        <w:tc>
          <w:tcPr>
            <w:tcW w:w="1189" w:type="dxa"/>
            <w:vAlign w:val="center"/>
          </w:tcPr>
          <w:p>
            <w:pPr>
              <w:spacing w:line="360" w:lineRule="auto"/>
              <w:jc w:val="center"/>
              <w:rPr>
                <w:b w:val="0"/>
                <w:sz w:val="18"/>
                <w:szCs w:val="18"/>
              </w:rPr>
            </w:pPr>
            <w:r>
              <w:rPr>
                <w:rFonts w:hint="eastAsia"/>
                <w:b w:val="0"/>
                <w:sz w:val="18"/>
                <w:szCs w:val="18"/>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0" w:type="dxa"/>
            <w:vAlign w:val="center"/>
          </w:tcPr>
          <w:p>
            <w:pPr>
              <w:spacing w:line="360" w:lineRule="auto"/>
              <w:jc w:val="center"/>
              <w:rPr>
                <w:b w:val="0"/>
                <w:sz w:val="18"/>
                <w:szCs w:val="18"/>
              </w:rPr>
            </w:pPr>
            <w:r>
              <w:rPr>
                <w:rFonts w:hint="eastAsia"/>
                <w:b w:val="0"/>
                <w:sz w:val="18"/>
                <w:szCs w:val="18"/>
              </w:rPr>
              <w:t>STD-2</w:t>
            </w:r>
          </w:p>
        </w:tc>
        <w:tc>
          <w:tcPr>
            <w:tcW w:w="1190" w:type="dxa"/>
            <w:vAlign w:val="center"/>
          </w:tcPr>
          <w:p>
            <w:pPr>
              <w:spacing w:line="360" w:lineRule="auto"/>
              <w:jc w:val="center"/>
              <w:rPr>
                <w:b w:val="0"/>
                <w:sz w:val="18"/>
                <w:szCs w:val="18"/>
              </w:rPr>
            </w:pPr>
            <w:r>
              <w:rPr>
                <w:rFonts w:hint="eastAsia"/>
                <w:b w:val="0"/>
                <w:sz w:val="18"/>
                <w:szCs w:val="18"/>
              </w:rPr>
              <w:t>10.0</w:t>
            </w:r>
          </w:p>
        </w:tc>
        <w:tc>
          <w:tcPr>
            <w:tcW w:w="1190" w:type="dxa"/>
            <w:vAlign w:val="center"/>
          </w:tcPr>
          <w:p>
            <w:pPr>
              <w:spacing w:line="360" w:lineRule="auto"/>
              <w:jc w:val="center"/>
              <w:rPr>
                <w:b w:val="0"/>
                <w:sz w:val="18"/>
                <w:szCs w:val="18"/>
              </w:rPr>
            </w:pPr>
            <w:r>
              <w:rPr>
                <w:rFonts w:hint="eastAsia"/>
                <w:b w:val="0"/>
                <w:sz w:val="18"/>
                <w:szCs w:val="18"/>
              </w:rPr>
              <w:t>10.0</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5.00</w:t>
            </w:r>
          </w:p>
        </w:tc>
        <w:tc>
          <w:tcPr>
            <w:tcW w:w="1189" w:type="dxa"/>
            <w:vAlign w:val="center"/>
          </w:tcPr>
          <w:p>
            <w:pPr>
              <w:spacing w:line="360" w:lineRule="auto"/>
              <w:jc w:val="center"/>
              <w:rPr>
                <w:b w:val="0"/>
                <w:sz w:val="18"/>
                <w:szCs w:val="18"/>
              </w:rPr>
            </w:pPr>
            <w:r>
              <w:rPr>
                <w:rFonts w:hint="eastAsia"/>
                <w:b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0" w:type="dxa"/>
            <w:vAlign w:val="center"/>
          </w:tcPr>
          <w:p>
            <w:pPr>
              <w:spacing w:line="360" w:lineRule="auto"/>
              <w:jc w:val="center"/>
              <w:rPr>
                <w:b w:val="0"/>
                <w:sz w:val="18"/>
                <w:szCs w:val="18"/>
              </w:rPr>
            </w:pPr>
            <w:r>
              <w:rPr>
                <w:rFonts w:hint="eastAsia"/>
                <w:b w:val="0"/>
                <w:sz w:val="18"/>
                <w:szCs w:val="18"/>
              </w:rPr>
              <w:t>STD-3</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25.0</w:t>
            </w:r>
          </w:p>
        </w:tc>
        <w:tc>
          <w:tcPr>
            <w:tcW w:w="1190" w:type="dxa"/>
            <w:vAlign w:val="center"/>
          </w:tcPr>
          <w:p>
            <w:pPr>
              <w:spacing w:line="360" w:lineRule="auto"/>
              <w:jc w:val="center"/>
              <w:rPr>
                <w:b w:val="0"/>
                <w:sz w:val="18"/>
                <w:szCs w:val="18"/>
              </w:rPr>
            </w:pPr>
            <w:r>
              <w:rPr>
                <w:rFonts w:hint="eastAsia"/>
                <w:b w:val="0"/>
                <w:sz w:val="18"/>
                <w:szCs w:val="18"/>
              </w:rPr>
              <w:t>25.0</w:t>
            </w:r>
          </w:p>
        </w:tc>
        <w:tc>
          <w:tcPr>
            <w:tcW w:w="1190" w:type="dxa"/>
            <w:vAlign w:val="center"/>
          </w:tcPr>
          <w:p>
            <w:pPr>
              <w:spacing w:line="360" w:lineRule="auto"/>
              <w:jc w:val="center"/>
              <w:rPr>
                <w:b w:val="0"/>
                <w:sz w:val="18"/>
                <w:szCs w:val="18"/>
              </w:rPr>
            </w:pPr>
            <w:r>
              <w:rPr>
                <w:rFonts w:hint="eastAsia"/>
                <w:b w:val="0"/>
                <w:sz w:val="18"/>
                <w:szCs w:val="18"/>
              </w:rPr>
              <w:t>25.0</w:t>
            </w:r>
          </w:p>
        </w:tc>
        <w:tc>
          <w:tcPr>
            <w:tcW w:w="1189" w:type="dxa"/>
            <w:vAlign w:val="center"/>
          </w:tcPr>
          <w:p>
            <w:pPr>
              <w:spacing w:line="360" w:lineRule="auto"/>
              <w:jc w:val="center"/>
              <w:rPr>
                <w:b w:val="0"/>
                <w:sz w:val="18"/>
                <w:szCs w:val="18"/>
              </w:rPr>
            </w:pPr>
            <w:r>
              <w:rPr>
                <w:rFonts w:hint="eastAsia"/>
                <w:b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0" w:type="dxa"/>
            <w:vAlign w:val="center"/>
          </w:tcPr>
          <w:p>
            <w:pPr>
              <w:spacing w:line="360" w:lineRule="auto"/>
              <w:jc w:val="center"/>
              <w:rPr>
                <w:b w:val="0"/>
                <w:sz w:val="18"/>
                <w:szCs w:val="18"/>
              </w:rPr>
            </w:pPr>
            <w:r>
              <w:rPr>
                <w:rFonts w:hint="eastAsia"/>
                <w:b w:val="0"/>
                <w:sz w:val="18"/>
                <w:szCs w:val="18"/>
              </w:rPr>
              <w:t>STD-4</w:t>
            </w:r>
          </w:p>
        </w:tc>
        <w:tc>
          <w:tcPr>
            <w:tcW w:w="1190" w:type="dxa"/>
            <w:vAlign w:val="center"/>
          </w:tcPr>
          <w:p>
            <w:pPr>
              <w:spacing w:line="360" w:lineRule="auto"/>
              <w:jc w:val="center"/>
              <w:rPr>
                <w:b w:val="0"/>
                <w:sz w:val="18"/>
                <w:szCs w:val="18"/>
              </w:rPr>
            </w:pPr>
            <w:r>
              <w:rPr>
                <w:rFonts w:hint="eastAsia"/>
                <w:b w:val="0"/>
                <w:sz w:val="18"/>
                <w:szCs w:val="18"/>
              </w:rPr>
              <w:t>100.0</w:t>
            </w:r>
          </w:p>
        </w:tc>
        <w:tc>
          <w:tcPr>
            <w:tcW w:w="1190" w:type="dxa"/>
            <w:vAlign w:val="center"/>
          </w:tcPr>
          <w:p>
            <w:pPr>
              <w:spacing w:line="360" w:lineRule="auto"/>
              <w:jc w:val="center"/>
              <w:rPr>
                <w:b w:val="0"/>
                <w:sz w:val="18"/>
                <w:szCs w:val="18"/>
              </w:rPr>
            </w:pPr>
            <w:r>
              <w:rPr>
                <w:rFonts w:hint="eastAsia"/>
                <w:b w:val="0"/>
                <w:sz w:val="18"/>
                <w:szCs w:val="18"/>
              </w:rPr>
              <w:t>100.0</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50.0</w:t>
            </w:r>
          </w:p>
        </w:tc>
        <w:tc>
          <w:tcPr>
            <w:tcW w:w="1190" w:type="dxa"/>
            <w:vAlign w:val="center"/>
          </w:tcPr>
          <w:p>
            <w:pPr>
              <w:spacing w:line="360" w:lineRule="auto"/>
              <w:jc w:val="center"/>
              <w:rPr>
                <w:b w:val="0"/>
                <w:sz w:val="18"/>
                <w:szCs w:val="18"/>
              </w:rPr>
            </w:pPr>
            <w:r>
              <w:rPr>
                <w:rFonts w:hint="eastAsia"/>
                <w:b w:val="0"/>
                <w:sz w:val="18"/>
                <w:szCs w:val="18"/>
              </w:rPr>
              <w:t>50.0</w:t>
            </w:r>
          </w:p>
        </w:tc>
        <w:tc>
          <w:tcPr>
            <w:tcW w:w="1189" w:type="dxa"/>
            <w:vAlign w:val="center"/>
          </w:tcPr>
          <w:p>
            <w:pPr>
              <w:spacing w:line="360" w:lineRule="auto"/>
              <w:jc w:val="center"/>
              <w:rPr>
                <w:b w:val="0"/>
                <w:sz w:val="18"/>
                <w:szCs w:val="18"/>
              </w:rPr>
            </w:pPr>
            <w:r>
              <w:rPr>
                <w:rFonts w:hint="eastAsia"/>
                <w:b w:val="0"/>
                <w:sz w:val="18"/>
                <w:szCs w:val="18"/>
              </w:rPr>
              <w:t>50.0</w:t>
            </w:r>
          </w:p>
        </w:tc>
      </w:tr>
    </w:tbl>
    <w:p>
      <w:pPr>
        <w:spacing w:line="360" w:lineRule="auto"/>
        <w:rPr>
          <w:b w:val="0"/>
          <w:sz w:val="24"/>
        </w:rPr>
      </w:pPr>
      <w:r>
        <w:rPr>
          <w:b w:val="0"/>
          <w:sz w:val="24"/>
        </w:rPr>
        <w:t>配制方法：</w:t>
      </w:r>
    </w:p>
    <w:p>
      <w:pPr>
        <w:spacing w:line="360" w:lineRule="auto"/>
        <w:rPr>
          <w:b w:val="0"/>
          <w:sz w:val="24"/>
        </w:rPr>
      </w:pPr>
      <w:r>
        <w:rPr>
          <w:b w:val="0"/>
          <w:sz w:val="24"/>
        </w:rPr>
        <w:t>STD-1：移取1.00mL混合标准溶液（1.2.15）至100mL容量瓶中，用盐酸（1.2.5）稀释至刻度，摇匀。</w:t>
      </w:r>
    </w:p>
    <w:p>
      <w:pPr>
        <w:spacing w:line="360" w:lineRule="auto"/>
        <w:rPr>
          <w:b w:val="0"/>
          <w:sz w:val="24"/>
        </w:rPr>
      </w:pPr>
      <w:r>
        <w:rPr>
          <w:b w:val="0"/>
          <w:sz w:val="24"/>
        </w:rPr>
        <w:t>STD-2：移取10.00mL混合标准溶液（1.2.15）至100mL容量瓶中，用盐酸（1.2.5）稀释至刻度，摇匀。</w:t>
      </w:r>
    </w:p>
    <w:p>
      <w:pPr>
        <w:spacing w:line="360" w:lineRule="auto"/>
        <w:rPr>
          <w:b w:val="0"/>
          <w:sz w:val="24"/>
        </w:rPr>
      </w:pPr>
      <w:r>
        <w:rPr>
          <w:b w:val="0"/>
          <w:sz w:val="24"/>
        </w:rPr>
        <w:t>STD-3：分别移取5.00mL铈、锆标准贮存溶液（1.2.13、1.2.14），2.50mL镧、镨、钕、钡标准贮存溶液（1.2.9～1.2.12）至100mL容量瓶中，用盐酸（1.2.5）稀释至刻度，摇匀。</w:t>
      </w:r>
    </w:p>
    <w:p>
      <w:pPr>
        <w:spacing w:line="360" w:lineRule="auto"/>
        <w:rPr>
          <w:b w:val="0"/>
          <w:sz w:val="24"/>
        </w:rPr>
      </w:pPr>
      <w:r>
        <w:rPr>
          <w:b w:val="0"/>
          <w:sz w:val="24"/>
        </w:rPr>
        <w:t>STD-4：分别移取10.00mL铈、锆标准贮存溶液（1.2.13、1.2.14），5.00mL镧、镨、钕、钡标准贮存溶液（1.2.9～1.2.12）至100mL容量瓶中，用盐酸（1.2.5）稀释至刻度，摇匀。</w:t>
      </w:r>
    </w:p>
    <w:p>
      <w:pPr>
        <w:spacing w:line="360" w:lineRule="auto"/>
        <w:rPr>
          <w:rFonts w:hint="eastAsia"/>
          <w:b w:val="0"/>
          <w:bCs/>
          <w:sz w:val="21"/>
          <w:szCs w:val="21"/>
          <w:lang w:eastAsia="zh-CN"/>
        </w:rPr>
      </w:pPr>
      <w:r>
        <w:rPr>
          <w:rFonts w:hint="eastAsia"/>
          <w:b w:val="0"/>
          <w:sz w:val="24"/>
          <w:lang w:val="en-US" w:eastAsia="zh-CN"/>
        </w:rPr>
        <w:t>备注：因本文中提供的低量催化剂的有些待测元素含量小于0.05%（0.03%</w:t>
      </w:r>
      <w:r>
        <w:rPr>
          <w:rFonts w:hint="default" w:ascii="Times New Roman" w:hAnsi="Times New Roman" w:cs="Times New Roman"/>
          <w:b w:val="0"/>
          <w:sz w:val="24"/>
          <w:lang w:val="en-US" w:eastAsia="zh-CN"/>
        </w:rPr>
        <w:t>~</w:t>
      </w:r>
      <w:r>
        <w:rPr>
          <w:rFonts w:hint="eastAsia"/>
          <w:b w:val="0"/>
          <w:sz w:val="24"/>
          <w:lang w:val="en-US" w:eastAsia="zh-CN"/>
        </w:rPr>
        <w:t>0.05%），故可配制La、Pr、Ba、Nd元素低量标准点为0.25</w:t>
      </w:r>
      <w:r>
        <w:rPr>
          <w:b w:val="0"/>
          <w:bCs/>
          <w:sz w:val="21"/>
          <w:szCs w:val="21"/>
        </w:rPr>
        <w:t>µg</w:t>
      </w:r>
      <w:r>
        <w:rPr>
          <w:rFonts w:hint="eastAsia"/>
          <w:b w:val="0"/>
          <w:bCs/>
          <w:sz w:val="21"/>
          <w:szCs w:val="21"/>
        </w:rPr>
        <w:t>/mL</w:t>
      </w:r>
      <w:r>
        <w:rPr>
          <w:rFonts w:hint="eastAsia"/>
          <w:b w:val="0"/>
          <w:bCs/>
          <w:sz w:val="21"/>
          <w:szCs w:val="21"/>
          <w:lang w:eastAsia="zh-CN"/>
        </w:rPr>
        <w:t>。</w:t>
      </w:r>
    </w:p>
    <w:p>
      <w:pPr>
        <w:spacing w:line="360" w:lineRule="auto"/>
        <w:rPr>
          <w:b w:val="0"/>
          <w:sz w:val="21"/>
          <w:szCs w:val="21"/>
        </w:rPr>
      </w:pPr>
      <w:r>
        <w:rPr>
          <w:rFonts w:hint="eastAsia"/>
          <w:b w:val="0"/>
          <w:bCs/>
          <w:sz w:val="21"/>
          <w:szCs w:val="21"/>
          <w:lang w:val="en-US" w:eastAsia="zh-CN"/>
        </w:rPr>
        <w:t>配制方法：移取1mLSTD-3至100mL容量瓶中，</w:t>
      </w:r>
      <w:r>
        <w:rPr>
          <w:b w:val="0"/>
          <w:sz w:val="21"/>
          <w:szCs w:val="21"/>
        </w:rPr>
        <w:t>用盐酸（1.2.5）稀释至刻度，摇匀。</w:t>
      </w:r>
      <w:bookmarkStart w:id="0" w:name="_GoBack"/>
      <w:bookmarkEnd w:id="0"/>
    </w:p>
    <w:p>
      <w:pPr>
        <w:spacing w:line="360" w:lineRule="auto"/>
        <w:rPr>
          <w:rFonts w:hint="eastAsia" w:eastAsia="宋体"/>
          <w:b w:val="0"/>
          <w:sz w:val="24"/>
          <w:lang w:val="en-US" w:eastAsia="zh-CN"/>
        </w:rPr>
      </w:pPr>
    </w:p>
    <w:p>
      <w:pPr>
        <w:spacing w:line="360" w:lineRule="auto"/>
        <w:rPr>
          <w:b w:val="0"/>
          <w:szCs w:val="28"/>
        </w:rPr>
      </w:pPr>
      <w:r>
        <w:rPr>
          <w:b w:val="0"/>
          <w:szCs w:val="28"/>
        </w:rPr>
        <w:t xml:space="preserve">2 </w:t>
      </w:r>
      <w:r>
        <w:rPr>
          <w:rFonts w:hint="eastAsia"/>
          <w:b w:val="0"/>
          <w:szCs w:val="28"/>
        </w:rPr>
        <w:t>结果与讨论</w:t>
      </w:r>
    </w:p>
    <w:p>
      <w:pPr>
        <w:spacing w:line="360" w:lineRule="auto"/>
        <w:rPr>
          <w:b w:val="0"/>
          <w:sz w:val="24"/>
        </w:rPr>
      </w:pPr>
      <w:r>
        <w:rPr>
          <w:b w:val="0"/>
          <w:sz w:val="24"/>
        </w:rPr>
        <w:t>2.1 仪器测定条件选择</w:t>
      </w:r>
    </w:p>
    <w:p>
      <w:pPr>
        <w:spacing w:line="360" w:lineRule="auto"/>
        <w:ind w:firstLine="480" w:firstLineChars="200"/>
        <w:rPr>
          <w:b w:val="0"/>
          <w:color w:val="000000"/>
          <w:sz w:val="24"/>
        </w:rPr>
      </w:pPr>
      <w:r>
        <w:rPr>
          <w:b w:val="0"/>
          <w:sz w:val="24"/>
        </w:rPr>
        <w:t>仪器的功率、雾化气及载气流速、进样泵速及观测高度等都会对测定的灵敏度、稳定性带来影响。选取了以上不同组合的条件进行实验，考察标准溶液</w:t>
      </w:r>
      <w:r>
        <w:rPr>
          <w:b w:val="0"/>
          <w:color w:val="000000"/>
          <w:sz w:val="24"/>
        </w:rPr>
        <w:t>在各待测元素处的测定强度值</w:t>
      </w:r>
      <w:r>
        <w:rPr>
          <w:b w:val="0"/>
          <w:sz w:val="24"/>
        </w:rPr>
        <w:t>。结果表明，当仪器的功率为1.3 KW、冷却气15L/min、雾化气0.8L/min、载气0.2L/min、进样泵速1.5mL/min及观测高度为15mm时，</w:t>
      </w:r>
      <w:r>
        <w:rPr>
          <w:b w:val="0"/>
          <w:color w:val="000000"/>
          <w:sz w:val="24"/>
        </w:rPr>
        <w:t>各待测元素的测定强度值较大。因此，以上参数作为我们选择的仪器条件。</w:t>
      </w:r>
    </w:p>
    <w:p>
      <w:pPr>
        <w:spacing w:line="360" w:lineRule="auto"/>
        <w:rPr>
          <w:b w:val="0"/>
          <w:sz w:val="24"/>
        </w:rPr>
      </w:pPr>
      <w:r>
        <w:rPr>
          <w:b w:val="0"/>
          <w:sz w:val="24"/>
        </w:rPr>
        <w:t>2.2 基体元素对待测元素的干扰</w:t>
      </w:r>
    </w:p>
    <w:p>
      <w:pPr>
        <w:spacing w:line="360" w:lineRule="auto"/>
        <w:ind w:firstLine="480" w:firstLineChars="200"/>
        <w:rPr>
          <w:b w:val="0"/>
          <w:bCs/>
          <w:sz w:val="24"/>
        </w:rPr>
      </w:pPr>
      <w:r>
        <w:rPr>
          <w:b w:val="0"/>
          <w:bCs/>
          <w:sz w:val="24"/>
        </w:rPr>
        <w:t>以堇青石（5SiO</w:t>
      </w:r>
      <w:r>
        <w:rPr>
          <w:b w:val="0"/>
          <w:bCs/>
          <w:sz w:val="24"/>
          <w:vertAlign w:val="subscript"/>
        </w:rPr>
        <w:t>2</w:t>
      </w:r>
      <w:r>
        <w:rPr>
          <w:b w:val="0"/>
          <w:bCs/>
          <w:sz w:val="24"/>
        </w:rPr>
        <w:t>·2Al</w:t>
      </w:r>
      <w:r>
        <w:rPr>
          <w:b w:val="0"/>
          <w:bCs/>
          <w:sz w:val="24"/>
          <w:vertAlign w:val="subscript"/>
        </w:rPr>
        <w:t>2</w:t>
      </w:r>
      <w:r>
        <w:rPr>
          <w:b w:val="0"/>
          <w:bCs/>
          <w:sz w:val="24"/>
        </w:rPr>
        <w:t>O</w:t>
      </w:r>
      <w:r>
        <w:rPr>
          <w:b w:val="0"/>
          <w:bCs/>
          <w:sz w:val="24"/>
          <w:vertAlign w:val="subscript"/>
        </w:rPr>
        <w:t>3</w:t>
      </w:r>
      <w:r>
        <w:rPr>
          <w:b w:val="0"/>
          <w:bCs/>
          <w:sz w:val="24"/>
        </w:rPr>
        <w:t>·2MgO）为载体的机动车尾气净化转化器中主要含有硅、铝和镁。Al2O3在催化剂中的最大百分含量在30％左右，MgO在催化剂中的最大百分含量约为10％，样品溶解处理后，大部分硅已挥发除去，溶液中主要含有铝和镁。试验了30％以内的铝含量和10％以内的镁含量对La、Ce、Ba、Nd 、Pr、Zr发射强度的影响。结果表明，镁铝对待测元素基本不产生干扰。</w:t>
      </w:r>
    </w:p>
    <w:p>
      <w:pPr>
        <w:spacing w:line="360" w:lineRule="auto"/>
        <w:rPr>
          <w:b w:val="0"/>
          <w:bCs/>
          <w:sz w:val="24"/>
        </w:rPr>
      </w:pPr>
      <w:r>
        <w:rPr>
          <w:b w:val="0"/>
          <w:bCs/>
          <w:sz w:val="24"/>
        </w:rPr>
        <w:t>2.3 共存元素对待测元素的干扰</w:t>
      </w:r>
    </w:p>
    <w:p>
      <w:pPr>
        <w:autoSpaceDE w:val="0"/>
        <w:autoSpaceDN w:val="0"/>
        <w:adjustRightInd w:val="0"/>
        <w:spacing w:line="360" w:lineRule="auto"/>
        <w:ind w:firstLine="480" w:firstLineChars="200"/>
        <w:jc w:val="left"/>
        <w:rPr>
          <w:b w:val="0"/>
          <w:bCs/>
          <w:sz w:val="24"/>
        </w:rPr>
      </w:pPr>
      <w:r>
        <w:rPr>
          <w:b w:val="0"/>
          <w:bCs/>
          <w:sz w:val="24"/>
        </w:rPr>
        <w:t>汽车尾气净化催化剂中存在或可能存在Fe、V、Mn、Cr、Ni等元素，为考察它们对La，Ce、Ba、Pr、Nd、Zr的干扰情况</w:t>
      </w:r>
      <w:r>
        <w:rPr>
          <w:b w:val="0"/>
          <w:bCs/>
          <w:sz w:val="24"/>
          <w:vertAlign w:val="superscript"/>
        </w:rPr>
        <w:t>[9]</w:t>
      </w:r>
      <w:r>
        <w:rPr>
          <w:b w:val="0"/>
          <w:bCs/>
          <w:sz w:val="24"/>
        </w:rPr>
        <w:t xml:space="preserve">，根据所查到的它们在催化剂中大概含量，配制了浓度分别为0、10、50、100 </w:t>
      </w:r>
      <w:r>
        <w:rPr>
          <w:b w:val="0"/>
          <w:color w:val="000000"/>
          <w:sz w:val="24"/>
        </w:rPr>
        <w:t>µ</w:t>
      </w:r>
      <w:r>
        <w:rPr>
          <w:b w:val="0"/>
          <w:bCs/>
          <w:sz w:val="24"/>
        </w:rPr>
        <w:t>g/mL 的Fe、V、Mn、Cr、Ni的单元素系列溶液，在选定的仪器条件下，测定Fe、V、Mn、Cr、Ni单元素系列溶液在各待测元素的所选波长处的表观浓度。</w:t>
      </w:r>
    </w:p>
    <w:p>
      <w:pPr>
        <w:spacing w:line="440" w:lineRule="exact"/>
        <w:ind w:firstLine="480" w:firstLineChars="200"/>
        <w:rPr>
          <w:b w:val="0"/>
          <w:bCs/>
          <w:sz w:val="24"/>
        </w:rPr>
      </w:pPr>
      <w:r>
        <w:rPr>
          <w:b w:val="0"/>
          <w:bCs/>
          <w:sz w:val="24"/>
        </w:rPr>
        <w:t>实验发现：共存元素对大部分待测元素的多条波长都没有干扰，存在的少数干扰也并不严重，只有Ce413.380线受到V413.202线和413.449线的干扰，当溶液中Fe含量为100µg/mL时对La379.478线和Zr354.262线有轻微的干扰；当溶液中Cr为100µg/mL时对La379.478线有轻微的干扰。实际测定溶液中Fe、Cr的含量都远远小于100µg/mL，故在选择波长时只需避开Ce413.380线。</w:t>
      </w:r>
    </w:p>
    <w:p>
      <w:pPr>
        <w:autoSpaceDE w:val="0"/>
        <w:autoSpaceDN w:val="0"/>
        <w:adjustRightInd w:val="0"/>
        <w:spacing w:line="360" w:lineRule="auto"/>
        <w:jc w:val="left"/>
        <w:rPr>
          <w:b w:val="0"/>
          <w:bCs/>
          <w:sz w:val="24"/>
        </w:rPr>
      </w:pPr>
      <w:r>
        <w:rPr>
          <w:b w:val="0"/>
          <w:bCs/>
          <w:sz w:val="24"/>
        </w:rPr>
        <w:t>2.4 待测元素之间的干扰情况</w:t>
      </w:r>
    </w:p>
    <w:p>
      <w:pPr>
        <w:spacing w:line="440" w:lineRule="exact"/>
        <w:ind w:firstLine="480" w:firstLineChars="200"/>
        <w:rPr>
          <w:b w:val="0"/>
          <w:bCs/>
          <w:sz w:val="24"/>
        </w:rPr>
      </w:pPr>
      <w:r>
        <w:rPr>
          <w:b w:val="0"/>
          <w:bCs/>
          <w:sz w:val="24"/>
        </w:rPr>
        <w:t>针对Zr、La、Ce、Pr、Nd、Ba元素间相互波长干扰情况进行了实验</w:t>
      </w:r>
      <w:r>
        <w:rPr>
          <w:b w:val="0"/>
          <w:bCs/>
          <w:sz w:val="24"/>
          <w:vertAlign w:val="superscript"/>
        </w:rPr>
        <w:t>[9]</w:t>
      </w:r>
      <w:r>
        <w:rPr>
          <w:b w:val="0"/>
          <w:bCs/>
          <w:sz w:val="24"/>
        </w:rPr>
        <w:t>。通过波长表，查找在每个待测元素波长附近0.5 nm左右内可能存在干扰的元素，然后配制相应系列的干扰溶液，查找其干扰情况。实际样品溶液中La、Ce、Ba、Zr、Pr、Nd的浓度按平均5µg/mL计算，测得的表观浓度值超过5％（即0.25 µg/mL）时认为存在干扰。</w:t>
      </w:r>
    </w:p>
    <w:p>
      <w:pPr>
        <w:spacing w:line="440" w:lineRule="exact"/>
        <w:ind w:firstLine="480" w:firstLineChars="200"/>
        <w:rPr>
          <w:b w:val="0"/>
          <w:bCs/>
          <w:sz w:val="24"/>
        </w:rPr>
      </w:pPr>
      <w:r>
        <w:rPr>
          <w:b w:val="0"/>
          <w:bCs/>
          <w:sz w:val="24"/>
        </w:rPr>
        <w:t>实验发现：当溶液中Zr浓度小于300 µg/mL时，Ce418.660线受Zr严重正干扰，La 407.735线、Nd401.225线受轻微干扰，Nd406.109线受Zr干扰。当溶液中Ce浓度小于300 µg/mL时，Pr390.844线、Nd401.225线、Nd424.738线、La407.735线、Ba413.065线受Ce严重正干扰，Pr422.293线受Ce轻微干扰，只有当溶液中Ce浓度小于100 µg/mL时，La379.478线基本不受干扰。La对Ce、Pr、Nd、Ba、Zr都不产生干扰，Ba同样也不产生干扰。Pr对Ce413.380线、Nd424.738线、Ba413.823线产生严重正干扰。Nd对Ba413.065线、Ce418.660线产生干扰。</w:t>
      </w:r>
    </w:p>
    <w:p>
      <w:pPr>
        <w:spacing w:line="440" w:lineRule="exact"/>
        <w:rPr>
          <w:b w:val="0"/>
          <w:bCs/>
          <w:sz w:val="24"/>
        </w:rPr>
      </w:pPr>
      <w:r>
        <w:rPr>
          <w:b w:val="0"/>
          <w:bCs/>
          <w:sz w:val="24"/>
        </w:rPr>
        <w:t>2.5 分析谱线的选择</w:t>
      </w:r>
    </w:p>
    <w:p>
      <w:pPr>
        <w:spacing w:line="360" w:lineRule="auto"/>
        <w:ind w:firstLine="480" w:firstLineChars="200"/>
        <w:rPr>
          <w:b w:val="0"/>
          <w:bCs/>
          <w:sz w:val="24"/>
        </w:rPr>
      </w:pPr>
      <w:r>
        <w:rPr>
          <w:b w:val="0"/>
          <w:bCs/>
          <w:sz w:val="24"/>
        </w:rPr>
        <w:t>配制各被测元素的标准溶液进行波长扫描后，结合干扰情况，选出峰形好，干扰少的谱线。选择的谱线为：Zr339.197，Ce 413.764 nm，La 379.478 nm，Pr414.311 nm ，Nd430.358 nm，Ba 230.425 nm。</w:t>
      </w:r>
    </w:p>
    <w:p>
      <w:pPr>
        <w:spacing w:line="360" w:lineRule="auto"/>
        <w:rPr>
          <w:b w:val="0"/>
          <w:sz w:val="24"/>
        </w:rPr>
      </w:pPr>
      <w:r>
        <w:rPr>
          <w:b w:val="0"/>
          <w:sz w:val="24"/>
        </w:rPr>
        <w:t>2.6检出限试验</w:t>
      </w:r>
    </w:p>
    <w:p>
      <w:pPr>
        <w:spacing w:line="360" w:lineRule="auto"/>
        <w:ind w:firstLine="480" w:firstLineChars="200"/>
        <w:rPr>
          <w:b w:val="0"/>
          <w:sz w:val="24"/>
        </w:rPr>
      </w:pPr>
      <w:r>
        <w:rPr>
          <w:b w:val="0"/>
          <w:sz w:val="24"/>
        </w:rPr>
        <w:t>在上述仪器条件下，将随同试料所做的空白溶液重复测定11次，以3倍标准偏差所对应浓度，表示各元素的检出限。以10倍标准偏差所对应浓度，表示各元素的测定下限。结果见表2。</w:t>
      </w:r>
    </w:p>
    <w:p>
      <w:pPr>
        <w:spacing w:line="360" w:lineRule="auto"/>
        <w:jc w:val="center"/>
        <w:rPr>
          <w:b w:val="0"/>
          <w:sz w:val="21"/>
          <w:szCs w:val="21"/>
        </w:rPr>
      </w:pPr>
      <w:r>
        <w:rPr>
          <w:rFonts w:hint="eastAsia"/>
          <w:b w:val="0"/>
          <w:sz w:val="21"/>
          <w:szCs w:val="21"/>
        </w:rPr>
        <w:t>表2元素的检出限</w:t>
      </w:r>
      <w:r>
        <w:rPr>
          <w:b w:val="0"/>
          <w:bCs/>
          <w:sz w:val="21"/>
          <w:szCs w:val="21"/>
        </w:rPr>
        <w:t>µ</w:t>
      </w:r>
      <w:r>
        <w:rPr>
          <w:b w:val="0"/>
          <w:sz w:val="21"/>
          <w:szCs w:val="21"/>
        </w:rPr>
        <w:t>g/mL</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577"/>
        <w:gridCol w:w="1815"/>
        <w:gridCol w:w="173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4" w:type="dxa"/>
            <w:vAlign w:val="center"/>
          </w:tcPr>
          <w:p>
            <w:pPr>
              <w:spacing w:line="360" w:lineRule="auto"/>
              <w:jc w:val="center"/>
              <w:rPr>
                <w:b w:val="0"/>
                <w:sz w:val="21"/>
                <w:szCs w:val="21"/>
              </w:rPr>
            </w:pPr>
            <w:r>
              <w:rPr>
                <w:rFonts w:hint="eastAsia"/>
                <w:b w:val="0"/>
                <w:sz w:val="21"/>
                <w:szCs w:val="21"/>
              </w:rPr>
              <w:t>元素</w:t>
            </w:r>
          </w:p>
        </w:tc>
        <w:tc>
          <w:tcPr>
            <w:tcW w:w="1577" w:type="dxa"/>
            <w:vAlign w:val="center"/>
          </w:tcPr>
          <w:p>
            <w:pPr>
              <w:spacing w:line="360" w:lineRule="auto"/>
              <w:jc w:val="center"/>
              <w:rPr>
                <w:b w:val="0"/>
                <w:sz w:val="21"/>
                <w:szCs w:val="21"/>
              </w:rPr>
            </w:pPr>
            <w:r>
              <w:rPr>
                <w:rFonts w:hint="eastAsia"/>
                <w:b w:val="0"/>
                <w:sz w:val="21"/>
                <w:szCs w:val="21"/>
              </w:rPr>
              <w:t>谱线</w:t>
            </w:r>
          </w:p>
        </w:tc>
        <w:tc>
          <w:tcPr>
            <w:tcW w:w="1815" w:type="dxa"/>
            <w:vAlign w:val="center"/>
          </w:tcPr>
          <w:p>
            <w:pPr>
              <w:spacing w:line="360" w:lineRule="auto"/>
              <w:jc w:val="center"/>
              <w:rPr>
                <w:b w:val="0"/>
                <w:sz w:val="21"/>
                <w:szCs w:val="21"/>
              </w:rPr>
            </w:pPr>
            <w:r>
              <w:rPr>
                <w:rFonts w:hint="eastAsia"/>
                <w:b w:val="0"/>
                <w:sz w:val="21"/>
                <w:szCs w:val="21"/>
              </w:rPr>
              <w:t>标准偏差（</w:t>
            </w:r>
            <w:r>
              <w:rPr>
                <w:b w:val="0"/>
                <w:sz w:val="21"/>
                <w:szCs w:val="21"/>
              </w:rPr>
              <w:t>n=11</w:t>
            </w:r>
            <w:r>
              <w:rPr>
                <w:rFonts w:hint="eastAsia"/>
                <w:b w:val="0"/>
                <w:sz w:val="21"/>
                <w:szCs w:val="21"/>
              </w:rPr>
              <w:t>）</w:t>
            </w:r>
          </w:p>
        </w:tc>
        <w:tc>
          <w:tcPr>
            <w:tcW w:w="1730" w:type="dxa"/>
            <w:vAlign w:val="center"/>
          </w:tcPr>
          <w:p>
            <w:pPr>
              <w:spacing w:line="360" w:lineRule="auto"/>
              <w:jc w:val="center"/>
              <w:rPr>
                <w:b w:val="0"/>
                <w:sz w:val="21"/>
                <w:szCs w:val="21"/>
              </w:rPr>
            </w:pPr>
            <w:r>
              <w:rPr>
                <w:rFonts w:hint="eastAsia"/>
                <w:b w:val="0"/>
                <w:sz w:val="21"/>
                <w:szCs w:val="21"/>
              </w:rPr>
              <w:t>检出限</w:t>
            </w:r>
          </w:p>
        </w:tc>
        <w:tc>
          <w:tcPr>
            <w:tcW w:w="1606" w:type="dxa"/>
            <w:vAlign w:val="center"/>
          </w:tcPr>
          <w:p>
            <w:pPr>
              <w:spacing w:line="360" w:lineRule="auto"/>
              <w:jc w:val="center"/>
              <w:rPr>
                <w:b w:val="0"/>
                <w:sz w:val="21"/>
                <w:szCs w:val="21"/>
              </w:rPr>
            </w:pPr>
            <w:r>
              <w:rPr>
                <w:rFonts w:hint="eastAsia"/>
                <w:b w:val="0"/>
                <w:sz w:val="21"/>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Zr</w:t>
            </w:r>
          </w:p>
        </w:tc>
        <w:tc>
          <w:tcPr>
            <w:tcW w:w="1577" w:type="dxa"/>
            <w:vAlign w:val="center"/>
          </w:tcPr>
          <w:p>
            <w:pPr>
              <w:spacing w:line="360" w:lineRule="auto"/>
              <w:jc w:val="center"/>
              <w:rPr>
                <w:b w:val="0"/>
                <w:sz w:val="21"/>
                <w:szCs w:val="21"/>
              </w:rPr>
            </w:pPr>
            <w:r>
              <w:rPr>
                <w:rFonts w:hint="eastAsia"/>
                <w:b w:val="0"/>
                <w:color w:val="000000"/>
                <w:sz w:val="21"/>
                <w:szCs w:val="21"/>
              </w:rPr>
              <w:t>339.197</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0.00060</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0.0018</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Ce</w:t>
            </w:r>
          </w:p>
        </w:tc>
        <w:tc>
          <w:tcPr>
            <w:tcW w:w="1577" w:type="dxa"/>
            <w:vAlign w:val="center"/>
          </w:tcPr>
          <w:p>
            <w:pPr>
              <w:spacing w:line="360" w:lineRule="auto"/>
              <w:jc w:val="center"/>
              <w:rPr>
                <w:b w:val="0"/>
                <w:sz w:val="21"/>
                <w:szCs w:val="21"/>
              </w:rPr>
            </w:pPr>
            <w:r>
              <w:rPr>
                <w:rFonts w:hint="eastAsia"/>
                <w:b w:val="0"/>
                <w:color w:val="000000"/>
                <w:sz w:val="21"/>
                <w:szCs w:val="21"/>
              </w:rPr>
              <w:t>413.764</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0.000401</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0.0012</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La</w:t>
            </w:r>
          </w:p>
        </w:tc>
        <w:tc>
          <w:tcPr>
            <w:tcW w:w="1577" w:type="dxa"/>
            <w:vAlign w:val="center"/>
          </w:tcPr>
          <w:p>
            <w:pPr>
              <w:spacing w:line="360" w:lineRule="auto"/>
              <w:jc w:val="center"/>
              <w:rPr>
                <w:b w:val="0"/>
                <w:sz w:val="21"/>
                <w:szCs w:val="21"/>
              </w:rPr>
            </w:pPr>
            <w:r>
              <w:rPr>
                <w:rFonts w:hint="eastAsia"/>
                <w:b w:val="0"/>
                <w:color w:val="000000"/>
                <w:sz w:val="21"/>
                <w:szCs w:val="21"/>
              </w:rPr>
              <w:t>379.478</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0.000121</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0.00036</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Pr</w:t>
            </w:r>
          </w:p>
        </w:tc>
        <w:tc>
          <w:tcPr>
            <w:tcW w:w="1577" w:type="dxa"/>
            <w:vAlign w:val="center"/>
          </w:tcPr>
          <w:p>
            <w:pPr>
              <w:spacing w:line="360" w:lineRule="auto"/>
              <w:jc w:val="center"/>
              <w:rPr>
                <w:b w:val="0"/>
                <w:sz w:val="21"/>
                <w:szCs w:val="21"/>
              </w:rPr>
            </w:pPr>
            <w:r>
              <w:rPr>
                <w:rFonts w:hint="eastAsia"/>
                <w:b w:val="0"/>
                <w:color w:val="000000"/>
                <w:sz w:val="21"/>
                <w:szCs w:val="21"/>
              </w:rPr>
              <w:t>414.311</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0.000148</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0.00044</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Nd</w:t>
            </w:r>
          </w:p>
        </w:tc>
        <w:tc>
          <w:tcPr>
            <w:tcW w:w="1577" w:type="dxa"/>
            <w:vAlign w:val="center"/>
          </w:tcPr>
          <w:p>
            <w:pPr>
              <w:spacing w:line="360" w:lineRule="auto"/>
              <w:jc w:val="center"/>
              <w:rPr>
                <w:b w:val="0"/>
                <w:sz w:val="21"/>
                <w:szCs w:val="21"/>
              </w:rPr>
            </w:pPr>
            <w:r>
              <w:rPr>
                <w:rFonts w:hint="eastAsia"/>
                <w:b w:val="0"/>
                <w:color w:val="000000"/>
                <w:sz w:val="21"/>
                <w:szCs w:val="21"/>
              </w:rPr>
              <w:t>430.358</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0.000215</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0.00064</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4" w:type="dxa"/>
            <w:vAlign w:val="center"/>
          </w:tcPr>
          <w:p>
            <w:pPr>
              <w:jc w:val="center"/>
              <w:rPr>
                <w:rFonts w:ascii="宋体" w:hAnsi="宋体" w:cs="宋体"/>
                <w:b w:val="0"/>
                <w:color w:val="000000"/>
                <w:sz w:val="21"/>
                <w:szCs w:val="21"/>
              </w:rPr>
            </w:pPr>
            <w:r>
              <w:rPr>
                <w:rFonts w:hint="eastAsia"/>
                <w:b w:val="0"/>
                <w:color w:val="000000"/>
                <w:sz w:val="21"/>
                <w:szCs w:val="21"/>
              </w:rPr>
              <w:t>Ba</w:t>
            </w:r>
          </w:p>
        </w:tc>
        <w:tc>
          <w:tcPr>
            <w:tcW w:w="1577" w:type="dxa"/>
            <w:vAlign w:val="center"/>
          </w:tcPr>
          <w:p>
            <w:pPr>
              <w:spacing w:line="360" w:lineRule="auto"/>
              <w:jc w:val="center"/>
              <w:rPr>
                <w:b w:val="0"/>
                <w:sz w:val="21"/>
                <w:szCs w:val="21"/>
              </w:rPr>
            </w:pPr>
            <w:r>
              <w:rPr>
                <w:rFonts w:hint="eastAsia"/>
                <w:b w:val="0"/>
                <w:color w:val="000000"/>
                <w:sz w:val="21"/>
                <w:szCs w:val="21"/>
              </w:rPr>
              <w:t>230.425</w:t>
            </w:r>
          </w:p>
        </w:tc>
        <w:tc>
          <w:tcPr>
            <w:tcW w:w="1815" w:type="dxa"/>
            <w:vAlign w:val="center"/>
          </w:tcPr>
          <w:p>
            <w:pPr>
              <w:jc w:val="center"/>
              <w:rPr>
                <w:rFonts w:ascii="宋体" w:hAnsi="宋体" w:cs="宋体"/>
                <w:b w:val="0"/>
                <w:color w:val="000000"/>
                <w:sz w:val="21"/>
                <w:szCs w:val="21"/>
              </w:rPr>
            </w:pPr>
            <w:r>
              <w:rPr>
                <w:rFonts w:hint="eastAsia"/>
                <w:b w:val="0"/>
                <w:color w:val="000000"/>
                <w:sz w:val="21"/>
                <w:szCs w:val="21"/>
              </w:rPr>
              <w:t>0.000448</w:t>
            </w:r>
          </w:p>
        </w:tc>
        <w:tc>
          <w:tcPr>
            <w:tcW w:w="1730" w:type="dxa"/>
            <w:vAlign w:val="center"/>
          </w:tcPr>
          <w:p>
            <w:pPr>
              <w:jc w:val="center"/>
              <w:rPr>
                <w:rFonts w:ascii="宋体" w:hAnsi="宋体" w:cs="宋体"/>
                <w:b w:val="0"/>
                <w:color w:val="000000"/>
                <w:sz w:val="21"/>
                <w:szCs w:val="21"/>
              </w:rPr>
            </w:pPr>
            <w:r>
              <w:rPr>
                <w:rFonts w:hint="eastAsia"/>
                <w:b w:val="0"/>
                <w:color w:val="000000"/>
                <w:sz w:val="21"/>
                <w:szCs w:val="21"/>
              </w:rPr>
              <w:t>0.0013</w:t>
            </w:r>
          </w:p>
        </w:tc>
        <w:tc>
          <w:tcPr>
            <w:tcW w:w="1606" w:type="dxa"/>
            <w:vAlign w:val="center"/>
          </w:tcPr>
          <w:p>
            <w:pPr>
              <w:jc w:val="center"/>
              <w:rPr>
                <w:rFonts w:ascii="宋体" w:hAnsi="宋体" w:cs="宋体"/>
                <w:b w:val="0"/>
                <w:color w:val="000000"/>
                <w:sz w:val="21"/>
                <w:szCs w:val="21"/>
              </w:rPr>
            </w:pPr>
            <w:r>
              <w:rPr>
                <w:rFonts w:hint="eastAsia"/>
                <w:b w:val="0"/>
                <w:color w:val="000000"/>
                <w:sz w:val="21"/>
                <w:szCs w:val="21"/>
              </w:rPr>
              <w:t>0.0045</w:t>
            </w:r>
          </w:p>
        </w:tc>
      </w:tr>
    </w:tbl>
    <w:p>
      <w:pPr>
        <w:adjustRightInd w:val="0"/>
        <w:spacing w:line="440" w:lineRule="exact"/>
        <w:textAlignment w:val="baseline"/>
        <w:rPr>
          <w:b w:val="0"/>
          <w:sz w:val="24"/>
        </w:rPr>
      </w:pPr>
      <w:r>
        <w:rPr>
          <w:b w:val="0"/>
          <w:sz w:val="24"/>
        </w:rPr>
        <w:t>2.7方法的精密度</w:t>
      </w:r>
    </w:p>
    <w:p>
      <w:pPr>
        <w:adjustRightInd w:val="0"/>
        <w:spacing w:line="440" w:lineRule="exact"/>
        <w:ind w:firstLine="480" w:firstLineChars="200"/>
        <w:textAlignment w:val="baseline"/>
        <w:rPr>
          <w:b w:val="0"/>
          <w:sz w:val="24"/>
        </w:rPr>
      </w:pPr>
      <w:r>
        <w:rPr>
          <w:b w:val="0"/>
          <w:sz w:val="24"/>
        </w:rPr>
        <w:t>平行称取低、中、高量催化剂试样7份，按上述实验方法（1.3）处理后，在选定的仪器条件下进行测定，计算各元素的相对标准偏差（RSD），结果列于表3。从表3可以看出，7次测定的RSD为0.43%～3.76%。</w:t>
      </w:r>
    </w:p>
    <w:p>
      <w:pPr>
        <w:ind w:firstLine="315" w:firstLineChars="150"/>
        <w:jc w:val="center"/>
        <w:rPr>
          <w:rFonts w:hAnsi="宋体"/>
          <w:b w:val="0"/>
          <w:sz w:val="21"/>
          <w:szCs w:val="21"/>
        </w:rPr>
      </w:pPr>
      <w:r>
        <w:rPr>
          <w:rFonts w:hint="eastAsia" w:hAnsi="宋体"/>
          <w:b w:val="0"/>
          <w:sz w:val="21"/>
          <w:szCs w:val="21"/>
        </w:rPr>
        <w:t>表3方法精密度</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11"/>
        <w:gridCol w:w="811"/>
        <w:gridCol w:w="813"/>
        <w:gridCol w:w="813"/>
        <w:gridCol w:w="813"/>
        <w:gridCol w:w="813"/>
        <w:gridCol w:w="815"/>
        <w:gridCol w:w="815"/>
        <w:gridCol w:w="81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元素</w:t>
            </w:r>
          </w:p>
        </w:tc>
        <w:tc>
          <w:tcPr>
            <w:tcW w:w="5689" w:type="dxa"/>
            <w:gridSpan w:val="7"/>
            <w:vAlign w:val="center"/>
          </w:tcPr>
          <w:p>
            <w:pPr>
              <w:jc w:val="center"/>
              <w:rPr>
                <w:rFonts w:hAnsi="宋体"/>
                <w:b w:val="0"/>
                <w:sz w:val="18"/>
                <w:szCs w:val="18"/>
              </w:rPr>
            </w:pPr>
            <w:r>
              <w:rPr>
                <w:rFonts w:hint="eastAsia" w:hAnsi="宋体"/>
                <w:b w:val="0"/>
                <w:sz w:val="18"/>
                <w:szCs w:val="18"/>
              </w:rPr>
              <w:t>低量测定值/%</w:t>
            </w:r>
          </w:p>
        </w:tc>
        <w:tc>
          <w:tcPr>
            <w:tcW w:w="815" w:type="dxa"/>
            <w:vAlign w:val="center"/>
          </w:tcPr>
          <w:p>
            <w:pPr>
              <w:jc w:val="center"/>
              <w:rPr>
                <w:rFonts w:hAnsi="宋体"/>
                <w:b w:val="0"/>
                <w:sz w:val="18"/>
                <w:szCs w:val="18"/>
              </w:rPr>
            </w:pPr>
            <w:r>
              <w:rPr>
                <w:rFonts w:hint="eastAsia" w:hAnsi="宋体"/>
                <w:b w:val="0"/>
                <w:sz w:val="18"/>
                <w:szCs w:val="18"/>
              </w:rPr>
              <w:t>平均值/%</w:t>
            </w:r>
          </w:p>
        </w:tc>
        <w:tc>
          <w:tcPr>
            <w:tcW w:w="815" w:type="dxa"/>
            <w:vAlign w:val="center"/>
          </w:tcPr>
          <w:p>
            <w:pPr>
              <w:jc w:val="center"/>
              <w:rPr>
                <w:rFonts w:hAnsi="宋体"/>
                <w:b w:val="0"/>
                <w:sz w:val="18"/>
                <w:szCs w:val="18"/>
              </w:rPr>
            </w:pPr>
            <w:r>
              <w:rPr>
                <w:rFonts w:hint="eastAsia" w:hAnsi="宋体"/>
                <w:b w:val="0"/>
                <w:sz w:val="18"/>
                <w:szCs w:val="18"/>
              </w:rPr>
              <w:t>SD/%</w:t>
            </w:r>
          </w:p>
        </w:tc>
        <w:tc>
          <w:tcPr>
            <w:tcW w:w="767" w:type="dxa"/>
            <w:vAlign w:val="center"/>
          </w:tcPr>
          <w:p>
            <w:pPr>
              <w:jc w:val="center"/>
              <w:rPr>
                <w:rFonts w:hAnsi="宋体"/>
                <w:b w:val="0"/>
                <w:sz w:val="18"/>
                <w:szCs w:val="18"/>
              </w:rPr>
            </w:pPr>
            <w:r>
              <w:rPr>
                <w:rFonts w:hint="eastAsia" w:hAnsi="宋体"/>
                <w:b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Zr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0.245</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0.247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0.235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0.251</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0.247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0.235</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0.237</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0.242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0.006</w:t>
            </w:r>
          </w:p>
        </w:tc>
        <w:tc>
          <w:tcPr>
            <w:tcW w:w="767" w:type="dxa"/>
            <w:vAlign w:val="center"/>
          </w:tcPr>
          <w:p>
            <w:pPr>
              <w:jc w:val="center"/>
              <w:rPr>
                <w:rFonts w:hAnsi="宋体"/>
                <w:b w:val="0"/>
                <w:sz w:val="18"/>
                <w:szCs w:val="18"/>
              </w:rPr>
            </w:pPr>
            <w:r>
              <w:rPr>
                <w:rFonts w:hint="eastAsia" w:hAnsi="宋体"/>
                <w:b w:val="0"/>
                <w:sz w:val="18"/>
                <w:szCs w:val="18"/>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Ce</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0.1044</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0.1056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0.1041</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0.1059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0.1045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0.1047</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0.1063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0.1051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0.0008</w:t>
            </w:r>
          </w:p>
        </w:tc>
        <w:tc>
          <w:tcPr>
            <w:tcW w:w="767" w:type="dxa"/>
            <w:vAlign w:val="center"/>
          </w:tcPr>
          <w:p>
            <w:pPr>
              <w:jc w:val="center"/>
              <w:rPr>
                <w:rFonts w:ascii="宋体" w:hAnsi="宋体" w:cs="宋体"/>
                <w:b w:val="0"/>
                <w:color w:val="000000"/>
                <w:sz w:val="18"/>
                <w:szCs w:val="18"/>
              </w:rPr>
            </w:pPr>
            <w:r>
              <w:rPr>
                <w:rFonts w:hint="eastAsia"/>
                <w:b w:val="0"/>
                <w:color w:val="000000"/>
                <w:sz w:val="18"/>
                <w:szCs w:val="18"/>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La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0.0433</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0.0436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0.0433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0.0439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0.0442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0.0438</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0.0441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0.0438</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0.0004</w:t>
            </w:r>
          </w:p>
        </w:tc>
        <w:tc>
          <w:tcPr>
            <w:tcW w:w="767" w:type="dxa"/>
            <w:vAlign w:val="center"/>
          </w:tcPr>
          <w:p>
            <w:pPr>
              <w:jc w:val="center"/>
              <w:rPr>
                <w:rFonts w:hAnsi="宋体"/>
                <w:b w:val="0"/>
                <w:sz w:val="18"/>
                <w:szCs w:val="18"/>
              </w:rPr>
            </w:pPr>
            <w:r>
              <w:rPr>
                <w:rFonts w:hint="eastAsia" w:hAnsi="宋体"/>
                <w:b w:val="0"/>
                <w:sz w:val="18"/>
                <w:szCs w:val="18"/>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Pr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0.0398</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0.0400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0.0414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0.0406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0.0414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0.0402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0.0396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0.0404</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0.0007</w:t>
            </w:r>
          </w:p>
        </w:tc>
        <w:tc>
          <w:tcPr>
            <w:tcW w:w="767" w:type="dxa"/>
            <w:vAlign w:val="center"/>
          </w:tcPr>
          <w:p>
            <w:pPr>
              <w:jc w:val="center"/>
              <w:rPr>
                <w:rFonts w:hAnsi="宋体"/>
                <w:b w:val="0"/>
                <w:sz w:val="18"/>
                <w:szCs w:val="18"/>
              </w:rPr>
            </w:pPr>
            <w:r>
              <w:rPr>
                <w:rFonts w:hint="eastAsia" w:hAnsi="宋体"/>
                <w:b w:val="0"/>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Nd</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0.0448</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0.0460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0.0453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0.0462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0.0456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0.0453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0.0455</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0.0455</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0.0005</w:t>
            </w:r>
          </w:p>
        </w:tc>
        <w:tc>
          <w:tcPr>
            <w:tcW w:w="767" w:type="dxa"/>
            <w:vAlign w:val="center"/>
          </w:tcPr>
          <w:p>
            <w:pPr>
              <w:jc w:val="center"/>
              <w:rPr>
                <w:rFonts w:hAnsi="宋体"/>
                <w:b w:val="0"/>
                <w:sz w:val="18"/>
                <w:szCs w:val="18"/>
              </w:rPr>
            </w:pPr>
            <w:r>
              <w:rPr>
                <w:rFonts w:hint="eastAsia" w:hAnsi="宋体"/>
                <w:b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Ba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0.0366</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0.0368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0.0369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0.0373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0.0373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0.0378</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0.0380</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0.0372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0.0005</w:t>
            </w:r>
          </w:p>
        </w:tc>
        <w:tc>
          <w:tcPr>
            <w:tcW w:w="767" w:type="dxa"/>
            <w:vAlign w:val="center"/>
          </w:tcPr>
          <w:p>
            <w:pPr>
              <w:jc w:val="center"/>
              <w:rPr>
                <w:rFonts w:hAnsi="宋体"/>
                <w:b w:val="0"/>
                <w:sz w:val="18"/>
                <w:szCs w:val="18"/>
              </w:rPr>
            </w:pPr>
            <w:r>
              <w:rPr>
                <w:rFonts w:hint="eastAsia" w:hAnsi="宋体"/>
                <w:b w:val="0"/>
                <w:sz w:val="18"/>
                <w:szCs w:val="18"/>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元素</w:t>
            </w:r>
          </w:p>
        </w:tc>
        <w:tc>
          <w:tcPr>
            <w:tcW w:w="5689" w:type="dxa"/>
            <w:gridSpan w:val="7"/>
            <w:vAlign w:val="center"/>
          </w:tcPr>
          <w:p>
            <w:pPr>
              <w:jc w:val="center"/>
              <w:rPr>
                <w:rFonts w:hAnsi="宋体"/>
                <w:b w:val="0"/>
                <w:sz w:val="18"/>
                <w:szCs w:val="18"/>
              </w:rPr>
            </w:pPr>
            <w:r>
              <w:rPr>
                <w:rFonts w:hint="eastAsia" w:hAnsi="宋体"/>
                <w:b w:val="0"/>
                <w:sz w:val="18"/>
                <w:szCs w:val="18"/>
              </w:rPr>
              <w:t>中量测定值/%</w:t>
            </w:r>
          </w:p>
        </w:tc>
        <w:tc>
          <w:tcPr>
            <w:tcW w:w="815" w:type="dxa"/>
            <w:vAlign w:val="center"/>
          </w:tcPr>
          <w:p>
            <w:pPr>
              <w:jc w:val="center"/>
              <w:rPr>
                <w:rFonts w:hAnsi="宋体"/>
                <w:b w:val="0"/>
                <w:sz w:val="18"/>
                <w:szCs w:val="18"/>
              </w:rPr>
            </w:pPr>
            <w:r>
              <w:rPr>
                <w:rFonts w:hint="eastAsia" w:hAnsi="宋体"/>
                <w:b w:val="0"/>
                <w:sz w:val="18"/>
                <w:szCs w:val="18"/>
              </w:rPr>
              <w:t>平均值/%</w:t>
            </w:r>
          </w:p>
        </w:tc>
        <w:tc>
          <w:tcPr>
            <w:tcW w:w="815" w:type="dxa"/>
            <w:vAlign w:val="center"/>
          </w:tcPr>
          <w:p>
            <w:pPr>
              <w:jc w:val="center"/>
              <w:rPr>
                <w:rFonts w:hAnsi="宋体"/>
                <w:b w:val="0"/>
                <w:sz w:val="18"/>
                <w:szCs w:val="18"/>
              </w:rPr>
            </w:pPr>
            <w:r>
              <w:rPr>
                <w:rFonts w:hint="eastAsia" w:hAnsi="宋体"/>
                <w:b w:val="0"/>
                <w:sz w:val="18"/>
                <w:szCs w:val="18"/>
              </w:rPr>
              <w:t>SD/%</w:t>
            </w:r>
          </w:p>
        </w:tc>
        <w:tc>
          <w:tcPr>
            <w:tcW w:w="767" w:type="dxa"/>
            <w:vAlign w:val="center"/>
          </w:tcPr>
          <w:p>
            <w:pPr>
              <w:jc w:val="center"/>
              <w:rPr>
                <w:rFonts w:hAnsi="宋体"/>
                <w:b w:val="0"/>
                <w:sz w:val="18"/>
                <w:szCs w:val="18"/>
              </w:rPr>
            </w:pPr>
            <w:r>
              <w:rPr>
                <w:rFonts w:hint="eastAsia" w:hAnsi="宋体"/>
                <w:b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Zr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2.14</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2.12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2.11</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2.16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2.13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0.02</w:t>
            </w:r>
          </w:p>
        </w:tc>
        <w:tc>
          <w:tcPr>
            <w:tcW w:w="767" w:type="dxa"/>
            <w:vAlign w:val="center"/>
          </w:tcPr>
          <w:p>
            <w:pPr>
              <w:jc w:val="center"/>
              <w:rPr>
                <w:rFonts w:hAnsi="宋体"/>
                <w:b w:val="0"/>
                <w:sz w:val="18"/>
                <w:szCs w:val="18"/>
              </w:rPr>
            </w:pPr>
            <w:r>
              <w:rPr>
                <w:rFonts w:hint="eastAsia" w:hAnsi="宋体"/>
                <w:b w:val="0"/>
                <w:sz w:val="18"/>
                <w:szCs w:val="18"/>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Ce</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2.19</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2.17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2.20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2.19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2.21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2.20</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2.19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0.02</w:t>
            </w:r>
          </w:p>
        </w:tc>
        <w:tc>
          <w:tcPr>
            <w:tcW w:w="767" w:type="dxa"/>
            <w:vAlign w:val="center"/>
          </w:tcPr>
          <w:p>
            <w:pPr>
              <w:jc w:val="center"/>
              <w:rPr>
                <w:rFonts w:hAnsi="宋体"/>
                <w:b w:val="0"/>
                <w:sz w:val="18"/>
                <w:szCs w:val="18"/>
              </w:rPr>
            </w:pPr>
            <w:r>
              <w:rPr>
                <w:rFonts w:hint="eastAsia" w:hAnsi="宋体"/>
                <w:b w:val="0"/>
                <w:sz w:val="18"/>
                <w:szCs w:val="18"/>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La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0.389</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0.391</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0.391</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0.393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0.393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0.392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0.389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0.391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0.002</w:t>
            </w:r>
          </w:p>
        </w:tc>
        <w:tc>
          <w:tcPr>
            <w:tcW w:w="767" w:type="dxa"/>
            <w:vAlign w:val="center"/>
          </w:tcPr>
          <w:p>
            <w:pPr>
              <w:jc w:val="center"/>
              <w:rPr>
                <w:rFonts w:hAnsi="宋体"/>
                <w:b w:val="0"/>
                <w:sz w:val="18"/>
                <w:szCs w:val="18"/>
              </w:rPr>
            </w:pPr>
            <w:r>
              <w:rPr>
                <w:rFonts w:hint="eastAsia" w:hAnsi="宋体"/>
                <w:b w:val="0"/>
                <w:sz w:val="18"/>
                <w:szCs w:val="18"/>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Pr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0.355</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0.353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0.352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0.358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0.360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0.359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0.359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0.357</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0.003</w:t>
            </w:r>
          </w:p>
        </w:tc>
        <w:tc>
          <w:tcPr>
            <w:tcW w:w="767" w:type="dxa"/>
            <w:vAlign w:val="center"/>
          </w:tcPr>
          <w:p>
            <w:pPr>
              <w:jc w:val="center"/>
              <w:rPr>
                <w:rFonts w:hAnsi="宋体"/>
                <w:b w:val="0"/>
                <w:sz w:val="18"/>
                <w:szCs w:val="18"/>
              </w:rPr>
            </w:pPr>
            <w:r>
              <w:rPr>
                <w:rFonts w:hint="eastAsia" w:hAnsi="宋体"/>
                <w:b w:val="0"/>
                <w:sz w:val="18"/>
                <w:szCs w:val="18"/>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Nd</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0.370</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0.368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0.369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0.375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0.374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0.376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0.376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0.372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0.004</w:t>
            </w:r>
          </w:p>
        </w:tc>
        <w:tc>
          <w:tcPr>
            <w:tcW w:w="767" w:type="dxa"/>
            <w:vAlign w:val="center"/>
          </w:tcPr>
          <w:p>
            <w:pPr>
              <w:jc w:val="center"/>
              <w:rPr>
                <w:rFonts w:hAnsi="宋体"/>
                <w:b w:val="0"/>
                <w:sz w:val="18"/>
                <w:szCs w:val="18"/>
              </w:rPr>
            </w:pPr>
            <w:r>
              <w:rPr>
                <w:rFonts w:hint="eastAsia" w:hAnsi="宋体"/>
                <w:b w:val="0"/>
                <w:sz w:val="18"/>
                <w:szCs w:val="18"/>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Ba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0.301</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0.308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0.324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0.305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0.308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0.309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0.334</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0.313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0.01</w:t>
            </w:r>
          </w:p>
        </w:tc>
        <w:tc>
          <w:tcPr>
            <w:tcW w:w="767" w:type="dxa"/>
            <w:vAlign w:val="center"/>
          </w:tcPr>
          <w:p>
            <w:pPr>
              <w:jc w:val="center"/>
              <w:rPr>
                <w:rFonts w:hAnsi="宋体"/>
                <w:b w:val="0"/>
                <w:sz w:val="18"/>
                <w:szCs w:val="18"/>
              </w:rPr>
            </w:pPr>
            <w:r>
              <w:rPr>
                <w:rFonts w:hint="eastAsia" w:hAnsi="宋体"/>
                <w:b w:val="0"/>
                <w:sz w:val="18"/>
                <w:szCs w:val="18"/>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元素</w:t>
            </w:r>
          </w:p>
        </w:tc>
        <w:tc>
          <w:tcPr>
            <w:tcW w:w="5689" w:type="dxa"/>
            <w:gridSpan w:val="7"/>
            <w:vAlign w:val="center"/>
          </w:tcPr>
          <w:p>
            <w:pPr>
              <w:jc w:val="center"/>
              <w:rPr>
                <w:rFonts w:hAnsi="宋体"/>
                <w:b w:val="0"/>
                <w:sz w:val="18"/>
                <w:szCs w:val="18"/>
              </w:rPr>
            </w:pPr>
            <w:r>
              <w:rPr>
                <w:rFonts w:hint="eastAsia" w:hAnsi="宋体"/>
                <w:b w:val="0"/>
                <w:sz w:val="18"/>
                <w:szCs w:val="18"/>
              </w:rPr>
              <w:t>高量测定值/%</w:t>
            </w:r>
          </w:p>
        </w:tc>
        <w:tc>
          <w:tcPr>
            <w:tcW w:w="815" w:type="dxa"/>
            <w:vAlign w:val="center"/>
          </w:tcPr>
          <w:p>
            <w:pPr>
              <w:jc w:val="center"/>
              <w:rPr>
                <w:rFonts w:hAnsi="宋体"/>
                <w:b w:val="0"/>
                <w:sz w:val="18"/>
                <w:szCs w:val="18"/>
              </w:rPr>
            </w:pPr>
            <w:r>
              <w:rPr>
                <w:rFonts w:hint="eastAsia" w:hAnsi="宋体"/>
                <w:b w:val="0"/>
                <w:sz w:val="18"/>
                <w:szCs w:val="18"/>
              </w:rPr>
              <w:t>平均值/%</w:t>
            </w:r>
          </w:p>
        </w:tc>
        <w:tc>
          <w:tcPr>
            <w:tcW w:w="815" w:type="dxa"/>
            <w:vAlign w:val="center"/>
          </w:tcPr>
          <w:p>
            <w:pPr>
              <w:jc w:val="center"/>
              <w:rPr>
                <w:rFonts w:hAnsi="宋体"/>
                <w:b w:val="0"/>
                <w:sz w:val="18"/>
                <w:szCs w:val="18"/>
              </w:rPr>
            </w:pPr>
            <w:r>
              <w:rPr>
                <w:rFonts w:hint="eastAsia" w:hAnsi="宋体"/>
                <w:b w:val="0"/>
                <w:sz w:val="18"/>
                <w:szCs w:val="18"/>
              </w:rPr>
              <w:t>SD/%</w:t>
            </w:r>
          </w:p>
        </w:tc>
        <w:tc>
          <w:tcPr>
            <w:tcW w:w="767" w:type="dxa"/>
            <w:vAlign w:val="center"/>
          </w:tcPr>
          <w:p>
            <w:pPr>
              <w:jc w:val="center"/>
              <w:rPr>
                <w:rFonts w:hAnsi="宋体"/>
                <w:b w:val="0"/>
                <w:sz w:val="18"/>
                <w:szCs w:val="18"/>
              </w:rPr>
            </w:pPr>
            <w:r>
              <w:rPr>
                <w:rFonts w:hint="eastAsia" w:hAnsi="宋体"/>
                <w:b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Zr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8.94</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9.00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9.17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8.96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9.09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9.05</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9.06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9.04</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0.08</w:t>
            </w:r>
          </w:p>
        </w:tc>
        <w:tc>
          <w:tcPr>
            <w:tcW w:w="767" w:type="dxa"/>
            <w:vAlign w:val="center"/>
          </w:tcPr>
          <w:p>
            <w:pPr>
              <w:jc w:val="center"/>
              <w:rPr>
                <w:rFonts w:hAnsi="宋体"/>
                <w:b w:val="0"/>
                <w:sz w:val="18"/>
                <w:szCs w:val="18"/>
              </w:rPr>
            </w:pPr>
            <w:r>
              <w:rPr>
                <w:rFonts w:hint="eastAsia" w:hAnsi="宋体"/>
                <w:b w:val="0"/>
                <w:sz w:val="18"/>
                <w:szCs w:val="18"/>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Ce</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9.58</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9.47</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9.25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9.32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9.50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9.68</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9.88</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9.52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0.21</w:t>
            </w:r>
          </w:p>
        </w:tc>
        <w:tc>
          <w:tcPr>
            <w:tcW w:w="767" w:type="dxa"/>
            <w:vAlign w:val="center"/>
          </w:tcPr>
          <w:p>
            <w:pPr>
              <w:jc w:val="center"/>
              <w:rPr>
                <w:rFonts w:hAnsi="宋体"/>
                <w:b w:val="0"/>
                <w:sz w:val="18"/>
                <w:szCs w:val="18"/>
              </w:rPr>
            </w:pPr>
            <w:r>
              <w:rPr>
                <w:rFonts w:hint="eastAsia" w:hAnsi="宋体"/>
                <w:b w:val="0"/>
                <w:sz w:val="18"/>
                <w:szCs w:val="18"/>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La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4.29</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4.32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4.19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4.34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4.38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4.34</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4.31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4.31</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0.06</w:t>
            </w:r>
          </w:p>
        </w:tc>
        <w:tc>
          <w:tcPr>
            <w:tcW w:w="767" w:type="dxa"/>
            <w:vAlign w:val="center"/>
          </w:tcPr>
          <w:p>
            <w:pPr>
              <w:jc w:val="center"/>
              <w:rPr>
                <w:rFonts w:hAnsi="宋体"/>
                <w:b w:val="0"/>
                <w:sz w:val="18"/>
                <w:szCs w:val="18"/>
              </w:rPr>
            </w:pPr>
            <w:r>
              <w:rPr>
                <w:rFonts w:hint="eastAsia" w:hAnsi="宋体"/>
                <w:b w:val="0"/>
                <w:sz w:val="18"/>
                <w:szCs w:val="1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Pr</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4.79</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4.73</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4.65</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4.69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4.76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4.93</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4.70</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4.75</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0.09</w:t>
            </w:r>
          </w:p>
        </w:tc>
        <w:tc>
          <w:tcPr>
            <w:tcW w:w="767" w:type="dxa"/>
            <w:vAlign w:val="center"/>
          </w:tcPr>
          <w:p>
            <w:pPr>
              <w:jc w:val="center"/>
              <w:rPr>
                <w:rFonts w:hAnsi="宋体"/>
                <w:b w:val="0"/>
                <w:sz w:val="18"/>
                <w:szCs w:val="18"/>
              </w:rPr>
            </w:pPr>
            <w:r>
              <w:rPr>
                <w:rFonts w:hint="eastAsia" w:hAnsi="宋体"/>
                <w:b w:val="0"/>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Nd</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4.92</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4.86</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4.79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4.84</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4.89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5.06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4.84</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4.89</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0.09</w:t>
            </w:r>
          </w:p>
        </w:tc>
        <w:tc>
          <w:tcPr>
            <w:tcW w:w="767" w:type="dxa"/>
            <w:vAlign w:val="center"/>
          </w:tcPr>
          <w:p>
            <w:pPr>
              <w:jc w:val="center"/>
              <w:rPr>
                <w:rFonts w:hAnsi="宋体"/>
                <w:b w:val="0"/>
                <w:sz w:val="18"/>
                <w:szCs w:val="18"/>
              </w:rPr>
            </w:pPr>
            <w:r>
              <w:rPr>
                <w:rFonts w:hint="eastAsia" w:hAnsi="宋体"/>
                <w:b w:val="0"/>
                <w:sz w:val="18"/>
                <w:szCs w:val="1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 w:type="dxa"/>
            <w:vAlign w:val="center"/>
          </w:tcPr>
          <w:p>
            <w:pPr>
              <w:jc w:val="center"/>
              <w:rPr>
                <w:rFonts w:hAnsi="宋体"/>
                <w:b w:val="0"/>
                <w:sz w:val="18"/>
                <w:szCs w:val="18"/>
              </w:rPr>
            </w:pPr>
            <w:r>
              <w:rPr>
                <w:rFonts w:hint="eastAsia" w:hAnsi="宋体"/>
                <w:b w:val="0"/>
                <w:sz w:val="18"/>
                <w:szCs w:val="18"/>
              </w:rPr>
              <w:t>Ba</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3.49</w:t>
            </w:r>
          </w:p>
        </w:tc>
        <w:tc>
          <w:tcPr>
            <w:tcW w:w="811" w:type="dxa"/>
            <w:vAlign w:val="center"/>
          </w:tcPr>
          <w:p>
            <w:pPr>
              <w:jc w:val="center"/>
              <w:rPr>
                <w:rFonts w:ascii="宋体" w:hAnsi="宋体" w:cs="宋体"/>
                <w:b w:val="0"/>
                <w:color w:val="000000"/>
                <w:sz w:val="18"/>
                <w:szCs w:val="18"/>
              </w:rPr>
            </w:pPr>
            <w:r>
              <w:rPr>
                <w:rFonts w:hint="eastAsia"/>
                <w:b w:val="0"/>
                <w:color w:val="000000"/>
                <w:sz w:val="18"/>
                <w:szCs w:val="18"/>
              </w:rPr>
              <w:t>3.48</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3.50</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3.59</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3.62</w:t>
            </w:r>
          </w:p>
        </w:tc>
        <w:tc>
          <w:tcPr>
            <w:tcW w:w="813" w:type="dxa"/>
            <w:vAlign w:val="center"/>
          </w:tcPr>
          <w:p>
            <w:pPr>
              <w:jc w:val="center"/>
              <w:rPr>
                <w:rFonts w:ascii="宋体" w:hAnsi="宋体" w:cs="宋体"/>
                <w:b w:val="0"/>
                <w:color w:val="000000"/>
                <w:sz w:val="18"/>
                <w:szCs w:val="18"/>
              </w:rPr>
            </w:pPr>
            <w:r>
              <w:rPr>
                <w:rFonts w:hint="eastAsia"/>
                <w:b w:val="0"/>
                <w:color w:val="000000"/>
                <w:sz w:val="18"/>
                <w:szCs w:val="18"/>
              </w:rPr>
              <w:t>3.62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3.62</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3.56</w:t>
            </w:r>
          </w:p>
        </w:tc>
        <w:tc>
          <w:tcPr>
            <w:tcW w:w="815" w:type="dxa"/>
            <w:vAlign w:val="center"/>
          </w:tcPr>
          <w:p>
            <w:pPr>
              <w:jc w:val="center"/>
              <w:rPr>
                <w:rFonts w:ascii="宋体" w:hAnsi="宋体" w:cs="宋体"/>
                <w:b w:val="0"/>
                <w:color w:val="000000"/>
                <w:sz w:val="18"/>
                <w:szCs w:val="18"/>
              </w:rPr>
            </w:pPr>
            <w:r>
              <w:rPr>
                <w:rFonts w:hint="eastAsia"/>
                <w:b w:val="0"/>
                <w:color w:val="000000"/>
                <w:sz w:val="18"/>
                <w:szCs w:val="18"/>
              </w:rPr>
              <w:t>0.07</w:t>
            </w:r>
          </w:p>
        </w:tc>
        <w:tc>
          <w:tcPr>
            <w:tcW w:w="767" w:type="dxa"/>
            <w:vAlign w:val="center"/>
          </w:tcPr>
          <w:p>
            <w:pPr>
              <w:jc w:val="center"/>
              <w:rPr>
                <w:rFonts w:hAnsi="宋体"/>
                <w:b w:val="0"/>
                <w:sz w:val="18"/>
                <w:szCs w:val="18"/>
              </w:rPr>
            </w:pPr>
            <w:r>
              <w:rPr>
                <w:rFonts w:hint="eastAsia" w:hAnsi="宋体"/>
                <w:b w:val="0"/>
                <w:sz w:val="18"/>
                <w:szCs w:val="18"/>
              </w:rPr>
              <w:t>1.86</w:t>
            </w:r>
          </w:p>
        </w:tc>
      </w:tr>
    </w:tbl>
    <w:p>
      <w:pPr>
        <w:autoSpaceDE w:val="0"/>
        <w:autoSpaceDN w:val="0"/>
        <w:adjustRightInd w:val="0"/>
        <w:spacing w:line="360" w:lineRule="auto"/>
        <w:jc w:val="left"/>
        <w:rPr>
          <w:b w:val="0"/>
          <w:bCs/>
          <w:sz w:val="24"/>
        </w:rPr>
      </w:pPr>
      <w:r>
        <w:rPr>
          <w:b w:val="0"/>
          <w:bCs/>
          <w:sz w:val="24"/>
        </w:rPr>
        <w:t>2.8 加标回收率</w:t>
      </w:r>
    </w:p>
    <w:p>
      <w:pPr>
        <w:spacing w:line="440" w:lineRule="exact"/>
        <w:ind w:firstLine="480" w:firstLineChars="200"/>
        <w:rPr>
          <w:b w:val="0"/>
          <w:bCs/>
          <w:sz w:val="24"/>
        </w:rPr>
      </w:pPr>
      <w:r>
        <w:rPr>
          <w:b w:val="0"/>
          <w:bCs/>
          <w:sz w:val="24"/>
        </w:rPr>
        <w:t>分别平行称取两份催化剂低、中量试样，向其中一份加入已知量的Zr、La、Ce、Pr、Nd、Ba元素，同时处理测定，重复一次或两次，计算其平均加标回收率，结果见表4。从表4可以看出，方法的加标回收率为92.2%～98.3%，完全能满足实际样品分析对准确度的要求。</w:t>
      </w:r>
    </w:p>
    <w:p>
      <w:pPr>
        <w:spacing w:line="360" w:lineRule="auto"/>
        <w:jc w:val="center"/>
        <w:rPr>
          <w:rFonts w:ascii="宋体" w:hAnsi="宋体"/>
          <w:b w:val="0"/>
          <w:bCs/>
          <w:sz w:val="21"/>
          <w:szCs w:val="21"/>
        </w:rPr>
      </w:pPr>
      <w:r>
        <w:rPr>
          <w:rFonts w:hint="eastAsia" w:ascii="宋体" w:hAnsi="宋体"/>
          <w:b w:val="0"/>
          <w:bCs/>
          <w:sz w:val="21"/>
          <w:szCs w:val="21"/>
        </w:rPr>
        <w:t>表 4 元素的加标回收率</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53"/>
        <w:gridCol w:w="852"/>
        <w:gridCol w:w="852"/>
        <w:gridCol w:w="8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jc w:val="center"/>
              <w:rPr>
                <w:rFonts w:ascii="宋体"/>
                <w:b w:val="0"/>
                <w:color w:val="000000"/>
                <w:sz w:val="18"/>
                <w:szCs w:val="18"/>
              </w:rPr>
            </w:pPr>
            <w:r>
              <w:rPr>
                <w:rFonts w:hint="eastAsia" w:ascii="宋体" w:hAnsi="宋体"/>
                <w:b w:val="0"/>
                <w:color w:val="000000"/>
                <w:sz w:val="18"/>
                <w:szCs w:val="18"/>
              </w:rPr>
              <w:t>元素</w:t>
            </w:r>
          </w:p>
        </w:tc>
        <w:tc>
          <w:tcPr>
            <w:tcW w:w="853" w:type="dxa"/>
            <w:vAlign w:val="center"/>
          </w:tcPr>
          <w:p>
            <w:pPr>
              <w:jc w:val="center"/>
              <w:rPr>
                <w:rFonts w:ascii="宋体"/>
                <w:b w:val="0"/>
                <w:color w:val="000000"/>
                <w:sz w:val="18"/>
                <w:szCs w:val="18"/>
              </w:rPr>
            </w:pPr>
            <w:r>
              <w:rPr>
                <w:rFonts w:hint="eastAsia" w:ascii="宋体" w:hAnsi="宋体"/>
                <w:b w:val="0"/>
                <w:color w:val="000000"/>
                <w:sz w:val="18"/>
                <w:szCs w:val="18"/>
              </w:rPr>
              <w:t>本底值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加入值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测得值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回收率</w:t>
            </w:r>
          </w:p>
          <w:p>
            <w:pPr>
              <w:jc w:val="center"/>
              <w:rPr>
                <w:rFonts w:ascii="宋体"/>
                <w:b w:val="0"/>
                <w:color w:val="000000"/>
                <w:sz w:val="18"/>
                <w:szCs w:val="18"/>
              </w:rPr>
            </w:pPr>
            <w:r>
              <w:rPr>
                <w:rFonts w:ascii="宋体" w:hAnsi="宋体"/>
                <w:b w:val="0"/>
                <w:color w:val="000000"/>
                <w:sz w:val="18"/>
                <w:szCs w:val="18"/>
              </w:rPr>
              <w:t>%</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元素</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本底值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加入值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测得值</w:t>
            </w:r>
            <w:r>
              <w:rPr>
                <w:rFonts w:ascii="宋体"/>
                <w:b w:val="0"/>
                <w:color w:val="000000"/>
                <w:sz w:val="18"/>
                <w:szCs w:val="18"/>
              </w:rPr>
              <w:t>µ</w:t>
            </w:r>
            <w:r>
              <w:rPr>
                <w:rFonts w:ascii="宋体" w:hAnsi="宋体"/>
                <w:b w:val="0"/>
                <w:color w:val="000000"/>
                <w:sz w:val="18"/>
                <w:szCs w:val="18"/>
              </w:rPr>
              <w:t>g/mL</w:t>
            </w:r>
          </w:p>
        </w:tc>
        <w:tc>
          <w:tcPr>
            <w:tcW w:w="852" w:type="dxa"/>
            <w:vAlign w:val="center"/>
          </w:tcPr>
          <w:p>
            <w:pPr>
              <w:jc w:val="center"/>
              <w:rPr>
                <w:rFonts w:ascii="宋体"/>
                <w:b w:val="0"/>
                <w:color w:val="000000"/>
                <w:sz w:val="18"/>
                <w:szCs w:val="18"/>
              </w:rPr>
            </w:pPr>
            <w:r>
              <w:rPr>
                <w:rFonts w:hint="eastAsia" w:ascii="宋体" w:hAnsi="宋体"/>
                <w:b w:val="0"/>
                <w:color w:val="000000"/>
                <w:sz w:val="18"/>
                <w:szCs w:val="18"/>
              </w:rPr>
              <w:t>回收率</w:t>
            </w:r>
          </w:p>
          <w:p>
            <w:pPr>
              <w:jc w:val="center"/>
              <w:rPr>
                <w:rFonts w:ascii="宋体"/>
                <w:b w:val="0"/>
                <w:color w:val="000000"/>
                <w:sz w:val="18"/>
                <w:szCs w:val="18"/>
              </w:rPr>
            </w:pPr>
            <w:r>
              <w:rPr>
                <w:rFonts w:ascii="宋体" w:hAnsi="宋体"/>
                <w:b w:val="0"/>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restart"/>
            <w:vAlign w:val="center"/>
          </w:tcPr>
          <w:p>
            <w:pPr>
              <w:spacing w:line="360" w:lineRule="auto"/>
              <w:jc w:val="center"/>
              <w:rPr>
                <w:b w:val="0"/>
                <w:sz w:val="18"/>
                <w:szCs w:val="18"/>
              </w:rPr>
            </w:pPr>
            <w:r>
              <w:rPr>
                <w:rFonts w:hint="eastAsia"/>
                <w:b w:val="0"/>
                <w:sz w:val="18"/>
                <w:szCs w:val="18"/>
              </w:rPr>
              <w:t>Zr</w:t>
            </w:r>
          </w:p>
        </w:tc>
        <w:tc>
          <w:tcPr>
            <w:tcW w:w="853" w:type="dxa"/>
            <w:vAlign w:val="center"/>
          </w:tcPr>
          <w:p>
            <w:pPr>
              <w:spacing w:line="360" w:lineRule="auto"/>
              <w:jc w:val="center"/>
              <w:rPr>
                <w:b w:val="0"/>
                <w:sz w:val="18"/>
                <w:szCs w:val="18"/>
              </w:rPr>
            </w:pPr>
            <w:r>
              <w:rPr>
                <w:rFonts w:hint="eastAsia"/>
                <w:b w:val="0"/>
                <w:sz w:val="18"/>
                <w:szCs w:val="18"/>
              </w:rPr>
              <w:t>2.4231</w:t>
            </w:r>
          </w:p>
        </w:tc>
        <w:tc>
          <w:tcPr>
            <w:tcW w:w="852" w:type="dxa"/>
            <w:vAlign w:val="center"/>
          </w:tcPr>
          <w:p>
            <w:pPr>
              <w:spacing w:line="360" w:lineRule="auto"/>
              <w:jc w:val="center"/>
              <w:rPr>
                <w:b w:val="0"/>
                <w:sz w:val="18"/>
                <w:szCs w:val="18"/>
              </w:rPr>
            </w:pPr>
            <w:r>
              <w:rPr>
                <w:rFonts w:hint="eastAsia"/>
                <w:b w:val="0"/>
                <w:sz w:val="18"/>
                <w:szCs w:val="18"/>
              </w:rPr>
              <w:t>1.0</w:t>
            </w:r>
          </w:p>
        </w:tc>
        <w:tc>
          <w:tcPr>
            <w:tcW w:w="852" w:type="dxa"/>
            <w:vAlign w:val="center"/>
          </w:tcPr>
          <w:p>
            <w:pPr>
              <w:spacing w:line="360" w:lineRule="auto"/>
              <w:jc w:val="center"/>
              <w:rPr>
                <w:b w:val="0"/>
                <w:sz w:val="18"/>
                <w:szCs w:val="18"/>
              </w:rPr>
            </w:pPr>
            <w:r>
              <w:rPr>
                <w:rFonts w:hint="eastAsia"/>
                <w:b w:val="0"/>
                <w:sz w:val="18"/>
                <w:szCs w:val="18"/>
              </w:rPr>
              <w:t>3.4038</w:t>
            </w:r>
          </w:p>
        </w:tc>
        <w:tc>
          <w:tcPr>
            <w:tcW w:w="852" w:type="dxa"/>
            <w:vAlign w:val="center"/>
          </w:tcPr>
          <w:p>
            <w:pPr>
              <w:spacing w:line="360" w:lineRule="auto"/>
              <w:jc w:val="center"/>
              <w:rPr>
                <w:b w:val="0"/>
                <w:sz w:val="18"/>
                <w:szCs w:val="18"/>
              </w:rPr>
            </w:pPr>
            <w:r>
              <w:rPr>
                <w:rFonts w:hint="eastAsia"/>
                <w:b w:val="0"/>
                <w:sz w:val="18"/>
                <w:szCs w:val="18"/>
              </w:rPr>
              <w:t>98.1</w:t>
            </w:r>
          </w:p>
        </w:tc>
        <w:tc>
          <w:tcPr>
            <w:tcW w:w="852" w:type="dxa"/>
            <w:vMerge w:val="restart"/>
            <w:vAlign w:val="center"/>
          </w:tcPr>
          <w:p>
            <w:pPr>
              <w:spacing w:line="360" w:lineRule="auto"/>
              <w:jc w:val="center"/>
              <w:rPr>
                <w:b w:val="0"/>
                <w:sz w:val="18"/>
                <w:szCs w:val="18"/>
              </w:rPr>
            </w:pPr>
            <w:r>
              <w:rPr>
                <w:rFonts w:hint="eastAsia"/>
                <w:b w:val="0"/>
                <w:sz w:val="18"/>
                <w:szCs w:val="18"/>
              </w:rPr>
              <w:t>Ce</w:t>
            </w:r>
          </w:p>
        </w:tc>
        <w:tc>
          <w:tcPr>
            <w:tcW w:w="852" w:type="dxa"/>
            <w:vAlign w:val="center"/>
          </w:tcPr>
          <w:p>
            <w:pPr>
              <w:spacing w:line="360" w:lineRule="auto"/>
              <w:jc w:val="center"/>
              <w:rPr>
                <w:b w:val="0"/>
                <w:sz w:val="18"/>
                <w:szCs w:val="18"/>
              </w:rPr>
            </w:pPr>
            <w:r>
              <w:rPr>
                <w:rFonts w:hint="eastAsia"/>
                <w:b w:val="0"/>
                <w:sz w:val="18"/>
                <w:szCs w:val="18"/>
              </w:rPr>
              <w:t>1.0508</w:t>
            </w:r>
          </w:p>
        </w:tc>
        <w:tc>
          <w:tcPr>
            <w:tcW w:w="852" w:type="dxa"/>
            <w:vAlign w:val="center"/>
          </w:tcPr>
          <w:p>
            <w:pPr>
              <w:spacing w:line="360" w:lineRule="auto"/>
              <w:jc w:val="center"/>
              <w:rPr>
                <w:b w:val="0"/>
                <w:sz w:val="18"/>
                <w:szCs w:val="18"/>
              </w:rPr>
            </w:pPr>
            <w:r>
              <w:rPr>
                <w:rFonts w:hint="eastAsia"/>
                <w:b w:val="0"/>
                <w:sz w:val="18"/>
                <w:szCs w:val="18"/>
              </w:rPr>
              <w:t>1.0</w:t>
            </w:r>
          </w:p>
        </w:tc>
        <w:tc>
          <w:tcPr>
            <w:tcW w:w="852" w:type="dxa"/>
            <w:vAlign w:val="center"/>
          </w:tcPr>
          <w:p>
            <w:pPr>
              <w:spacing w:line="360" w:lineRule="auto"/>
              <w:jc w:val="center"/>
              <w:rPr>
                <w:b w:val="0"/>
                <w:sz w:val="18"/>
                <w:szCs w:val="18"/>
              </w:rPr>
            </w:pPr>
            <w:r>
              <w:rPr>
                <w:rFonts w:hint="eastAsia"/>
                <w:b w:val="0"/>
                <w:sz w:val="18"/>
                <w:szCs w:val="18"/>
              </w:rPr>
              <w:t>2.0160</w:t>
            </w:r>
          </w:p>
        </w:tc>
        <w:tc>
          <w:tcPr>
            <w:tcW w:w="852" w:type="dxa"/>
            <w:vAlign w:val="center"/>
          </w:tcPr>
          <w:p>
            <w:pPr>
              <w:spacing w:line="360" w:lineRule="auto"/>
              <w:jc w:val="center"/>
              <w:rPr>
                <w:b w:val="0"/>
                <w:sz w:val="18"/>
                <w:szCs w:val="18"/>
              </w:rPr>
            </w:pPr>
            <w:r>
              <w:rPr>
                <w:rFonts w:hint="eastAsia"/>
                <w:b w:val="0"/>
                <w:sz w:val="18"/>
                <w:szCs w:val="18"/>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continue"/>
            <w:vAlign w:val="center"/>
          </w:tcPr>
          <w:p>
            <w:pPr>
              <w:spacing w:line="360" w:lineRule="auto"/>
              <w:jc w:val="center"/>
              <w:rPr>
                <w:b w:val="0"/>
                <w:sz w:val="18"/>
                <w:szCs w:val="18"/>
              </w:rPr>
            </w:pPr>
          </w:p>
        </w:tc>
        <w:tc>
          <w:tcPr>
            <w:tcW w:w="853" w:type="dxa"/>
            <w:vAlign w:val="center"/>
          </w:tcPr>
          <w:p>
            <w:pPr>
              <w:spacing w:line="360" w:lineRule="auto"/>
              <w:jc w:val="center"/>
              <w:rPr>
                <w:b w:val="0"/>
                <w:sz w:val="18"/>
                <w:szCs w:val="18"/>
              </w:rPr>
            </w:pPr>
            <w:r>
              <w:rPr>
                <w:rFonts w:hint="eastAsia"/>
                <w:b w:val="0"/>
                <w:sz w:val="18"/>
                <w:szCs w:val="18"/>
              </w:rPr>
              <w:t>21.324</w:t>
            </w:r>
          </w:p>
        </w:tc>
        <w:tc>
          <w:tcPr>
            <w:tcW w:w="852" w:type="dxa"/>
            <w:vAlign w:val="center"/>
          </w:tcPr>
          <w:p>
            <w:pPr>
              <w:spacing w:line="360" w:lineRule="auto"/>
              <w:jc w:val="center"/>
              <w:rPr>
                <w:b w:val="0"/>
                <w:sz w:val="18"/>
                <w:szCs w:val="18"/>
              </w:rPr>
            </w:pPr>
            <w:r>
              <w:rPr>
                <w:rFonts w:hint="eastAsia"/>
                <w:b w:val="0"/>
                <w:sz w:val="18"/>
                <w:szCs w:val="18"/>
              </w:rPr>
              <w:t>20.0</w:t>
            </w:r>
          </w:p>
        </w:tc>
        <w:tc>
          <w:tcPr>
            <w:tcW w:w="852" w:type="dxa"/>
            <w:vAlign w:val="center"/>
          </w:tcPr>
          <w:p>
            <w:pPr>
              <w:spacing w:line="360" w:lineRule="auto"/>
              <w:jc w:val="center"/>
              <w:rPr>
                <w:b w:val="0"/>
                <w:sz w:val="18"/>
                <w:szCs w:val="18"/>
              </w:rPr>
            </w:pPr>
            <w:r>
              <w:rPr>
                <w:rFonts w:hint="eastAsia"/>
                <w:b w:val="0"/>
                <w:sz w:val="18"/>
                <w:szCs w:val="18"/>
              </w:rPr>
              <w:t>40.902</w:t>
            </w:r>
          </w:p>
        </w:tc>
        <w:tc>
          <w:tcPr>
            <w:tcW w:w="852" w:type="dxa"/>
            <w:vAlign w:val="center"/>
          </w:tcPr>
          <w:p>
            <w:pPr>
              <w:spacing w:line="360" w:lineRule="auto"/>
              <w:jc w:val="center"/>
              <w:rPr>
                <w:b w:val="0"/>
                <w:sz w:val="18"/>
                <w:szCs w:val="18"/>
              </w:rPr>
            </w:pPr>
            <w:r>
              <w:rPr>
                <w:rFonts w:hint="eastAsia"/>
                <w:b w:val="0"/>
                <w:sz w:val="18"/>
                <w:szCs w:val="18"/>
              </w:rPr>
              <w:t>97.9</w:t>
            </w:r>
          </w:p>
        </w:tc>
        <w:tc>
          <w:tcPr>
            <w:tcW w:w="852" w:type="dxa"/>
            <w:vMerge w:val="continue"/>
            <w:vAlign w:val="center"/>
          </w:tcPr>
          <w:p>
            <w:pPr>
              <w:spacing w:line="360" w:lineRule="auto"/>
              <w:jc w:val="center"/>
              <w:rPr>
                <w:b w:val="0"/>
                <w:sz w:val="18"/>
                <w:szCs w:val="18"/>
              </w:rPr>
            </w:pPr>
          </w:p>
        </w:tc>
        <w:tc>
          <w:tcPr>
            <w:tcW w:w="852" w:type="dxa"/>
            <w:vAlign w:val="center"/>
          </w:tcPr>
          <w:p>
            <w:pPr>
              <w:spacing w:line="360" w:lineRule="auto"/>
              <w:jc w:val="center"/>
              <w:rPr>
                <w:b w:val="0"/>
                <w:sz w:val="18"/>
                <w:szCs w:val="18"/>
              </w:rPr>
            </w:pPr>
            <w:r>
              <w:rPr>
                <w:rFonts w:hint="eastAsia"/>
                <w:b w:val="0"/>
                <w:sz w:val="18"/>
                <w:szCs w:val="18"/>
              </w:rPr>
              <w:t>21.906</w:t>
            </w:r>
          </w:p>
        </w:tc>
        <w:tc>
          <w:tcPr>
            <w:tcW w:w="852" w:type="dxa"/>
            <w:vAlign w:val="center"/>
          </w:tcPr>
          <w:p>
            <w:pPr>
              <w:spacing w:line="360" w:lineRule="auto"/>
              <w:jc w:val="center"/>
              <w:rPr>
                <w:b w:val="0"/>
                <w:sz w:val="18"/>
                <w:szCs w:val="18"/>
              </w:rPr>
            </w:pPr>
            <w:r>
              <w:rPr>
                <w:rFonts w:hint="eastAsia"/>
                <w:b w:val="0"/>
                <w:sz w:val="18"/>
                <w:szCs w:val="18"/>
              </w:rPr>
              <w:t>20.0</w:t>
            </w:r>
          </w:p>
        </w:tc>
        <w:tc>
          <w:tcPr>
            <w:tcW w:w="852" w:type="dxa"/>
            <w:vAlign w:val="center"/>
          </w:tcPr>
          <w:p>
            <w:pPr>
              <w:spacing w:line="360" w:lineRule="auto"/>
              <w:jc w:val="center"/>
              <w:rPr>
                <w:b w:val="0"/>
                <w:sz w:val="18"/>
                <w:szCs w:val="18"/>
              </w:rPr>
            </w:pPr>
            <w:r>
              <w:rPr>
                <w:rFonts w:hint="eastAsia"/>
                <w:b w:val="0"/>
                <w:sz w:val="18"/>
                <w:szCs w:val="18"/>
              </w:rPr>
              <w:t>40.360</w:t>
            </w:r>
          </w:p>
        </w:tc>
        <w:tc>
          <w:tcPr>
            <w:tcW w:w="852" w:type="dxa"/>
            <w:vAlign w:val="center"/>
          </w:tcPr>
          <w:p>
            <w:pPr>
              <w:spacing w:line="360" w:lineRule="auto"/>
              <w:jc w:val="center"/>
              <w:rPr>
                <w:b w:val="0"/>
                <w:sz w:val="18"/>
                <w:szCs w:val="18"/>
              </w:rPr>
            </w:pPr>
            <w:r>
              <w:rPr>
                <w:rFonts w:hint="eastAsia"/>
                <w:b w:val="0"/>
                <w:sz w:val="18"/>
                <w:szCs w:val="18"/>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restart"/>
            <w:vAlign w:val="center"/>
          </w:tcPr>
          <w:p>
            <w:pPr>
              <w:spacing w:line="360" w:lineRule="auto"/>
              <w:jc w:val="center"/>
              <w:rPr>
                <w:b w:val="0"/>
                <w:sz w:val="18"/>
                <w:szCs w:val="18"/>
              </w:rPr>
            </w:pPr>
            <w:r>
              <w:rPr>
                <w:rFonts w:hint="eastAsia"/>
                <w:b w:val="0"/>
                <w:sz w:val="18"/>
                <w:szCs w:val="18"/>
              </w:rPr>
              <w:t>La</w:t>
            </w:r>
          </w:p>
        </w:tc>
        <w:tc>
          <w:tcPr>
            <w:tcW w:w="853" w:type="dxa"/>
            <w:vAlign w:val="center"/>
          </w:tcPr>
          <w:p>
            <w:pPr>
              <w:spacing w:line="360" w:lineRule="auto"/>
              <w:jc w:val="center"/>
              <w:rPr>
                <w:b w:val="0"/>
                <w:sz w:val="18"/>
                <w:szCs w:val="18"/>
              </w:rPr>
            </w:pPr>
            <w:r>
              <w:rPr>
                <w:rFonts w:hint="eastAsia"/>
                <w:b w:val="0"/>
                <w:sz w:val="18"/>
                <w:szCs w:val="18"/>
              </w:rPr>
              <w:t>0.4375</w:t>
            </w:r>
          </w:p>
        </w:tc>
        <w:tc>
          <w:tcPr>
            <w:tcW w:w="852" w:type="dxa"/>
            <w:vAlign w:val="center"/>
          </w:tcPr>
          <w:p>
            <w:pPr>
              <w:spacing w:line="360" w:lineRule="auto"/>
              <w:jc w:val="center"/>
              <w:rPr>
                <w:b w:val="0"/>
                <w:sz w:val="18"/>
                <w:szCs w:val="18"/>
              </w:rPr>
            </w:pPr>
            <w:r>
              <w:rPr>
                <w:rFonts w:hint="eastAsia"/>
                <w:b w:val="0"/>
                <w:sz w:val="18"/>
                <w:szCs w:val="18"/>
              </w:rPr>
              <w:t>0.5</w:t>
            </w:r>
          </w:p>
        </w:tc>
        <w:tc>
          <w:tcPr>
            <w:tcW w:w="852" w:type="dxa"/>
            <w:vAlign w:val="center"/>
          </w:tcPr>
          <w:p>
            <w:pPr>
              <w:spacing w:line="360" w:lineRule="auto"/>
              <w:jc w:val="center"/>
              <w:rPr>
                <w:b w:val="0"/>
                <w:sz w:val="18"/>
                <w:szCs w:val="18"/>
              </w:rPr>
            </w:pPr>
            <w:r>
              <w:rPr>
                <w:rFonts w:hint="eastAsia"/>
                <w:b w:val="0"/>
                <w:sz w:val="18"/>
                <w:szCs w:val="18"/>
              </w:rPr>
              <w:t>0.8690</w:t>
            </w:r>
          </w:p>
        </w:tc>
        <w:tc>
          <w:tcPr>
            <w:tcW w:w="852" w:type="dxa"/>
            <w:vAlign w:val="center"/>
          </w:tcPr>
          <w:p>
            <w:pPr>
              <w:spacing w:line="360" w:lineRule="auto"/>
              <w:jc w:val="center"/>
              <w:rPr>
                <w:b w:val="0"/>
                <w:sz w:val="18"/>
                <w:szCs w:val="18"/>
              </w:rPr>
            </w:pPr>
            <w:r>
              <w:rPr>
                <w:rFonts w:hint="eastAsia"/>
                <w:b w:val="0"/>
                <w:sz w:val="18"/>
                <w:szCs w:val="18"/>
              </w:rPr>
              <w:t>95.2</w:t>
            </w:r>
          </w:p>
        </w:tc>
        <w:tc>
          <w:tcPr>
            <w:tcW w:w="852" w:type="dxa"/>
            <w:vMerge w:val="restart"/>
            <w:vAlign w:val="center"/>
          </w:tcPr>
          <w:p>
            <w:pPr>
              <w:spacing w:line="360" w:lineRule="auto"/>
              <w:jc w:val="center"/>
              <w:rPr>
                <w:b w:val="0"/>
                <w:sz w:val="18"/>
                <w:szCs w:val="18"/>
              </w:rPr>
            </w:pPr>
            <w:r>
              <w:rPr>
                <w:rFonts w:hint="eastAsia"/>
                <w:b w:val="0"/>
                <w:sz w:val="18"/>
                <w:szCs w:val="18"/>
              </w:rPr>
              <w:t>Pr</w:t>
            </w:r>
          </w:p>
        </w:tc>
        <w:tc>
          <w:tcPr>
            <w:tcW w:w="852" w:type="dxa"/>
            <w:vAlign w:val="center"/>
          </w:tcPr>
          <w:p>
            <w:pPr>
              <w:spacing w:line="360" w:lineRule="auto"/>
              <w:jc w:val="center"/>
              <w:rPr>
                <w:b w:val="0"/>
                <w:sz w:val="18"/>
                <w:szCs w:val="18"/>
              </w:rPr>
            </w:pPr>
            <w:r>
              <w:rPr>
                <w:rFonts w:hint="eastAsia"/>
                <w:b w:val="0"/>
                <w:sz w:val="18"/>
                <w:szCs w:val="18"/>
              </w:rPr>
              <w:t>0.3928</w:t>
            </w:r>
          </w:p>
        </w:tc>
        <w:tc>
          <w:tcPr>
            <w:tcW w:w="852" w:type="dxa"/>
            <w:vAlign w:val="center"/>
          </w:tcPr>
          <w:p>
            <w:pPr>
              <w:spacing w:line="360" w:lineRule="auto"/>
              <w:jc w:val="center"/>
              <w:rPr>
                <w:b w:val="0"/>
                <w:sz w:val="18"/>
                <w:szCs w:val="18"/>
              </w:rPr>
            </w:pPr>
            <w:r>
              <w:rPr>
                <w:rFonts w:hint="eastAsia"/>
                <w:b w:val="0"/>
                <w:sz w:val="18"/>
                <w:szCs w:val="18"/>
              </w:rPr>
              <w:t>0.5</w:t>
            </w:r>
          </w:p>
        </w:tc>
        <w:tc>
          <w:tcPr>
            <w:tcW w:w="852" w:type="dxa"/>
            <w:vAlign w:val="center"/>
          </w:tcPr>
          <w:p>
            <w:pPr>
              <w:spacing w:line="360" w:lineRule="auto"/>
              <w:jc w:val="center"/>
              <w:rPr>
                <w:b w:val="0"/>
                <w:sz w:val="18"/>
                <w:szCs w:val="18"/>
              </w:rPr>
            </w:pPr>
            <w:r>
              <w:rPr>
                <w:rFonts w:hint="eastAsia"/>
                <w:b w:val="0"/>
                <w:sz w:val="18"/>
                <w:szCs w:val="18"/>
              </w:rPr>
              <w:t>0.8690</w:t>
            </w:r>
          </w:p>
        </w:tc>
        <w:tc>
          <w:tcPr>
            <w:tcW w:w="852" w:type="dxa"/>
            <w:vAlign w:val="center"/>
          </w:tcPr>
          <w:p>
            <w:pPr>
              <w:spacing w:line="360" w:lineRule="auto"/>
              <w:jc w:val="center"/>
              <w:rPr>
                <w:b w:val="0"/>
                <w:sz w:val="18"/>
                <w:szCs w:val="18"/>
              </w:rPr>
            </w:pPr>
            <w:r>
              <w:rPr>
                <w:rFonts w:hint="eastAsia"/>
                <w:b w:val="0"/>
                <w:sz w:val="18"/>
                <w:szCs w:val="18"/>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continue"/>
            <w:vAlign w:val="center"/>
          </w:tcPr>
          <w:p>
            <w:pPr>
              <w:spacing w:line="360" w:lineRule="auto"/>
              <w:jc w:val="center"/>
              <w:rPr>
                <w:b w:val="0"/>
                <w:sz w:val="18"/>
                <w:szCs w:val="18"/>
              </w:rPr>
            </w:pPr>
          </w:p>
        </w:tc>
        <w:tc>
          <w:tcPr>
            <w:tcW w:w="853" w:type="dxa"/>
            <w:vAlign w:val="center"/>
          </w:tcPr>
          <w:p>
            <w:pPr>
              <w:spacing w:line="360" w:lineRule="auto"/>
              <w:jc w:val="center"/>
              <w:rPr>
                <w:b w:val="0"/>
                <w:sz w:val="18"/>
                <w:szCs w:val="18"/>
              </w:rPr>
            </w:pPr>
            <w:r>
              <w:rPr>
                <w:rFonts w:hint="eastAsia"/>
                <w:b w:val="0"/>
                <w:sz w:val="18"/>
                <w:szCs w:val="18"/>
              </w:rPr>
              <w:t>3.9115</w:t>
            </w:r>
          </w:p>
        </w:tc>
        <w:tc>
          <w:tcPr>
            <w:tcW w:w="852" w:type="dxa"/>
            <w:vAlign w:val="center"/>
          </w:tcPr>
          <w:p>
            <w:pPr>
              <w:spacing w:line="360" w:lineRule="auto"/>
              <w:jc w:val="center"/>
              <w:rPr>
                <w:b w:val="0"/>
                <w:sz w:val="18"/>
                <w:szCs w:val="18"/>
              </w:rPr>
            </w:pPr>
            <w:r>
              <w:rPr>
                <w:rFonts w:hint="eastAsia"/>
                <w:b w:val="0"/>
                <w:sz w:val="18"/>
                <w:szCs w:val="18"/>
              </w:rPr>
              <w:t>10.0</w:t>
            </w:r>
          </w:p>
        </w:tc>
        <w:tc>
          <w:tcPr>
            <w:tcW w:w="852" w:type="dxa"/>
            <w:vAlign w:val="center"/>
          </w:tcPr>
          <w:p>
            <w:pPr>
              <w:spacing w:line="360" w:lineRule="auto"/>
              <w:jc w:val="center"/>
              <w:rPr>
                <w:b w:val="0"/>
                <w:sz w:val="18"/>
                <w:szCs w:val="18"/>
              </w:rPr>
            </w:pPr>
            <w:r>
              <w:rPr>
                <w:rFonts w:hint="eastAsia"/>
                <w:b w:val="0"/>
                <w:sz w:val="18"/>
                <w:szCs w:val="18"/>
              </w:rPr>
              <w:t>13.202</w:t>
            </w:r>
          </w:p>
        </w:tc>
        <w:tc>
          <w:tcPr>
            <w:tcW w:w="852" w:type="dxa"/>
            <w:vAlign w:val="center"/>
          </w:tcPr>
          <w:p>
            <w:pPr>
              <w:spacing w:line="360" w:lineRule="auto"/>
              <w:jc w:val="center"/>
              <w:rPr>
                <w:b w:val="0"/>
                <w:sz w:val="18"/>
                <w:szCs w:val="18"/>
              </w:rPr>
            </w:pPr>
            <w:r>
              <w:rPr>
                <w:rFonts w:hint="eastAsia"/>
                <w:b w:val="0"/>
                <w:sz w:val="18"/>
                <w:szCs w:val="18"/>
              </w:rPr>
              <w:t>92.9</w:t>
            </w:r>
          </w:p>
        </w:tc>
        <w:tc>
          <w:tcPr>
            <w:tcW w:w="852" w:type="dxa"/>
            <w:vMerge w:val="continue"/>
            <w:vAlign w:val="center"/>
          </w:tcPr>
          <w:p>
            <w:pPr>
              <w:spacing w:line="360" w:lineRule="auto"/>
              <w:jc w:val="center"/>
              <w:rPr>
                <w:b w:val="0"/>
                <w:sz w:val="18"/>
                <w:szCs w:val="18"/>
              </w:rPr>
            </w:pPr>
          </w:p>
        </w:tc>
        <w:tc>
          <w:tcPr>
            <w:tcW w:w="852" w:type="dxa"/>
            <w:vAlign w:val="center"/>
          </w:tcPr>
          <w:p>
            <w:pPr>
              <w:spacing w:line="360" w:lineRule="auto"/>
              <w:jc w:val="center"/>
              <w:rPr>
                <w:b w:val="0"/>
                <w:sz w:val="18"/>
                <w:szCs w:val="18"/>
              </w:rPr>
            </w:pPr>
            <w:r>
              <w:rPr>
                <w:rFonts w:hint="eastAsia"/>
                <w:b w:val="0"/>
                <w:sz w:val="18"/>
                <w:szCs w:val="18"/>
              </w:rPr>
              <w:t>3.5658</w:t>
            </w:r>
          </w:p>
        </w:tc>
        <w:tc>
          <w:tcPr>
            <w:tcW w:w="852" w:type="dxa"/>
            <w:vAlign w:val="center"/>
          </w:tcPr>
          <w:p>
            <w:pPr>
              <w:spacing w:line="360" w:lineRule="auto"/>
              <w:jc w:val="center"/>
              <w:rPr>
                <w:b w:val="0"/>
                <w:sz w:val="18"/>
                <w:szCs w:val="18"/>
              </w:rPr>
            </w:pPr>
            <w:r>
              <w:rPr>
                <w:rFonts w:hint="eastAsia"/>
                <w:b w:val="0"/>
                <w:sz w:val="18"/>
                <w:szCs w:val="18"/>
              </w:rPr>
              <w:t>10.0</w:t>
            </w:r>
          </w:p>
        </w:tc>
        <w:tc>
          <w:tcPr>
            <w:tcW w:w="852" w:type="dxa"/>
            <w:vAlign w:val="center"/>
          </w:tcPr>
          <w:p>
            <w:pPr>
              <w:spacing w:line="360" w:lineRule="auto"/>
              <w:jc w:val="center"/>
              <w:rPr>
                <w:b w:val="0"/>
                <w:sz w:val="18"/>
                <w:szCs w:val="18"/>
              </w:rPr>
            </w:pPr>
            <w:r>
              <w:rPr>
                <w:rFonts w:hint="eastAsia"/>
                <w:b w:val="0"/>
                <w:sz w:val="18"/>
                <w:szCs w:val="18"/>
              </w:rPr>
              <w:t>12.812</w:t>
            </w:r>
          </w:p>
        </w:tc>
        <w:tc>
          <w:tcPr>
            <w:tcW w:w="852" w:type="dxa"/>
            <w:vAlign w:val="center"/>
          </w:tcPr>
          <w:p>
            <w:pPr>
              <w:spacing w:line="360" w:lineRule="auto"/>
              <w:jc w:val="center"/>
              <w:rPr>
                <w:b w:val="0"/>
                <w:sz w:val="18"/>
                <w:szCs w:val="18"/>
              </w:rPr>
            </w:pPr>
            <w:r>
              <w:rPr>
                <w:rFonts w:hint="eastAsia"/>
                <w:b w:val="0"/>
                <w:sz w:val="18"/>
                <w:szCs w:val="18"/>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restart"/>
            <w:vAlign w:val="center"/>
          </w:tcPr>
          <w:p>
            <w:pPr>
              <w:spacing w:line="360" w:lineRule="auto"/>
              <w:jc w:val="center"/>
              <w:rPr>
                <w:b w:val="0"/>
                <w:sz w:val="18"/>
                <w:szCs w:val="18"/>
              </w:rPr>
            </w:pPr>
            <w:r>
              <w:rPr>
                <w:rFonts w:hint="eastAsia"/>
                <w:b w:val="0"/>
                <w:sz w:val="18"/>
                <w:szCs w:val="18"/>
              </w:rPr>
              <w:t>Nd</w:t>
            </w:r>
          </w:p>
        </w:tc>
        <w:tc>
          <w:tcPr>
            <w:tcW w:w="853" w:type="dxa"/>
            <w:vAlign w:val="center"/>
          </w:tcPr>
          <w:p>
            <w:pPr>
              <w:spacing w:line="360" w:lineRule="auto"/>
              <w:jc w:val="center"/>
              <w:rPr>
                <w:b w:val="0"/>
                <w:sz w:val="18"/>
                <w:szCs w:val="18"/>
              </w:rPr>
            </w:pPr>
            <w:r>
              <w:rPr>
                <w:rFonts w:hint="eastAsia"/>
                <w:b w:val="0"/>
                <w:sz w:val="18"/>
                <w:szCs w:val="18"/>
              </w:rPr>
              <w:t>0.4553</w:t>
            </w:r>
          </w:p>
        </w:tc>
        <w:tc>
          <w:tcPr>
            <w:tcW w:w="852" w:type="dxa"/>
            <w:vAlign w:val="center"/>
          </w:tcPr>
          <w:p>
            <w:pPr>
              <w:spacing w:line="360" w:lineRule="auto"/>
              <w:jc w:val="center"/>
              <w:rPr>
                <w:b w:val="0"/>
                <w:sz w:val="18"/>
                <w:szCs w:val="18"/>
              </w:rPr>
            </w:pPr>
            <w:r>
              <w:rPr>
                <w:rFonts w:hint="eastAsia"/>
                <w:b w:val="0"/>
                <w:sz w:val="18"/>
                <w:szCs w:val="18"/>
              </w:rPr>
              <w:t>0.5</w:t>
            </w:r>
          </w:p>
        </w:tc>
        <w:tc>
          <w:tcPr>
            <w:tcW w:w="852" w:type="dxa"/>
            <w:vAlign w:val="center"/>
          </w:tcPr>
          <w:p>
            <w:pPr>
              <w:spacing w:line="360" w:lineRule="auto"/>
              <w:jc w:val="center"/>
              <w:rPr>
                <w:b w:val="0"/>
                <w:sz w:val="18"/>
                <w:szCs w:val="18"/>
              </w:rPr>
            </w:pPr>
            <w:r>
              <w:rPr>
                <w:rFonts w:hint="eastAsia"/>
                <w:b w:val="0"/>
                <w:sz w:val="18"/>
                <w:szCs w:val="18"/>
              </w:rPr>
              <w:t>0.9238</w:t>
            </w:r>
          </w:p>
        </w:tc>
        <w:tc>
          <w:tcPr>
            <w:tcW w:w="852" w:type="dxa"/>
            <w:vAlign w:val="center"/>
          </w:tcPr>
          <w:p>
            <w:pPr>
              <w:spacing w:line="360" w:lineRule="auto"/>
              <w:jc w:val="center"/>
              <w:rPr>
                <w:b w:val="0"/>
                <w:sz w:val="18"/>
                <w:szCs w:val="18"/>
              </w:rPr>
            </w:pPr>
            <w:r>
              <w:rPr>
                <w:rFonts w:hint="eastAsia"/>
                <w:b w:val="0"/>
                <w:sz w:val="18"/>
                <w:szCs w:val="18"/>
              </w:rPr>
              <w:t>93.7</w:t>
            </w:r>
          </w:p>
        </w:tc>
        <w:tc>
          <w:tcPr>
            <w:tcW w:w="852" w:type="dxa"/>
            <w:vMerge w:val="restart"/>
            <w:vAlign w:val="center"/>
          </w:tcPr>
          <w:p>
            <w:pPr>
              <w:spacing w:line="360" w:lineRule="auto"/>
              <w:jc w:val="center"/>
              <w:rPr>
                <w:b w:val="0"/>
                <w:sz w:val="18"/>
                <w:szCs w:val="18"/>
              </w:rPr>
            </w:pPr>
            <w:r>
              <w:rPr>
                <w:rFonts w:hint="eastAsia"/>
                <w:b w:val="0"/>
                <w:sz w:val="18"/>
                <w:szCs w:val="18"/>
              </w:rPr>
              <w:t>Ba</w:t>
            </w:r>
          </w:p>
        </w:tc>
        <w:tc>
          <w:tcPr>
            <w:tcW w:w="852" w:type="dxa"/>
            <w:vAlign w:val="center"/>
          </w:tcPr>
          <w:p>
            <w:pPr>
              <w:spacing w:line="360" w:lineRule="auto"/>
              <w:jc w:val="center"/>
              <w:rPr>
                <w:b w:val="0"/>
                <w:sz w:val="18"/>
                <w:szCs w:val="18"/>
              </w:rPr>
            </w:pPr>
            <w:r>
              <w:rPr>
                <w:rFonts w:hint="eastAsia"/>
                <w:b w:val="0"/>
                <w:sz w:val="18"/>
                <w:szCs w:val="18"/>
              </w:rPr>
              <w:t>0.3723</w:t>
            </w:r>
          </w:p>
        </w:tc>
        <w:tc>
          <w:tcPr>
            <w:tcW w:w="852" w:type="dxa"/>
            <w:vAlign w:val="center"/>
          </w:tcPr>
          <w:p>
            <w:pPr>
              <w:spacing w:line="360" w:lineRule="auto"/>
              <w:jc w:val="center"/>
              <w:rPr>
                <w:b w:val="0"/>
                <w:sz w:val="18"/>
                <w:szCs w:val="18"/>
              </w:rPr>
            </w:pPr>
            <w:r>
              <w:rPr>
                <w:rFonts w:hint="eastAsia"/>
                <w:b w:val="0"/>
                <w:sz w:val="18"/>
                <w:szCs w:val="18"/>
              </w:rPr>
              <w:t>0.5</w:t>
            </w:r>
          </w:p>
        </w:tc>
        <w:tc>
          <w:tcPr>
            <w:tcW w:w="852" w:type="dxa"/>
            <w:vAlign w:val="center"/>
          </w:tcPr>
          <w:p>
            <w:pPr>
              <w:spacing w:line="360" w:lineRule="auto"/>
              <w:jc w:val="center"/>
              <w:rPr>
                <w:b w:val="0"/>
                <w:sz w:val="18"/>
                <w:szCs w:val="18"/>
              </w:rPr>
            </w:pPr>
            <w:r>
              <w:rPr>
                <w:rFonts w:hint="eastAsia"/>
                <w:b w:val="0"/>
                <w:sz w:val="18"/>
                <w:szCs w:val="18"/>
              </w:rPr>
              <w:t>0.8331</w:t>
            </w:r>
          </w:p>
        </w:tc>
        <w:tc>
          <w:tcPr>
            <w:tcW w:w="852" w:type="dxa"/>
            <w:vAlign w:val="center"/>
          </w:tcPr>
          <w:p>
            <w:pPr>
              <w:spacing w:line="360" w:lineRule="auto"/>
              <w:jc w:val="center"/>
              <w:rPr>
                <w:b w:val="0"/>
                <w:sz w:val="18"/>
                <w:szCs w:val="18"/>
              </w:rPr>
            </w:pPr>
            <w:r>
              <w:rPr>
                <w:rFonts w:hint="eastAsia"/>
                <w:b w:val="0"/>
                <w:sz w:val="18"/>
                <w:szCs w:val="18"/>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Merge w:val="continue"/>
            <w:vAlign w:val="center"/>
          </w:tcPr>
          <w:p>
            <w:pPr>
              <w:spacing w:line="360" w:lineRule="auto"/>
              <w:jc w:val="center"/>
              <w:rPr>
                <w:b w:val="0"/>
                <w:sz w:val="18"/>
                <w:szCs w:val="18"/>
              </w:rPr>
            </w:pPr>
          </w:p>
        </w:tc>
        <w:tc>
          <w:tcPr>
            <w:tcW w:w="853" w:type="dxa"/>
            <w:vAlign w:val="center"/>
          </w:tcPr>
          <w:p>
            <w:pPr>
              <w:spacing w:line="360" w:lineRule="auto"/>
              <w:jc w:val="center"/>
              <w:rPr>
                <w:b w:val="0"/>
                <w:sz w:val="18"/>
                <w:szCs w:val="18"/>
              </w:rPr>
            </w:pPr>
            <w:r>
              <w:rPr>
                <w:rFonts w:hint="eastAsia"/>
                <w:b w:val="0"/>
                <w:sz w:val="18"/>
                <w:szCs w:val="18"/>
              </w:rPr>
              <w:t>3.7248</w:t>
            </w:r>
          </w:p>
        </w:tc>
        <w:tc>
          <w:tcPr>
            <w:tcW w:w="852" w:type="dxa"/>
            <w:vAlign w:val="center"/>
          </w:tcPr>
          <w:p>
            <w:pPr>
              <w:spacing w:line="360" w:lineRule="auto"/>
              <w:jc w:val="center"/>
              <w:rPr>
                <w:b w:val="0"/>
                <w:sz w:val="18"/>
                <w:szCs w:val="18"/>
              </w:rPr>
            </w:pPr>
            <w:r>
              <w:rPr>
                <w:rFonts w:hint="eastAsia"/>
                <w:b w:val="0"/>
                <w:sz w:val="18"/>
                <w:szCs w:val="18"/>
              </w:rPr>
              <w:t>10.0</w:t>
            </w:r>
          </w:p>
        </w:tc>
        <w:tc>
          <w:tcPr>
            <w:tcW w:w="852" w:type="dxa"/>
            <w:vAlign w:val="center"/>
          </w:tcPr>
          <w:p>
            <w:pPr>
              <w:spacing w:line="360" w:lineRule="auto"/>
              <w:jc w:val="center"/>
              <w:rPr>
                <w:b w:val="0"/>
                <w:sz w:val="18"/>
                <w:szCs w:val="18"/>
              </w:rPr>
            </w:pPr>
            <w:r>
              <w:rPr>
                <w:rFonts w:hint="eastAsia"/>
                <w:b w:val="0"/>
                <w:sz w:val="18"/>
                <w:szCs w:val="18"/>
              </w:rPr>
              <w:t>12.961</w:t>
            </w:r>
          </w:p>
        </w:tc>
        <w:tc>
          <w:tcPr>
            <w:tcW w:w="852" w:type="dxa"/>
            <w:vAlign w:val="center"/>
          </w:tcPr>
          <w:p>
            <w:pPr>
              <w:spacing w:line="360" w:lineRule="auto"/>
              <w:jc w:val="center"/>
              <w:rPr>
                <w:b w:val="0"/>
                <w:sz w:val="18"/>
                <w:szCs w:val="18"/>
              </w:rPr>
            </w:pPr>
            <w:r>
              <w:rPr>
                <w:rFonts w:hint="eastAsia"/>
                <w:b w:val="0"/>
                <w:sz w:val="18"/>
                <w:szCs w:val="18"/>
              </w:rPr>
              <w:t>92.4</w:t>
            </w:r>
          </w:p>
        </w:tc>
        <w:tc>
          <w:tcPr>
            <w:tcW w:w="852" w:type="dxa"/>
            <w:vMerge w:val="continue"/>
            <w:vAlign w:val="center"/>
          </w:tcPr>
          <w:p>
            <w:pPr>
              <w:spacing w:line="360" w:lineRule="auto"/>
              <w:jc w:val="center"/>
              <w:rPr>
                <w:b w:val="0"/>
                <w:sz w:val="18"/>
                <w:szCs w:val="18"/>
              </w:rPr>
            </w:pPr>
          </w:p>
        </w:tc>
        <w:tc>
          <w:tcPr>
            <w:tcW w:w="852" w:type="dxa"/>
            <w:vAlign w:val="center"/>
          </w:tcPr>
          <w:p>
            <w:pPr>
              <w:spacing w:line="360" w:lineRule="auto"/>
              <w:jc w:val="center"/>
              <w:rPr>
                <w:b w:val="0"/>
                <w:sz w:val="18"/>
                <w:szCs w:val="18"/>
              </w:rPr>
            </w:pPr>
            <w:r>
              <w:rPr>
                <w:rFonts w:hint="eastAsia"/>
                <w:b w:val="0"/>
                <w:sz w:val="18"/>
                <w:szCs w:val="18"/>
              </w:rPr>
              <w:t>3.1276</w:t>
            </w:r>
          </w:p>
        </w:tc>
        <w:tc>
          <w:tcPr>
            <w:tcW w:w="852" w:type="dxa"/>
            <w:vAlign w:val="center"/>
          </w:tcPr>
          <w:p>
            <w:pPr>
              <w:spacing w:line="360" w:lineRule="auto"/>
              <w:jc w:val="center"/>
              <w:rPr>
                <w:b w:val="0"/>
                <w:sz w:val="18"/>
                <w:szCs w:val="18"/>
              </w:rPr>
            </w:pPr>
            <w:r>
              <w:rPr>
                <w:rFonts w:hint="eastAsia"/>
                <w:b w:val="0"/>
                <w:sz w:val="18"/>
                <w:szCs w:val="18"/>
              </w:rPr>
              <w:t>10.0</w:t>
            </w:r>
          </w:p>
        </w:tc>
        <w:tc>
          <w:tcPr>
            <w:tcW w:w="852" w:type="dxa"/>
            <w:vAlign w:val="center"/>
          </w:tcPr>
          <w:p>
            <w:pPr>
              <w:spacing w:line="360" w:lineRule="auto"/>
              <w:jc w:val="center"/>
              <w:rPr>
                <w:b w:val="0"/>
                <w:sz w:val="18"/>
                <w:szCs w:val="18"/>
              </w:rPr>
            </w:pPr>
            <w:r>
              <w:rPr>
                <w:rFonts w:hint="eastAsia"/>
                <w:b w:val="0"/>
                <w:sz w:val="18"/>
                <w:szCs w:val="18"/>
              </w:rPr>
              <w:t>12.960</w:t>
            </w:r>
          </w:p>
        </w:tc>
        <w:tc>
          <w:tcPr>
            <w:tcW w:w="852" w:type="dxa"/>
            <w:vAlign w:val="center"/>
          </w:tcPr>
          <w:p>
            <w:pPr>
              <w:spacing w:line="360" w:lineRule="auto"/>
              <w:jc w:val="center"/>
              <w:rPr>
                <w:b w:val="0"/>
                <w:sz w:val="18"/>
                <w:szCs w:val="18"/>
              </w:rPr>
            </w:pPr>
            <w:r>
              <w:rPr>
                <w:rFonts w:hint="eastAsia"/>
                <w:b w:val="0"/>
                <w:sz w:val="18"/>
                <w:szCs w:val="18"/>
              </w:rPr>
              <w:t>98.3</w:t>
            </w:r>
          </w:p>
        </w:tc>
      </w:tr>
    </w:tbl>
    <w:p>
      <w:pPr>
        <w:spacing w:line="360" w:lineRule="auto"/>
        <w:rPr>
          <w:b w:val="0"/>
          <w:szCs w:val="28"/>
        </w:rPr>
      </w:pPr>
      <w:r>
        <w:rPr>
          <w:b w:val="0"/>
          <w:szCs w:val="28"/>
        </w:rPr>
        <w:t>3、结论</w:t>
      </w:r>
    </w:p>
    <w:p>
      <w:pPr>
        <w:spacing w:line="360" w:lineRule="auto"/>
        <w:ind w:firstLine="480" w:firstLineChars="200"/>
        <w:rPr>
          <w:rFonts w:eastAsiaTheme="minorEastAsia"/>
          <w:b w:val="0"/>
          <w:sz w:val="24"/>
        </w:rPr>
      </w:pPr>
      <w:r>
        <w:rPr>
          <w:rFonts w:eastAsiaTheme="minorEastAsia"/>
          <w:b w:val="0"/>
          <w:sz w:val="24"/>
        </w:rPr>
        <w:t>本研究采用盐酸、硝酸、过氧化氢、氢氟酸消解试样，一次全溶解，ICP-AES同时测定机动车转化器中La、Ce、Pr、Nd、Ba、Zr，建立了机动车转化器中镧、铈、镨、钕、钡、锆等元素的测定方法。分析速度快，结果准确。测定范围为：0.05%～10%，其中Ce、Zr：0.1%～10%，La、Pr、Ba、Nd：0.05%～5%。加标回收率为92.2%～98.3%，精密度为0.43%～3.76%。</w:t>
      </w:r>
    </w:p>
    <w:p>
      <w:pPr>
        <w:spacing w:line="360" w:lineRule="auto"/>
        <w:rPr>
          <w:b w:val="0"/>
          <w:szCs w:val="28"/>
        </w:rPr>
      </w:pPr>
      <w:r>
        <w:rPr>
          <w:rFonts w:hint="eastAsia"/>
          <w:b w:val="0"/>
          <w:szCs w:val="28"/>
        </w:rPr>
        <w:t>参考文献</w:t>
      </w:r>
    </w:p>
    <w:p>
      <w:pPr>
        <w:adjustRightInd w:val="0"/>
        <w:spacing w:line="440" w:lineRule="exact"/>
        <w:textAlignment w:val="baseline"/>
        <w:rPr>
          <w:rFonts w:hint="eastAsia"/>
          <w:b w:val="0"/>
          <w:sz w:val="21"/>
          <w:szCs w:val="21"/>
        </w:rPr>
      </w:pPr>
      <w:r>
        <w:rPr>
          <w:rFonts w:hint="eastAsia"/>
          <w:b w:val="0"/>
          <w:sz w:val="21"/>
          <w:szCs w:val="21"/>
        </w:rPr>
        <w:t>[1] 赵明, 龚茂初, 蔡黎等. 新型稀土储氧材料的性能及在三效催化剂中的应用[J]. 贵金属, 2006, 27(2):18-21.</w:t>
      </w:r>
    </w:p>
    <w:p>
      <w:pPr>
        <w:adjustRightInd w:val="0"/>
        <w:spacing w:line="440" w:lineRule="exact"/>
        <w:textAlignment w:val="baseline"/>
        <w:rPr>
          <w:rFonts w:hint="eastAsia"/>
          <w:b w:val="0"/>
          <w:sz w:val="21"/>
          <w:szCs w:val="21"/>
        </w:rPr>
      </w:pPr>
      <w:r>
        <w:rPr>
          <w:rFonts w:hint="eastAsia"/>
          <w:b w:val="0"/>
          <w:sz w:val="21"/>
          <w:szCs w:val="21"/>
        </w:rPr>
        <w:t xml:space="preserve">[2] </w:t>
      </w:r>
      <w:r>
        <w:rPr>
          <w:b w:val="0"/>
          <w:sz w:val="21"/>
          <w:szCs w:val="21"/>
        </w:rPr>
        <w:t xml:space="preserve">杨庆山,兰石琨.我国汽车尾气净化催化剂的研究现状[J].金属材料与冶金工程,2013,41(1):53-59. </w:t>
      </w:r>
    </w:p>
    <w:p>
      <w:pPr>
        <w:adjustRightInd w:val="0"/>
        <w:spacing w:line="440" w:lineRule="exact"/>
        <w:textAlignment w:val="baseline"/>
        <w:rPr>
          <w:rFonts w:hint="eastAsia"/>
          <w:b w:val="0"/>
          <w:sz w:val="21"/>
          <w:szCs w:val="21"/>
        </w:rPr>
      </w:pPr>
      <w:r>
        <w:rPr>
          <w:rFonts w:hint="eastAsia"/>
          <w:b w:val="0"/>
          <w:sz w:val="21"/>
          <w:szCs w:val="21"/>
        </w:rPr>
        <w:t xml:space="preserve">[3] </w:t>
      </w:r>
      <w:r>
        <w:rPr>
          <w:b w:val="0"/>
          <w:sz w:val="21"/>
          <w:szCs w:val="21"/>
        </w:rPr>
        <w:t>高翔,刘坤,王海东.汽车尾气催化转化器的研究进展[J].广东化工,2014,41(23):78-79.</w:t>
      </w:r>
    </w:p>
    <w:p>
      <w:pPr>
        <w:adjustRightInd w:val="0"/>
        <w:spacing w:line="440" w:lineRule="exact"/>
        <w:textAlignment w:val="baseline"/>
        <w:rPr>
          <w:rFonts w:hint="eastAsia"/>
          <w:b w:val="0"/>
          <w:sz w:val="21"/>
          <w:szCs w:val="21"/>
        </w:rPr>
      </w:pPr>
      <w:r>
        <w:rPr>
          <w:rFonts w:hint="eastAsia"/>
          <w:b w:val="0"/>
          <w:sz w:val="21"/>
          <w:szCs w:val="21"/>
        </w:rPr>
        <w:t xml:space="preserve">[4] </w:t>
      </w:r>
      <w:r>
        <w:rPr>
          <w:b w:val="0"/>
          <w:sz w:val="21"/>
          <w:szCs w:val="21"/>
        </w:rPr>
        <w:t>陈兴,孔维青,张丽丹.汽车尾气催化剂研究进展[J].广州化工,2015,43(18):5-6 22.</w:t>
      </w:r>
    </w:p>
    <w:p>
      <w:pPr>
        <w:adjustRightInd w:val="0"/>
        <w:spacing w:line="440" w:lineRule="exact"/>
        <w:textAlignment w:val="baseline"/>
        <w:rPr>
          <w:rFonts w:hint="eastAsia"/>
          <w:b w:val="0"/>
          <w:sz w:val="21"/>
          <w:szCs w:val="21"/>
        </w:rPr>
      </w:pPr>
      <w:r>
        <w:rPr>
          <w:rFonts w:hint="eastAsia"/>
          <w:b w:val="0"/>
          <w:sz w:val="21"/>
          <w:szCs w:val="21"/>
        </w:rPr>
        <w:t xml:space="preserve">[5] </w:t>
      </w:r>
      <w:r>
        <w:rPr>
          <w:b w:val="0"/>
          <w:sz w:val="21"/>
          <w:szCs w:val="21"/>
        </w:rPr>
        <w:t xml:space="preserve">孙一凡.汽车催化剂研究进展[J].中国科技纵横,2018(20):228-229. </w:t>
      </w:r>
    </w:p>
    <w:p>
      <w:pPr>
        <w:adjustRightInd w:val="0"/>
        <w:spacing w:line="440" w:lineRule="exact"/>
        <w:textAlignment w:val="baseline"/>
        <w:rPr>
          <w:rFonts w:hint="eastAsia"/>
          <w:b w:val="0"/>
          <w:sz w:val="21"/>
          <w:szCs w:val="21"/>
        </w:rPr>
      </w:pPr>
      <w:r>
        <w:rPr>
          <w:rFonts w:hint="eastAsia"/>
          <w:b w:val="0"/>
          <w:sz w:val="21"/>
          <w:szCs w:val="21"/>
        </w:rPr>
        <w:t xml:space="preserve">[6] </w:t>
      </w:r>
      <w:r>
        <w:rPr>
          <w:b w:val="0"/>
          <w:sz w:val="21"/>
          <w:szCs w:val="21"/>
        </w:rPr>
        <w:t>陈江.稀土在汽车尾气催化剂领域的运用[J].化工设计通讯,2018,44(2):55-55.</w:t>
      </w:r>
    </w:p>
    <w:p>
      <w:pPr>
        <w:adjustRightInd w:val="0"/>
        <w:spacing w:line="440" w:lineRule="exact"/>
        <w:textAlignment w:val="baseline"/>
        <w:rPr>
          <w:rFonts w:hint="eastAsia"/>
          <w:b w:val="0"/>
          <w:sz w:val="21"/>
          <w:szCs w:val="21"/>
        </w:rPr>
      </w:pPr>
      <w:r>
        <w:rPr>
          <w:rFonts w:hint="eastAsia"/>
          <w:b w:val="0"/>
          <w:sz w:val="21"/>
          <w:szCs w:val="21"/>
        </w:rPr>
        <w:t xml:space="preserve">[7] 胡月, 彭霞, 王义惠, 等. ICP-AES法测定稀土汽车尾气净化催化剂中Ce、La、Pr、Y、Al、Zr的含量[C]. 第十四届全国稀土分析化学学术研讨会. </w:t>
      </w:r>
    </w:p>
    <w:p>
      <w:pPr>
        <w:adjustRightInd w:val="0"/>
        <w:spacing w:line="440" w:lineRule="exact"/>
        <w:textAlignment w:val="baseline"/>
        <w:rPr>
          <w:b w:val="0"/>
          <w:sz w:val="21"/>
          <w:szCs w:val="21"/>
        </w:rPr>
      </w:pPr>
      <w:r>
        <w:rPr>
          <w:rFonts w:hint="eastAsia"/>
          <w:szCs w:val="21"/>
        </w:rPr>
        <w:t>[</w:t>
      </w:r>
      <w:r>
        <w:rPr>
          <w:rFonts w:hint="eastAsia"/>
          <w:b w:val="0"/>
          <w:sz w:val="21"/>
          <w:szCs w:val="21"/>
        </w:rPr>
        <w:t>8] 胡洁. 汽车尾气净化催化剂中贵金属及助催化剂含量测定研究[D]. 昆明：昆明贵金属研究所, 2007.</w:t>
      </w:r>
    </w:p>
    <w:p>
      <w:pPr>
        <w:autoSpaceDE w:val="0"/>
        <w:autoSpaceDN w:val="0"/>
        <w:adjustRightInd w:val="0"/>
        <w:spacing w:line="360" w:lineRule="auto"/>
        <w:rPr>
          <w:b w:val="0"/>
          <w:sz w:val="21"/>
          <w:szCs w:val="21"/>
        </w:rPr>
      </w:pPr>
      <w:r>
        <w:rPr>
          <w:rFonts w:hint="eastAsia"/>
          <w:b w:val="0"/>
          <w:sz w:val="21"/>
          <w:szCs w:val="21"/>
        </w:rPr>
        <w:t>[9] 任传婷, 胡洁, 李青, 等. ICP-AES测定汽车催化剂中的助剂元素[J]. 光谱实验室,2013，30（3）：1063-1067.</w:t>
      </w:r>
      <w:r>
        <w:rPr>
          <w:b w:val="0"/>
          <w:sz w:val="21"/>
          <w:szCs w:val="21"/>
        </w:rPr>
        <w:t xml:space="preserve"> </w:t>
      </w:r>
    </w:p>
    <w:p>
      <w:pPr>
        <w:adjustRightInd w:val="0"/>
        <w:spacing w:line="440" w:lineRule="exact"/>
        <w:textAlignment w:val="baseline"/>
        <w:rPr>
          <w:b w:val="0"/>
          <w:sz w:val="21"/>
          <w:szCs w:val="21"/>
        </w:rPr>
      </w:pPr>
    </w:p>
    <w:p>
      <w:pPr>
        <w:spacing w:line="360" w:lineRule="auto"/>
        <w:rPr>
          <w:b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1"/>
      <w:suff w:val="nothing"/>
      <w:lvlText w:val="%1"/>
      <w:lvlJc w:val="left"/>
      <w:rPr>
        <w:rFonts w:hint="default" w:ascii="Times New Roman" w:hAnsi="Times New Roman" w:cs="Times New Roman"/>
        <w:b/>
        <w:i w:val="0"/>
        <w:sz w:val="21"/>
      </w:rPr>
    </w:lvl>
    <w:lvl w:ilvl="1" w:tentative="0">
      <w:start w:val="1"/>
      <w:numFmt w:val="decimal"/>
      <w:pStyle w:val="12"/>
      <w:suff w:val="nothing"/>
      <w:lvlText w:val="%1%2　"/>
      <w:lvlJc w:val="left"/>
      <w:rPr>
        <w:rFonts w:hint="eastAsia" w:ascii="黑体" w:hAnsi="Times New Roman" w:eastAsia="黑体" w:cs="Times New Roman"/>
        <w:b w:val="0"/>
        <w:i w:val="0"/>
        <w:sz w:val="21"/>
      </w:rPr>
    </w:lvl>
    <w:lvl w:ilvl="2" w:tentative="0">
      <w:start w:val="1"/>
      <w:numFmt w:val="decimal"/>
      <w:pStyle w:val="13"/>
      <w:suff w:val="nothing"/>
      <w:lvlText w:val="%1%2.%3　"/>
      <w:lvlJc w:val="left"/>
      <w:pPr>
        <w:ind w:left="315"/>
      </w:pPr>
      <w:rPr>
        <w:rFonts w:hint="eastAsia" w:ascii="黑体" w:hAnsi="Times New Roman" w:eastAsia="黑体" w:cs="Times New Roman"/>
        <w:b w:val="0"/>
        <w:i w:val="0"/>
        <w:sz w:val="21"/>
      </w:rPr>
    </w:lvl>
    <w:lvl w:ilvl="3" w:tentative="0">
      <w:start w:val="1"/>
      <w:numFmt w:val="decimal"/>
      <w:pStyle w:val="14"/>
      <w:suff w:val="nothing"/>
      <w:lvlText w:val="%1%2.%3.%4　"/>
      <w:lvlJc w:val="left"/>
      <w:rPr>
        <w:rFonts w:hint="eastAsia" w:ascii="黑体" w:hAnsi="Times New Roman" w:eastAsia="黑体" w:cs="Times New Roman"/>
        <w:b w:val="0"/>
        <w:i w:val="0"/>
        <w:sz w:val="21"/>
      </w:rPr>
    </w:lvl>
    <w:lvl w:ilvl="4" w:tentative="0">
      <w:start w:val="1"/>
      <w:numFmt w:val="decimal"/>
      <w:pStyle w:val="15"/>
      <w:suff w:val="nothing"/>
      <w:lvlText w:val="%1%2.%3.%4.%5　"/>
      <w:lvlJc w:val="left"/>
      <w:rPr>
        <w:rFonts w:hint="eastAsia" w:ascii="黑体" w:hAnsi="Times New Roman" w:eastAsia="黑体" w:cs="Times New Roman"/>
        <w:b w:val="0"/>
        <w:i w:val="0"/>
        <w:sz w:val="21"/>
      </w:rPr>
    </w:lvl>
    <w:lvl w:ilvl="5" w:tentative="0">
      <w:start w:val="1"/>
      <w:numFmt w:val="decimal"/>
      <w:pStyle w:val="16"/>
      <w:suff w:val="nothing"/>
      <w:lvlText w:val="%1%2.%3.%4.%5.%6　"/>
      <w:lvlJc w:val="left"/>
      <w:rPr>
        <w:rFonts w:hint="eastAsia" w:ascii="黑体" w:hAnsi="Times New Roman" w:eastAsia="黑体" w:cs="Times New Roman"/>
        <w:b w:val="0"/>
        <w:i w:val="0"/>
        <w:sz w:val="21"/>
      </w:rPr>
    </w:lvl>
    <w:lvl w:ilvl="6" w:tentative="0">
      <w:start w:val="1"/>
      <w:numFmt w:val="decimal"/>
      <w:pStyle w:val="1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750A1"/>
    <w:rsid w:val="00005244"/>
    <w:rsid w:val="00007CBC"/>
    <w:rsid w:val="00012A5A"/>
    <w:rsid w:val="00017332"/>
    <w:rsid w:val="0002103A"/>
    <w:rsid w:val="00031744"/>
    <w:rsid w:val="00033F9B"/>
    <w:rsid w:val="000517FF"/>
    <w:rsid w:val="00052433"/>
    <w:rsid w:val="00053EBF"/>
    <w:rsid w:val="00055E9A"/>
    <w:rsid w:val="000700E9"/>
    <w:rsid w:val="00074E13"/>
    <w:rsid w:val="0007528C"/>
    <w:rsid w:val="00075DE0"/>
    <w:rsid w:val="0007695D"/>
    <w:rsid w:val="000773B8"/>
    <w:rsid w:val="00084AAA"/>
    <w:rsid w:val="00092ABA"/>
    <w:rsid w:val="000B0704"/>
    <w:rsid w:val="000B2950"/>
    <w:rsid w:val="000B6A68"/>
    <w:rsid w:val="000C102F"/>
    <w:rsid w:val="000C31C8"/>
    <w:rsid w:val="000D404B"/>
    <w:rsid w:val="000D6CFF"/>
    <w:rsid w:val="000E096A"/>
    <w:rsid w:val="000E0CA0"/>
    <w:rsid w:val="000E1295"/>
    <w:rsid w:val="000F2900"/>
    <w:rsid w:val="000F3808"/>
    <w:rsid w:val="00101227"/>
    <w:rsid w:val="00106247"/>
    <w:rsid w:val="00111C54"/>
    <w:rsid w:val="00111D8F"/>
    <w:rsid w:val="00112ACB"/>
    <w:rsid w:val="00115247"/>
    <w:rsid w:val="0012416C"/>
    <w:rsid w:val="00161D89"/>
    <w:rsid w:val="00175B5A"/>
    <w:rsid w:val="001772C2"/>
    <w:rsid w:val="00180BDF"/>
    <w:rsid w:val="00184AF8"/>
    <w:rsid w:val="00190D3D"/>
    <w:rsid w:val="001951D0"/>
    <w:rsid w:val="0019668F"/>
    <w:rsid w:val="001A10CD"/>
    <w:rsid w:val="001A391A"/>
    <w:rsid w:val="001A471B"/>
    <w:rsid w:val="001C53E4"/>
    <w:rsid w:val="001D6A2F"/>
    <w:rsid w:val="001E01F2"/>
    <w:rsid w:val="001F0512"/>
    <w:rsid w:val="001F4EBD"/>
    <w:rsid w:val="001F5355"/>
    <w:rsid w:val="001F7C3C"/>
    <w:rsid w:val="00200935"/>
    <w:rsid w:val="00206E34"/>
    <w:rsid w:val="002149E1"/>
    <w:rsid w:val="00217024"/>
    <w:rsid w:val="0021794A"/>
    <w:rsid w:val="002211EC"/>
    <w:rsid w:val="00230B54"/>
    <w:rsid w:val="002406CF"/>
    <w:rsid w:val="00240EBF"/>
    <w:rsid w:val="00241F67"/>
    <w:rsid w:val="00246F6A"/>
    <w:rsid w:val="002470CF"/>
    <w:rsid w:val="002526E5"/>
    <w:rsid w:val="002620BD"/>
    <w:rsid w:val="00264752"/>
    <w:rsid w:val="00266009"/>
    <w:rsid w:val="00270839"/>
    <w:rsid w:val="00274DF0"/>
    <w:rsid w:val="002804CB"/>
    <w:rsid w:val="0028111A"/>
    <w:rsid w:val="002840D6"/>
    <w:rsid w:val="00292F70"/>
    <w:rsid w:val="0029560B"/>
    <w:rsid w:val="00296C5E"/>
    <w:rsid w:val="00297EC0"/>
    <w:rsid w:val="002A1678"/>
    <w:rsid w:val="002B4E2E"/>
    <w:rsid w:val="002B5AF3"/>
    <w:rsid w:val="002B70CB"/>
    <w:rsid w:val="002C503D"/>
    <w:rsid w:val="002C7E13"/>
    <w:rsid w:val="002D0E3B"/>
    <w:rsid w:val="002D28F0"/>
    <w:rsid w:val="002E0B58"/>
    <w:rsid w:val="002E0B7D"/>
    <w:rsid w:val="002F042B"/>
    <w:rsid w:val="002F4EAE"/>
    <w:rsid w:val="003003C7"/>
    <w:rsid w:val="00300F22"/>
    <w:rsid w:val="003150EE"/>
    <w:rsid w:val="0032090C"/>
    <w:rsid w:val="00321E62"/>
    <w:rsid w:val="0032512E"/>
    <w:rsid w:val="00326B08"/>
    <w:rsid w:val="00330191"/>
    <w:rsid w:val="003359C6"/>
    <w:rsid w:val="00341ABA"/>
    <w:rsid w:val="00345A26"/>
    <w:rsid w:val="00346826"/>
    <w:rsid w:val="00364CCA"/>
    <w:rsid w:val="00386BF6"/>
    <w:rsid w:val="003878EF"/>
    <w:rsid w:val="00387DD3"/>
    <w:rsid w:val="003B058B"/>
    <w:rsid w:val="003B3090"/>
    <w:rsid w:val="003B6A6A"/>
    <w:rsid w:val="003D25EF"/>
    <w:rsid w:val="003D3882"/>
    <w:rsid w:val="003E2DE5"/>
    <w:rsid w:val="003E604B"/>
    <w:rsid w:val="003E7436"/>
    <w:rsid w:val="004001A8"/>
    <w:rsid w:val="0040129C"/>
    <w:rsid w:val="00402CD0"/>
    <w:rsid w:val="00410430"/>
    <w:rsid w:val="00420C3B"/>
    <w:rsid w:val="004326C4"/>
    <w:rsid w:val="004357B3"/>
    <w:rsid w:val="00446983"/>
    <w:rsid w:val="00446E7A"/>
    <w:rsid w:val="00453698"/>
    <w:rsid w:val="004564AA"/>
    <w:rsid w:val="00467A54"/>
    <w:rsid w:val="00491192"/>
    <w:rsid w:val="004A22DC"/>
    <w:rsid w:val="004A3F06"/>
    <w:rsid w:val="004B0210"/>
    <w:rsid w:val="004C0707"/>
    <w:rsid w:val="004C520D"/>
    <w:rsid w:val="005024F1"/>
    <w:rsid w:val="00507466"/>
    <w:rsid w:val="00512961"/>
    <w:rsid w:val="00517839"/>
    <w:rsid w:val="005178D7"/>
    <w:rsid w:val="00553E3A"/>
    <w:rsid w:val="00557296"/>
    <w:rsid w:val="0056293E"/>
    <w:rsid w:val="00566643"/>
    <w:rsid w:val="0057143D"/>
    <w:rsid w:val="005715C7"/>
    <w:rsid w:val="0057298B"/>
    <w:rsid w:val="00576AC0"/>
    <w:rsid w:val="00576B2D"/>
    <w:rsid w:val="005B6DA9"/>
    <w:rsid w:val="005C6BF0"/>
    <w:rsid w:val="005E4F7A"/>
    <w:rsid w:val="005E7D17"/>
    <w:rsid w:val="005F488D"/>
    <w:rsid w:val="005F7433"/>
    <w:rsid w:val="006071E4"/>
    <w:rsid w:val="00615324"/>
    <w:rsid w:val="00636E42"/>
    <w:rsid w:val="0064012F"/>
    <w:rsid w:val="006433DA"/>
    <w:rsid w:val="0064434E"/>
    <w:rsid w:val="00646D59"/>
    <w:rsid w:val="0064707C"/>
    <w:rsid w:val="00654C35"/>
    <w:rsid w:val="00655253"/>
    <w:rsid w:val="00656E36"/>
    <w:rsid w:val="00695E4C"/>
    <w:rsid w:val="00696DC8"/>
    <w:rsid w:val="00697F39"/>
    <w:rsid w:val="006A38D6"/>
    <w:rsid w:val="006A4536"/>
    <w:rsid w:val="006A76C0"/>
    <w:rsid w:val="006A78F3"/>
    <w:rsid w:val="006A7A6F"/>
    <w:rsid w:val="006B7796"/>
    <w:rsid w:val="006D027C"/>
    <w:rsid w:val="006D2200"/>
    <w:rsid w:val="006D2604"/>
    <w:rsid w:val="006D6B67"/>
    <w:rsid w:val="006E4B10"/>
    <w:rsid w:val="006E6955"/>
    <w:rsid w:val="006F6323"/>
    <w:rsid w:val="007028B9"/>
    <w:rsid w:val="00704728"/>
    <w:rsid w:val="007056CB"/>
    <w:rsid w:val="00710FE4"/>
    <w:rsid w:val="0071196D"/>
    <w:rsid w:val="00714116"/>
    <w:rsid w:val="007467CE"/>
    <w:rsid w:val="00747F50"/>
    <w:rsid w:val="00764F59"/>
    <w:rsid w:val="00776D0B"/>
    <w:rsid w:val="00777709"/>
    <w:rsid w:val="00781C81"/>
    <w:rsid w:val="00782350"/>
    <w:rsid w:val="007973CF"/>
    <w:rsid w:val="007A4D3E"/>
    <w:rsid w:val="007B5EC2"/>
    <w:rsid w:val="007B7139"/>
    <w:rsid w:val="007B7A22"/>
    <w:rsid w:val="007C103B"/>
    <w:rsid w:val="007E7720"/>
    <w:rsid w:val="007F5F18"/>
    <w:rsid w:val="008005C4"/>
    <w:rsid w:val="00805014"/>
    <w:rsid w:val="00811CA8"/>
    <w:rsid w:val="00815156"/>
    <w:rsid w:val="00817520"/>
    <w:rsid w:val="0083269E"/>
    <w:rsid w:val="008326A6"/>
    <w:rsid w:val="00833D70"/>
    <w:rsid w:val="00836E30"/>
    <w:rsid w:val="00843296"/>
    <w:rsid w:val="00846A2D"/>
    <w:rsid w:val="00854F9E"/>
    <w:rsid w:val="00861E4D"/>
    <w:rsid w:val="00873D05"/>
    <w:rsid w:val="008762DA"/>
    <w:rsid w:val="00877F6F"/>
    <w:rsid w:val="00881702"/>
    <w:rsid w:val="00893190"/>
    <w:rsid w:val="00895E8B"/>
    <w:rsid w:val="00897263"/>
    <w:rsid w:val="008A17FE"/>
    <w:rsid w:val="008B5517"/>
    <w:rsid w:val="008B5B6C"/>
    <w:rsid w:val="008C2281"/>
    <w:rsid w:val="008C2EBA"/>
    <w:rsid w:val="008C585E"/>
    <w:rsid w:val="008E3917"/>
    <w:rsid w:val="008E59C2"/>
    <w:rsid w:val="008F3CC4"/>
    <w:rsid w:val="00910D1B"/>
    <w:rsid w:val="00911CF0"/>
    <w:rsid w:val="00924347"/>
    <w:rsid w:val="009366E3"/>
    <w:rsid w:val="00937BEB"/>
    <w:rsid w:val="00950174"/>
    <w:rsid w:val="00952325"/>
    <w:rsid w:val="00955F6D"/>
    <w:rsid w:val="00976087"/>
    <w:rsid w:val="00981E8D"/>
    <w:rsid w:val="0098668A"/>
    <w:rsid w:val="00993C4D"/>
    <w:rsid w:val="009B518A"/>
    <w:rsid w:val="009B6D75"/>
    <w:rsid w:val="009C39BE"/>
    <w:rsid w:val="009C3E8E"/>
    <w:rsid w:val="009D2BE1"/>
    <w:rsid w:val="009D7CE8"/>
    <w:rsid w:val="009F0375"/>
    <w:rsid w:val="009F1C0F"/>
    <w:rsid w:val="00A046FA"/>
    <w:rsid w:val="00A16722"/>
    <w:rsid w:val="00A207D7"/>
    <w:rsid w:val="00A25034"/>
    <w:rsid w:val="00A30458"/>
    <w:rsid w:val="00A35FB0"/>
    <w:rsid w:val="00A40B81"/>
    <w:rsid w:val="00A5307B"/>
    <w:rsid w:val="00A54921"/>
    <w:rsid w:val="00A641F0"/>
    <w:rsid w:val="00A712FF"/>
    <w:rsid w:val="00A72A68"/>
    <w:rsid w:val="00A73884"/>
    <w:rsid w:val="00A773D7"/>
    <w:rsid w:val="00A8058F"/>
    <w:rsid w:val="00A90844"/>
    <w:rsid w:val="00A96418"/>
    <w:rsid w:val="00AA25B7"/>
    <w:rsid w:val="00AA52A4"/>
    <w:rsid w:val="00AB3B17"/>
    <w:rsid w:val="00AB4E75"/>
    <w:rsid w:val="00AD5DF7"/>
    <w:rsid w:val="00AE5851"/>
    <w:rsid w:val="00AE624C"/>
    <w:rsid w:val="00AF0582"/>
    <w:rsid w:val="00AF27F9"/>
    <w:rsid w:val="00AF649B"/>
    <w:rsid w:val="00B008C2"/>
    <w:rsid w:val="00B0182E"/>
    <w:rsid w:val="00B05F58"/>
    <w:rsid w:val="00B16075"/>
    <w:rsid w:val="00B172B9"/>
    <w:rsid w:val="00B21517"/>
    <w:rsid w:val="00B26CE5"/>
    <w:rsid w:val="00B27206"/>
    <w:rsid w:val="00B27FCB"/>
    <w:rsid w:val="00B344C2"/>
    <w:rsid w:val="00B43139"/>
    <w:rsid w:val="00B53389"/>
    <w:rsid w:val="00B53E33"/>
    <w:rsid w:val="00B605F9"/>
    <w:rsid w:val="00B65C9A"/>
    <w:rsid w:val="00B7760C"/>
    <w:rsid w:val="00B77DB2"/>
    <w:rsid w:val="00B96162"/>
    <w:rsid w:val="00BA35B6"/>
    <w:rsid w:val="00BB0379"/>
    <w:rsid w:val="00BD2D48"/>
    <w:rsid w:val="00BD6318"/>
    <w:rsid w:val="00BD758D"/>
    <w:rsid w:val="00BE2285"/>
    <w:rsid w:val="00BE395F"/>
    <w:rsid w:val="00BE4972"/>
    <w:rsid w:val="00BE5D4D"/>
    <w:rsid w:val="00BE6451"/>
    <w:rsid w:val="00BF7BD7"/>
    <w:rsid w:val="00C144C8"/>
    <w:rsid w:val="00C14774"/>
    <w:rsid w:val="00C27C67"/>
    <w:rsid w:val="00C35B8C"/>
    <w:rsid w:val="00C41ADF"/>
    <w:rsid w:val="00C51542"/>
    <w:rsid w:val="00C6162D"/>
    <w:rsid w:val="00C65922"/>
    <w:rsid w:val="00C727A8"/>
    <w:rsid w:val="00C768AC"/>
    <w:rsid w:val="00C81F60"/>
    <w:rsid w:val="00C835A1"/>
    <w:rsid w:val="00C97082"/>
    <w:rsid w:val="00CA4226"/>
    <w:rsid w:val="00CB46F7"/>
    <w:rsid w:val="00CB6324"/>
    <w:rsid w:val="00CC1090"/>
    <w:rsid w:val="00CC241C"/>
    <w:rsid w:val="00CC770A"/>
    <w:rsid w:val="00CE3EA8"/>
    <w:rsid w:val="00CF040C"/>
    <w:rsid w:val="00CF43F8"/>
    <w:rsid w:val="00CF44B2"/>
    <w:rsid w:val="00D1486D"/>
    <w:rsid w:val="00D26193"/>
    <w:rsid w:val="00D275BE"/>
    <w:rsid w:val="00D35DE7"/>
    <w:rsid w:val="00D44E11"/>
    <w:rsid w:val="00D5734F"/>
    <w:rsid w:val="00D63B8B"/>
    <w:rsid w:val="00D80A87"/>
    <w:rsid w:val="00D80AF4"/>
    <w:rsid w:val="00D86599"/>
    <w:rsid w:val="00D906EE"/>
    <w:rsid w:val="00DA36A9"/>
    <w:rsid w:val="00DC1DA3"/>
    <w:rsid w:val="00DC70AD"/>
    <w:rsid w:val="00DD52F2"/>
    <w:rsid w:val="00DD5EED"/>
    <w:rsid w:val="00DD7788"/>
    <w:rsid w:val="00DE3160"/>
    <w:rsid w:val="00DE3703"/>
    <w:rsid w:val="00DE634B"/>
    <w:rsid w:val="00DF4C24"/>
    <w:rsid w:val="00E006DB"/>
    <w:rsid w:val="00E009EF"/>
    <w:rsid w:val="00E01EC7"/>
    <w:rsid w:val="00E02971"/>
    <w:rsid w:val="00E02A57"/>
    <w:rsid w:val="00E02D9B"/>
    <w:rsid w:val="00E037CC"/>
    <w:rsid w:val="00E039C5"/>
    <w:rsid w:val="00E10A0D"/>
    <w:rsid w:val="00E11DAF"/>
    <w:rsid w:val="00E225F0"/>
    <w:rsid w:val="00E253F1"/>
    <w:rsid w:val="00E45769"/>
    <w:rsid w:val="00E547D5"/>
    <w:rsid w:val="00E57BE5"/>
    <w:rsid w:val="00E62E5D"/>
    <w:rsid w:val="00E7268E"/>
    <w:rsid w:val="00E731D9"/>
    <w:rsid w:val="00E750A1"/>
    <w:rsid w:val="00E92E64"/>
    <w:rsid w:val="00E9429B"/>
    <w:rsid w:val="00E95FF4"/>
    <w:rsid w:val="00E977E2"/>
    <w:rsid w:val="00EA19B0"/>
    <w:rsid w:val="00EB761F"/>
    <w:rsid w:val="00EC0188"/>
    <w:rsid w:val="00ED0187"/>
    <w:rsid w:val="00EE4203"/>
    <w:rsid w:val="00EE5DD0"/>
    <w:rsid w:val="00EF0C5F"/>
    <w:rsid w:val="00EF59B9"/>
    <w:rsid w:val="00F009F7"/>
    <w:rsid w:val="00F04FDD"/>
    <w:rsid w:val="00F12E3B"/>
    <w:rsid w:val="00F13928"/>
    <w:rsid w:val="00F14709"/>
    <w:rsid w:val="00F34986"/>
    <w:rsid w:val="00F3521D"/>
    <w:rsid w:val="00F35421"/>
    <w:rsid w:val="00F36D1B"/>
    <w:rsid w:val="00F4068E"/>
    <w:rsid w:val="00F41309"/>
    <w:rsid w:val="00F5399C"/>
    <w:rsid w:val="00F649B4"/>
    <w:rsid w:val="00F663B7"/>
    <w:rsid w:val="00F7047C"/>
    <w:rsid w:val="00F9168A"/>
    <w:rsid w:val="00F9750D"/>
    <w:rsid w:val="00F97AD2"/>
    <w:rsid w:val="00FA73C3"/>
    <w:rsid w:val="00FC7E48"/>
    <w:rsid w:val="00FD1901"/>
    <w:rsid w:val="00FD3F8F"/>
    <w:rsid w:val="00FD5D98"/>
    <w:rsid w:val="00FD5F20"/>
    <w:rsid w:val="00FE22DE"/>
    <w:rsid w:val="00FF059F"/>
    <w:rsid w:val="00FF59CF"/>
    <w:rsid w:val="7C941E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8"/>
      <w:szCs w:val="24"/>
      <w:lang w:val="en-US" w:eastAsia="zh-CN" w:bidi="ar-SA"/>
    </w:rPr>
  </w:style>
  <w:style w:type="paragraph" w:styleId="2">
    <w:name w:val="heading 1"/>
    <w:basedOn w:val="1"/>
    <w:next w:val="1"/>
    <w:link w:val="21"/>
    <w:qFormat/>
    <w:locked/>
    <w:uiPriority w:val="9"/>
    <w:pPr>
      <w:widowControl/>
      <w:spacing w:before="100" w:beforeAutospacing="1" w:after="100" w:afterAutospacing="1"/>
      <w:jc w:val="left"/>
      <w:outlineLvl w:val="0"/>
    </w:pPr>
    <w:rPr>
      <w:rFonts w:ascii="宋体" w:hAnsi="宋体" w:cs="宋体"/>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semiHidden/>
    <w:qFormat/>
    <w:uiPriority w:val="99"/>
    <w:rPr>
      <w:sz w:val="18"/>
      <w:szCs w:val="18"/>
    </w:rPr>
  </w:style>
  <w:style w:type="paragraph" w:styleId="4">
    <w:name w:val="footer"/>
    <w:basedOn w:val="1"/>
    <w:link w:val="10"/>
    <w:uiPriority w:val="99"/>
    <w:pPr>
      <w:tabs>
        <w:tab w:val="center" w:pos="4153"/>
        <w:tab w:val="right" w:pos="8306"/>
      </w:tabs>
      <w:snapToGrid w:val="0"/>
      <w:jc w:val="left"/>
    </w:pPr>
    <w:rPr>
      <w:rFonts w:ascii="Calibri" w:hAnsi="Calibri"/>
      <w:b w:val="0"/>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rFonts w:ascii="Calibri" w:hAnsi="Calibri"/>
      <w:b w:val="0"/>
      <w:sz w:val="18"/>
      <w:szCs w:val="18"/>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locked/>
    <w:uiPriority w:val="99"/>
    <w:rPr>
      <w:rFonts w:cs="Times New Roman"/>
      <w:sz w:val="18"/>
      <w:szCs w:val="18"/>
    </w:rPr>
  </w:style>
  <w:style w:type="character" w:customStyle="1" w:styleId="10">
    <w:name w:val="页脚 Char"/>
    <w:basedOn w:val="8"/>
    <w:link w:val="4"/>
    <w:locked/>
    <w:uiPriority w:val="99"/>
    <w:rPr>
      <w:rFonts w:cs="Times New Roman"/>
      <w:sz w:val="18"/>
      <w:szCs w:val="18"/>
    </w:rPr>
  </w:style>
  <w:style w:type="paragraph" w:customStyle="1" w:styleId="11">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
    <w:name w:val="章标题"/>
    <w:next w:val="1"/>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3">
    <w:name w:val="一级条标题"/>
    <w:basedOn w:val="12"/>
    <w:next w:val="1"/>
    <w:uiPriority w:val="99"/>
    <w:pPr>
      <w:numPr>
        <w:ilvl w:val="2"/>
      </w:numPr>
      <w:spacing w:beforeLines="0" w:afterLines="0"/>
      <w:outlineLvl w:val="2"/>
    </w:pPr>
  </w:style>
  <w:style w:type="paragraph" w:customStyle="1" w:styleId="14">
    <w:name w:val="二级条标题"/>
    <w:basedOn w:val="13"/>
    <w:next w:val="1"/>
    <w:qFormat/>
    <w:uiPriority w:val="99"/>
    <w:pPr>
      <w:numPr>
        <w:ilvl w:val="3"/>
      </w:numPr>
      <w:ind w:left="0"/>
      <w:outlineLvl w:val="3"/>
    </w:pPr>
  </w:style>
  <w:style w:type="paragraph" w:customStyle="1" w:styleId="15">
    <w:name w:val="三级条标题"/>
    <w:basedOn w:val="14"/>
    <w:next w:val="1"/>
    <w:uiPriority w:val="99"/>
    <w:pPr>
      <w:numPr>
        <w:ilvl w:val="4"/>
      </w:numPr>
      <w:outlineLvl w:val="4"/>
    </w:pPr>
  </w:style>
  <w:style w:type="paragraph" w:customStyle="1" w:styleId="16">
    <w:name w:val="四级条标题"/>
    <w:basedOn w:val="15"/>
    <w:next w:val="1"/>
    <w:qFormat/>
    <w:uiPriority w:val="99"/>
    <w:pPr>
      <w:numPr>
        <w:ilvl w:val="5"/>
      </w:numPr>
      <w:outlineLvl w:val="5"/>
    </w:pPr>
  </w:style>
  <w:style w:type="paragraph" w:customStyle="1" w:styleId="17">
    <w:name w:val="五级条标题"/>
    <w:basedOn w:val="16"/>
    <w:next w:val="1"/>
    <w:uiPriority w:val="99"/>
    <w:pPr>
      <w:numPr>
        <w:ilvl w:val="6"/>
      </w:numPr>
      <w:outlineLvl w:val="6"/>
    </w:pPr>
  </w:style>
  <w:style w:type="character" w:customStyle="1" w:styleId="18">
    <w:name w:val="批注框文本 Char"/>
    <w:basedOn w:val="8"/>
    <w:link w:val="3"/>
    <w:semiHidden/>
    <w:uiPriority w:val="99"/>
    <w:rPr>
      <w:rFonts w:ascii="Times New Roman" w:hAnsi="Times New Roman"/>
      <w:b/>
      <w:sz w:val="0"/>
      <w:szCs w:val="0"/>
    </w:rPr>
  </w:style>
  <w:style w:type="paragraph" w:customStyle="1" w:styleId="19">
    <w:name w:val="段"/>
    <w:link w:val="20"/>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0">
    <w:name w:val="段 Char"/>
    <w:link w:val="19"/>
    <w:locked/>
    <w:uiPriority w:val="0"/>
    <w:rPr>
      <w:rFonts w:ascii="宋体" w:hAnsi="Times New Roman"/>
      <w:sz w:val="21"/>
      <w:szCs w:val="22"/>
    </w:rPr>
  </w:style>
  <w:style w:type="character" w:customStyle="1" w:styleId="21">
    <w:name w:val="标题 1 Char"/>
    <w:basedOn w:val="8"/>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2"/>
    <customShpInfo spid="_x0000_s2063"/>
    <customShpInfo spid="_x0000_s2064"/>
    <customShpInfo spid="_x0000_s2065"/>
    <customShpInfo spid="_x0000_s2066"/>
    <customShpInfo spid="_x0000_s2067"/>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1167</Words>
  <Characters>6656</Characters>
  <Lines>55</Lines>
  <Paragraphs>15</Paragraphs>
  <TotalTime>2</TotalTime>
  <ScaleCrop>false</ScaleCrop>
  <LinksUpToDate>false</LinksUpToDate>
  <CharactersWithSpaces>7808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2016-03-08T01:27:00Z</dcterms:created>
  <dc:creator>jujumao</dc:creator>
  <cp:lastModifiedBy>asus</cp:lastModifiedBy>
  <dcterms:modified xsi:type="dcterms:W3CDTF">2019-04-14T14:37:13Z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