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start="1"/>
          <w:cols w:space="425" w:num="1"/>
          <w:titlePg/>
          <w:docGrid w:type="lines" w:linePitch="312" w:charSpace="0"/>
        </w:sectPr>
      </w:pPr>
      <w:bookmarkStart w:id="0" w:name="SectionMark0"/>
      <w:r>
        <w:pict>
          <v:line id="_x0000_s2066" o:spid="_x0000_s2066" o:spt="20" style="position:absolute;left:0pt;margin-left:1pt;margin-top:712.05pt;height:0pt;width:482pt;z-index:251700224;mso-width-relative:page;mso-height-relative:page;" filled="f" stroked="t" coordsize="21600,21600">
            <v:path arrowok="t"/>
            <v:fill on="f" focussize="0,0"/>
            <v:stroke weight="1pt" color="#800008"/>
            <v:imagedata o:title=""/>
            <o:lock v:ext="edit" grouping="f" rotation="f" text="f" aspectratio="f"/>
          </v:line>
        </w:pict>
      </w:r>
      <w:r>
        <w:rPr>
          <w:rFonts w:ascii="黑体" w:hAnsi="黑体" w:eastAsia="黑体"/>
        </w:rPr>
        <w:pict>
          <v:line id="_x0000_s2065" o:spid="_x0000_s2065" o:spt="20" style="position:absolute;left:0pt;margin-left:4.4pt;margin-top:170.65pt;height:0pt;width:482pt;z-index:251689984;mso-width-relative:page;mso-height-relative:page;" filled="f" stroked="t" coordsize="21600,21600">
            <v:path arrowok="t"/>
            <v:fill on="f" focussize="0,0"/>
            <v:stroke weight="1pt" color="#800008"/>
            <v:imagedata o:title=""/>
            <o:lock v:ext="edit" grouping="f" rotation="f" text="f" aspectratio="f"/>
          </v:line>
        </w:pict>
      </w:r>
      <w:r>
        <w:pict>
          <v:line id="_x0000_s2050" o:spid="_x0000_s2050" o:spt="20" style="position:absolute;left:0pt;margin-left:3pt;margin-top:712.75pt;height:0pt;width:482pt;z-index:251669504;mso-width-relative:page;mso-height-relative:page;" fillcolor="#000000" filled="t" stroked="t" coordsize="21600,21600">
            <v:path arrowok="t"/>
            <v:fill on="t" focussize="0,0"/>
            <v:stroke weight="1pt" color="#FFFFFF"/>
            <v:imagedata o:title=""/>
            <o:lock v:ext="edit" aspectratio="f"/>
          </v:line>
        </w:pict>
      </w:r>
      <w:r>
        <w:rPr>
          <w:sz w:val="20"/>
        </w:rPr>
        <w:pict>
          <v:shape id="_x0000_s2061" o:spid="_x0000_s2061" o:spt="202" type="#_x0000_t202" style="position:absolute;left:0pt;margin-left:445.8pt;margin-top:717.4pt;height:72pt;width:72pt;z-index:251663360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>
                  <w:r>
                    <w:rPr>
                      <w:rStyle w:val="71"/>
                      <w:rFonts w:hint="default"/>
                    </w:rPr>
                    <w:t>发布</w:t>
                  </w:r>
                </w:p>
              </w:txbxContent>
            </v:textbox>
          </v:shape>
        </w:pict>
      </w:r>
      <w:r>
        <w:pict>
          <v:line id="_x0000_s2051" o:spid="_x0000_s2051" o:spt="20" style="position:absolute;left:0pt;margin-left:0pt;margin-top:179pt;height:0pt;width:482pt;z-index:251668480;mso-width-relative:page;mso-height-relative:page;" stroked="t" coordsize="21600,21600">
            <v:path arrowok="t"/>
            <v:fill focussize="0,0"/>
            <v:stroke weight="1pt" color="#FFFFFF"/>
            <v:imagedata o:title=""/>
            <o:lock v:ext="edit"/>
          </v:line>
        </w:pict>
      </w:r>
      <w:r>
        <w:pict>
          <v:shape id="fmFrame7" o:spid="_x0000_s2052" o:spt="202" type="#_x0000_t202" style="position:absolute;left:0pt;margin-left:12.75pt;margin-top:717.2pt;height:61.65pt;width:424.9pt;mso-position-horizontal-relative:margin;mso-position-vertical-relative:margin;z-index:25166745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61"/>
                    <w:spacing w:line="0" w:lineRule="atLeast"/>
                    <w:ind w:firstLine="1462" w:firstLineChars="300"/>
                    <w:jc w:val="center"/>
                    <w:rPr>
                      <w:rFonts w:ascii="仿宋_GB2312"/>
                      <w:spacing w:val="0"/>
                    </w:rPr>
                  </w:pPr>
                  <w:r>
                    <w:rPr>
                      <w:rFonts w:hint="eastAsia" w:ascii="仿宋_GB2312"/>
                      <w:color w:val="000000" w:themeColor="text1"/>
                      <w:spacing w:val="0"/>
                    </w:rPr>
                    <w:t>国</w:t>
                  </w:r>
                  <w:r>
                    <w:rPr>
                      <w:rFonts w:hint="eastAsia" w:ascii="仿宋_GB2312"/>
                      <w:color w:val="000000" w:themeColor="text1"/>
                      <w:spacing w:val="0"/>
                      <w:lang w:eastAsia="zh-CN"/>
                    </w:rPr>
                    <w:t>家</w:t>
                  </w:r>
                  <w:r>
                    <w:rPr>
                      <w:rFonts w:hint="eastAsia" w:ascii="仿宋_GB2312"/>
                      <w:color w:val="000000" w:themeColor="text1"/>
                      <w:spacing w:val="0"/>
                    </w:rPr>
                    <w:t>市场监督管理总局</w:t>
                  </w:r>
                </w:p>
                <w:p>
                  <w:pPr>
                    <w:pStyle w:val="61"/>
                    <w:ind w:firstLine="1039" w:firstLineChars="197"/>
                    <w:jc w:val="distribute"/>
                  </w:pPr>
                  <w:r>
                    <w:rPr>
                      <w:rFonts w:hint="eastAsia" w:ascii="仿宋_GB2312"/>
                    </w:rPr>
                    <w:t>中国国家标准化管理委员会</w:t>
                  </w:r>
                </w:p>
              </w:txbxContent>
            </v:textbox>
            <w10:anchorlock/>
          </v:shape>
        </w:pict>
      </w:r>
      <w:r>
        <w:pict>
          <v:shape id="fmFrame6" o:spid="_x0000_s2053" o:spt="202" type="#_x0000_t202" style="position:absolute;left:0pt;margin-left:322.9pt;margin-top:674.3pt;height:24.6pt;width:159pt;mso-position-horizontal-relative:margin;mso-position-vertical-relative:margin;z-index:25166643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79"/>
                    <w:rPr>
                      <w:rFonts w:ascii="黑体"/>
                    </w:rPr>
                  </w:pPr>
                  <w:r>
                    <w:rPr>
                      <w:rFonts w:hint="eastAsia" w:ascii="黑体"/>
                    </w:rPr>
                    <w:t>××××-××-××实施</w:t>
                  </w:r>
                </w:p>
              </w:txbxContent>
            </v:textbox>
            <w10:anchorlock/>
          </v:shape>
        </w:pict>
      </w:r>
      <w:r>
        <w:pict>
          <v:shape id="fmFrame5" o:spid="_x0000_s2054" o:spt="202" type="#_x0000_t202" style="position:absolute;left:0pt;margin-left:0pt;margin-top:674.3pt;height:24.6pt;width:159pt;mso-position-horizontal-relative:margin;mso-position-vertical-relative:margin;z-index:25166540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75"/>
                    <w:rPr>
                      <w:rFonts w:ascii="黑体"/>
                    </w:rPr>
                  </w:pPr>
                  <w:r>
                    <w:rPr>
                      <w:rFonts w:hint="eastAsia" w:ascii="黑体"/>
                    </w:rPr>
                    <w:t>××××-××-××发布</w:t>
                  </w:r>
                </w:p>
              </w:txbxContent>
            </v:textbox>
            <w10:anchorlock/>
          </v:shape>
        </w:pict>
      </w:r>
      <w:r>
        <w:pict>
          <v:shape id="fmFrame4" o:spid="_x0000_s2055" o:spt="202" type="#_x0000_t202" style="position:absolute;left:0pt;margin-left:0pt;margin-top:286.25pt;height:368.6pt;width:470pt;mso-position-horizontal-relative:margin;mso-position-vertical-relative:margin;z-index:2516643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5"/>
                    <w:spacing w:before="0" w:line="700" w:lineRule="exact"/>
                    <w:rPr>
                      <w:rFonts w:ascii="黑体" w:hAnsi="宋体" w:eastAsia="黑体"/>
                      <w:kern w:val="2"/>
                      <w:sz w:val="48"/>
                      <w:szCs w:val="48"/>
                    </w:rPr>
                  </w:pPr>
                  <w:r>
                    <w:rPr>
                      <w:rFonts w:hint="eastAsia" w:ascii="黑体" w:hAnsi="宋体" w:eastAsia="黑体"/>
                      <w:kern w:val="2"/>
                      <w:sz w:val="48"/>
                      <w:szCs w:val="48"/>
                    </w:rPr>
                    <w:t>锆及锆合金化学分析方法</w:t>
                  </w:r>
                </w:p>
                <w:p>
                  <w:pPr>
                    <w:pStyle w:val="65"/>
                    <w:spacing w:before="0" w:line="700" w:lineRule="exact"/>
                    <w:rPr>
                      <w:rFonts w:ascii="黑体" w:hAnsi="宋体" w:eastAsia="黑体"/>
                      <w:kern w:val="2"/>
                      <w:sz w:val="48"/>
                      <w:szCs w:val="48"/>
                    </w:rPr>
                  </w:pPr>
                  <w:r>
                    <w:rPr>
                      <w:rFonts w:hint="eastAsia" w:ascii="黑体" w:hAnsi="宋体" w:eastAsia="黑体"/>
                      <w:kern w:val="2"/>
                      <w:sz w:val="48"/>
                      <w:szCs w:val="48"/>
                    </w:rPr>
                    <w:t>第4部分：铬量的测定</w:t>
                  </w:r>
                </w:p>
                <w:p>
                  <w:pPr>
                    <w:jc w:val="center"/>
                    <w:rPr>
                      <w:rFonts w:ascii="黑体" w:hAnsi="宋体" w:eastAsia="黑体"/>
                      <w:sz w:val="48"/>
                      <w:szCs w:val="48"/>
                    </w:rPr>
                  </w:pPr>
                  <w:r>
                    <w:rPr>
                      <w:rFonts w:hint="eastAsia" w:ascii="黑体" w:hAnsi="宋体" w:eastAsia="黑体"/>
                      <w:sz w:val="48"/>
                      <w:szCs w:val="48"/>
                    </w:rPr>
                    <w:t>二苯卡巴肼分光光度法和电感耦合等离子体原子发射光谱法</w:t>
                  </w:r>
                </w:p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Methods for chemical analysis of</w:t>
                  </w:r>
                  <w:r>
                    <w:rPr>
                      <w:rFonts w:hint="eastAsia" w:ascii="Times New Roman" w:hAnsi="Times New Roman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zirconium and zirconium alloys—</w:t>
                  </w:r>
                </w:p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Part </w:t>
                  </w:r>
                  <w:r>
                    <w:rPr>
                      <w:rFonts w:hint="eastAsia"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/>
                      <w:sz w:val="28"/>
                      <w:szCs w:val="28"/>
                    </w:rPr>
                    <w:t>：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Determination of </w:t>
                  </w:r>
                  <w:r>
                    <w:rPr>
                      <w:rFonts w:hint="eastAsia" w:ascii="Times New Roman" w:hAnsi="Times New Roman"/>
                      <w:sz w:val="28"/>
                      <w:szCs w:val="28"/>
                    </w:rPr>
                    <w:t>chromium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content— </w:t>
                  </w:r>
                </w:p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/>
                      <w:sz w:val="28"/>
                      <w:szCs w:val="28"/>
                    </w:rPr>
                    <w:t>Diphenylcarbazide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spectrophotometr</w:t>
                  </w:r>
                  <w:r>
                    <w:rPr>
                      <w:rFonts w:hint="eastAsia" w:ascii="Times New Roman" w:hAnsi="Times New Roman"/>
                      <w:sz w:val="28"/>
                      <w:szCs w:val="28"/>
                      <w:lang w:val="en-US" w:eastAsia="zh-CN"/>
                    </w:rPr>
                    <w:t>y</w:t>
                  </w:r>
                  <w:r>
                    <w:rPr>
                      <w:rFonts w:hint="eastAsia" w:ascii="Times New Roman" w:hAnsi="Times New Roman"/>
                      <w:sz w:val="28"/>
                      <w:szCs w:val="28"/>
                    </w:rPr>
                    <w:t xml:space="preserve"> and</w:t>
                  </w:r>
                </w:p>
                <w:p>
                  <w:pPr>
                    <w:jc w:val="center"/>
                    <w:rPr>
                      <w:rFonts w:hint="eastAsia" w:ascii="Times New Roman" w:hAnsi="Times New Roman" w:eastAsia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Times New Roman" w:hAnsi="Times New Roman"/>
                      <w:sz w:val="28"/>
                      <w:szCs w:val="28"/>
                      <w:lang w:val="en-US" w:eastAsia="zh-CN"/>
                    </w:rPr>
                    <w:t>i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nductively coupled plasma atomic emission spectrometr</w:t>
                  </w:r>
                  <w:r>
                    <w:rPr>
                      <w:rFonts w:hint="eastAsia" w:ascii="Times New Roman" w:hAnsi="Times New Roman"/>
                      <w:sz w:val="28"/>
                      <w:szCs w:val="28"/>
                      <w:lang w:val="en-US" w:eastAsia="zh-CN"/>
                    </w:rPr>
                    <w:t>y</w:t>
                  </w:r>
                </w:p>
                <w:p>
                  <w:pPr>
                    <w:pStyle w:val="65"/>
                    <w:spacing w:before="0" w:line="0" w:lineRule="atLeast"/>
                    <w:rPr>
                      <w:rFonts w:ascii="黑体" w:hAnsi="黑体" w:eastAsia="黑体"/>
                      <w:kern w:val="2"/>
                    </w:rPr>
                  </w:pPr>
                  <w:r>
                    <w:rPr>
                      <w:rFonts w:hint="eastAsia" w:ascii="黑体" w:hAnsi="黑体" w:eastAsia="黑体"/>
                      <w:kern w:val="2"/>
                    </w:rPr>
                    <w:t>（</w:t>
                  </w:r>
                  <w:r>
                    <w:rPr>
                      <w:rFonts w:hint="eastAsia" w:ascii="黑体" w:hAnsi="黑体" w:eastAsia="黑体"/>
                      <w:kern w:val="2"/>
                      <w:lang w:eastAsia="zh-CN"/>
                    </w:rPr>
                    <w:t>送</w:t>
                  </w:r>
                  <w:r>
                    <w:rPr>
                      <w:rFonts w:hint="eastAsia" w:ascii="黑体" w:hAnsi="黑体" w:eastAsia="黑体"/>
                      <w:color w:val="000000" w:themeColor="text1"/>
                      <w:kern w:val="2"/>
                    </w:rPr>
                    <w:t>审稿</w:t>
                  </w:r>
                  <w:r>
                    <w:rPr>
                      <w:rFonts w:hint="eastAsia" w:ascii="黑体" w:hAnsi="黑体" w:eastAsia="黑体"/>
                      <w:kern w:val="2"/>
                    </w:rPr>
                    <w:t>）</w:t>
                  </w:r>
                </w:p>
                <w:p>
                  <w:pPr>
                    <w:pStyle w:val="65"/>
                    <w:spacing w:before="0" w:line="0" w:lineRule="atLeast"/>
                    <w:rPr>
                      <w:rFonts w:ascii="宋体" w:hAnsi="宋体"/>
                      <w:kern w:val="2"/>
                    </w:rPr>
                  </w:pPr>
                </w:p>
                <w:p>
                  <w:pPr>
                    <w:pStyle w:val="65"/>
                    <w:spacing w:before="0" w:line="0" w:lineRule="atLeast"/>
                    <w:rPr>
                      <w:rFonts w:ascii="宋体" w:hAnsi="宋体"/>
                      <w:kern w:val="2"/>
                    </w:rPr>
                  </w:pPr>
                </w:p>
                <w:p>
                  <w:pPr>
                    <w:pStyle w:val="65"/>
                    <w:spacing w:before="0" w:line="0" w:lineRule="atLeast"/>
                    <w:rPr>
                      <w:rFonts w:ascii="宋体" w:hAnsi="宋体"/>
                      <w:kern w:val="2"/>
                    </w:rPr>
                  </w:pPr>
                </w:p>
                <w:p>
                  <w:pPr>
                    <w:pStyle w:val="65"/>
                    <w:spacing w:before="0" w:line="0" w:lineRule="atLeast"/>
                    <w:rPr>
                      <w:rFonts w:ascii="宋体" w:hAnsi="宋体"/>
                      <w:kern w:val="2"/>
                    </w:rPr>
                  </w:pPr>
                </w:p>
                <w:p>
                  <w:pPr>
                    <w:pStyle w:val="63"/>
                  </w:pPr>
                </w:p>
                <w:p>
                  <w:pPr>
                    <w:pStyle w:val="63"/>
                  </w:pPr>
                </w:p>
              </w:txbxContent>
            </v:textbox>
            <w10:anchorlock/>
          </v:shape>
        </w:pict>
      </w:r>
      <w:r>
        <w:pict>
          <v:shape id="fmFrame3" o:spid="_x0000_s2056" o:spt="202" type="#_x0000_t202" style="position:absolute;left:0pt;margin-left:9pt;margin-top:117pt;height:61.25pt;width:468.75pt;mso-position-horizontal-relative:margin;mso-position-vertical-relative:margin;z-index:2516633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85"/>
                    <w:spacing w:before="0" w:line="240" w:lineRule="auto"/>
                    <w:rPr>
                      <w:rFonts w:hint="eastAsia" w:asciiTheme="minorEastAsia" w:hAnsiTheme="minorEastAsia" w:eastAsiaTheme="minorEastAsia" w:cstheme="minorEastAsia"/>
                      <w:szCs w:val="22"/>
                      <w:lang w:val="de-D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Cs w:val="22"/>
                      <w:lang w:val="de-DE"/>
                    </w:rPr>
                    <w:t>GB/T 13747.4—201X</w:t>
                  </w:r>
                </w:p>
                <w:p>
                  <w:pPr>
                    <w:pStyle w:val="85"/>
                    <w:spacing w:before="0" w:line="240" w:lineRule="auto"/>
                    <w:rPr>
                      <w:rFonts w:ascii="Times New Roman" w:hAnsi="Times New Roman" w:eastAsia="黑体" w:cs="Times New Roman"/>
                      <w:sz w:val="21"/>
                      <w:szCs w:val="21"/>
                      <w:lang w:val="de-D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de-DE"/>
                    </w:rPr>
                    <w:t>代替GB/T 13747.4-1992</w:t>
                  </w:r>
                </w:p>
              </w:txbxContent>
            </v:textbox>
            <w10:anchorlock/>
          </v:shape>
        </w:pict>
      </w:r>
      <w:r>
        <w:drawing>
          <wp:anchor distT="0" distB="0" distL="114300" distR="114300" simplePos="0" relativeHeight="251662336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19050" t="0" r="6350" b="0"/>
            <wp:wrapNone/>
            <wp:docPr id="88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HBPicture" descr="GB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fmFrame2" o:spid="_x0000_s2057" o:spt="202" type="#_x0000_t202" style="position:absolute;left:0pt;margin-left:0pt;margin-top:79.6pt;height:30.8pt;width:481.9pt;mso-position-horizontal-relative:margin;mso-position-vertical-relative:margin;z-index:25166131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6"/>
                    <w:framePr w:w="0" w:hRule="auto" w:hSpace="0" w:vSpace="0" w:wrap="auto" w:vAnchor="margin" w:hAnchor="text" w:xAlign="left" w:yAlign="inline"/>
                  </w:pPr>
                  <w:r>
                    <w:rPr>
                      <w:rFonts w:hint="eastAsia" w:hAnsi="Times New Roman" w:eastAsia="宋体" w:cs="Times New Roman"/>
                      <w:szCs w:val="22"/>
                    </w:rPr>
                    <w:t>中华人民共和国</w:t>
                  </w:r>
                  <w:r>
                    <w:rPr>
                      <w:rFonts w:hint="eastAsia"/>
                    </w:rPr>
                    <w:t>国家标准</w:t>
                  </w:r>
                </w:p>
              </w:txbxContent>
            </v:textbox>
            <w10:anchorlock/>
          </v:shape>
        </w:pict>
      </w:r>
      <w:r>
        <w:pict>
          <v:shape id="fmFrame1" o:spid="_x0000_s2058" o:spt="202" type="#_x0000_t202" style="position:absolute;left:0pt;margin-left:0pt;margin-top:0pt;height:51.8pt;width:200pt;mso-position-horizontal-relative:margin;mso-position-vertical-relative:margin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ICS 77.120.99</w:t>
                  </w:r>
                </w:p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 xml:space="preserve">H </w:t>
                  </w:r>
                  <w:r>
                    <w:rPr>
                      <w:rFonts w:hint="eastAsia" w:ascii="黑体" w:eastAsia="黑体"/>
                      <w:color w:val="000000" w:themeColor="text1"/>
                    </w:rPr>
                    <w:t>14</w:t>
                  </w:r>
                </w:p>
                <w:p>
                  <w:pPr>
                    <w:pStyle w:val="69"/>
                  </w:pPr>
                </w:p>
                <w:p>
                  <w:pPr>
                    <w:pStyle w:val="69"/>
                  </w:pPr>
                </w:p>
              </w:txbxContent>
            </v:textbox>
            <w10:anchorlock/>
          </v:shape>
        </w:pict>
      </w:r>
    </w:p>
    <w:bookmarkEnd w:id="0"/>
    <w:p>
      <w:pPr>
        <w:pStyle w:val="57"/>
        <w:numPr>
          <w:ilvl w:val="0"/>
          <w:numId w:val="3"/>
        </w:numPr>
        <w:shd w:val="clear" w:color="FFFFFF" w:fill="FFFFFF"/>
        <w:rPr>
          <w:rFonts w:ascii="Times New Roman"/>
        </w:rPr>
      </w:pPr>
      <w:r>
        <w:rPr>
          <w:rFonts w:ascii="Times New Roman"/>
        </w:rPr>
        <w:t>前言</w:t>
      </w:r>
    </w:p>
    <w:p>
      <w:pPr>
        <w:ind w:firstLine="420"/>
        <w:jc w:val="both"/>
        <w:rPr>
          <w:rFonts w:hint="eastAsia"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>GB/T 13747-201X《锆及锆合金化学分析方法》拟分为27部分：</w:t>
      </w:r>
    </w:p>
    <w:p>
      <w:pPr>
        <w:pStyle w:val="52"/>
        <w:ind w:firstLine="420"/>
        <w:rPr>
          <w:rFonts w:hint="eastAsia" w:hAnsi="Times New Roman" w:eastAsia="宋体" w:cs="Times New Roman"/>
          <w:szCs w:val="22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 xml:space="preserve">第1部分：锡量的测定  </w:t>
      </w:r>
      <w:r>
        <w:rPr>
          <w:rFonts w:hint="eastAsia" w:hAnsi="Times New Roman" w:eastAsia="宋体" w:cs="Times New Roman"/>
          <w:szCs w:val="22"/>
        </w:rPr>
        <w:t>碘酸钾钾滴定法和苯基荧光铜-聚乙二醇辛基苯基醚分光光度法；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hint="eastAsia" w:eastAsia="宋体" w:asciiTheme="minorEastAsia" w:hAnsiTheme="minorEastAsia" w:cstheme="minorEastAsia"/>
        </w:rPr>
        <w:t>第2部分：铁量的测定  1,10-二氮杂菲分光光度法和电感耦合等离子体发射光谱法；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第3部分：镍量的测定  丁二酮肟分光光度法和电感耦合等离子体发射光谱法；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第4部分：铬量的测定  二苯卡巴肼分光光度法和电感耦合等离子体发射光谱法；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第5部分：铝量的测定  铬天青S-氯化十四烷基吡啶分光光度法；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第6部分：铜量的测定  2,9-二甲基-1,10二氮杂菲分光光度法；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第7部分：锰量的测定  高碘酸钾分光光度法和电感耦合等离子体发射光谱法；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第8部分：钴量的测定  亚硝基R盐分光光度法；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第9部分：镁量的测定  火焰原子吸收光谱法；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第10部分：钨量的测定  硫氰酸盐分光光度法；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第11部分：钼量的测定  硫氰酸盐分光光度法；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第12部分：硅量的测定  钼蓝分光光度法；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第13部分：铅量的测定  极谱法；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 xml:space="preserve">第14部分：铀量的测定  极谱法； 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第15部分：硼量的测定  姜黄素分光光度法；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第16部分：氯量的测定  氯化银浊度法和离子选择性电极法；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第17部分：镉量的测定  极谱法；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第18部分：钒量的测定  苯甲酰苯基羟胺分光光度法；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第19部分：钛量的测定   二安替比林甲烷分光光度法和电感耦合等离子体发射光谱法；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第20部分：铪量的测定  电感耦合等离子体发射光谱法；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第21部分：氢量的测定  惰气熔融红外吸收法/热导法；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第22部分：氧量和氮量的测定  惰气熔融红外吸收法/热导法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 xml:space="preserve">第23部分：氮量的测定  蒸馏分离-奈斯勒试剂分光光度法；  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第24部分：碳量的测定  高频燃烧红外吸收法；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第25部分：铌量的测定  5-Br-PADAP分光光度法和电感耦合等离子体发射光谱法；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第26部分：合金及杂质元素的测定  电感耦合等离子体发射光谱法；</w:t>
      </w:r>
    </w:p>
    <w:p>
      <w:pPr>
        <w:pStyle w:val="52"/>
        <w:ind w:firstLine="420"/>
        <w:rPr>
          <w:rFonts w:hint="eastAsia" w:eastAsia="宋体" w:asciiTheme="minorEastAsia" w:hAnsiTheme="minorEastAsia" w:cstheme="minorEastAsia"/>
        </w:rPr>
      </w:pPr>
      <w:r>
        <w:rPr>
          <w:rFonts w:eastAsia="宋体"/>
        </w:rPr>
        <w:t>——</w:t>
      </w:r>
      <w:r>
        <w:rPr>
          <w:rFonts w:hint="eastAsia" w:eastAsia="宋体" w:asciiTheme="minorEastAsia" w:hAnsiTheme="minorEastAsia" w:cstheme="minorEastAsia"/>
        </w:rPr>
        <w:t>第27部分：痕量杂质元素的测定  电感耦合等离子体质谱法。</w:t>
      </w:r>
    </w:p>
    <w:p>
      <w:pPr>
        <w:widowControl/>
        <w:autoSpaceDE w:val="0"/>
        <w:autoSpaceDN w:val="0"/>
        <w:ind w:firstLine="420" w:firstLineChars="200"/>
        <w:rPr>
          <w:rFonts w:ascii="宋体" w:eastAsia="宋体"/>
          <w:kern w:val="0"/>
          <w:szCs w:val="20"/>
        </w:rPr>
      </w:pPr>
      <w:r>
        <w:rPr>
          <w:rFonts w:ascii="宋体" w:eastAsia="宋体"/>
          <w:kern w:val="0"/>
          <w:szCs w:val="20"/>
        </w:rPr>
        <w:t>本部分为GB/T 13747-201X的第4部分。</w:t>
      </w:r>
    </w:p>
    <w:p>
      <w:pPr>
        <w:widowControl/>
        <w:autoSpaceDE w:val="0"/>
        <w:autoSpaceDN w:val="0"/>
        <w:ind w:firstLine="420" w:firstLineChars="200"/>
        <w:rPr>
          <w:rFonts w:ascii="宋体" w:eastAsia="宋体"/>
          <w:kern w:val="0"/>
          <w:szCs w:val="20"/>
        </w:rPr>
      </w:pPr>
      <w:r>
        <w:rPr>
          <w:rFonts w:ascii="宋体" w:eastAsia="宋体"/>
          <w:kern w:val="0"/>
          <w:szCs w:val="20"/>
        </w:rPr>
        <w:t>本部分按照GB/T 1.1给出的规则起草。</w:t>
      </w:r>
    </w:p>
    <w:p>
      <w:pPr>
        <w:ind w:firstLine="420" w:firstLineChars="200"/>
        <w:rPr>
          <w:rFonts w:eastAsia="宋体"/>
        </w:rPr>
      </w:pPr>
      <w:r>
        <w:rPr>
          <w:rFonts w:hint="eastAsia" w:eastAsia="宋体"/>
        </w:rPr>
        <w:t>本部分替代</w:t>
      </w:r>
      <w:r>
        <w:rPr>
          <w:rFonts w:eastAsia="宋体"/>
        </w:rPr>
        <w:t xml:space="preserve">GB/T </w:t>
      </w:r>
      <w:r>
        <w:rPr>
          <w:rFonts w:hint="eastAsia" w:eastAsia="宋体"/>
        </w:rPr>
        <w:t>13747.4-1992《锆及锆合金化学分析方法二苯卡巴肼分光光度法测定铬量》。</w:t>
      </w:r>
    </w:p>
    <w:p>
      <w:pPr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本部分与</w:t>
      </w:r>
      <w:r>
        <w:rPr>
          <w:rFonts w:ascii="宋体" w:hAnsi="宋体" w:eastAsia="宋体"/>
        </w:rPr>
        <w:t xml:space="preserve">GB/T </w:t>
      </w:r>
      <w:r>
        <w:rPr>
          <w:rFonts w:hint="eastAsia" w:ascii="宋体" w:hAnsi="宋体" w:eastAsia="宋体"/>
        </w:rPr>
        <w:t>13747.4-1992相比主要变化如下：</w:t>
      </w:r>
    </w:p>
    <w:p>
      <w:pPr>
        <w:pStyle w:val="52"/>
        <w:ind w:firstLine="420"/>
        <w:rPr>
          <w:rFonts w:hint="eastAsia" w:ascii="宋体" w:hAnsi="宋体"/>
        </w:rPr>
      </w:pPr>
      <w:r>
        <w:rPr>
          <w:rFonts w:ascii="宋体" w:hAnsi="宋体"/>
        </w:rPr>
        <w:t>——</w:t>
      </w:r>
      <w:r>
        <w:rPr>
          <w:rFonts w:hint="eastAsia" w:ascii="宋体" w:hAnsi="宋体"/>
        </w:rPr>
        <w:t>删除了“引用标准”（</w:t>
      </w:r>
      <w:r>
        <w:rPr>
          <w:rFonts w:hint="eastAsia" w:ascii="宋体" w:hAnsi="宋体"/>
          <w:lang w:eastAsia="zh-CN"/>
        </w:rPr>
        <w:t>见</w:t>
      </w:r>
      <w:r>
        <w:rPr>
          <w:rFonts w:hint="eastAsia" w:ascii="宋体" w:hAnsi="宋体"/>
        </w:rPr>
        <w:t>1992年版的第2章）；</w:t>
      </w:r>
    </w:p>
    <w:p>
      <w:pPr>
        <w:pStyle w:val="52"/>
        <w:ind w:firstLine="420"/>
        <w:rPr>
          <w:rFonts w:hint="eastAsia" w:ascii="宋体" w:hAnsi="宋体" w:eastAsia="宋体"/>
          <w:lang w:eastAsia="zh-CN"/>
        </w:rPr>
      </w:pPr>
      <w:r>
        <w:rPr>
          <w:rFonts w:ascii="宋体" w:hAnsi="宋体"/>
        </w:rPr>
        <w:t>——</w:t>
      </w:r>
      <w:r>
        <w:rPr>
          <w:rFonts w:hint="eastAsia" w:ascii="宋体" w:hAnsi="宋体"/>
        </w:rPr>
        <w:t>铬含量为0.002%-0.02%</w:t>
      </w:r>
      <w:r>
        <w:rPr>
          <w:rFonts w:hint="eastAsia" w:ascii="宋体" w:hAnsi="宋体"/>
          <w:lang w:eastAsia="zh-CN"/>
        </w:rPr>
        <w:t>时分取后补加</w:t>
      </w:r>
      <w:r>
        <w:rPr>
          <w:rFonts w:hint="eastAsia" w:ascii="宋体" w:hAnsi="宋体"/>
          <w:lang w:val="en-US" w:eastAsia="zh-CN"/>
        </w:rPr>
        <w:t>1 mL硫酸（1+4）</w:t>
      </w:r>
      <w:r>
        <w:rPr>
          <w:rFonts w:hint="eastAsia" w:ascii="宋体" w:hAnsi="宋体"/>
        </w:rPr>
        <w:t>（见</w:t>
      </w:r>
      <w:r>
        <w:rPr>
          <w:rFonts w:hint="eastAsia" w:ascii="宋体" w:hAnsi="宋体"/>
          <w:lang w:val="en-US" w:eastAsia="zh-CN"/>
        </w:rPr>
        <w:t>2.5.4.2</w:t>
      </w:r>
      <w:r>
        <w:rPr>
          <w:rFonts w:hint="eastAsia" w:ascii="宋体" w:hAnsi="宋体"/>
        </w:rPr>
        <w:t>）</w:t>
      </w:r>
      <w:r>
        <w:rPr>
          <w:rFonts w:hint="eastAsia" w:hAnsi="宋体"/>
          <w:lang w:eastAsia="zh-CN"/>
        </w:rPr>
        <w:t>；</w:t>
      </w:r>
    </w:p>
    <w:p>
      <w:pPr>
        <w:pStyle w:val="52"/>
        <w:ind w:firstLine="420"/>
        <w:rPr>
          <w:rFonts w:hint="eastAsia" w:ascii="宋体" w:hAnsi="宋体" w:eastAsia="宋体"/>
          <w:lang w:val="en-US" w:eastAsia="zh-CN"/>
        </w:rPr>
      </w:pPr>
      <w:r>
        <w:rPr>
          <w:rFonts w:ascii="宋体" w:hAnsi="宋体"/>
        </w:rPr>
        <w:t>——</w:t>
      </w:r>
      <w:r>
        <w:rPr>
          <w:rFonts w:hint="eastAsia" w:ascii="宋体" w:hAnsi="宋体"/>
          <w:lang w:eastAsia="zh-CN"/>
        </w:rPr>
        <w:t>方法一工作曲线增加</w:t>
      </w:r>
      <w:r>
        <w:rPr>
          <w:rFonts w:hint="eastAsia" w:ascii="宋体" w:hAnsi="宋体"/>
          <w:lang w:val="en-US" w:eastAsia="zh-CN"/>
        </w:rPr>
        <w:t xml:space="preserve">0.10 </w:t>
      </w:r>
      <w:r>
        <w:rPr>
          <w:rFonts w:ascii="Times New Roman" w:hAnsi="Times New Roman"/>
        </w:rPr>
        <w:t>μg</w:t>
      </w:r>
      <w:r>
        <w:rPr>
          <w:rFonts w:hint="eastAsia" w:ascii="Times New Roman" w:hAnsi="Times New Roman"/>
        </w:rPr>
        <w:t>/mL</w:t>
      </w:r>
      <w:r>
        <w:rPr>
          <w:rFonts w:hint="eastAsia" w:ascii="宋体" w:hAnsi="宋体"/>
        </w:rPr>
        <w:t>（见</w:t>
      </w:r>
      <w:r>
        <w:rPr>
          <w:rFonts w:hint="eastAsia" w:hAnsi="宋体"/>
          <w:lang w:val="en-US" w:eastAsia="zh-CN"/>
        </w:rPr>
        <w:t>2.5.5.1</w:t>
      </w:r>
      <w:r>
        <w:rPr>
          <w:rFonts w:hint="eastAsia" w:ascii="宋体" w:hAnsi="宋体"/>
        </w:rPr>
        <w:t>）</w:t>
      </w:r>
      <w:r>
        <w:rPr>
          <w:rFonts w:hint="eastAsia" w:hAnsi="宋体"/>
          <w:lang w:eastAsia="zh-CN"/>
        </w:rPr>
        <w:t>；</w:t>
      </w:r>
    </w:p>
    <w:p>
      <w:pPr>
        <w:ind w:firstLine="420" w:firstLineChars="200"/>
        <w:rPr>
          <w:rFonts w:eastAsia="宋体"/>
        </w:rPr>
      </w:pPr>
      <w:r>
        <w:rPr>
          <w:rFonts w:ascii="Times New Roman" w:hAnsi="Times New Roman" w:eastAsia="宋体"/>
        </w:rPr>
        <w:t>——</w:t>
      </w:r>
      <w:r>
        <w:rPr>
          <w:rFonts w:hint="eastAsia" w:eastAsia="宋体"/>
        </w:rPr>
        <w:t>增加电感耦合等离体原子发射光谱法</w:t>
      </w:r>
      <w:r>
        <w:rPr>
          <w:rFonts w:hint="eastAsia"/>
        </w:rPr>
        <w:t>（见第3章）</w:t>
      </w:r>
      <w:r>
        <w:rPr>
          <w:rFonts w:hint="eastAsia" w:eastAsia="宋体"/>
        </w:rPr>
        <w:t>；</w:t>
      </w:r>
    </w:p>
    <w:p>
      <w:pPr>
        <w:ind w:firstLine="420" w:firstLineChars="200"/>
        <w:rPr>
          <w:rFonts w:eastAsia="宋体"/>
        </w:rPr>
      </w:pPr>
      <w:r>
        <w:rPr>
          <w:rFonts w:ascii="Times New Roman" w:hAnsi="Times New Roman" w:eastAsia="宋体"/>
        </w:rPr>
        <w:t>——</w:t>
      </w:r>
      <w:r>
        <w:rPr>
          <w:rFonts w:hint="eastAsia" w:eastAsia="宋体"/>
        </w:rPr>
        <w:t>增加了精密度条款</w:t>
      </w:r>
      <w:r>
        <w:rPr>
          <w:rFonts w:hint="eastAsia"/>
        </w:rPr>
        <w:t>（见</w:t>
      </w:r>
      <w:r>
        <w:rPr>
          <w:rFonts w:hint="eastAsia"/>
          <w:lang w:val="en-US" w:eastAsia="zh-CN"/>
        </w:rPr>
        <w:t>2.7和3.7</w:t>
      </w:r>
      <w:r>
        <w:rPr>
          <w:rFonts w:hint="eastAsia"/>
        </w:rPr>
        <w:t>）</w:t>
      </w:r>
      <w:r>
        <w:rPr>
          <w:rFonts w:hint="eastAsia" w:eastAsia="宋体"/>
        </w:rPr>
        <w:t>；</w:t>
      </w:r>
    </w:p>
    <w:p>
      <w:pPr>
        <w:ind w:firstLine="420" w:firstLineChars="200"/>
        <w:rPr>
          <w:rFonts w:eastAsia="宋体"/>
        </w:rPr>
      </w:pPr>
      <w:r>
        <w:rPr>
          <w:rFonts w:ascii="Times New Roman" w:hAnsi="Times New Roman" w:eastAsia="宋体"/>
        </w:rPr>
        <w:t>——</w:t>
      </w:r>
      <w:r>
        <w:rPr>
          <w:rFonts w:hint="eastAsia" w:eastAsia="宋体"/>
        </w:rPr>
        <w:t>增加了试验报告条款</w:t>
      </w:r>
      <w:r>
        <w:rPr>
          <w:rFonts w:hint="eastAsia"/>
        </w:rPr>
        <w:t>（见第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章）</w:t>
      </w:r>
      <w:r>
        <w:rPr>
          <w:rFonts w:hint="eastAsia" w:eastAsia="宋体"/>
        </w:rPr>
        <w:t>。</w:t>
      </w:r>
    </w:p>
    <w:p>
      <w:pPr>
        <w:pStyle w:val="52"/>
        <w:ind w:firstLine="420"/>
      </w:pPr>
      <w:r>
        <w:rPr>
          <w:rFonts w:hint="eastAsia"/>
        </w:rPr>
        <w:t>本部分由全国有色金属标准化技术委员会（SAC/TC243）归口。</w:t>
      </w:r>
    </w:p>
    <w:p>
      <w:pPr>
        <w:ind w:firstLine="420" w:firstLineChars="200"/>
        <w:jc w:val="left"/>
      </w:pPr>
      <w:r>
        <w:rPr>
          <w:rFonts w:hAnsi="宋体"/>
          <w:szCs w:val="21"/>
        </w:rPr>
        <w:t>本</w:t>
      </w:r>
      <w:r>
        <w:rPr>
          <w:rFonts w:hint="eastAsia" w:hAnsi="宋体"/>
          <w:szCs w:val="21"/>
        </w:rPr>
        <w:t>标准起草单位：</w:t>
      </w:r>
      <w:r>
        <w:rPr>
          <w:rFonts w:hint="eastAsia"/>
        </w:rPr>
        <w:t>西北有色金属研究院、西部金属材料股份有限公司、广东省工业分析检测中心、西部新锆核材料科技有限公司、深圳市中金岭南有色金属股份有限公司。</w:t>
      </w:r>
    </w:p>
    <w:p>
      <w:pPr>
        <w:ind w:firstLine="420" w:firstLineChars="200"/>
      </w:pPr>
      <w:r>
        <w:rPr>
          <w:rFonts w:hint="eastAsia"/>
        </w:rPr>
        <w:t>本部分主要起草人：刘雷雷、周恺、张丹莉、杨欣</w:t>
      </w:r>
      <w:r>
        <w:rPr>
          <w:rFonts w:hint="eastAsia"/>
          <w:lang w:eastAsia="zh-CN"/>
        </w:rPr>
        <w:t>（西北院）、</w:t>
      </w:r>
      <w:r>
        <w:rPr>
          <w:rFonts w:hint="eastAsia"/>
          <w:lang w:val="en-US" w:eastAsia="zh-CN"/>
        </w:rPr>
        <w:t>XX（西材）、</w:t>
      </w:r>
      <w:bookmarkStart w:id="1" w:name="_GoBack"/>
      <w:bookmarkEnd w:id="1"/>
      <w:r>
        <w:rPr>
          <w:rFonts w:hint="eastAsia"/>
        </w:rPr>
        <w:t>梁伟、李维敏、惠泊宁</w:t>
      </w:r>
      <w:r>
        <w:rPr>
          <w:rFonts w:hint="eastAsia"/>
          <w:lang w:eastAsia="zh-CN"/>
        </w:rPr>
        <w:t>（新锆）、左鸿毅 林韶阳（中金）、</w:t>
      </w:r>
      <w:r>
        <w:rPr>
          <w:rFonts w:hint="eastAsia"/>
        </w:rPr>
        <w:t>周志平 谢辉  熊晓燕</w:t>
      </w:r>
      <w:r>
        <w:rPr>
          <w:rFonts w:hint="eastAsia"/>
          <w:lang w:eastAsia="zh-CN"/>
        </w:rPr>
        <w:t>、王津（广东）</w:t>
      </w:r>
      <w:r>
        <w:rPr>
          <w:rFonts w:hint="eastAsia"/>
        </w:rPr>
        <w:t>。</w:t>
      </w:r>
    </w:p>
    <w:p>
      <w:pPr>
        <w:ind w:firstLine="435"/>
      </w:pPr>
      <w:r>
        <w:rPr>
          <w:rFonts w:hint="eastAsia"/>
        </w:rPr>
        <w:t>本部分所代替标准的历次版本发布情况为：</w:t>
      </w:r>
    </w:p>
    <w:p>
      <w:pPr>
        <w:ind w:firstLine="435"/>
        <w:rPr>
          <w:rFonts w:ascii="Times New Roman" w:hAnsi="Times New Roman"/>
        </w:rPr>
        <w:sectPr>
          <w:headerReference r:id="rId9" w:type="default"/>
          <w:headerReference r:id="rId10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/>
        </w:rPr>
        <w:t>——</w:t>
      </w:r>
      <w:r>
        <w:t xml:space="preserve">GB/T </w:t>
      </w:r>
      <w:r>
        <w:rPr>
          <w:rFonts w:hint="eastAsia"/>
        </w:rPr>
        <w:t>13747.4-1992。</w:t>
      </w:r>
    </w:p>
    <w:p>
      <w:pPr>
        <w:ind w:firstLine="315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锆及锆合金化学分析方法</w:t>
      </w:r>
    </w:p>
    <w:p>
      <w:pPr>
        <w:ind w:firstLine="315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第4部分：铬量的测定</w:t>
      </w:r>
    </w:p>
    <w:p>
      <w:pPr>
        <w:jc w:val="center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二苯卡巴肼分光光度法和电感耦合等离子体原子发射光谱法</w:t>
      </w:r>
    </w:p>
    <w:p>
      <w:pPr>
        <w:ind w:firstLine="3150"/>
        <w:rPr>
          <w:rFonts w:ascii="Times New Roman" w:hAnsi="Times New Roman"/>
          <w:bCs/>
          <w:szCs w:val="21"/>
        </w:rPr>
      </w:pPr>
    </w:p>
    <w:p>
      <w:pPr>
        <w:spacing w:line="480" w:lineRule="auto"/>
        <w:rPr>
          <w:rFonts w:ascii="黑体" w:hAnsi="黑体" w:eastAsia="黑体"/>
          <w:bCs/>
          <w:szCs w:val="21"/>
        </w:rPr>
      </w:pPr>
      <w:r>
        <w:rPr>
          <w:rFonts w:ascii="黑体" w:hAnsi="黑体" w:eastAsia="黑体"/>
          <w:bCs/>
          <w:szCs w:val="21"/>
        </w:rPr>
        <w:t xml:space="preserve">1 </w:t>
      </w:r>
      <w:r>
        <w:rPr>
          <w:rFonts w:ascii="黑体" w:hAnsi="黑体" w:eastAsia="黑体"/>
          <w:bCs/>
          <w:sz w:val="18"/>
          <w:szCs w:val="18"/>
        </w:rPr>
        <w:t xml:space="preserve"> </w:t>
      </w:r>
      <w:r>
        <w:rPr>
          <w:rFonts w:ascii="黑体" w:hAnsi="黑体" w:eastAsia="黑体"/>
          <w:bCs/>
          <w:szCs w:val="21"/>
        </w:rPr>
        <w:t>范围</w:t>
      </w:r>
    </w:p>
    <w:p>
      <w:pPr>
        <w:widowControl w:val="0"/>
        <w:ind w:firstLine="420" w:firstLineChars="20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本</w:t>
      </w:r>
      <w:r>
        <w:rPr>
          <w:rFonts w:hint="eastAsia" w:ascii="Times New Roman" w:hAnsi="Times New Roman"/>
          <w:szCs w:val="21"/>
        </w:rPr>
        <w:t>部分</w:t>
      </w:r>
      <w:r>
        <w:rPr>
          <w:rFonts w:ascii="Times New Roman" w:hAnsi="Times New Roman"/>
          <w:szCs w:val="21"/>
        </w:rPr>
        <w:t>规定了</w:t>
      </w:r>
      <w:r>
        <w:rPr>
          <w:rFonts w:hint="eastAsia" w:ascii="Times New Roman" w:hAnsi="Times New Roman"/>
          <w:szCs w:val="21"/>
        </w:rPr>
        <w:t>锆及锆合金</w:t>
      </w:r>
      <w:r>
        <w:rPr>
          <w:rFonts w:ascii="Times New Roman" w:hAnsi="Times New Roman"/>
          <w:szCs w:val="21"/>
        </w:rPr>
        <w:t>中</w:t>
      </w:r>
      <w:r>
        <w:rPr>
          <w:rFonts w:hint="eastAsia" w:ascii="Times New Roman" w:hAnsi="Times New Roman"/>
          <w:szCs w:val="21"/>
          <w:lang w:eastAsia="zh-CN"/>
        </w:rPr>
        <w:t>铬含量</w:t>
      </w:r>
      <w:r>
        <w:rPr>
          <w:rFonts w:ascii="Times New Roman" w:hAnsi="Times New Roman"/>
          <w:szCs w:val="21"/>
        </w:rPr>
        <w:t>的测定方法。</w:t>
      </w:r>
    </w:p>
    <w:p>
      <w:pPr>
        <w:widowControl w:val="0"/>
        <w:ind w:firstLine="420" w:firstLineChars="200"/>
        <w:jc w:val="both"/>
      </w:pPr>
      <w:r>
        <w:rPr>
          <w:rFonts w:ascii="Times New Roman" w:hAnsi="Times New Roman"/>
          <w:szCs w:val="21"/>
        </w:rPr>
        <w:t>本</w:t>
      </w:r>
      <w:r>
        <w:rPr>
          <w:rFonts w:hint="eastAsia" w:ascii="Times New Roman" w:hAnsi="Times New Roman"/>
          <w:szCs w:val="21"/>
        </w:rPr>
        <w:t>部分</w:t>
      </w:r>
      <w:r>
        <w:rPr>
          <w:rFonts w:ascii="Times New Roman" w:hAnsi="Times New Roman"/>
          <w:szCs w:val="21"/>
        </w:rPr>
        <w:t>适用于</w:t>
      </w:r>
      <w:r>
        <w:rPr>
          <w:rFonts w:hint="eastAsia" w:ascii="Times New Roman" w:hAnsi="Times New Roman"/>
          <w:szCs w:val="21"/>
        </w:rPr>
        <w:t>海绵锆、锆及锆合金</w:t>
      </w:r>
      <w:r>
        <w:rPr>
          <w:rFonts w:ascii="Times New Roman" w:hAnsi="Times New Roman"/>
          <w:szCs w:val="21"/>
        </w:rPr>
        <w:t>中</w:t>
      </w:r>
      <w:r>
        <w:rPr>
          <w:rFonts w:hint="eastAsia" w:ascii="Times New Roman" w:hAnsi="Times New Roman"/>
          <w:szCs w:val="21"/>
          <w:lang w:eastAsia="zh-CN"/>
        </w:rPr>
        <w:t>铬含量</w:t>
      </w:r>
      <w:r>
        <w:rPr>
          <w:rFonts w:ascii="Times New Roman" w:hAnsi="Times New Roman"/>
          <w:szCs w:val="21"/>
        </w:rPr>
        <w:t>的测定。</w:t>
      </w:r>
      <w:r>
        <w:t>测定范围：0.</w:t>
      </w:r>
      <w:r>
        <w:rPr>
          <w:rFonts w:hint="eastAsia"/>
        </w:rPr>
        <w:t>0020</w:t>
      </w:r>
      <w:r>
        <w:t>%～0.</w:t>
      </w:r>
      <w:r>
        <w:rPr>
          <w:rFonts w:hint="eastAsia"/>
        </w:rPr>
        <w:t>20</w:t>
      </w:r>
      <w:r>
        <w:t>%</w:t>
      </w:r>
      <w:r>
        <w:rPr>
          <w:rFonts w:hint="eastAsia"/>
        </w:rPr>
        <w:t>。方法二为仲裁方法。</w:t>
      </w:r>
    </w:p>
    <w:p>
      <w:pPr>
        <w:spacing w:line="480" w:lineRule="auto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2  方法一二苯卡巴肼分光光度法</w:t>
      </w:r>
    </w:p>
    <w:p>
      <w:pPr>
        <w:widowControl w:val="0"/>
        <w:spacing w:line="360" w:lineRule="auto"/>
        <w:jc w:val="both"/>
        <w:rPr>
          <w:rFonts w:hint="eastAsia" w:ascii="黑体" w:hAnsi="黑体" w:eastAsia="黑体"/>
          <w:bCs/>
          <w:szCs w:val="21"/>
          <w:lang w:eastAsia="zh-CN"/>
        </w:rPr>
      </w:pPr>
      <w:r>
        <w:rPr>
          <w:rFonts w:hint="eastAsia" w:ascii="黑体" w:hAnsi="黑体" w:eastAsia="黑体"/>
          <w:bCs/>
          <w:szCs w:val="21"/>
        </w:rPr>
        <w:t>2.1</w:t>
      </w:r>
      <w:r>
        <w:rPr>
          <w:rFonts w:ascii="黑体" w:hAnsi="黑体" w:eastAsia="黑体"/>
          <w:bCs/>
          <w:szCs w:val="21"/>
        </w:rPr>
        <w:t xml:space="preserve"> </w:t>
      </w:r>
      <w:r>
        <w:rPr>
          <w:rFonts w:ascii="黑体" w:hAnsi="黑体" w:eastAsia="黑体"/>
          <w:bCs/>
          <w:sz w:val="18"/>
          <w:szCs w:val="18"/>
        </w:rPr>
        <w:t xml:space="preserve"> </w:t>
      </w:r>
      <w:r>
        <w:rPr>
          <w:rFonts w:hint="eastAsia" w:ascii="黑体" w:hAnsi="黑体" w:eastAsia="黑体"/>
          <w:bCs/>
          <w:szCs w:val="21"/>
          <w:lang w:eastAsia="zh-CN"/>
        </w:rPr>
        <w:t>原理</w:t>
      </w:r>
    </w:p>
    <w:p>
      <w:pPr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试料以硫酸-硫酸铵溶解，用高锰酸钾氧化铬，在尿素存在下，过量的高锰酸钾用亚硝酸钠分离，铬与二苯基卡巴肼生成红紫色络合物，于分光光度计波长540nm处，测量其吸光度。</w:t>
      </w:r>
    </w:p>
    <w:p>
      <w:pPr>
        <w:spacing w:line="360" w:lineRule="auto"/>
        <w:rPr>
          <w:rFonts w:ascii="黑体" w:hAnsi="黑体" w:eastAsia="黑体"/>
          <w:bCs/>
          <w:sz w:val="18"/>
          <w:szCs w:val="18"/>
        </w:rPr>
      </w:pPr>
      <w:r>
        <w:rPr>
          <w:rFonts w:hint="eastAsia" w:ascii="黑体" w:hAnsi="黑体" w:eastAsia="黑体"/>
          <w:bCs/>
          <w:szCs w:val="21"/>
        </w:rPr>
        <w:t xml:space="preserve">2.2 </w:t>
      </w:r>
      <w:r>
        <w:rPr>
          <w:rFonts w:hint="eastAsia" w:ascii="黑体" w:hAnsi="黑体" w:eastAsia="黑体"/>
          <w:bCs/>
          <w:sz w:val="18"/>
          <w:szCs w:val="18"/>
        </w:rPr>
        <w:t xml:space="preserve"> </w:t>
      </w:r>
      <w:r>
        <w:rPr>
          <w:rFonts w:hint="eastAsia" w:ascii="黑体" w:hAnsi="黑体" w:eastAsia="黑体"/>
          <w:bCs/>
          <w:szCs w:val="21"/>
        </w:rPr>
        <w:t>试剂</w:t>
      </w:r>
    </w:p>
    <w:p>
      <w:pPr>
        <w:ind w:firstLine="420" w:firstLineChars="200"/>
        <w:rPr>
          <w:szCs w:val="21"/>
        </w:rPr>
      </w:pPr>
      <w:r>
        <w:rPr>
          <w:rFonts w:hAnsi="宋体"/>
          <w:szCs w:val="21"/>
        </w:rPr>
        <w:t>除另有说明，在分析中仅使用确认为分析纯的试剂和</w:t>
      </w:r>
      <w:r>
        <w:rPr>
          <w:rFonts w:hint="eastAsia" w:hAnsi="宋体"/>
          <w:szCs w:val="21"/>
        </w:rPr>
        <w:t>实验室二级</w:t>
      </w:r>
      <w:r>
        <w:rPr>
          <w:rFonts w:hAnsi="宋体"/>
          <w:szCs w:val="21"/>
        </w:rPr>
        <w:t>水。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黑体" w:hAnsi="黑体" w:eastAsia="黑体"/>
          <w:szCs w:val="21"/>
        </w:rPr>
        <w:t>2.2.1</w:t>
      </w:r>
      <w:r>
        <w:rPr>
          <w:rFonts w:hint="eastAsia" w:ascii="Times New Roman" w:hAnsi="Times New Roman"/>
          <w:szCs w:val="21"/>
        </w:rPr>
        <w:t xml:space="preserve"> 硫酸铵。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黑体" w:hAnsi="黑体" w:eastAsia="黑体"/>
          <w:szCs w:val="21"/>
        </w:rPr>
        <w:t>2.2.2</w:t>
      </w:r>
      <w:r>
        <w:rPr>
          <w:rFonts w:hint="eastAsia" w:ascii="Times New Roman" w:hAnsi="Times New Roman"/>
          <w:szCs w:val="21"/>
        </w:rPr>
        <w:t xml:space="preserve"> 硫酸（</w:t>
      </w:r>
      <w:r>
        <w:rPr>
          <w:rFonts w:ascii="Times New Roman" w:hAnsi="Times New Roman"/>
          <w:szCs w:val="21"/>
        </w:rPr>
        <w:t>ρ</w:t>
      </w:r>
      <w:r>
        <w:rPr>
          <w:rFonts w:hint="eastAsia" w:ascii="Times New Roman" w:hAnsi="Times New Roman"/>
          <w:szCs w:val="21"/>
        </w:rPr>
        <w:t>1.84 g/mL）。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黑体" w:hAnsi="黑体" w:eastAsia="黑体"/>
          <w:szCs w:val="21"/>
        </w:rPr>
        <w:t xml:space="preserve">2.2.3 </w:t>
      </w:r>
      <w:r>
        <w:rPr>
          <w:rFonts w:hint="eastAsia" w:ascii="Times New Roman" w:hAnsi="Times New Roman"/>
          <w:szCs w:val="21"/>
        </w:rPr>
        <w:t>硫酸（1+4）。</w:t>
      </w:r>
    </w:p>
    <w:p>
      <w:pPr>
        <w:rPr>
          <w:rFonts w:ascii="Times New Roman" w:hAnsi="Times New Roman"/>
        </w:rPr>
      </w:pPr>
      <w:r>
        <w:rPr>
          <w:rFonts w:hint="eastAsia" w:ascii="黑体" w:hAnsi="黑体" w:eastAsia="黑体"/>
          <w:szCs w:val="21"/>
        </w:rPr>
        <w:t xml:space="preserve">2.2.4 </w:t>
      </w:r>
      <w:r>
        <w:rPr>
          <w:rFonts w:hint="eastAsia" w:ascii="Times New Roman" w:hAnsi="Times New Roman"/>
        </w:rPr>
        <w:t>高锰酸钾溶液（30g/L）</w:t>
      </w:r>
      <w:r>
        <w:rPr>
          <w:rFonts w:ascii="Times New Roman" w:hAnsi="Times New Roman"/>
        </w:rPr>
        <w:t>。</w:t>
      </w:r>
    </w:p>
    <w:p>
      <w:pPr>
        <w:rPr>
          <w:rFonts w:ascii="Times New Roman" w:hAnsi="Times New Roman"/>
        </w:rPr>
      </w:pPr>
      <w:r>
        <w:rPr>
          <w:rFonts w:hint="eastAsia" w:ascii="黑体" w:hAnsi="黑体" w:eastAsia="黑体"/>
          <w:szCs w:val="21"/>
        </w:rPr>
        <w:t xml:space="preserve">2.2.5 </w:t>
      </w:r>
      <w:r>
        <w:rPr>
          <w:rFonts w:hint="eastAsia" w:ascii="Times New Roman" w:hAnsi="Times New Roman"/>
        </w:rPr>
        <w:t>尿素溶液（100g/L）</w:t>
      </w:r>
      <w:r>
        <w:rPr>
          <w:rFonts w:ascii="Times New Roman" w:hAnsi="Times New Roman"/>
        </w:rPr>
        <w:t>。</w:t>
      </w:r>
    </w:p>
    <w:p>
      <w:pPr>
        <w:rPr>
          <w:rFonts w:ascii="Times New Roman" w:hAnsi="Times New Roman"/>
        </w:rPr>
      </w:pPr>
      <w:r>
        <w:rPr>
          <w:rFonts w:hint="eastAsia" w:ascii="黑体" w:hAnsi="黑体" w:eastAsia="黑体"/>
          <w:szCs w:val="21"/>
        </w:rPr>
        <w:t xml:space="preserve">2.2.6 </w:t>
      </w:r>
      <w:r>
        <w:rPr>
          <w:rFonts w:hint="eastAsia" w:ascii="Times New Roman" w:hAnsi="Times New Roman"/>
        </w:rPr>
        <w:t>亚硝酸钠溶液（10g/L）</w:t>
      </w:r>
      <w:r>
        <w:rPr>
          <w:rFonts w:ascii="Times New Roman" w:hAnsi="Times New Roman"/>
        </w:rPr>
        <w:t>。</w:t>
      </w:r>
    </w:p>
    <w:p>
      <w:pPr>
        <w:rPr>
          <w:rFonts w:ascii="Times New Roman" w:hAnsi="Times New Roman"/>
        </w:rPr>
      </w:pPr>
      <w:r>
        <w:rPr>
          <w:rFonts w:hint="eastAsia" w:ascii="黑体" w:hAnsi="黑体" w:eastAsia="黑体"/>
          <w:szCs w:val="21"/>
        </w:rPr>
        <w:t xml:space="preserve">2.2.7 </w:t>
      </w:r>
      <w:r>
        <w:rPr>
          <w:rFonts w:hint="eastAsia" w:ascii="Times New Roman" w:hAnsi="Times New Roman"/>
        </w:rPr>
        <w:t>二苯卡巴肼乙醇溶液：称取0.50g二苯卡巴肼溶解于100mL乙醇中，贮存于棕色瓶中（一周内有效）。</w:t>
      </w:r>
    </w:p>
    <w:p>
      <w:pPr>
        <w:rPr>
          <w:rFonts w:ascii="Times New Roman" w:hAnsi="Times New Roman"/>
        </w:rPr>
      </w:pPr>
      <w:r>
        <w:rPr>
          <w:rFonts w:hint="eastAsia" w:ascii="黑体" w:hAnsi="黑体" w:eastAsia="黑体"/>
          <w:szCs w:val="21"/>
        </w:rPr>
        <w:t xml:space="preserve">2.2.8 </w:t>
      </w:r>
      <w:r>
        <w:rPr>
          <w:rFonts w:hint="eastAsia" w:ascii="Times New Roman" w:hAnsi="Times New Roman"/>
        </w:rPr>
        <w:t>铬标准贮存溶液：称取0.2829g预先在105℃烘干2h的重铬酸钾（基准试剂），用水溶解，移入1000mL容量瓶中，以水稀释至刻度，混匀。此</w:t>
      </w:r>
      <w:r>
        <w:rPr>
          <w:rFonts w:ascii="Times New Roman" w:hAnsi="Times New Roman"/>
        </w:rPr>
        <w:t>溶液1mL含100μg</w:t>
      </w:r>
      <w:r>
        <w:rPr>
          <w:rFonts w:hint="eastAsia" w:ascii="Times New Roman" w:hAnsi="Times New Roman"/>
        </w:rPr>
        <w:t>铬。</w:t>
      </w:r>
    </w:p>
    <w:p>
      <w:pPr>
        <w:rPr>
          <w:rFonts w:ascii="Times New Roman" w:hAnsi="Times New Roman"/>
        </w:rPr>
      </w:pPr>
      <w:r>
        <w:rPr>
          <w:rFonts w:hint="eastAsia" w:ascii="黑体" w:hAnsi="黑体" w:eastAsia="黑体"/>
          <w:szCs w:val="21"/>
        </w:rPr>
        <w:t>2.2.9</w:t>
      </w:r>
      <w:r>
        <w:rPr>
          <w:rFonts w:hint="eastAsia" w:ascii="Times New Roman" w:hAnsi="Times New Roman"/>
        </w:rPr>
        <w:t xml:space="preserve"> 铬标准溶液：移取50.00mL铬标准贮存溶液（2.2.8）于500mL容量瓶中，用水稀释至刻度，混匀。此</w:t>
      </w:r>
      <w:r>
        <w:rPr>
          <w:rFonts w:ascii="Times New Roman" w:hAnsi="Times New Roman"/>
        </w:rPr>
        <w:t>溶液1mL含10μg</w:t>
      </w:r>
      <w:r>
        <w:rPr>
          <w:rFonts w:hint="eastAsia" w:ascii="Times New Roman" w:hAnsi="Times New Roman"/>
        </w:rPr>
        <w:t>铬。</w:t>
      </w:r>
    </w:p>
    <w:p>
      <w:pPr>
        <w:widowControl w:val="0"/>
        <w:spacing w:line="360" w:lineRule="auto"/>
        <w:jc w:val="both"/>
        <w:rPr>
          <w:rFonts w:hint="eastAsia" w:ascii="黑体" w:hAnsi="黑体" w:eastAsia="黑体"/>
          <w:bCs/>
          <w:szCs w:val="21"/>
          <w:lang w:eastAsia="zh-CN"/>
        </w:rPr>
      </w:pPr>
      <w:r>
        <w:rPr>
          <w:rFonts w:hint="eastAsia" w:ascii="黑体" w:hAnsi="黑体" w:eastAsia="黑体"/>
          <w:bCs/>
          <w:szCs w:val="21"/>
        </w:rPr>
        <w:t>2.3</w:t>
      </w:r>
      <w:r>
        <w:rPr>
          <w:rFonts w:ascii="黑体" w:hAnsi="黑体" w:eastAsia="黑体"/>
          <w:bCs/>
          <w:szCs w:val="21"/>
        </w:rPr>
        <w:t xml:space="preserve"> </w:t>
      </w:r>
      <w:r>
        <w:rPr>
          <w:rFonts w:hint="eastAsia" w:ascii="黑体" w:hAnsi="黑体" w:eastAsia="黑体"/>
          <w:bCs/>
          <w:szCs w:val="21"/>
        </w:rPr>
        <w:t xml:space="preserve"> </w:t>
      </w:r>
      <w:r>
        <w:rPr>
          <w:rFonts w:hint="eastAsia" w:ascii="黑体" w:hAnsi="黑体" w:eastAsia="黑体"/>
          <w:bCs/>
          <w:szCs w:val="21"/>
          <w:lang w:eastAsia="zh-CN"/>
        </w:rPr>
        <w:t>仪器设备</w:t>
      </w:r>
    </w:p>
    <w:p>
      <w:pPr>
        <w:ind w:left="716" w:leftChars="199" w:hanging="298" w:hangingChars="142"/>
        <w:rPr>
          <w:rFonts w:ascii="Times New Roman" w:hAnsi="Times New Roman"/>
        </w:rPr>
      </w:pPr>
      <w:r>
        <w:rPr>
          <w:rFonts w:hint="eastAsia" w:ascii="Times New Roman" w:hAnsi="Times New Roman"/>
        </w:rPr>
        <w:t>分光光度计。</w:t>
      </w:r>
    </w:p>
    <w:p>
      <w:pPr>
        <w:spacing w:before="156" w:beforeLines="50" w:after="156" w:afterLines="50"/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2.4  样品</w:t>
      </w:r>
    </w:p>
    <w:p>
      <w:pPr>
        <w:rPr>
          <w:szCs w:val="21"/>
        </w:rPr>
      </w:pPr>
      <w:r>
        <w:rPr>
          <w:rFonts w:hint="eastAsia" w:ascii="黑体" w:hAnsi="黑体" w:eastAsia="黑体"/>
          <w:szCs w:val="21"/>
        </w:rPr>
        <w:t>2.4.1</w:t>
      </w:r>
      <w:r>
        <w:rPr>
          <w:szCs w:val="21"/>
        </w:rPr>
        <w:t xml:space="preserve">  取样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海绵锆、锆</w:t>
      </w:r>
      <w:r>
        <w:rPr>
          <w:szCs w:val="21"/>
        </w:rPr>
        <w:t>及</w:t>
      </w:r>
      <w:r>
        <w:rPr>
          <w:rFonts w:hint="eastAsia"/>
          <w:szCs w:val="21"/>
        </w:rPr>
        <w:t>锆</w:t>
      </w:r>
      <w:r>
        <w:rPr>
          <w:szCs w:val="21"/>
        </w:rPr>
        <w:t>合金的取样应按照已颁布的相应标准进行。</w:t>
      </w:r>
    </w:p>
    <w:p>
      <w:pPr>
        <w:rPr>
          <w:rFonts w:hint="eastAsia"/>
          <w:szCs w:val="21"/>
        </w:rPr>
      </w:pPr>
      <w:r>
        <w:rPr>
          <w:rFonts w:hint="eastAsia" w:ascii="黑体" w:hAnsi="黑体" w:eastAsia="黑体"/>
          <w:szCs w:val="21"/>
        </w:rPr>
        <w:t xml:space="preserve">2.4.2 </w:t>
      </w:r>
      <w:r>
        <w:rPr>
          <w:rFonts w:hint="eastAsia"/>
          <w:szCs w:val="21"/>
        </w:rPr>
        <w:t xml:space="preserve"> 试样处理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将</w:t>
      </w:r>
      <w:r>
        <w:rPr>
          <w:szCs w:val="21"/>
        </w:rPr>
        <w:t>试样</w:t>
      </w:r>
      <w:r>
        <w:rPr>
          <w:rFonts w:hint="eastAsia"/>
          <w:szCs w:val="21"/>
        </w:rPr>
        <w:t>剪</w:t>
      </w:r>
      <w:r>
        <w:rPr>
          <w:szCs w:val="21"/>
        </w:rPr>
        <w:t>成</w:t>
      </w:r>
      <w:r>
        <w:rPr>
          <w:rFonts w:hint="eastAsia"/>
          <w:szCs w:val="21"/>
        </w:rPr>
        <w:t>长度</w:t>
      </w:r>
      <w:r>
        <w:rPr>
          <w:szCs w:val="21"/>
        </w:rPr>
        <w:t>不</w:t>
      </w:r>
      <w:r>
        <w:rPr>
          <w:rFonts w:hint="eastAsia"/>
          <w:szCs w:val="21"/>
        </w:rPr>
        <w:t>大于2</w:t>
      </w:r>
      <w:r>
        <w:rPr>
          <w:szCs w:val="21"/>
        </w:rPr>
        <w:t>mm的</w:t>
      </w:r>
      <w:r>
        <w:rPr>
          <w:rFonts w:hint="eastAsia"/>
          <w:szCs w:val="21"/>
        </w:rPr>
        <w:t>碎屑</w:t>
      </w:r>
      <w:r>
        <w:rPr>
          <w:szCs w:val="21"/>
        </w:rPr>
        <w:t>。</w:t>
      </w:r>
    </w:p>
    <w:p>
      <w:pPr>
        <w:widowControl w:val="0"/>
        <w:spacing w:line="360" w:lineRule="auto"/>
        <w:jc w:val="both"/>
        <w:rPr>
          <w:rFonts w:hint="eastAsia" w:ascii="黑体" w:hAnsi="黑体" w:eastAsia="黑体"/>
          <w:bCs/>
          <w:szCs w:val="21"/>
          <w:lang w:eastAsia="zh-CN"/>
        </w:rPr>
      </w:pPr>
      <w:r>
        <w:rPr>
          <w:rFonts w:hint="eastAsia" w:ascii="黑体" w:hAnsi="黑体" w:eastAsia="黑体"/>
          <w:bCs/>
          <w:szCs w:val="21"/>
        </w:rPr>
        <w:t>2.5</w:t>
      </w:r>
      <w:r>
        <w:rPr>
          <w:rFonts w:ascii="黑体" w:hAnsi="黑体" w:eastAsia="黑体"/>
          <w:bCs/>
          <w:szCs w:val="21"/>
        </w:rPr>
        <w:t xml:space="preserve"> </w:t>
      </w:r>
      <w:r>
        <w:rPr>
          <w:rFonts w:hint="eastAsia" w:ascii="黑体" w:hAnsi="黑体" w:eastAsia="黑体"/>
          <w:bCs/>
          <w:szCs w:val="21"/>
        </w:rPr>
        <w:t xml:space="preserve"> </w:t>
      </w:r>
      <w:r>
        <w:rPr>
          <w:rFonts w:hint="eastAsia" w:ascii="黑体" w:hAnsi="黑体" w:eastAsia="黑体"/>
          <w:bCs/>
          <w:szCs w:val="21"/>
          <w:lang w:eastAsia="zh-CN"/>
        </w:rPr>
        <w:t>试验步骤</w:t>
      </w:r>
    </w:p>
    <w:p>
      <w:pPr>
        <w:spacing w:line="360" w:lineRule="auto"/>
        <w:rPr>
          <w:rFonts w:ascii="Times New Roman" w:hAnsi="Times New Roman" w:eastAsia="黑体"/>
          <w:szCs w:val="21"/>
        </w:rPr>
      </w:pPr>
      <w:r>
        <w:rPr>
          <w:rFonts w:hint="eastAsia" w:ascii="黑体" w:hAnsi="黑体" w:eastAsia="黑体"/>
          <w:szCs w:val="21"/>
        </w:rPr>
        <w:t>2.5.1</w:t>
      </w:r>
      <w:r>
        <w:rPr>
          <w:rFonts w:ascii="Times New Roman" w:hAnsi="Times New Roman" w:eastAsia="黑体"/>
          <w:szCs w:val="21"/>
        </w:rPr>
        <w:t xml:space="preserve">  试料</w:t>
      </w:r>
    </w:p>
    <w:p>
      <w:pPr>
        <w:ind w:left="480"/>
        <w:rPr>
          <w:rFonts w:ascii="Times New Roman" w:hAnsi="Times New Roman"/>
        </w:rPr>
      </w:pPr>
      <w:r>
        <w:rPr>
          <w:rFonts w:hint="eastAsia" w:ascii="Times New Roman" w:hAnsi="Times New Roman"/>
        </w:rPr>
        <w:t>按表1称取</w:t>
      </w:r>
      <w:r>
        <w:rPr>
          <w:rFonts w:ascii="Times New Roman" w:hAnsi="Times New Roman"/>
        </w:rPr>
        <w:t>试样</w:t>
      </w:r>
      <w:r>
        <w:rPr>
          <w:rFonts w:hint="eastAsia" w:ascii="Times New Roman" w:hAnsi="Times New Roman"/>
        </w:rPr>
        <w:t>（2.4）</w:t>
      </w:r>
      <w:r>
        <w:rPr>
          <w:rFonts w:ascii="Times New Roman" w:hAnsi="Times New Roman"/>
        </w:rPr>
        <w:t>，精确至0.0001g。</w:t>
      </w: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表1 试料量</w:t>
      </w:r>
    </w:p>
    <w:tbl>
      <w:tblPr>
        <w:tblStyle w:val="26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i/>
              </w:rPr>
              <w:t>w</w:t>
            </w:r>
            <w:r>
              <w:rPr>
                <w:rFonts w:hint="eastAsia" w:ascii="Times New Roman" w:hAnsi="Times New Roman"/>
                <w:vertAlign w:val="subscript"/>
              </w:rPr>
              <w:t>Cr</w:t>
            </w:r>
            <w:r>
              <w:rPr>
                <w:rFonts w:hint="eastAsia" w:ascii="Times New Roman" w:hAnsi="Times New Roman"/>
              </w:rPr>
              <w:t>/%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试料/g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0.0020~0.020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&gt;0.020~0.20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1.00</w:t>
            </w:r>
          </w:p>
        </w:tc>
      </w:tr>
    </w:tbl>
    <w:p>
      <w:pPr>
        <w:ind w:left="480"/>
        <w:rPr>
          <w:rFonts w:ascii="Times New Roman" w:hAnsi="Times New Roman"/>
        </w:rPr>
      </w:pPr>
    </w:p>
    <w:p>
      <w:pPr>
        <w:widowControl w:val="0"/>
        <w:jc w:val="both"/>
        <w:rPr>
          <w:rFonts w:hint="eastAsia" w:ascii="Times New Roman" w:hAnsi="Times New Roman" w:eastAsia="黑体"/>
          <w:szCs w:val="21"/>
          <w:lang w:eastAsia="zh-CN"/>
        </w:rPr>
      </w:pPr>
      <w:r>
        <w:rPr>
          <w:rFonts w:hint="eastAsia" w:ascii="黑体" w:hAnsi="黑体" w:eastAsia="黑体"/>
          <w:szCs w:val="21"/>
        </w:rPr>
        <w:t>2.5.2</w:t>
      </w:r>
      <w:r>
        <w:rPr>
          <w:rFonts w:ascii="Times New Roman" w:hAnsi="Times New Roman" w:eastAsia="黑体"/>
          <w:szCs w:val="21"/>
        </w:rPr>
        <w:t xml:space="preserve">  </w:t>
      </w:r>
      <w:r>
        <w:rPr>
          <w:rFonts w:hint="eastAsia" w:ascii="Times New Roman" w:hAnsi="Times New Roman" w:eastAsia="黑体"/>
          <w:szCs w:val="21"/>
          <w:lang w:eastAsia="zh-CN"/>
        </w:rPr>
        <w:t>平行试验</w:t>
      </w:r>
    </w:p>
    <w:p>
      <w:pPr>
        <w:widowControl w:val="0"/>
        <w:ind w:left="480" w:leftChars="0"/>
        <w:jc w:val="both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平行做两份实验</w:t>
      </w:r>
      <w:r>
        <w:rPr>
          <w:rFonts w:ascii="Times New Roman" w:hAnsi="Times New Roman"/>
        </w:rPr>
        <w:t>，取其平均值。</w:t>
      </w:r>
    </w:p>
    <w:p>
      <w:pPr>
        <w:rPr>
          <w:rFonts w:ascii="Times New Roman" w:hAnsi="Times New Roman" w:eastAsia="黑体"/>
          <w:szCs w:val="21"/>
        </w:rPr>
      </w:pPr>
      <w:r>
        <w:rPr>
          <w:rFonts w:hint="eastAsia" w:ascii="黑体" w:hAnsi="黑体" w:eastAsia="黑体"/>
          <w:szCs w:val="21"/>
        </w:rPr>
        <w:t>2.5.3</w:t>
      </w:r>
      <w:r>
        <w:rPr>
          <w:rFonts w:ascii="Times New Roman" w:hAnsi="Times New Roman" w:eastAsia="黑体"/>
          <w:szCs w:val="21"/>
        </w:rPr>
        <w:t xml:space="preserve">  空白试验</w:t>
      </w:r>
    </w:p>
    <w:p>
      <w:pPr>
        <w:ind w:left="480"/>
        <w:rPr>
          <w:rFonts w:ascii="Times New Roman" w:hAnsi="Times New Roman"/>
        </w:rPr>
      </w:pPr>
      <w:r>
        <w:rPr>
          <w:rFonts w:ascii="Times New Roman" w:hAnsi="Times New Roman"/>
        </w:rPr>
        <w:t>随同试料做空白试验。</w:t>
      </w:r>
    </w:p>
    <w:p>
      <w:pPr>
        <w:rPr>
          <w:rFonts w:ascii="Times New Roman" w:hAnsi="Times New Roman" w:eastAsia="黑体"/>
          <w:szCs w:val="21"/>
        </w:rPr>
      </w:pPr>
      <w:r>
        <w:rPr>
          <w:rFonts w:hint="eastAsia" w:ascii="黑体" w:hAnsi="黑体" w:eastAsia="黑体"/>
          <w:szCs w:val="21"/>
        </w:rPr>
        <w:t>2.5.4</w:t>
      </w:r>
      <w:r>
        <w:rPr>
          <w:rFonts w:ascii="Times New Roman" w:hAnsi="Times New Roman" w:eastAsia="黑体"/>
          <w:szCs w:val="21"/>
        </w:rPr>
        <w:t xml:space="preserve">  测定</w:t>
      </w:r>
    </w:p>
    <w:p>
      <w:pPr>
        <w:rPr>
          <w:rFonts w:ascii="Times New Roman" w:hAnsi="Times New Roman"/>
        </w:rPr>
      </w:pPr>
      <w:r>
        <w:rPr>
          <w:rFonts w:hint="eastAsia" w:ascii="黑体" w:hAnsi="黑体" w:eastAsia="黑体"/>
          <w:szCs w:val="21"/>
        </w:rPr>
        <w:t>2.5.4.1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将试料（2.5.1）置于150mL烧杯中，加入6g硫酸铵（2.2.1），10mL硫酸（2.2.2），盖上表面皿，加热至完全分解，冷却至室温，加入约30mL水溶解盐类，移入100mL容量瓶中，用水稀释至刻度，混匀。</w:t>
      </w:r>
    </w:p>
    <w:p>
      <w:pPr>
        <w:rPr>
          <w:rFonts w:ascii="Times New Roman" w:hAnsi="Times New Roman"/>
        </w:rPr>
      </w:pPr>
      <w:r>
        <w:rPr>
          <w:rFonts w:hint="eastAsia" w:ascii="黑体" w:hAnsi="黑体" w:eastAsia="黑体"/>
          <w:szCs w:val="21"/>
        </w:rPr>
        <w:t xml:space="preserve">2.5.4.2 </w:t>
      </w:r>
      <w:r>
        <w:rPr>
          <w:rFonts w:hint="eastAsia" w:ascii="Times New Roman" w:hAnsi="Times New Roman"/>
        </w:rPr>
        <w:t>铬含量为0.002%-0.02%时，移取10.00mL试液于150mL烧杯中，加入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hint="eastAsia" w:ascii="Times New Roman" w:hAnsi="Times New Roman"/>
        </w:rPr>
        <w:t>.0mL硫酸（2.2.3）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</w:rPr>
        <w:t>加入</w:t>
      </w:r>
      <w:r>
        <w:rPr>
          <w:rFonts w:hint="eastAsia" w:ascii="Times New Roman" w:hAnsi="Times New Roman"/>
          <w:lang w:val="en-US" w:eastAsia="zh-CN"/>
        </w:rPr>
        <w:t>39</w:t>
      </w:r>
      <w:r>
        <w:rPr>
          <w:rFonts w:hint="eastAsia" w:ascii="Times New Roman" w:hAnsi="Times New Roman"/>
        </w:rPr>
        <w:t>mL水；铬含量大于0.02%-0.2%时，移取5.00mL试液于150mL烧杯中，加入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</w:rPr>
        <w:t>.0mL硫酸（2.2.3），加入43mL水。</w:t>
      </w:r>
    </w:p>
    <w:p>
      <w:pPr>
        <w:rPr>
          <w:rFonts w:ascii="Times New Roman" w:hAnsi="Times New Roman"/>
        </w:rPr>
      </w:pPr>
      <w:r>
        <w:rPr>
          <w:rFonts w:hint="eastAsia" w:ascii="黑体" w:hAnsi="黑体" w:eastAsia="黑体"/>
          <w:szCs w:val="21"/>
        </w:rPr>
        <w:t>2.5.4.3</w:t>
      </w:r>
      <w:r>
        <w:rPr>
          <w:rFonts w:hint="eastAsia" w:ascii="Times New Roman" w:hAnsi="Times New Roman"/>
        </w:rPr>
        <w:t xml:space="preserve">  滴加高锰酸钾溶液（2.2.4）至溶液呈红色后并过量2-3滴，缓慢煮沸数分钟，使铬氧化完全。冷却至室温后，加入20mL尿素溶液（2.2.5），摇匀，滴加亚硝酸钠溶液（2.2.6），使高锰酸钾的红紫色消失，摇动至气泡停止后移入100mL容量瓶中，以流水冷却至20℃以下，加入5mL二苯卡巴肼溶液（2.2.7），用水稀释至刻度，混匀，放置5min。</w:t>
      </w:r>
    </w:p>
    <w:p>
      <w:pPr>
        <w:widowControl w:val="0"/>
        <w:jc w:val="both"/>
        <w:rPr>
          <w:rFonts w:ascii="Times New Roman" w:hAnsi="Times New Roman"/>
        </w:rPr>
      </w:pPr>
      <w:r>
        <w:rPr>
          <w:rFonts w:hint="eastAsia" w:ascii="黑体" w:hAnsi="黑体" w:eastAsia="黑体"/>
        </w:rPr>
        <w:t>2.5.4.4</w:t>
      </w:r>
      <w:r>
        <w:rPr>
          <w:rFonts w:hint="eastAsia" w:ascii="Times New Roman" w:hAnsi="Times New Roman"/>
        </w:rPr>
        <w:t xml:space="preserve">  移取部分溶液于1cm比色皿中，以空白试验溶液为参比，于分光光度计波长540nm处，测量其吸光度。从工作曲线上查出相应的</w:t>
      </w:r>
      <w:r>
        <w:rPr>
          <w:rFonts w:hint="eastAsia" w:ascii="Times New Roman" w:hAnsi="Times New Roman"/>
          <w:lang w:eastAsia="zh-CN"/>
        </w:rPr>
        <w:t>铬含量</w:t>
      </w:r>
      <w:r>
        <w:rPr>
          <w:rFonts w:hint="eastAsia" w:ascii="Times New Roman" w:hAnsi="Times New Roman"/>
        </w:rPr>
        <w:t>。</w:t>
      </w:r>
    </w:p>
    <w:p>
      <w:pPr>
        <w:rPr>
          <w:rFonts w:ascii="Times New Roman" w:hAnsi="Times New Roman"/>
        </w:rPr>
      </w:pPr>
      <w:r>
        <w:rPr>
          <w:rFonts w:hint="eastAsia" w:ascii="黑体" w:hAnsi="黑体" w:eastAsia="黑体"/>
        </w:rPr>
        <w:t xml:space="preserve">2.5.5 </w:t>
      </w:r>
      <w:r>
        <w:rPr>
          <w:rFonts w:hint="eastAsia" w:ascii="Times New Roman" w:hAnsi="Times New Roman"/>
        </w:rPr>
        <w:t xml:space="preserve"> 工作曲线的绘制</w:t>
      </w:r>
    </w:p>
    <w:p>
      <w:pPr>
        <w:rPr>
          <w:rFonts w:ascii="Times New Roman" w:hAnsi="Times New Roman"/>
        </w:rPr>
      </w:pPr>
      <w:r>
        <w:rPr>
          <w:rFonts w:hint="eastAsia" w:ascii="黑体" w:hAnsi="黑体" w:eastAsia="黑体"/>
        </w:rPr>
        <w:t>2.5.5.1</w:t>
      </w:r>
      <w:r>
        <w:rPr>
          <w:rFonts w:hint="eastAsia" w:ascii="Times New Roman" w:hAnsi="Times New Roman"/>
        </w:rPr>
        <w:t xml:space="preserve">  移取0mL、0.50mL、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hint="eastAsia" w:ascii="Times New Roman" w:hAnsi="Times New Roman"/>
        </w:rPr>
        <w:t>.00mL、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Times New Roman" w:hAnsi="Times New Roman"/>
        </w:rPr>
        <w:t>.00mL、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Times New Roman" w:hAnsi="Times New Roman"/>
        </w:rPr>
        <w:t>.00mL、7.00mL、10.00mL铬标准溶液（2.2.9），分别置于一组150mL烧杯中，加入4.0mL硫酸（2.2.3），用水稀释至约50mL体积。以下按2.5.4.3条进行。</w:t>
      </w:r>
    </w:p>
    <w:p>
      <w:pPr>
        <w:widowControl w:val="0"/>
        <w:jc w:val="both"/>
        <w:rPr>
          <w:rFonts w:ascii="Times New Roman" w:hAnsi="Times New Roman"/>
        </w:rPr>
      </w:pPr>
      <w:r>
        <w:rPr>
          <w:rFonts w:hint="eastAsia" w:ascii="黑体" w:hAnsi="黑体" w:eastAsia="黑体"/>
        </w:rPr>
        <w:t xml:space="preserve">2.5.5.2 </w:t>
      </w:r>
      <w:r>
        <w:rPr>
          <w:rFonts w:hint="eastAsia" w:ascii="Times New Roman" w:hAnsi="Times New Roman"/>
        </w:rPr>
        <w:t xml:space="preserve"> 移取部分溶液于1cm比色皿中，以试剂空白为参比，于分光光度计波长540nm处，测量其吸光度。以</w:t>
      </w:r>
      <w:r>
        <w:rPr>
          <w:rFonts w:hint="eastAsia" w:ascii="Times New Roman" w:hAnsi="Times New Roman"/>
          <w:lang w:eastAsia="zh-CN"/>
        </w:rPr>
        <w:t>铬含量</w:t>
      </w:r>
      <w:r>
        <w:rPr>
          <w:rFonts w:hint="eastAsia" w:ascii="Times New Roman" w:hAnsi="Times New Roman"/>
        </w:rPr>
        <w:t>为横坐标，吸光度为纵坐标，绘制工作曲线。</w:t>
      </w:r>
    </w:p>
    <w:p>
      <w:pPr>
        <w:widowControl w:val="0"/>
        <w:spacing w:line="360" w:lineRule="auto"/>
        <w:jc w:val="both"/>
        <w:rPr>
          <w:rFonts w:hint="eastAsia" w:ascii="黑体" w:hAnsi="黑体" w:eastAsia="黑体"/>
          <w:bCs/>
          <w:szCs w:val="21"/>
          <w:lang w:eastAsia="zh-CN"/>
        </w:rPr>
      </w:pPr>
      <w:r>
        <w:rPr>
          <w:rFonts w:hint="eastAsia" w:ascii="黑体" w:hAnsi="黑体" w:eastAsia="黑体"/>
          <w:bCs/>
          <w:szCs w:val="21"/>
        </w:rPr>
        <w:t>2.6</w:t>
      </w:r>
      <w:r>
        <w:rPr>
          <w:rFonts w:ascii="黑体" w:hAnsi="黑体" w:eastAsia="黑体"/>
          <w:bCs/>
          <w:szCs w:val="21"/>
        </w:rPr>
        <w:t xml:space="preserve"> </w:t>
      </w:r>
      <w:r>
        <w:rPr>
          <w:rFonts w:hint="eastAsia" w:ascii="黑体" w:hAnsi="黑体" w:eastAsia="黑体"/>
          <w:bCs/>
          <w:szCs w:val="21"/>
        </w:rPr>
        <w:t xml:space="preserve"> </w:t>
      </w:r>
      <w:r>
        <w:rPr>
          <w:rFonts w:hint="eastAsia" w:ascii="黑体" w:hAnsi="黑体" w:eastAsia="黑体"/>
          <w:bCs/>
          <w:szCs w:val="21"/>
          <w:lang w:eastAsia="zh-CN"/>
        </w:rPr>
        <w:t>试验数据处理</w:t>
      </w:r>
    </w:p>
    <w:p>
      <w:pPr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宋体"/>
        </w:rPr>
        <w:t>铬含量以</w:t>
      </w:r>
      <w:r>
        <w:rPr>
          <w:rFonts w:hint="eastAsia" w:ascii="Times New Roman" w:hAnsi="宋体"/>
          <w:lang w:eastAsia="zh-CN"/>
        </w:rPr>
        <w:t>铬的</w:t>
      </w:r>
      <w:r>
        <w:rPr>
          <w:rFonts w:ascii="Times New Roman" w:hAnsi="宋体"/>
        </w:rPr>
        <w:t>质量分数</w:t>
      </w:r>
      <w:r>
        <w:rPr>
          <w:rFonts w:ascii="Times New Roman" w:hAnsi="Times New Roman"/>
          <w:i/>
        </w:rPr>
        <w:t>w</w:t>
      </w:r>
      <w:r>
        <w:rPr>
          <w:rFonts w:hint="eastAsia" w:ascii="Times New Roman" w:hAnsi="Times New Roman"/>
          <w:vertAlign w:val="subscript"/>
        </w:rPr>
        <w:t>Cr</w:t>
      </w:r>
      <w:r>
        <w:rPr>
          <w:rFonts w:ascii="Times New Roman" w:hAnsi="宋体"/>
        </w:rPr>
        <w:t>计，按公式（</w:t>
      </w:r>
      <w:r>
        <w:rPr>
          <w:rFonts w:ascii="Times New Roman" w:hAnsi="Times New Roman"/>
        </w:rPr>
        <w:t>1</w:t>
      </w:r>
      <w:r>
        <w:rPr>
          <w:rFonts w:ascii="Times New Roman" w:hAnsi="宋体"/>
        </w:rPr>
        <w:t>）计算</w:t>
      </w:r>
      <w:r>
        <w:rPr>
          <w:rFonts w:ascii="Times New Roman"/>
        </w:rPr>
        <w:t>：</w:t>
      </w:r>
    </w:p>
    <w:p>
      <w:pPr>
        <w:jc w:val="center"/>
        <w:rPr>
          <w:rFonts w:ascii="Times New Roman" w:hAnsi="Times New Roman"/>
        </w:rPr>
      </w:pPr>
      <w:r>
        <w:rPr>
          <w:position w:val="-30"/>
        </w:rPr>
        <w:object>
          <v:shape id="_x0000_i1025" o:spt="75" type="#_x0000_t75" style="height:36pt;width:140.6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s" ShapeID="_x0000_i1025" DrawAspect="Content" ObjectID="_1468075725" r:id="rId14">
            <o:LockedField>false</o:LockedField>
          </o:OLEObject>
        </w:object>
      </w:r>
      <w:r>
        <w:t>∙∙∙∙∙∙∙∙∙∙∙∙∙∙</w:t>
      </w:r>
      <w:r>
        <w:rPr>
          <w:rFonts w:hint="eastAsia"/>
        </w:rPr>
        <w:t>（1）</w:t>
      </w:r>
    </w:p>
    <w:p>
      <w:pPr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式</w:t>
      </w:r>
      <w:r>
        <w:rPr>
          <w:rFonts w:ascii="Times New Roman" w:hAnsi="Times New Roman"/>
        </w:rPr>
        <w:t>中：</w:t>
      </w:r>
    </w:p>
    <w:p>
      <w:pPr>
        <w:ind w:left="420" w:leftChars="20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Cs w:val="21"/>
        </w:rPr>
        <w:t>ρ</w:t>
      </w:r>
      <w:r>
        <w:rPr>
          <w:rFonts w:ascii="Times New Roman" w:hAnsi="Times New Roman"/>
        </w:rPr>
        <w:t>——自工作曲线上查得的</w:t>
      </w:r>
      <w:r>
        <w:rPr>
          <w:rFonts w:hint="eastAsia" w:ascii="Times New Roman" w:hAnsi="Times New Roman"/>
        </w:rPr>
        <w:t>铬</w:t>
      </w:r>
      <w:r>
        <w:rPr>
          <w:rFonts w:ascii="Times New Roman" w:hAnsi="Times New Roman"/>
        </w:rPr>
        <w:t>浓度，单位为微克每毫升（μg/mL）；</w:t>
      </w:r>
    </w:p>
    <w:p>
      <w:pPr>
        <w:ind w:left="420" w:leftChars="20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V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——测量时试液体积，单位为毫升（mL）；</w:t>
      </w:r>
    </w:p>
    <w:p>
      <w:pPr>
        <w:ind w:left="420" w:leftChars="200"/>
        <w:rPr>
          <w:rFonts w:hint="eastAsia" w:ascii="Times New Roman" w:hAnsi="Times New Roman" w:eastAsia="宋体"/>
          <w:lang w:eastAsia="zh-CN"/>
        </w:rPr>
      </w:pPr>
      <w:r>
        <w:rPr>
          <w:rFonts w:ascii="Times New Roman" w:hAnsi="Times New Roman"/>
          <w:i/>
          <w:iCs/>
        </w:rPr>
        <w:t>V</w:t>
      </w:r>
      <w:r>
        <w:rPr>
          <w:rFonts w:ascii="Times New Roman" w:hAnsi="Times New Roman"/>
          <w:vertAlign w:val="subscript"/>
        </w:rPr>
        <w:t xml:space="preserve">2 </w:t>
      </w:r>
      <w:r>
        <w:rPr>
          <w:rFonts w:ascii="Times New Roman" w:hAnsi="Times New Roman"/>
        </w:rPr>
        <w:t>——试液总体积，单位为毫升（mL）</w:t>
      </w:r>
      <w:r>
        <w:rPr>
          <w:rFonts w:hint="eastAsia" w:ascii="Times New Roman" w:hAnsi="Times New Roman"/>
          <w:lang w:eastAsia="zh-CN"/>
        </w:rPr>
        <w:t>；</w:t>
      </w:r>
    </w:p>
    <w:p>
      <w:pPr>
        <w:ind w:left="420" w:leftChars="20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m</w:t>
      </w:r>
      <w:r>
        <w:rPr>
          <w:rFonts w:ascii="Times New Roman" w:hAnsi="Times New Roman"/>
          <w:vertAlign w:val="subscript"/>
        </w:rPr>
        <w:t xml:space="preserve">0 </w:t>
      </w:r>
      <w:r>
        <w:rPr>
          <w:rFonts w:ascii="Times New Roman" w:hAnsi="Times New Roman"/>
        </w:rPr>
        <w:t>——试料的质量，单位为克</w:t>
      </w:r>
      <w:r>
        <w:rPr>
          <w:rFonts w:hint="eastAsia" w:ascii="Times New Roman" w:hAnsi="Times New Roman"/>
        </w:rPr>
        <w:t>（g）；</w:t>
      </w:r>
    </w:p>
    <w:p>
      <w:pPr>
        <w:ind w:left="420" w:leftChars="200"/>
        <w:rPr>
          <w:rFonts w:hint="eastAsia" w:ascii="Times New Roman" w:hAnsi="Times New Roman" w:eastAsia="宋体"/>
          <w:lang w:eastAsia="zh-CN"/>
        </w:rPr>
      </w:pPr>
      <w:r>
        <w:rPr>
          <w:rFonts w:ascii="Times New Roman" w:hAnsi="Times New Roman"/>
          <w:i/>
          <w:iCs/>
        </w:rPr>
        <w:t>V</w:t>
      </w:r>
      <w:r>
        <w:rPr>
          <w:rFonts w:ascii="Times New Roman" w:hAnsi="Times New Roman"/>
          <w:vertAlign w:val="subscript"/>
        </w:rPr>
        <w:t xml:space="preserve">1 </w:t>
      </w:r>
      <w:r>
        <w:rPr>
          <w:rFonts w:ascii="Times New Roman" w:hAnsi="Times New Roman"/>
        </w:rPr>
        <w:t>——分取试液体积，单位为毫升（mL）</w:t>
      </w:r>
      <w:r>
        <w:rPr>
          <w:rFonts w:hint="eastAsia" w:ascii="Times New Roman" w:hAnsi="Times New Roman"/>
          <w:lang w:eastAsia="zh-CN"/>
        </w:rPr>
        <w:t>。</w:t>
      </w:r>
    </w:p>
    <w:p>
      <w:pPr>
        <w:ind w:left="420" w:left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计算结果保留两位有效数字。</w:t>
      </w:r>
    </w:p>
    <w:p>
      <w:pPr>
        <w:spacing w:line="360" w:lineRule="auto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 xml:space="preserve">2.7  </w:t>
      </w:r>
      <w:r>
        <w:rPr>
          <w:rFonts w:ascii="黑体" w:hAnsi="黑体" w:eastAsia="黑体"/>
          <w:bCs/>
          <w:szCs w:val="21"/>
        </w:rPr>
        <w:t>精密度</w:t>
      </w:r>
      <w:r>
        <w:rPr>
          <w:rFonts w:ascii="黑体" w:hAnsi="黑体" w:eastAsia="黑体"/>
          <w:bCs/>
          <w:szCs w:val="21"/>
        </w:rPr>
        <w:tab/>
      </w:r>
    </w:p>
    <w:p>
      <w:pPr>
        <w:spacing w:line="360" w:lineRule="auto"/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2.7.1</w:t>
      </w:r>
      <w:r>
        <w:rPr>
          <w:rFonts w:ascii="黑体" w:eastAsia="黑体"/>
          <w:szCs w:val="21"/>
        </w:rPr>
        <w:t xml:space="preserve">  重复性</w:t>
      </w:r>
    </w:p>
    <w:p>
      <w:pPr>
        <w:ind w:firstLine="435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在重复性条件下获得的两次独立测试结果的测定值，在以下给出的平均值范围内，这两个测试结果的绝对值不超过重复性限（r），超过重复性限（r）的情况不超过5%，重复性限（r）按表</w:t>
      </w:r>
      <w:r>
        <w:rPr>
          <w:rFonts w:hint="eastAsia" w:ascii="Times New Roman" w:hAnsi="Times New Roman"/>
          <w:bCs/>
          <w:szCs w:val="21"/>
        </w:rPr>
        <w:t>2</w:t>
      </w:r>
      <w:r>
        <w:rPr>
          <w:rFonts w:ascii="Times New Roman" w:hAnsi="Times New Roman"/>
          <w:bCs/>
          <w:szCs w:val="21"/>
        </w:rPr>
        <w:t>数据采用线性内插法</w:t>
      </w:r>
      <w:r>
        <w:rPr>
          <w:rFonts w:hint="eastAsia" w:ascii="宋体" w:hAnsi="宋体"/>
          <w:color w:val="000000"/>
        </w:rPr>
        <w:t>或外延法</w:t>
      </w:r>
      <w:r>
        <w:rPr>
          <w:rFonts w:ascii="Times New Roman" w:hAnsi="Times New Roman"/>
          <w:bCs/>
          <w:szCs w:val="21"/>
        </w:rPr>
        <w:t>求得：</w:t>
      </w:r>
    </w:p>
    <w:p>
      <w:pPr>
        <w:jc w:val="center"/>
        <w:rPr>
          <w:rFonts w:ascii="Times New Roman" w:hAnsi="Times New Roman" w:eastAsia="黑体"/>
          <w:sz w:val="18"/>
          <w:szCs w:val="24"/>
        </w:rPr>
      </w:pPr>
      <w:r>
        <w:rPr>
          <w:rFonts w:ascii="Times New Roman" w:hAnsi="Times New Roman" w:eastAsia="黑体"/>
          <w:sz w:val="18"/>
          <w:szCs w:val="24"/>
        </w:rPr>
        <w:t>表</w:t>
      </w:r>
      <w:r>
        <w:rPr>
          <w:rFonts w:hint="eastAsia" w:ascii="Times New Roman" w:hAnsi="Times New Roman" w:eastAsia="黑体"/>
          <w:sz w:val="18"/>
          <w:szCs w:val="24"/>
        </w:rPr>
        <w:t xml:space="preserve">2 </w:t>
      </w:r>
      <w:r>
        <w:rPr>
          <w:rFonts w:ascii="Times New Roman" w:hAnsi="Times New Roman" w:eastAsia="黑体"/>
          <w:sz w:val="18"/>
          <w:szCs w:val="24"/>
        </w:rPr>
        <w:t>重复性</w:t>
      </w:r>
      <w:r>
        <w:rPr>
          <w:rFonts w:hint="eastAsia" w:ascii="Times New Roman" w:hAnsi="Times New Roman" w:eastAsia="黑体"/>
          <w:sz w:val="18"/>
          <w:szCs w:val="24"/>
        </w:rPr>
        <w:t>限</w:t>
      </w:r>
    </w:p>
    <w:tbl>
      <w:tblPr>
        <w:tblStyle w:val="25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6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w</w:t>
            </w:r>
            <w:r>
              <w:rPr>
                <w:rFonts w:hint="eastAsia" w:ascii="宋体" w:hAnsi="宋体"/>
                <w:i/>
                <w:sz w:val="18"/>
                <w:szCs w:val="18"/>
                <w:vertAlign w:val="subscript"/>
              </w:rPr>
              <w:t>Cr</w:t>
            </w:r>
            <w:r>
              <w:rPr>
                <w:rFonts w:ascii="Times New Roman" w:hAnsi="Times New Roman"/>
                <w:sz w:val="18"/>
                <w:szCs w:val="18"/>
              </w:rPr>
              <w:t>/ %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0.0030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0.018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r / %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0.0005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0.007</w:t>
            </w:r>
          </w:p>
        </w:tc>
      </w:tr>
    </w:tbl>
    <w:p>
      <w:pPr>
        <w:spacing w:line="360" w:lineRule="auto"/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2.7</w:t>
      </w:r>
      <w:r>
        <w:rPr>
          <w:rFonts w:ascii="黑体" w:eastAsia="黑体"/>
          <w:szCs w:val="21"/>
        </w:rPr>
        <w:t>.2  再现性</w:t>
      </w:r>
    </w:p>
    <w:p>
      <w:pPr>
        <w:ind w:firstLine="420" w:firstLineChars="200"/>
        <w:rPr>
          <w:rFonts w:ascii="Times New Roman" w:hAnsi="Times New Roman" w:eastAsia="黑体"/>
        </w:rPr>
      </w:pPr>
      <w:r>
        <w:rPr>
          <w:rFonts w:ascii="Times New Roman" w:hAnsi="Times New Roman"/>
        </w:rPr>
        <w:t>在再现性条件下获得的两次独立测试结果的绝对差不大于再现性限（R），</w:t>
      </w:r>
      <w:r>
        <w:rPr>
          <w:rFonts w:ascii="Times New Roman" w:hAnsi="Times New Roman"/>
          <w:bCs/>
          <w:szCs w:val="21"/>
        </w:rPr>
        <w:t>超过</w:t>
      </w:r>
      <w:r>
        <w:rPr>
          <w:rFonts w:ascii="Times New Roman" w:hAnsi="Times New Roman"/>
        </w:rPr>
        <w:t>再现性</w:t>
      </w:r>
      <w:r>
        <w:rPr>
          <w:rFonts w:ascii="Times New Roman" w:hAnsi="Times New Roman"/>
          <w:bCs/>
          <w:szCs w:val="21"/>
        </w:rPr>
        <w:t>限（R）的情况不超过5%，</w:t>
      </w:r>
      <w:r>
        <w:rPr>
          <w:rFonts w:ascii="Times New Roman" w:hAnsi="Times New Roman"/>
        </w:rPr>
        <w:t>再现性</w:t>
      </w:r>
      <w:r>
        <w:rPr>
          <w:rFonts w:ascii="Times New Roman" w:hAnsi="Times New Roman"/>
          <w:bCs/>
          <w:szCs w:val="21"/>
        </w:rPr>
        <w:t>限（R）按表</w:t>
      </w:r>
      <w:r>
        <w:rPr>
          <w:rFonts w:hint="eastAsia" w:ascii="Times New Roman" w:hAnsi="Times New Roman"/>
          <w:bCs/>
          <w:szCs w:val="21"/>
        </w:rPr>
        <w:t>3</w:t>
      </w:r>
      <w:r>
        <w:rPr>
          <w:rFonts w:ascii="Times New Roman" w:hAnsi="Times New Roman"/>
          <w:bCs/>
          <w:szCs w:val="21"/>
        </w:rPr>
        <w:t>数据采用线性内插法</w:t>
      </w:r>
      <w:r>
        <w:rPr>
          <w:rFonts w:hint="eastAsia" w:ascii="宋体" w:hAnsi="宋体"/>
          <w:color w:val="000000"/>
        </w:rPr>
        <w:t>或外延法</w:t>
      </w:r>
      <w:r>
        <w:rPr>
          <w:rFonts w:ascii="Times New Roman" w:hAnsi="Times New Roman"/>
          <w:bCs/>
          <w:szCs w:val="21"/>
        </w:rPr>
        <w:t>求得：</w:t>
      </w:r>
    </w:p>
    <w:p>
      <w:pPr>
        <w:jc w:val="center"/>
        <w:rPr>
          <w:rFonts w:ascii="Times New Roman" w:hAnsi="Times New Roman" w:eastAsia="黑体"/>
          <w:sz w:val="18"/>
          <w:szCs w:val="24"/>
        </w:rPr>
      </w:pPr>
      <w:r>
        <w:rPr>
          <w:rFonts w:ascii="Times New Roman" w:hAnsi="Times New Roman" w:eastAsia="黑体"/>
          <w:sz w:val="18"/>
          <w:szCs w:val="24"/>
        </w:rPr>
        <w:t>表</w:t>
      </w:r>
      <w:r>
        <w:rPr>
          <w:rFonts w:hint="eastAsia" w:ascii="Times New Roman" w:hAnsi="Times New Roman" w:eastAsia="黑体"/>
          <w:sz w:val="18"/>
          <w:szCs w:val="24"/>
        </w:rPr>
        <w:t xml:space="preserve">3 </w:t>
      </w:r>
      <w:r>
        <w:rPr>
          <w:rFonts w:ascii="Times New Roman" w:hAnsi="Times New Roman" w:eastAsia="黑体"/>
          <w:sz w:val="18"/>
          <w:szCs w:val="24"/>
        </w:rPr>
        <w:t>再现性限</w:t>
      </w:r>
    </w:p>
    <w:tbl>
      <w:tblPr>
        <w:tblStyle w:val="25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6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7" w:type="dxa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w</w:t>
            </w:r>
            <w:r>
              <w:rPr>
                <w:rFonts w:hint="eastAsia" w:ascii="宋体" w:hAnsi="宋体"/>
                <w:i/>
                <w:sz w:val="18"/>
                <w:szCs w:val="18"/>
                <w:vertAlign w:val="subscript"/>
              </w:rPr>
              <w:t>Cr</w:t>
            </w:r>
            <w:r>
              <w:rPr>
                <w:rFonts w:ascii="Times New Roman" w:hAnsi="Times New Roman"/>
                <w:sz w:val="18"/>
                <w:szCs w:val="18"/>
              </w:rPr>
              <w:t>/%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0.0030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0.018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2127" w:type="dxa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R / %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0.0007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0.008</w:t>
            </w:r>
          </w:p>
        </w:tc>
      </w:tr>
    </w:tbl>
    <w:p>
      <w:pPr>
        <w:spacing w:line="360" w:lineRule="auto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3  方法二电感耦合等离子体原子发射光谱法</w:t>
      </w:r>
    </w:p>
    <w:p>
      <w:pPr>
        <w:widowControl w:val="0"/>
        <w:spacing w:line="360" w:lineRule="auto"/>
        <w:jc w:val="left"/>
        <w:rPr>
          <w:rFonts w:hint="eastAsia" w:ascii="黑体" w:eastAsia="黑体"/>
          <w:szCs w:val="21"/>
          <w:lang w:eastAsia="zh-CN"/>
        </w:rPr>
      </w:pPr>
      <w:r>
        <w:rPr>
          <w:rFonts w:hint="eastAsia" w:ascii="黑体" w:eastAsia="黑体"/>
          <w:szCs w:val="21"/>
        </w:rPr>
        <w:t xml:space="preserve">3.1  </w:t>
      </w:r>
      <w:r>
        <w:rPr>
          <w:rFonts w:hint="eastAsia" w:ascii="黑体" w:eastAsia="黑体"/>
          <w:szCs w:val="21"/>
          <w:lang w:eastAsia="zh-CN"/>
        </w:rPr>
        <w:t>原理</w:t>
      </w:r>
    </w:p>
    <w:p>
      <w:pPr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>用</w:t>
      </w:r>
      <w:r>
        <w:rPr>
          <w:rFonts w:hAnsi="宋体"/>
          <w:szCs w:val="21"/>
        </w:rPr>
        <w:t>盐酸和氢氟酸溶解试料，</w:t>
      </w:r>
      <w:r>
        <w:rPr>
          <w:rFonts w:hint="eastAsia" w:hAnsi="宋体"/>
          <w:szCs w:val="21"/>
        </w:rPr>
        <w:t>滴加硝酸氧化。</w:t>
      </w:r>
      <w:r>
        <w:rPr>
          <w:rFonts w:hAnsi="宋体"/>
          <w:szCs w:val="21"/>
        </w:rPr>
        <w:t>用电感耦合等离子体原子发射光谱</w:t>
      </w:r>
      <w:r>
        <w:rPr>
          <w:rFonts w:hint="eastAsia" w:hAnsi="宋体"/>
          <w:szCs w:val="21"/>
        </w:rPr>
        <w:t>法进行</w:t>
      </w:r>
      <w:r>
        <w:rPr>
          <w:rFonts w:hAnsi="宋体"/>
          <w:szCs w:val="21"/>
        </w:rPr>
        <w:t>测定，按工作曲线法计算</w:t>
      </w:r>
      <w:r>
        <w:rPr>
          <w:rFonts w:hint="eastAsia" w:hAnsi="宋体"/>
          <w:szCs w:val="21"/>
        </w:rPr>
        <w:t>铬</w:t>
      </w:r>
      <w:r>
        <w:rPr>
          <w:rFonts w:hAnsi="宋体"/>
          <w:szCs w:val="21"/>
        </w:rPr>
        <w:t>的质量浓度，以质量分数表示测定结果。</w:t>
      </w:r>
    </w:p>
    <w:p>
      <w:pPr>
        <w:spacing w:line="360" w:lineRule="auto"/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 xml:space="preserve">3.2  试剂 </w:t>
      </w:r>
    </w:p>
    <w:p>
      <w:pPr>
        <w:ind w:firstLine="420" w:firstLineChars="200"/>
        <w:rPr>
          <w:rFonts w:hAnsi="Times New Roman"/>
          <w:szCs w:val="21"/>
        </w:rPr>
      </w:pPr>
      <w:r>
        <w:rPr>
          <w:rFonts w:hint="eastAsia" w:hAnsi="宋体"/>
          <w:szCs w:val="21"/>
        </w:rPr>
        <w:t>除</w:t>
      </w:r>
      <w:r>
        <w:rPr>
          <w:rFonts w:hAnsi="宋体"/>
          <w:szCs w:val="21"/>
        </w:rPr>
        <w:t>另有说明，在分析中仅使用确认为分析纯的试剂和</w:t>
      </w:r>
      <w:r>
        <w:rPr>
          <w:rFonts w:hint="eastAsia" w:hAnsi="宋体"/>
          <w:szCs w:val="21"/>
        </w:rPr>
        <w:t>实验室二级</w:t>
      </w:r>
      <w:r>
        <w:rPr>
          <w:rFonts w:hAnsi="宋体"/>
          <w:szCs w:val="21"/>
        </w:rPr>
        <w:t>水。</w:t>
      </w:r>
    </w:p>
    <w:p>
      <w:pPr>
        <w:rPr>
          <w:szCs w:val="21"/>
        </w:rPr>
      </w:pPr>
      <w:r>
        <w:rPr>
          <w:rFonts w:hint="eastAsia" w:ascii="黑体" w:hAnsi="黑体" w:eastAsia="黑体"/>
          <w:szCs w:val="21"/>
        </w:rPr>
        <w:t>3.2.1</w:t>
      </w:r>
      <w:r>
        <w:rPr>
          <w:szCs w:val="21"/>
        </w:rPr>
        <w:t xml:space="preserve">  硝酸（</w:t>
      </w:r>
      <w:r>
        <w:rPr>
          <w:szCs w:val="21"/>
        </w:rPr>
        <w:sym w:font="Symbol" w:char="F072"/>
      </w:r>
      <w:r>
        <w:rPr>
          <w:szCs w:val="21"/>
        </w:rPr>
        <w:t>1.42 g/mL）。</w:t>
      </w:r>
    </w:p>
    <w:p>
      <w:pPr>
        <w:rPr>
          <w:szCs w:val="21"/>
        </w:rPr>
      </w:pPr>
      <w:r>
        <w:rPr>
          <w:rFonts w:hint="eastAsia" w:ascii="黑体" w:hAnsi="黑体" w:eastAsia="黑体"/>
          <w:szCs w:val="21"/>
        </w:rPr>
        <w:t>3.2</w:t>
      </w:r>
      <w:r>
        <w:rPr>
          <w:rFonts w:ascii="黑体" w:hAnsi="黑体" w:eastAsia="黑体"/>
          <w:szCs w:val="21"/>
        </w:rPr>
        <w:t>.2</w:t>
      </w:r>
      <w:r>
        <w:rPr>
          <w:szCs w:val="21"/>
        </w:rPr>
        <w:t xml:space="preserve">  </w:t>
      </w:r>
      <w:r>
        <w:rPr>
          <w:rFonts w:hAnsi="宋体"/>
          <w:szCs w:val="21"/>
        </w:rPr>
        <w:t>盐酸（</w:t>
      </w:r>
      <w:r>
        <w:rPr>
          <w:szCs w:val="21"/>
        </w:rPr>
        <w:t>1+1</w:t>
      </w:r>
      <w:r>
        <w:rPr>
          <w:rFonts w:hAnsi="宋体"/>
          <w:szCs w:val="21"/>
        </w:rPr>
        <w:t>）。</w:t>
      </w:r>
    </w:p>
    <w:p>
      <w:pPr>
        <w:rPr>
          <w:szCs w:val="21"/>
        </w:rPr>
      </w:pPr>
      <w:r>
        <w:rPr>
          <w:rFonts w:hint="eastAsia" w:ascii="黑体" w:hAnsi="黑体" w:eastAsia="黑体"/>
          <w:szCs w:val="21"/>
        </w:rPr>
        <w:t>3.2</w:t>
      </w:r>
      <w:r>
        <w:rPr>
          <w:rFonts w:ascii="黑体" w:hAnsi="黑体" w:eastAsia="黑体"/>
          <w:szCs w:val="21"/>
        </w:rPr>
        <w:t>.3</w:t>
      </w:r>
      <w:r>
        <w:rPr>
          <w:rFonts w:eastAsia="黑体"/>
          <w:szCs w:val="21"/>
        </w:rPr>
        <w:t xml:space="preserve"> </w:t>
      </w:r>
      <w:r>
        <w:rPr>
          <w:szCs w:val="21"/>
        </w:rPr>
        <w:t xml:space="preserve"> 氢氟酸（1+1）。</w:t>
      </w:r>
    </w:p>
    <w:p>
      <w:pPr>
        <w:rPr>
          <w:szCs w:val="21"/>
        </w:rPr>
      </w:pPr>
      <w:r>
        <w:rPr>
          <w:rFonts w:hint="eastAsia" w:ascii="黑体" w:hAnsi="黑体" w:eastAsia="黑体"/>
          <w:kern w:val="0"/>
          <w:szCs w:val="21"/>
        </w:rPr>
        <w:t>3.2</w:t>
      </w:r>
      <w:r>
        <w:rPr>
          <w:rFonts w:ascii="黑体" w:hAnsi="黑体" w:eastAsia="黑体"/>
          <w:kern w:val="0"/>
          <w:szCs w:val="21"/>
        </w:rPr>
        <w:t>.4</w:t>
      </w:r>
      <w:r>
        <w:rPr>
          <w:kern w:val="0"/>
          <w:szCs w:val="21"/>
        </w:rPr>
        <w:t xml:space="preserve">  </w:t>
      </w:r>
      <w:r>
        <w:rPr>
          <w:rFonts w:hint="eastAsia" w:hAnsi="宋体"/>
          <w:kern w:val="0"/>
          <w:szCs w:val="21"/>
        </w:rPr>
        <w:t>金属锆</w:t>
      </w:r>
      <w:r>
        <w:rPr>
          <w:rFonts w:hAnsi="宋体"/>
          <w:kern w:val="0"/>
          <w:szCs w:val="21"/>
        </w:rPr>
        <w:t>（</w:t>
      </w:r>
      <w:r>
        <w:rPr>
          <w:i/>
          <w:szCs w:val="21"/>
        </w:rPr>
        <w:t>w</w:t>
      </w:r>
      <w:r>
        <w:rPr>
          <w:szCs w:val="21"/>
          <w:vertAlign w:val="subscript"/>
        </w:rPr>
        <w:t>Zr</w:t>
      </w:r>
      <w:r>
        <w:rPr>
          <w:rFonts w:hint="eastAsia" w:ascii="宋体" w:hAnsi="宋体"/>
          <w:szCs w:val="21"/>
        </w:rPr>
        <w:t>≥</w:t>
      </w:r>
      <w:r>
        <w:rPr>
          <w:szCs w:val="21"/>
        </w:rPr>
        <w:t>99.95</w:t>
      </w:r>
      <w:r>
        <w:rPr>
          <w:rFonts w:hAnsi="宋体"/>
          <w:szCs w:val="21"/>
        </w:rPr>
        <w:t>％，</w:t>
      </w:r>
      <w:r>
        <w:rPr>
          <w:i/>
          <w:szCs w:val="21"/>
        </w:rPr>
        <w:t>w</w:t>
      </w:r>
      <w:r>
        <w:rPr>
          <w:rFonts w:hint="eastAsia"/>
          <w:szCs w:val="21"/>
          <w:vertAlign w:val="subscript"/>
        </w:rPr>
        <w:t>Cr</w:t>
      </w:r>
      <w:r>
        <w:rPr>
          <w:rFonts w:hAnsi="宋体"/>
          <w:szCs w:val="21"/>
        </w:rPr>
        <w:t>＜</w:t>
      </w:r>
      <w:r>
        <w:rPr>
          <w:szCs w:val="21"/>
        </w:rPr>
        <w:t>0.0005%</w:t>
      </w:r>
      <w:r>
        <w:rPr>
          <w:rFonts w:hAnsi="宋体"/>
          <w:kern w:val="0"/>
          <w:szCs w:val="21"/>
        </w:rPr>
        <w:t>）</w:t>
      </w:r>
      <w:r>
        <w:rPr>
          <w:rFonts w:hAnsi="宋体"/>
          <w:szCs w:val="21"/>
        </w:rPr>
        <w:t>。</w:t>
      </w:r>
    </w:p>
    <w:p>
      <w:pPr>
        <w:rPr>
          <w:rFonts w:ascii="Times New Roman" w:hAnsi="Times New Roman"/>
        </w:rPr>
      </w:pPr>
      <w:r>
        <w:rPr>
          <w:rFonts w:hint="eastAsia" w:ascii="黑体" w:hAnsi="黑体" w:eastAsia="黑体"/>
          <w:szCs w:val="21"/>
        </w:rPr>
        <w:t>3.2</w:t>
      </w:r>
      <w:r>
        <w:rPr>
          <w:rFonts w:ascii="黑体" w:hAnsi="黑体" w:eastAsia="黑体"/>
          <w:szCs w:val="21"/>
        </w:rPr>
        <w:t>.5</w:t>
      </w:r>
      <w:r>
        <w:rPr>
          <w:rFonts w:eastAsia="黑体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 w:hAnsi="宋体"/>
          <w:szCs w:val="21"/>
        </w:rPr>
        <w:t>铬</w:t>
      </w:r>
      <w:r>
        <w:rPr>
          <w:rFonts w:hAnsi="宋体"/>
          <w:szCs w:val="21"/>
        </w:rPr>
        <w:t>标准贮存溶液：</w:t>
      </w:r>
      <w:r>
        <w:rPr>
          <w:rFonts w:hint="eastAsia" w:ascii="Times New Roman" w:hAnsi="Times New Roman"/>
        </w:rPr>
        <w:t>称取2.8293g预先在105℃烘干2h的重铬酸钾（基准试剂），用水溶解，移入1000mL容量瓶中，以水稀释至刻度，混匀。此</w:t>
      </w:r>
      <w:r>
        <w:rPr>
          <w:rFonts w:ascii="Times New Roman" w:hAnsi="Times New Roman"/>
        </w:rPr>
        <w:t>溶液1mL含1</w:t>
      </w:r>
      <w:r>
        <w:rPr>
          <w:rFonts w:hint="eastAsia" w:ascii="Times New Roman" w:hAnsi="Times New Roman"/>
        </w:rPr>
        <w:t>.0m</w:t>
      </w:r>
      <w:r>
        <w:rPr>
          <w:rFonts w:ascii="Times New Roman" w:hAnsi="Times New Roman"/>
        </w:rPr>
        <w:t>g</w:t>
      </w:r>
      <w:r>
        <w:rPr>
          <w:rFonts w:hint="eastAsia" w:ascii="Times New Roman" w:hAnsi="Times New Roman"/>
        </w:rPr>
        <w:t>铬。</w:t>
      </w:r>
    </w:p>
    <w:p>
      <w:pPr>
        <w:rPr>
          <w:szCs w:val="21"/>
        </w:rPr>
      </w:pPr>
      <w:r>
        <w:rPr>
          <w:rFonts w:hint="eastAsia" w:ascii="黑体" w:hAnsi="黑体" w:eastAsia="黑体"/>
          <w:szCs w:val="21"/>
        </w:rPr>
        <w:t>3.2</w:t>
      </w:r>
      <w:r>
        <w:rPr>
          <w:rFonts w:ascii="黑体" w:hAnsi="黑体" w:eastAsia="黑体"/>
          <w:szCs w:val="21"/>
        </w:rPr>
        <w:t>.6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 w:hAnsi="宋体"/>
          <w:szCs w:val="21"/>
        </w:rPr>
        <w:t>铬</w:t>
      </w:r>
      <w:r>
        <w:rPr>
          <w:rFonts w:hAnsi="宋体"/>
          <w:szCs w:val="21"/>
        </w:rPr>
        <w:t>标准溶液：移取</w:t>
      </w:r>
      <w:r>
        <w:rPr>
          <w:rFonts w:hint="eastAsia"/>
          <w:szCs w:val="21"/>
        </w:rPr>
        <w:t>1</w:t>
      </w:r>
      <w:r>
        <w:rPr>
          <w:szCs w:val="21"/>
        </w:rPr>
        <w:t>0.00mL</w:t>
      </w:r>
      <w:r>
        <w:rPr>
          <w:rFonts w:hint="eastAsia" w:hAnsi="宋体"/>
          <w:szCs w:val="21"/>
        </w:rPr>
        <w:t>铬</w:t>
      </w:r>
      <w:r>
        <w:rPr>
          <w:rFonts w:hAnsi="宋体"/>
          <w:szCs w:val="21"/>
        </w:rPr>
        <w:t>标准贮存溶液（</w:t>
      </w:r>
      <w:r>
        <w:rPr>
          <w:rFonts w:hint="eastAsia"/>
          <w:szCs w:val="21"/>
        </w:rPr>
        <w:t>3.2</w:t>
      </w:r>
      <w:r>
        <w:rPr>
          <w:szCs w:val="21"/>
        </w:rPr>
        <w:t>.</w:t>
      </w:r>
      <w:r>
        <w:rPr>
          <w:rFonts w:hint="eastAsia"/>
          <w:szCs w:val="21"/>
        </w:rPr>
        <w:t>5</w:t>
      </w:r>
      <w:r>
        <w:rPr>
          <w:rFonts w:hAnsi="宋体"/>
          <w:szCs w:val="21"/>
        </w:rPr>
        <w:t>）于</w:t>
      </w:r>
      <w:r>
        <w:rPr>
          <w:rFonts w:hint="eastAsia"/>
          <w:szCs w:val="21"/>
        </w:rPr>
        <w:t>1</w:t>
      </w:r>
      <w:r>
        <w:rPr>
          <w:szCs w:val="21"/>
        </w:rPr>
        <w:t>00mL</w:t>
      </w:r>
      <w:r>
        <w:rPr>
          <w:rFonts w:hAnsi="宋体"/>
          <w:szCs w:val="21"/>
        </w:rPr>
        <w:t>容量瓶中，用水稀释至刻度，混匀。此溶液</w:t>
      </w:r>
      <w:r>
        <w:rPr>
          <w:szCs w:val="21"/>
        </w:rPr>
        <w:t>1mL</w:t>
      </w:r>
      <w:r>
        <w:rPr>
          <w:rFonts w:hAnsi="宋体"/>
          <w:szCs w:val="21"/>
        </w:rPr>
        <w:t>含</w:t>
      </w:r>
      <w:r>
        <w:rPr>
          <w:szCs w:val="21"/>
        </w:rPr>
        <w:t>100μg</w:t>
      </w:r>
      <w:r>
        <w:rPr>
          <w:rFonts w:hint="eastAsia" w:hAnsi="宋体"/>
          <w:szCs w:val="21"/>
        </w:rPr>
        <w:t>铬</w:t>
      </w:r>
      <w:r>
        <w:rPr>
          <w:rFonts w:hAnsi="宋体"/>
          <w:szCs w:val="21"/>
        </w:rPr>
        <w:t>。</w:t>
      </w:r>
    </w:p>
    <w:p>
      <w:r>
        <w:rPr>
          <w:rFonts w:hint="eastAsia" w:ascii="黑体" w:hAnsi="黑体" w:eastAsia="黑体"/>
          <w:szCs w:val="21"/>
        </w:rPr>
        <w:t xml:space="preserve">3.2.7 </w:t>
      </w:r>
      <w:r>
        <w:rPr>
          <w:kern w:val="0"/>
          <w:szCs w:val="20"/>
        </w:rPr>
        <w:t xml:space="preserve"> </w:t>
      </w:r>
      <w:r>
        <w:t>高纯氩气（</w:t>
      </w:r>
      <w:r>
        <w:rPr>
          <w:rFonts w:hint="eastAsia"/>
        </w:rPr>
        <w:t>体积分数</w:t>
      </w:r>
      <w:r>
        <w:rPr>
          <w:rFonts w:hint="eastAsia" w:ascii="宋体" w:hAnsi="宋体"/>
        </w:rPr>
        <w:t>&gt;</w:t>
      </w:r>
      <w:r>
        <w:t>99.99%）。</w:t>
      </w:r>
    </w:p>
    <w:p>
      <w:pPr>
        <w:widowControl w:val="0"/>
        <w:spacing w:line="360" w:lineRule="auto"/>
        <w:jc w:val="left"/>
        <w:rPr>
          <w:rFonts w:hint="eastAsia" w:ascii="黑体" w:eastAsia="黑体"/>
          <w:szCs w:val="21"/>
          <w:lang w:eastAsia="zh-CN"/>
        </w:rPr>
      </w:pPr>
      <w:r>
        <w:rPr>
          <w:rFonts w:hint="eastAsia" w:ascii="黑体" w:eastAsia="黑体"/>
          <w:szCs w:val="21"/>
        </w:rPr>
        <w:t xml:space="preserve">3.3  </w:t>
      </w:r>
      <w:r>
        <w:rPr>
          <w:rFonts w:hint="eastAsia" w:ascii="黑体" w:eastAsia="黑体"/>
          <w:szCs w:val="21"/>
          <w:lang w:eastAsia="zh-CN"/>
        </w:rPr>
        <w:t>仪器设备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电感耦合等离子体发射光谱仪：具备耐氢氟酸雾化器系统。</w:t>
      </w:r>
      <w:r>
        <w:rPr>
          <w:rFonts w:hint="eastAsia"/>
          <w:color w:val="000000"/>
          <w:szCs w:val="21"/>
        </w:rPr>
        <w:t>分辨率小于0.006nm(200nm处)。</w:t>
      </w:r>
    </w:p>
    <w:p>
      <w:pPr>
        <w:spacing w:before="156" w:beforeLines="50" w:after="156" w:afterLines="50"/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  <w:lang w:val="en-US" w:eastAsia="zh-CN"/>
        </w:rPr>
        <w:t>3</w:t>
      </w:r>
      <w:r>
        <w:rPr>
          <w:rFonts w:hint="eastAsia" w:ascii="黑体" w:eastAsia="黑体"/>
          <w:szCs w:val="21"/>
        </w:rPr>
        <w:t>.4  样品</w:t>
      </w:r>
    </w:p>
    <w:p>
      <w:pPr>
        <w:rPr>
          <w:szCs w:val="21"/>
        </w:rPr>
      </w:pPr>
      <w:r>
        <w:rPr>
          <w:rFonts w:hint="eastAsia" w:ascii="黑体" w:hAnsi="黑体" w:eastAsia="黑体"/>
          <w:szCs w:val="21"/>
          <w:lang w:val="en-US" w:eastAsia="zh-CN"/>
        </w:rPr>
        <w:t>3</w:t>
      </w:r>
      <w:r>
        <w:rPr>
          <w:rFonts w:hint="eastAsia" w:ascii="黑体" w:hAnsi="黑体" w:eastAsia="黑体"/>
          <w:szCs w:val="21"/>
        </w:rPr>
        <w:t>.4.1</w:t>
      </w:r>
      <w:r>
        <w:rPr>
          <w:szCs w:val="21"/>
        </w:rPr>
        <w:t xml:space="preserve">  取样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海绵锆、锆</w:t>
      </w:r>
      <w:r>
        <w:rPr>
          <w:szCs w:val="21"/>
        </w:rPr>
        <w:t>及</w:t>
      </w:r>
      <w:r>
        <w:rPr>
          <w:rFonts w:hint="eastAsia"/>
          <w:szCs w:val="21"/>
        </w:rPr>
        <w:t>锆</w:t>
      </w:r>
      <w:r>
        <w:rPr>
          <w:szCs w:val="21"/>
        </w:rPr>
        <w:t>合金的取样应按照已颁布的相应标准进行。</w:t>
      </w:r>
    </w:p>
    <w:p>
      <w:pPr>
        <w:rPr>
          <w:rFonts w:hint="eastAsia"/>
          <w:szCs w:val="21"/>
        </w:rPr>
      </w:pPr>
      <w:r>
        <w:rPr>
          <w:rFonts w:hint="eastAsia" w:ascii="黑体" w:hAnsi="黑体" w:eastAsia="黑体"/>
          <w:szCs w:val="21"/>
          <w:lang w:val="en-US" w:eastAsia="zh-CN"/>
        </w:rPr>
        <w:t>3</w:t>
      </w:r>
      <w:r>
        <w:rPr>
          <w:rFonts w:hint="eastAsia" w:ascii="黑体" w:hAnsi="黑体" w:eastAsia="黑体"/>
          <w:szCs w:val="21"/>
        </w:rPr>
        <w:t xml:space="preserve">.4.2 </w:t>
      </w:r>
      <w:r>
        <w:rPr>
          <w:rFonts w:hint="eastAsia"/>
          <w:szCs w:val="21"/>
        </w:rPr>
        <w:t xml:space="preserve"> 试样处理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将</w:t>
      </w:r>
      <w:r>
        <w:rPr>
          <w:szCs w:val="21"/>
        </w:rPr>
        <w:t>试样</w:t>
      </w:r>
      <w:r>
        <w:rPr>
          <w:rFonts w:hint="eastAsia"/>
          <w:szCs w:val="21"/>
        </w:rPr>
        <w:t>剪</w:t>
      </w:r>
      <w:r>
        <w:rPr>
          <w:szCs w:val="21"/>
        </w:rPr>
        <w:t>成</w:t>
      </w:r>
      <w:r>
        <w:rPr>
          <w:rFonts w:hint="eastAsia"/>
          <w:szCs w:val="21"/>
        </w:rPr>
        <w:t>长度</w:t>
      </w:r>
      <w:r>
        <w:rPr>
          <w:szCs w:val="21"/>
        </w:rPr>
        <w:t>不</w:t>
      </w:r>
      <w:r>
        <w:rPr>
          <w:rFonts w:hint="eastAsia"/>
          <w:szCs w:val="21"/>
        </w:rPr>
        <w:t>大于2</w:t>
      </w:r>
      <w:r>
        <w:rPr>
          <w:szCs w:val="21"/>
        </w:rPr>
        <w:t>mm的</w:t>
      </w:r>
      <w:r>
        <w:rPr>
          <w:rFonts w:hint="eastAsia"/>
          <w:szCs w:val="21"/>
        </w:rPr>
        <w:t>碎屑</w:t>
      </w:r>
      <w:r>
        <w:rPr>
          <w:szCs w:val="21"/>
        </w:rPr>
        <w:t>。</w:t>
      </w:r>
    </w:p>
    <w:p>
      <w:pPr>
        <w:widowControl w:val="0"/>
        <w:spacing w:line="360" w:lineRule="auto"/>
        <w:jc w:val="left"/>
        <w:rPr>
          <w:rFonts w:hint="eastAsia" w:ascii="黑体" w:eastAsia="黑体"/>
          <w:szCs w:val="21"/>
          <w:lang w:eastAsia="zh-CN"/>
        </w:rPr>
      </w:pPr>
      <w:r>
        <w:rPr>
          <w:rFonts w:hint="eastAsia" w:ascii="黑体" w:eastAsia="黑体"/>
          <w:szCs w:val="21"/>
        </w:rPr>
        <w:t>3.5</w:t>
      </w:r>
      <w:r>
        <w:rPr>
          <w:rFonts w:ascii="黑体" w:eastAsia="黑体"/>
          <w:szCs w:val="21"/>
        </w:rPr>
        <w:t xml:space="preserve">  </w:t>
      </w:r>
      <w:r>
        <w:rPr>
          <w:rFonts w:hint="eastAsia" w:ascii="黑体" w:eastAsia="黑体"/>
          <w:szCs w:val="21"/>
          <w:lang w:eastAsia="zh-CN"/>
        </w:rPr>
        <w:t>试验步骤</w:t>
      </w:r>
    </w:p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3.5.1  试料</w:t>
      </w:r>
    </w:p>
    <w:p>
      <w:pPr>
        <w:ind w:firstLine="420" w:firstLineChars="200"/>
        <w:rPr>
          <w:bCs/>
        </w:rPr>
      </w:pPr>
      <w:r>
        <w:rPr>
          <w:bCs/>
        </w:rPr>
        <w:t>称取</w:t>
      </w:r>
      <w:r>
        <w:rPr>
          <w:rFonts w:hint="eastAsia"/>
          <w:bCs/>
        </w:rPr>
        <w:t>0.50g</w:t>
      </w:r>
      <w:r>
        <w:rPr>
          <w:bCs/>
        </w:rPr>
        <w:t>试</w:t>
      </w:r>
      <w:r>
        <w:rPr>
          <w:rFonts w:hint="eastAsia"/>
          <w:bCs/>
        </w:rPr>
        <w:t>样（5）</w:t>
      </w:r>
      <w:r>
        <w:rPr>
          <w:bCs/>
        </w:rPr>
        <w:t>，精确至0.0001g。</w:t>
      </w:r>
    </w:p>
    <w:p>
      <w:pPr>
        <w:widowControl w:val="0"/>
        <w:jc w:val="both"/>
        <w:rPr>
          <w:rFonts w:hint="eastAsia" w:ascii="黑体" w:eastAsia="黑体"/>
          <w:color w:val="000000"/>
          <w:lang w:eastAsia="zh-CN"/>
        </w:rPr>
      </w:pPr>
      <w:r>
        <w:rPr>
          <w:rFonts w:hint="eastAsia" w:ascii="黑体" w:eastAsia="黑体"/>
          <w:color w:val="000000"/>
        </w:rPr>
        <w:t xml:space="preserve">3.5.2  </w:t>
      </w:r>
      <w:r>
        <w:rPr>
          <w:rFonts w:hint="eastAsia" w:ascii="黑体" w:eastAsia="黑体"/>
          <w:color w:val="000000"/>
          <w:lang w:eastAsia="zh-CN"/>
        </w:rPr>
        <w:t>平行试验</w:t>
      </w:r>
    </w:p>
    <w:p>
      <w:pPr>
        <w:widowControl w:val="0"/>
        <w:ind w:firstLine="420" w:firstLineChars="200"/>
        <w:jc w:val="both"/>
        <w:rPr>
          <w:bCs/>
        </w:rPr>
      </w:pPr>
      <w:r>
        <w:rPr>
          <w:rFonts w:hint="eastAsia"/>
          <w:bCs/>
          <w:lang w:eastAsia="zh-CN"/>
        </w:rPr>
        <w:t>平行做两份实验</w:t>
      </w:r>
      <w:r>
        <w:rPr>
          <w:rFonts w:hint="eastAsia"/>
          <w:bCs/>
        </w:rPr>
        <w:t>，取其平均值。</w:t>
      </w:r>
    </w:p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 xml:space="preserve">3.5.3  空白试验 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>称取与试料等量的金属锆(3.2.4)，</w:t>
      </w:r>
      <w:r>
        <w:rPr>
          <w:szCs w:val="21"/>
        </w:rPr>
        <w:t>随同试料做空白试验。</w:t>
      </w:r>
    </w:p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 xml:space="preserve">3.5.4  试液的制备  </w:t>
      </w:r>
    </w:p>
    <w:p>
      <w:pPr>
        <w:tabs>
          <w:tab w:val="left" w:pos="540"/>
        </w:tabs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</w:rPr>
        <w:t xml:space="preserve">3.5.4.1 </w:t>
      </w:r>
      <w:r>
        <w:rPr>
          <w:rFonts w:hint="eastAsia"/>
          <w:color w:val="000000"/>
        </w:rPr>
        <w:t xml:space="preserve"> 将试料（3.5.1）置于</w:t>
      </w:r>
      <w:r>
        <w:t>200mL</w:t>
      </w:r>
      <w:r>
        <w:rPr>
          <w:rFonts w:hint="eastAsia"/>
          <w:szCs w:val="21"/>
        </w:rPr>
        <w:t>聚乙烯烧杯中</w:t>
      </w:r>
      <w:r>
        <w:rPr>
          <w:rFonts w:hint="eastAsia"/>
          <w:color w:val="000000"/>
        </w:rPr>
        <w:t>，</w:t>
      </w:r>
      <w:r>
        <w:rPr>
          <w:rFonts w:hint="eastAsia"/>
          <w:szCs w:val="21"/>
        </w:rPr>
        <w:t>加入10mL盐酸（3.2.2），加入</w:t>
      </w:r>
      <w:r>
        <w:rPr>
          <w:rFonts w:hint="eastAsia"/>
          <w:color w:val="000000"/>
          <w:szCs w:val="21"/>
        </w:rPr>
        <w:t>2mL</w:t>
      </w:r>
      <w:r>
        <w:rPr>
          <w:rFonts w:hint="eastAsia" w:ascii="宋体" w:hAnsi="宋体"/>
        </w:rPr>
        <w:t>氢氟酸</w:t>
      </w:r>
      <w:r>
        <w:rPr>
          <w:rFonts w:hAnsi="宋体"/>
        </w:rPr>
        <w:t>（</w:t>
      </w:r>
      <w:r>
        <w:rPr>
          <w:rFonts w:hint="eastAsia"/>
        </w:rPr>
        <w:t>3.2</w:t>
      </w:r>
      <w:r>
        <w:t>.</w:t>
      </w:r>
      <w:r>
        <w:rPr>
          <w:rFonts w:hint="eastAsia"/>
        </w:rPr>
        <w:t>3</w:t>
      </w:r>
      <w:r>
        <w:rPr>
          <w:rFonts w:hAnsi="宋体"/>
        </w:rPr>
        <w:t>）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szCs w:val="21"/>
        </w:rPr>
        <w:t>低温加热至样品完全溶解，加入0.5mL硝酸（3.2.1）。取下冷却至室温。</w:t>
      </w:r>
    </w:p>
    <w:p>
      <w:pPr>
        <w:tabs>
          <w:tab w:val="left" w:pos="540"/>
        </w:tabs>
        <w:rPr>
          <w:color w:val="000000"/>
          <w:szCs w:val="21"/>
        </w:rPr>
      </w:pPr>
      <w:r>
        <w:rPr>
          <w:rFonts w:hint="eastAsia" w:ascii="黑体" w:hAnsi="黑体" w:eastAsia="黑体"/>
          <w:color w:val="000000"/>
        </w:rPr>
        <w:t>3.5.4.2</w:t>
      </w:r>
      <w:r>
        <w:rPr>
          <w:rFonts w:hint="eastAsia"/>
          <w:color w:val="000000"/>
          <w:szCs w:val="21"/>
        </w:rPr>
        <w:t xml:space="preserve">  移入100mL塑料容量瓶中，用水稀释至刻度，混匀。</w:t>
      </w:r>
    </w:p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3.5.5  工作曲线溶液的制备</w:t>
      </w:r>
    </w:p>
    <w:p>
      <w:pPr>
        <w:ind w:firstLine="420" w:firstLineChars="200"/>
      </w:pPr>
      <w:r>
        <w:rPr>
          <w:rFonts w:hint="eastAsia"/>
        </w:rPr>
        <w:t>分别称取0.500g金属锆（3.2.4）于一组150mL聚乙烯烧杯中，按照3.5.4步骤将其溶解，冷却后分别移入100mL塑料容量瓶中，分别加入铬标准溶液（3.2.6）0mL、0.50mL、1.00mL、5.00mL、10.00mL，25.00mL，用水稀释至刻度，混匀。</w:t>
      </w:r>
    </w:p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 xml:space="preserve">3.5.6  </w:t>
      </w:r>
      <w:r>
        <w:rPr>
          <w:rFonts w:ascii="黑体" w:eastAsia="黑体"/>
          <w:color w:val="000000"/>
        </w:rPr>
        <w:t>测量</w:t>
      </w:r>
    </w:p>
    <w:p>
      <w:r>
        <w:rPr>
          <w:rFonts w:hint="eastAsia"/>
        </w:rPr>
        <w:t xml:space="preserve">    </w:t>
      </w:r>
      <w:r>
        <w:t>于</w:t>
      </w:r>
      <w:r>
        <w:rPr>
          <w:szCs w:val="21"/>
        </w:rPr>
        <w:t>电感耦合等离子发射光谱仪，在选定波长</w:t>
      </w:r>
      <w:r>
        <w:rPr>
          <w:rFonts w:hint="eastAsia"/>
          <w:lang w:eastAsia="zh-CN"/>
        </w:rPr>
        <w:t>267.716</w:t>
      </w:r>
      <w:r>
        <w:rPr>
          <w:szCs w:val="21"/>
        </w:rPr>
        <w:t>nm处，测定工作曲线溶液（</w:t>
      </w:r>
      <w:r>
        <w:rPr>
          <w:rFonts w:hint="eastAsia"/>
          <w:szCs w:val="21"/>
        </w:rPr>
        <w:t>3.5</w:t>
      </w:r>
      <w:r>
        <w:rPr>
          <w:szCs w:val="21"/>
        </w:rPr>
        <w:t>.</w:t>
      </w:r>
      <w:r>
        <w:rPr>
          <w:rFonts w:hint="eastAsia"/>
          <w:szCs w:val="21"/>
        </w:rPr>
        <w:t>5</w:t>
      </w:r>
      <w:r>
        <w:rPr>
          <w:szCs w:val="21"/>
        </w:rPr>
        <w:t>），当工作曲线线性r</w:t>
      </w:r>
      <w:r>
        <w:rPr>
          <w:rFonts w:hint="eastAsia" w:ascii="宋体" w:hAnsi="宋体"/>
        </w:rPr>
        <w:t>≥</w:t>
      </w:r>
      <w:r>
        <w:t>0.999时，进行</w:t>
      </w:r>
      <w:r>
        <w:rPr>
          <w:szCs w:val="21"/>
        </w:rPr>
        <w:t>试液（</w:t>
      </w:r>
      <w:r>
        <w:rPr>
          <w:rFonts w:hint="eastAsia"/>
          <w:szCs w:val="21"/>
        </w:rPr>
        <w:t>3.5</w:t>
      </w:r>
      <w:r>
        <w:rPr>
          <w:szCs w:val="21"/>
        </w:rPr>
        <w:t>.</w:t>
      </w:r>
      <w:r>
        <w:rPr>
          <w:rFonts w:hint="eastAsia"/>
          <w:szCs w:val="21"/>
        </w:rPr>
        <w:t>4</w:t>
      </w:r>
      <w:r>
        <w:rPr>
          <w:szCs w:val="21"/>
        </w:rPr>
        <w:t>）的测定，检查元素谱线的背景并在适当的位置进行校正，由计算机</w:t>
      </w:r>
      <w:r>
        <w:t>自动给出</w:t>
      </w:r>
      <w:r>
        <w:rPr>
          <w:rFonts w:hint="eastAsia"/>
        </w:rPr>
        <w:t>铬</w:t>
      </w:r>
      <w:r>
        <w:t>元素的质量浓度。</w:t>
      </w:r>
    </w:p>
    <w:p>
      <w:pPr>
        <w:widowControl w:val="0"/>
        <w:spacing w:line="360" w:lineRule="auto"/>
        <w:jc w:val="left"/>
        <w:rPr>
          <w:rFonts w:hint="eastAsia" w:ascii="黑体" w:eastAsia="黑体"/>
          <w:szCs w:val="21"/>
          <w:lang w:eastAsia="zh-CN"/>
        </w:rPr>
      </w:pPr>
      <w:r>
        <w:rPr>
          <w:rFonts w:hint="eastAsia" w:ascii="黑体" w:eastAsia="黑体"/>
          <w:szCs w:val="21"/>
        </w:rPr>
        <w:t xml:space="preserve">3.6  </w:t>
      </w:r>
      <w:r>
        <w:rPr>
          <w:rFonts w:hint="eastAsia" w:ascii="黑体" w:eastAsia="黑体"/>
          <w:szCs w:val="21"/>
          <w:lang w:eastAsia="zh-CN"/>
        </w:rPr>
        <w:t>试验数据处理</w:t>
      </w:r>
    </w:p>
    <w:p>
      <w:pPr>
        <w:tabs>
          <w:tab w:val="left" w:pos="0"/>
        </w:tabs>
        <w:ind w:firstLine="420" w:firstLineChars="200"/>
      </w:pPr>
      <w:r>
        <w:rPr>
          <w:rFonts w:hint="eastAsia"/>
          <w:szCs w:val="21"/>
        </w:rPr>
        <w:t>铬</w:t>
      </w:r>
      <w:r>
        <w:rPr>
          <w:szCs w:val="21"/>
        </w:rPr>
        <w:t>含量以</w:t>
      </w:r>
      <w:r>
        <w:rPr>
          <w:rFonts w:hint="eastAsia"/>
          <w:szCs w:val="21"/>
        </w:rPr>
        <w:t>铬</w:t>
      </w:r>
      <w:r>
        <w:rPr>
          <w:szCs w:val="21"/>
        </w:rPr>
        <w:t>的质量分数</w:t>
      </w:r>
      <w:r>
        <w:rPr>
          <w:i/>
          <w:iCs/>
          <w:szCs w:val="21"/>
        </w:rPr>
        <w:t>w</w:t>
      </w:r>
      <w:r>
        <w:rPr>
          <w:rFonts w:hint="eastAsia"/>
          <w:szCs w:val="21"/>
          <w:vertAlign w:val="subscript"/>
        </w:rPr>
        <w:t>Cr</w:t>
      </w:r>
      <w:r>
        <w:rPr>
          <w:szCs w:val="21"/>
        </w:rPr>
        <w:t>计，</w:t>
      </w:r>
      <w:r>
        <w:t>按式（</w:t>
      </w:r>
      <w:r>
        <w:rPr>
          <w:rFonts w:hint="eastAsia"/>
        </w:rPr>
        <w:t>2</w:t>
      </w:r>
      <w:r>
        <w:t>）计算</w:t>
      </w:r>
    </w:p>
    <w:p>
      <w:pPr>
        <w:tabs>
          <w:tab w:val="left" w:pos="0"/>
        </w:tabs>
        <w:jc w:val="center"/>
        <w:rPr>
          <w:rFonts w:ascii="宋体" w:hAnsi="宋体"/>
        </w:rPr>
      </w:pPr>
      <w:r>
        <w:rPr>
          <w:rFonts w:hint="eastAsia"/>
          <w:position w:val="-24"/>
        </w:rPr>
        <w:t xml:space="preserve">                   </w:t>
      </w:r>
      <w:r>
        <w:rPr>
          <w:rFonts w:hint="eastAsia"/>
          <w:position w:val="-24"/>
        </w:rPr>
        <w:object>
          <v:shape id="_x0000_i1026" o:spt="75" type="#_x0000_t75" style="height:32.65pt;width:154.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s" ShapeID="_x0000_i1026" DrawAspect="Content" ObjectID="_1468075726" r:id="rId16">
            <o:LockedField>false</o:LockedField>
          </o:OLEObject>
        </w:object>
      </w:r>
      <w:r>
        <w:rPr>
          <w:rFonts w:hint="eastAsia" w:ascii="宋体" w:hAnsi="宋体"/>
        </w:rPr>
        <w:t xml:space="preserve">     ………………………（2）</w:t>
      </w:r>
    </w:p>
    <w:p>
      <w:pPr>
        <w:tabs>
          <w:tab w:val="left" w:pos="0"/>
        </w:tabs>
        <w:ind w:firstLine="420" w:firstLineChars="200"/>
        <w:rPr>
          <w:rFonts w:ascii="Times New Roman" w:hAnsi="Times New Roman"/>
        </w:rPr>
      </w:pPr>
      <w:r>
        <w:rPr>
          <w:rFonts w:hint="eastAsia" w:ascii="宋体" w:hAnsi="宋体"/>
        </w:rPr>
        <w:t>式中：</w:t>
      </w:r>
    </w:p>
    <w:p>
      <w:pPr>
        <w:tabs>
          <w:tab w:val="left" w:pos="0"/>
        </w:tabs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  <w:i/>
        </w:rPr>
        <w:t>ρ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——试液中</w:t>
      </w:r>
      <w:r>
        <w:rPr>
          <w:rFonts w:ascii="Times New Roman"/>
        </w:rPr>
        <w:t>被测元素</w:t>
      </w:r>
      <w:r>
        <w:rPr>
          <w:rFonts w:hint="eastAsia" w:ascii="Times New Roman"/>
        </w:rPr>
        <w:t>铬</w:t>
      </w:r>
      <w:r>
        <w:rPr>
          <w:rFonts w:ascii="Times New Roman" w:hAnsi="Times New Roman"/>
        </w:rPr>
        <w:t>的质量浓度，</w:t>
      </w:r>
      <w:r>
        <w:rPr>
          <w:rFonts w:ascii="Times New Roman" w:hAnsi="Times New Roman"/>
          <w:szCs w:val="21"/>
        </w:rPr>
        <w:t>单位为微克每毫升（</w:t>
      </w:r>
      <w:r>
        <w:rPr>
          <w:rFonts w:ascii="Times New Roman" w:hAnsi="Times New Roman"/>
        </w:rPr>
        <w:t>μg /mL</w:t>
      </w:r>
      <w:r>
        <w:rPr>
          <w:rFonts w:ascii="Times New Roman"/>
        </w:rPr>
        <w:t>）</w:t>
      </w:r>
      <w:r>
        <w:rPr>
          <w:rFonts w:ascii="Times New Roman" w:hAnsi="Times New Roman"/>
        </w:rPr>
        <w:t>；</w:t>
      </w:r>
    </w:p>
    <w:p>
      <w:pPr>
        <w:tabs>
          <w:tab w:val="left" w:pos="0"/>
        </w:tabs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  <w:i/>
        </w:rPr>
        <w:t>ρ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——空白溶液中</w:t>
      </w:r>
      <w:r>
        <w:rPr>
          <w:rFonts w:ascii="Times New Roman"/>
        </w:rPr>
        <w:t>被测元素</w:t>
      </w:r>
      <w:r>
        <w:rPr>
          <w:rFonts w:ascii="Times New Roman" w:hAnsi="Times New Roman"/>
        </w:rPr>
        <w:t>的质量浓度，</w:t>
      </w:r>
      <w:r>
        <w:rPr>
          <w:rFonts w:ascii="Times New Roman" w:hAnsi="Times New Roman"/>
          <w:szCs w:val="21"/>
        </w:rPr>
        <w:t>单位为微克每毫升（</w:t>
      </w:r>
      <w:r>
        <w:rPr>
          <w:rFonts w:ascii="Times New Roman" w:hAnsi="Times New Roman"/>
        </w:rPr>
        <w:t>μg /mL</w:t>
      </w:r>
      <w:r>
        <w:rPr>
          <w:rFonts w:ascii="Times New Roman"/>
        </w:rPr>
        <w:t>）</w:t>
      </w:r>
      <w:r>
        <w:rPr>
          <w:rFonts w:ascii="Times New Roman" w:hAnsi="Times New Roman"/>
        </w:rPr>
        <w:t xml:space="preserve">； </w:t>
      </w:r>
    </w:p>
    <w:p>
      <w:pPr>
        <w:tabs>
          <w:tab w:val="left" w:pos="0"/>
        </w:tabs>
        <w:ind w:firstLine="420" w:firstLineChars="200"/>
        <w:rPr>
          <w:rFonts w:hint="eastAsia" w:ascii="Times New Roman" w:eastAsia="宋体"/>
          <w:lang w:eastAsia="zh-CN"/>
        </w:rPr>
      </w:pPr>
      <w:r>
        <w:rPr>
          <w:rFonts w:ascii="Times New Roman" w:hAnsi="Times New Roman"/>
          <w:i/>
        </w:rPr>
        <w:t xml:space="preserve">V </w:t>
      </w:r>
      <w:r>
        <w:rPr>
          <w:rFonts w:ascii="Times New Roman" w:hAnsi="Times New Roman"/>
        </w:rPr>
        <w:t>——试液总体积，</w:t>
      </w:r>
      <w:r>
        <w:rPr>
          <w:rFonts w:ascii="Times New Roman" w:hAnsi="Times New Roman"/>
          <w:szCs w:val="21"/>
        </w:rPr>
        <w:t>单位毫升（</w:t>
      </w:r>
      <w:r>
        <w:rPr>
          <w:rFonts w:ascii="Times New Roman" w:hAnsi="Times New Roman"/>
        </w:rPr>
        <w:t>mL</w:t>
      </w:r>
      <w:r>
        <w:rPr>
          <w:rFonts w:ascii="Times New Roman"/>
        </w:rPr>
        <w:t>）</w:t>
      </w:r>
      <w:r>
        <w:rPr>
          <w:rFonts w:hint="eastAsia" w:ascii="Times New Roman"/>
          <w:lang w:eastAsia="zh-CN"/>
        </w:rPr>
        <w:t>；</w:t>
      </w:r>
    </w:p>
    <w:p>
      <w:pPr>
        <w:tabs>
          <w:tab w:val="left" w:pos="0"/>
        </w:tabs>
        <w:ind w:firstLine="420" w:firstLineChars="200"/>
        <w:rPr>
          <w:rFonts w:hint="eastAsia" w:ascii="Times New Roman" w:eastAsia="宋体"/>
          <w:lang w:eastAsia="zh-CN"/>
        </w:rPr>
      </w:pPr>
      <w:r>
        <w:rPr>
          <w:rFonts w:ascii="Times New Roman" w:hAnsi="Times New Roman"/>
          <w:i/>
        </w:rPr>
        <w:t xml:space="preserve">m </w:t>
      </w:r>
      <w:r>
        <w:rPr>
          <w:rFonts w:ascii="Times New Roman" w:hAnsi="Times New Roman"/>
        </w:rPr>
        <w:t>——试</w:t>
      </w:r>
      <w:r>
        <w:rPr>
          <w:rFonts w:ascii="Times New Roman" w:hAnsi="宋体"/>
        </w:rPr>
        <w:t>料质量，</w:t>
      </w:r>
      <w:r>
        <w:rPr>
          <w:rFonts w:ascii="Times New Roman" w:hAnsi="宋体"/>
          <w:szCs w:val="21"/>
        </w:rPr>
        <w:t>单位为克（</w:t>
      </w:r>
      <w:r>
        <w:rPr>
          <w:rFonts w:ascii="Times New Roman" w:hAnsi="Times New Roman"/>
        </w:rPr>
        <w:t>g</w:t>
      </w:r>
      <w:r>
        <w:rPr>
          <w:rFonts w:ascii="Times New Roman"/>
        </w:rPr>
        <w:t>）</w:t>
      </w:r>
      <w:r>
        <w:rPr>
          <w:rFonts w:hint="eastAsia" w:ascii="Times New Roman"/>
          <w:lang w:eastAsia="zh-CN"/>
        </w:rPr>
        <w:t>。</w:t>
      </w:r>
    </w:p>
    <w:p>
      <w:pPr>
        <w:tabs>
          <w:tab w:val="left" w:pos="0"/>
        </w:tabs>
        <w:ind w:firstLine="420" w:firstLineChars="200"/>
        <w:rPr>
          <w:rFonts w:ascii="Times New Roman"/>
        </w:rPr>
      </w:pPr>
      <w:r>
        <w:rPr>
          <w:rFonts w:hint="eastAsia" w:ascii="Times New Roman"/>
        </w:rPr>
        <w:t>计算结果保留两位有效数字。</w:t>
      </w:r>
    </w:p>
    <w:p>
      <w:pPr>
        <w:spacing w:line="360" w:lineRule="auto"/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 xml:space="preserve">3.7 </w:t>
      </w:r>
      <w:r>
        <w:rPr>
          <w:rFonts w:ascii="黑体" w:eastAsia="黑体"/>
          <w:szCs w:val="21"/>
        </w:rPr>
        <w:t xml:space="preserve"> </w:t>
      </w:r>
      <w:r>
        <w:rPr>
          <w:rFonts w:hint="eastAsia" w:ascii="黑体" w:eastAsia="黑体"/>
          <w:szCs w:val="21"/>
        </w:rPr>
        <w:t>精密度</w:t>
      </w:r>
    </w:p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3.7</w:t>
      </w:r>
      <w:r>
        <w:rPr>
          <w:rFonts w:ascii="黑体" w:eastAsia="黑体"/>
          <w:color w:val="000000"/>
        </w:rPr>
        <w:t xml:space="preserve">.1 </w:t>
      </w:r>
      <w:r>
        <w:rPr>
          <w:rFonts w:hint="eastAsia" w:ascii="黑体" w:eastAsia="黑体"/>
          <w:color w:val="000000"/>
        </w:rPr>
        <w:t xml:space="preserve"> </w:t>
      </w:r>
      <w:r>
        <w:rPr>
          <w:rFonts w:ascii="黑体" w:eastAsia="黑体"/>
          <w:color w:val="000000"/>
        </w:rPr>
        <w:t>重复性</w:t>
      </w:r>
    </w:p>
    <w:p>
      <w:pPr>
        <w:ind w:firstLine="420" w:firstLineChars="200"/>
        <w:jc w:val="left"/>
        <w:rPr>
          <w:rFonts w:ascii="宋体" w:hAnsi="宋体"/>
          <w:bCs/>
        </w:rPr>
      </w:pPr>
      <w:r>
        <w:rPr>
          <w:rFonts w:ascii="宋体" w:hAnsi="宋体"/>
          <w:color w:val="000000"/>
        </w:rPr>
        <w:t>在重复性条件下获得的两次独立测试结果的测定值，在以下给出的平均值范围内，这两个测试结果的绝对差值不超过重复性限（</w:t>
      </w:r>
      <w:r>
        <w:rPr>
          <w:rFonts w:ascii="宋体" w:hAnsi="宋体"/>
          <w:i/>
          <w:color w:val="000000"/>
        </w:rPr>
        <w:t>r</w:t>
      </w:r>
      <w:r>
        <w:rPr>
          <w:rFonts w:ascii="宋体" w:hAnsi="宋体"/>
          <w:color w:val="000000"/>
        </w:rPr>
        <w:t>），超过重复性限（</w:t>
      </w:r>
      <w:r>
        <w:rPr>
          <w:rFonts w:ascii="宋体" w:hAnsi="宋体"/>
          <w:i/>
          <w:color w:val="000000"/>
        </w:rPr>
        <w:t>r</w:t>
      </w:r>
      <w:r>
        <w:rPr>
          <w:rFonts w:ascii="宋体" w:hAnsi="宋体"/>
          <w:color w:val="000000"/>
        </w:rPr>
        <w:t>）的情况不超过5%，重复性限（</w:t>
      </w:r>
      <w:r>
        <w:rPr>
          <w:rFonts w:ascii="宋体" w:hAnsi="宋体"/>
          <w:i/>
          <w:color w:val="000000"/>
        </w:rPr>
        <w:t>r</w:t>
      </w:r>
      <w:r>
        <w:rPr>
          <w:rFonts w:ascii="宋体" w:hAnsi="宋体"/>
          <w:color w:val="000000"/>
        </w:rPr>
        <w:t>）按表</w:t>
      </w:r>
      <w:r>
        <w:rPr>
          <w:rFonts w:hint="eastAsia" w:ascii="宋体" w:hAnsi="宋体"/>
          <w:color w:val="000000"/>
        </w:rPr>
        <w:t>4</w:t>
      </w:r>
      <w:r>
        <w:rPr>
          <w:rFonts w:ascii="宋体" w:hAnsi="宋体"/>
          <w:color w:val="000000"/>
        </w:rPr>
        <w:t>数据采用线性内插法</w:t>
      </w:r>
      <w:r>
        <w:rPr>
          <w:rFonts w:hint="eastAsia" w:ascii="宋体" w:hAnsi="宋体"/>
          <w:color w:val="000000"/>
        </w:rPr>
        <w:t>或外延法求</w:t>
      </w:r>
      <w:r>
        <w:rPr>
          <w:rFonts w:ascii="宋体" w:hAnsi="宋体"/>
          <w:color w:val="000000"/>
        </w:rPr>
        <w:t>得：</w:t>
      </w:r>
    </w:p>
    <w:p>
      <w:pPr>
        <w:jc w:val="center"/>
        <w:rPr>
          <w:rFonts w:ascii="Times New Roman" w:hAnsi="Times New Roman" w:eastAsia="黑体"/>
          <w:sz w:val="18"/>
          <w:szCs w:val="24"/>
        </w:rPr>
      </w:pPr>
      <w:r>
        <w:rPr>
          <w:rFonts w:hint="eastAsia" w:ascii="Times New Roman" w:hAnsi="Times New Roman" w:eastAsia="黑体"/>
          <w:sz w:val="18"/>
          <w:szCs w:val="24"/>
        </w:rPr>
        <w:t>表4 重复性限</w:t>
      </w:r>
    </w:p>
    <w:tbl>
      <w:tblPr>
        <w:tblStyle w:val="25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26"/>
        <w:gridCol w:w="212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25" w:type="dxa"/>
            <w:vAlign w:val="center"/>
          </w:tcPr>
          <w:p>
            <w:pPr>
              <w:pStyle w:val="6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Cs w:val="21"/>
              </w:rPr>
              <w:t>w</w:t>
            </w:r>
            <w:r>
              <w:rPr>
                <w:rFonts w:hint="eastAsia"/>
                <w:i/>
                <w:iCs/>
                <w:szCs w:val="21"/>
                <w:vertAlign w:val="subscript"/>
              </w:rPr>
              <w:t>Cr</w:t>
            </w:r>
            <w:r>
              <w:rPr>
                <w:sz w:val="18"/>
                <w:szCs w:val="18"/>
                <w:lang w:val="zh-CN"/>
              </w:rPr>
              <w:t>%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0.0030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0.018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125" w:type="dxa"/>
            <w:vAlign w:val="center"/>
          </w:tcPr>
          <w:p>
            <w:pPr>
              <w:pStyle w:val="6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r/%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0.0005</w:t>
            </w:r>
          </w:p>
        </w:tc>
        <w:tc>
          <w:tcPr>
            <w:tcW w:w="2128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0.008</w:t>
            </w:r>
          </w:p>
        </w:tc>
      </w:tr>
    </w:tbl>
    <w:p>
      <w:pPr>
        <w:rPr>
          <w:rFonts w:eastAsia="黑体"/>
          <w:szCs w:val="21"/>
        </w:rPr>
      </w:pPr>
      <w:r>
        <w:rPr>
          <w:rFonts w:hint="eastAsia" w:ascii="黑体" w:eastAsia="黑体"/>
          <w:color w:val="000000"/>
        </w:rPr>
        <w:t xml:space="preserve">3.7.2  </w:t>
      </w:r>
      <w:r>
        <w:rPr>
          <w:rFonts w:hint="eastAsia" w:eastAsia="黑体"/>
          <w:szCs w:val="21"/>
        </w:rPr>
        <w:t>再现性</w:t>
      </w:r>
    </w:p>
    <w:p>
      <w:pPr>
        <w:pStyle w:val="6"/>
        <w:ind w:firstLine="315" w:firstLineChars="150"/>
        <w:rPr>
          <w:rFonts w:ascii="宋体" w:hAnsi="宋体"/>
          <w:color w:val="000000"/>
          <w:szCs w:val="24"/>
        </w:rPr>
      </w:pPr>
      <w:r>
        <w:rPr>
          <w:rFonts w:hint="eastAsia" w:ascii="宋体" w:hAnsi="宋体"/>
          <w:color w:val="000000"/>
          <w:szCs w:val="24"/>
        </w:rPr>
        <w:t>在再现性条件下获得的两次独立测试结果的测定值，在以下给出的平均值范围内，这两个测试结果的绝对差值不超过再现性限（R），超过再现性限（R）的情况不超过5%，再现性限（R）按表4数据采用线性内插法</w:t>
      </w:r>
      <w:r>
        <w:rPr>
          <w:rFonts w:hint="eastAsia" w:ascii="宋体" w:hAnsi="宋体"/>
          <w:color w:val="000000"/>
        </w:rPr>
        <w:t>或外延法</w:t>
      </w:r>
      <w:r>
        <w:rPr>
          <w:rFonts w:hint="eastAsia" w:ascii="宋体" w:hAnsi="宋体"/>
          <w:color w:val="000000"/>
          <w:szCs w:val="24"/>
        </w:rPr>
        <w:t>求得：</w:t>
      </w:r>
    </w:p>
    <w:p>
      <w:pPr>
        <w:jc w:val="center"/>
        <w:rPr>
          <w:rFonts w:ascii="黑体" w:eastAsia="黑体"/>
        </w:rPr>
      </w:pPr>
      <w:r>
        <w:rPr>
          <w:rFonts w:hint="eastAsia" w:ascii="黑体" w:eastAsia="黑体"/>
        </w:rPr>
        <w:t xml:space="preserve">   </w:t>
      </w:r>
      <w:r>
        <w:rPr>
          <w:rFonts w:hint="eastAsia" w:ascii="Times New Roman" w:hAnsi="Times New Roman" w:eastAsia="黑体"/>
          <w:sz w:val="18"/>
          <w:szCs w:val="24"/>
        </w:rPr>
        <w:t>表5 再现性限</w:t>
      </w:r>
    </w:p>
    <w:tbl>
      <w:tblPr>
        <w:tblStyle w:val="25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26"/>
        <w:gridCol w:w="212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25" w:type="dxa"/>
            <w:vAlign w:val="center"/>
          </w:tcPr>
          <w:p>
            <w:pPr>
              <w:pStyle w:val="6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Cs w:val="21"/>
              </w:rPr>
              <w:t>w</w:t>
            </w:r>
            <w:r>
              <w:rPr>
                <w:rFonts w:hint="eastAsia"/>
                <w:i/>
                <w:iCs/>
                <w:szCs w:val="21"/>
                <w:vertAlign w:val="subscript"/>
              </w:rPr>
              <w:t>Cr</w:t>
            </w:r>
            <w:r>
              <w:rPr>
                <w:sz w:val="18"/>
                <w:szCs w:val="18"/>
                <w:lang w:val="zh-CN"/>
              </w:rPr>
              <w:t>%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0.0030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0.018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125" w:type="dxa"/>
            <w:vAlign w:val="center"/>
          </w:tcPr>
          <w:p>
            <w:pPr>
              <w:pStyle w:val="6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R/%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0.0008</w:t>
            </w:r>
          </w:p>
        </w:tc>
        <w:tc>
          <w:tcPr>
            <w:tcW w:w="2128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0.009</w:t>
            </w:r>
          </w:p>
        </w:tc>
      </w:tr>
    </w:tbl>
    <w:p>
      <w:pPr>
        <w:spacing w:line="360" w:lineRule="auto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 xml:space="preserve">4  </w:t>
      </w:r>
      <w:r>
        <w:rPr>
          <w:rFonts w:ascii="黑体" w:hAnsi="黑体" w:eastAsia="黑体"/>
          <w:bCs/>
          <w:szCs w:val="21"/>
        </w:rPr>
        <w:t>试验报告</w:t>
      </w:r>
    </w:p>
    <w:p>
      <w:pPr>
        <w:ind w:firstLine="420" w:firstLineChars="200"/>
      </w:pPr>
      <w:r>
        <w:t>试验报告至少应给出以下几个方面的内容：</w:t>
      </w:r>
    </w:p>
    <w:p>
      <w:pPr>
        <w:adjustRightInd w:val="0"/>
        <w:snapToGrid w:val="0"/>
        <w:ind w:firstLine="437"/>
      </w:pPr>
      <w:r>
        <w:rPr>
          <w:rFonts w:ascii="Times New Roman" w:hAnsi="Times New Roman"/>
        </w:rPr>
        <w:t>——</w:t>
      </w:r>
      <w:r>
        <w:rPr>
          <w:rFonts w:hint="eastAsia"/>
        </w:rPr>
        <w:t>试验对象</w:t>
      </w:r>
      <w:r>
        <w:t>；</w:t>
      </w:r>
    </w:p>
    <w:p>
      <w:pPr>
        <w:adjustRightInd w:val="0"/>
        <w:snapToGrid w:val="0"/>
        <w:ind w:firstLine="437"/>
        <w:rPr>
          <w:szCs w:val="21"/>
        </w:rPr>
      </w:pPr>
      <w:r>
        <w:rPr>
          <w:rFonts w:ascii="Times New Roman" w:hAnsi="Times New Roman"/>
        </w:rPr>
        <w:t>——</w:t>
      </w:r>
      <w:r>
        <w:rPr>
          <w:rFonts w:hint="eastAsia"/>
        </w:rPr>
        <w:t>所</w:t>
      </w:r>
      <w:r>
        <w:t>使用的标准（</w:t>
      </w:r>
      <w:r>
        <w:rPr>
          <w:rFonts w:hint="eastAsia"/>
          <w:szCs w:val="21"/>
        </w:rPr>
        <w:t>GB/T 13747.4—201X</w:t>
      </w:r>
      <w:r>
        <w:rPr>
          <w:szCs w:val="21"/>
        </w:rPr>
        <w:t>）；</w:t>
      </w:r>
    </w:p>
    <w:p>
      <w:pPr>
        <w:adjustRightInd w:val="0"/>
        <w:snapToGrid w:val="0"/>
        <w:ind w:firstLine="437"/>
        <w:rPr>
          <w:szCs w:val="21"/>
        </w:rPr>
      </w:pPr>
      <w:r>
        <w:rPr>
          <w:rFonts w:ascii="Times New Roman" w:hAnsi="Times New Roman"/>
        </w:rPr>
        <w:t>——</w:t>
      </w:r>
      <w:r>
        <w:rPr>
          <w:rFonts w:hint="eastAsia"/>
        </w:rPr>
        <w:t>所使用的方法（如果标准中包括几个方法）；</w:t>
      </w:r>
    </w:p>
    <w:p>
      <w:pPr>
        <w:adjustRightInd w:val="0"/>
        <w:snapToGrid w:val="0"/>
        <w:ind w:firstLine="437"/>
        <w:rPr>
          <w:rFonts w:hint="eastAsia"/>
          <w:szCs w:val="21"/>
        </w:rPr>
      </w:pPr>
      <w:r>
        <w:rPr>
          <w:rFonts w:ascii="Times New Roman" w:hAnsi="Times New Roman"/>
        </w:rPr>
        <w:t>——</w:t>
      </w:r>
      <w:r>
        <w:rPr>
          <w:rFonts w:hint="eastAsia"/>
          <w:szCs w:val="21"/>
        </w:rPr>
        <w:t>结果；</w:t>
      </w:r>
    </w:p>
    <w:p>
      <w:pPr>
        <w:ind w:firstLine="424" w:firstLineChars="202"/>
        <w:rPr>
          <w:rFonts w:hint="eastAsia"/>
        </w:rPr>
      </w:pPr>
      <w:r>
        <w:rPr>
          <w:rFonts w:ascii="Times New Roman" w:hAnsi="Times New Roman"/>
        </w:rPr>
        <w:t>——</w:t>
      </w:r>
      <w:r>
        <w:rPr>
          <w:rFonts w:hint="eastAsia"/>
        </w:rPr>
        <w:t>观察到的异常现象；</w:t>
      </w:r>
    </w:p>
    <w:p>
      <w:pPr>
        <w:ind w:firstLine="424" w:firstLineChars="202"/>
        <w:rPr>
          <w:rFonts w:hint="eastAsia" w:ascii="黑体" w:hAnsi="宋体" w:eastAsia="黑体"/>
          <w:bCs/>
          <w:szCs w:val="21"/>
        </w:rPr>
      </w:pPr>
      <w:r>
        <w:rPr>
          <w:rFonts w:ascii="Times New Roman" w:hAnsi="Times New Roman"/>
        </w:rPr>
        <w:t>——</w:t>
      </w:r>
      <w:r>
        <w:rPr>
          <w:rFonts w:hint="eastAsia"/>
        </w:rPr>
        <w:t>试验日期。</w:t>
      </w:r>
      <w:r>
        <w:rPr>
          <w:rFonts w:hint="eastAsia" w:ascii="黑体" w:hAnsi="宋体" w:eastAsia="黑体"/>
          <w:bCs/>
          <w:szCs w:val="21"/>
        </w:rPr>
        <w:t xml:space="preserve">                                </w:t>
      </w:r>
    </w:p>
    <w:p>
      <w:pPr>
        <w:ind w:firstLine="424" w:firstLineChars="202"/>
        <w:jc w:val="center"/>
        <w:rPr>
          <w:rFonts w:hint="eastAsia" w:ascii="黑体" w:hAnsi="宋体" w:eastAsia="黑体"/>
          <w:bCs/>
          <w:szCs w:val="21"/>
        </w:rPr>
      </w:pPr>
    </w:p>
    <w:p>
      <w:pPr>
        <w:adjustRightInd w:val="0"/>
        <w:snapToGrid w:val="0"/>
        <w:spacing w:line="288" w:lineRule="auto"/>
        <w:ind w:firstLine="420" w:firstLineChars="200"/>
        <w:jc w:val="left"/>
      </w:pPr>
      <w:r>
        <w:rPr>
          <w:rFonts w:hint="eastAsia"/>
          <w:u w:val="single"/>
        </w:rPr>
        <w:pict>
          <v:shape id="_x0000_s2059" o:spid="_x0000_s2059" o:spt="32" type="#_x0000_t32" style="position:absolute;left:0pt;margin-left:171pt;margin-top:3.55pt;height:0pt;width:134.25pt;z-index:25168076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line="276" w:lineRule="auto"/>
        <w:rPr>
          <w:szCs w:val="21"/>
        </w:rPr>
      </w:pPr>
    </w:p>
    <w:sectPr>
      <w:footerReference r:id="rId11" w:type="default"/>
      <w:pgSz w:w="11906" w:h="16838"/>
      <w:pgMar w:top="1440" w:right="1361" w:bottom="1440" w:left="136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3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2</w:t>
    </w:r>
    <w:r>
      <w:rPr>
        <w:rStyle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2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3"/>
    </w:pPr>
    <w:r>
      <w:t>GB/T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4"/>
    </w:pPr>
    <w:r>
      <w:t>GB/T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300" w:firstLineChars="3000"/>
    </w:pPr>
    <w:r>
      <w:rPr>
        <w:rFonts w:hint="eastAsia"/>
      </w:rPr>
      <w:t>GB/T 13747.4—201X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57"/>
      <w:suff w:val="nothing"/>
      <w:lvlText w:val="%1"/>
      <w:lvlJc w:val="left"/>
      <w:pPr>
        <w:ind w:left="0" w:firstLine="0"/>
      </w:pPr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pStyle w:val="58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9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7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8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70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1">
    <w:nsid w:val="76933334"/>
    <w:multiLevelType w:val="multilevel"/>
    <w:tmpl w:val="76933334"/>
    <w:lvl w:ilvl="0" w:tentative="0">
      <w:start w:val="1"/>
      <w:numFmt w:val="none"/>
      <w:pStyle w:val="78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85B"/>
    <w:rsid w:val="00013E10"/>
    <w:rsid w:val="00015EB2"/>
    <w:rsid w:val="000232B5"/>
    <w:rsid w:val="00035F7B"/>
    <w:rsid w:val="00036403"/>
    <w:rsid w:val="00043615"/>
    <w:rsid w:val="000437D7"/>
    <w:rsid w:val="0004634C"/>
    <w:rsid w:val="00046A7E"/>
    <w:rsid w:val="00047DD1"/>
    <w:rsid w:val="00047F49"/>
    <w:rsid w:val="00050568"/>
    <w:rsid w:val="00053942"/>
    <w:rsid w:val="00057304"/>
    <w:rsid w:val="00060E03"/>
    <w:rsid w:val="00061F19"/>
    <w:rsid w:val="00062622"/>
    <w:rsid w:val="00062E13"/>
    <w:rsid w:val="00066528"/>
    <w:rsid w:val="00066822"/>
    <w:rsid w:val="00066A08"/>
    <w:rsid w:val="00066A1A"/>
    <w:rsid w:val="000676F0"/>
    <w:rsid w:val="000676FF"/>
    <w:rsid w:val="00067B44"/>
    <w:rsid w:val="00070DF6"/>
    <w:rsid w:val="00082F76"/>
    <w:rsid w:val="000866D5"/>
    <w:rsid w:val="0009031E"/>
    <w:rsid w:val="000908AE"/>
    <w:rsid w:val="00093201"/>
    <w:rsid w:val="000A2012"/>
    <w:rsid w:val="000B1196"/>
    <w:rsid w:val="000B13BB"/>
    <w:rsid w:val="000B498C"/>
    <w:rsid w:val="000B4991"/>
    <w:rsid w:val="000B53C5"/>
    <w:rsid w:val="000B7797"/>
    <w:rsid w:val="000C1A94"/>
    <w:rsid w:val="000C4661"/>
    <w:rsid w:val="000D055E"/>
    <w:rsid w:val="000D1CBD"/>
    <w:rsid w:val="000E70DD"/>
    <w:rsid w:val="000E7BD4"/>
    <w:rsid w:val="000F5514"/>
    <w:rsid w:val="000F63D6"/>
    <w:rsid w:val="00102EB5"/>
    <w:rsid w:val="00110934"/>
    <w:rsid w:val="001124D7"/>
    <w:rsid w:val="0012272A"/>
    <w:rsid w:val="001320FF"/>
    <w:rsid w:val="001411B6"/>
    <w:rsid w:val="00142F6E"/>
    <w:rsid w:val="0014600C"/>
    <w:rsid w:val="00150142"/>
    <w:rsid w:val="001507A8"/>
    <w:rsid w:val="00155C03"/>
    <w:rsid w:val="001746BE"/>
    <w:rsid w:val="00175E7F"/>
    <w:rsid w:val="0018095C"/>
    <w:rsid w:val="00182A27"/>
    <w:rsid w:val="00183DDD"/>
    <w:rsid w:val="00185DB8"/>
    <w:rsid w:val="001860E9"/>
    <w:rsid w:val="001A0C5E"/>
    <w:rsid w:val="001A6B64"/>
    <w:rsid w:val="001B1C01"/>
    <w:rsid w:val="001B79CB"/>
    <w:rsid w:val="001C7B2A"/>
    <w:rsid w:val="001D47D0"/>
    <w:rsid w:val="001D63DD"/>
    <w:rsid w:val="001E33C5"/>
    <w:rsid w:val="001E3817"/>
    <w:rsid w:val="001E6934"/>
    <w:rsid w:val="001E7467"/>
    <w:rsid w:val="001F058E"/>
    <w:rsid w:val="001F3090"/>
    <w:rsid w:val="001F5791"/>
    <w:rsid w:val="001F63F3"/>
    <w:rsid w:val="0020341D"/>
    <w:rsid w:val="00211909"/>
    <w:rsid w:val="002131FF"/>
    <w:rsid w:val="00215048"/>
    <w:rsid w:val="002157AE"/>
    <w:rsid w:val="00236C7E"/>
    <w:rsid w:val="00240907"/>
    <w:rsid w:val="00241654"/>
    <w:rsid w:val="0025096E"/>
    <w:rsid w:val="002510AE"/>
    <w:rsid w:val="002541AE"/>
    <w:rsid w:val="00270F76"/>
    <w:rsid w:val="002719AD"/>
    <w:rsid w:val="00273BF3"/>
    <w:rsid w:val="00275A20"/>
    <w:rsid w:val="00275D92"/>
    <w:rsid w:val="002828C6"/>
    <w:rsid w:val="00290C3B"/>
    <w:rsid w:val="00293AEC"/>
    <w:rsid w:val="002A41B2"/>
    <w:rsid w:val="002A5BCA"/>
    <w:rsid w:val="002A5E93"/>
    <w:rsid w:val="002B1F78"/>
    <w:rsid w:val="002B3F8F"/>
    <w:rsid w:val="002B6A97"/>
    <w:rsid w:val="002C532F"/>
    <w:rsid w:val="002D399A"/>
    <w:rsid w:val="002D72BA"/>
    <w:rsid w:val="002D74C9"/>
    <w:rsid w:val="002E0EFD"/>
    <w:rsid w:val="002E3575"/>
    <w:rsid w:val="002E79D2"/>
    <w:rsid w:val="002F1CDD"/>
    <w:rsid w:val="002F1E88"/>
    <w:rsid w:val="002F2190"/>
    <w:rsid w:val="003008F1"/>
    <w:rsid w:val="0030533F"/>
    <w:rsid w:val="003068DF"/>
    <w:rsid w:val="0031455E"/>
    <w:rsid w:val="00321DEF"/>
    <w:rsid w:val="00324EB8"/>
    <w:rsid w:val="00337588"/>
    <w:rsid w:val="00341E72"/>
    <w:rsid w:val="003477DD"/>
    <w:rsid w:val="00352327"/>
    <w:rsid w:val="003718C1"/>
    <w:rsid w:val="003719BF"/>
    <w:rsid w:val="00375532"/>
    <w:rsid w:val="00385511"/>
    <w:rsid w:val="003965D8"/>
    <w:rsid w:val="00397948"/>
    <w:rsid w:val="00397C3A"/>
    <w:rsid w:val="003A5CA9"/>
    <w:rsid w:val="003A64B7"/>
    <w:rsid w:val="003B60C5"/>
    <w:rsid w:val="003C52EE"/>
    <w:rsid w:val="003D236D"/>
    <w:rsid w:val="003E018A"/>
    <w:rsid w:val="003E313B"/>
    <w:rsid w:val="003E45CD"/>
    <w:rsid w:val="003E47E8"/>
    <w:rsid w:val="003E5117"/>
    <w:rsid w:val="003E7147"/>
    <w:rsid w:val="003F24C6"/>
    <w:rsid w:val="003F2DA9"/>
    <w:rsid w:val="003F485B"/>
    <w:rsid w:val="00401541"/>
    <w:rsid w:val="004029ED"/>
    <w:rsid w:val="00404150"/>
    <w:rsid w:val="00417393"/>
    <w:rsid w:val="004174CE"/>
    <w:rsid w:val="00424E0E"/>
    <w:rsid w:val="00430115"/>
    <w:rsid w:val="00444350"/>
    <w:rsid w:val="00445C5D"/>
    <w:rsid w:val="00447BFC"/>
    <w:rsid w:val="004502A5"/>
    <w:rsid w:val="004506D8"/>
    <w:rsid w:val="004514BB"/>
    <w:rsid w:val="0045192E"/>
    <w:rsid w:val="00472CCA"/>
    <w:rsid w:val="00475187"/>
    <w:rsid w:val="0048531F"/>
    <w:rsid w:val="004924A5"/>
    <w:rsid w:val="00494064"/>
    <w:rsid w:val="00497EB7"/>
    <w:rsid w:val="004A10C8"/>
    <w:rsid w:val="004A63B0"/>
    <w:rsid w:val="004A6BE4"/>
    <w:rsid w:val="004B0BEC"/>
    <w:rsid w:val="004B400C"/>
    <w:rsid w:val="004B41A9"/>
    <w:rsid w:val="004C339A"/>
    <w:rsid w:val="004D0D23"/>
    <w:rsid w:val="004D5CD4"/>
    <w:rsid w:val="004D7A6F"/>
    <w:rsid w:val="00502DD6"/>
    <w:rsid w:val="00514FEF"/>
    <w:rsid w:val="0051646C"/>
    <w:rsid w:val="00517C9A"/>
    <w:rsid w:val="00524B5B"/>
    <w:rsid w:val="00534B5C"/>
    <w:rsid w:val="005577A8"/>
    <w:rsid w:val="00561239"/>
    <w:rsid w:val="00561B3A"/>
    <w:rsid w:val="00562AB4"/>
    <w:rsid w:val="00570011"/>
    <w:rsid w:val="00571C99"/>
    <w:rsid w:val="00573ED9"/>
    <w:rsid w:val="0057535C"/>
    <w:rsid w:val="00575972"/>
    <w:rsid w:val="005860D4"/>
    <w:rsid w:val="00594B40"/>
    <w:rsid w:val="005A4EE9"/>
    <w:rsid w:val="005B4BDA"/>
    <w:rsid w:val="005C33D6"/>
    <w:rsid w:val="005C4D37"/>
    <w:rsid w:val="005C63F9"/>
    <w:rsid w:val="005D219F"/>
    <w:rsid w:val="005E03FE"/>
    <w:rsid w:val="005E061C"/>
    <w:rsid w:val="005E70CC"/>
    <w:rsid w:val="005F5FDD"/>
    <w:rsid w:val="00603D79"/>
    <w:rsid w:val="00616B40"/>
    <w:rsid w:val="00617F42"/>
    <w:rsid w:val="006225CB"/>
    <w:rsid w:val="00624AE8"/>
    <w:rsid w:val="00627255"/>
    <w:rsid w:val="00635733"/>
    <w:rsid w:val="00635DCF"/>
    <w:rsid w:val="00637803"/>
    <w:rsid w:val="006538EA"/>
    <w:rsid w:val="00661DD8"/>
    <w:rsid w:val="006735F4"/>
    <w:rsid w:val="00673C2B"/>
    <w:rsid w:val="00676BA8"/>
    <w:rsid w:val="00676BE9"/>
    <w:rsid w:val="006874CC"/>
    <w:rsid w:val="00690036"/>
    <w:rsid w:val="0069234A"/>
    <w:rsid w:val="00697727"/>
    <w:rsid w:val="006A45C6"/>
    <w:rsid w:val="006A6705"/>
    <w:rsid w:val="006A7661"/>
    <w:rsid w:val="006B23E7"/>
    <w:rsid w:val="006B4226"/>
    <w:rsid w:val="006B526C"/>
    <w:rsid w:val="006C1E30"/>
    <w:rsid w:val="006C2B2F"/>
    <w:rsid w:val="006C42AE"/>
    <w:rsid w:val="006D490F"/>
    <w:rsid w:val="006D5174"/>
    <w:rsid w:val="006E03C4"/>
    <w:rsid w:val="006E4964"/>
    <w:rsid w:val="006E534C"/>
    <w:rsid w:val="00711CEB"/>
    <w:rsid w:val="00721826"/>
    <w:rsid w:val="00724485"/>
    <w:rsid w:val="00725828"/>
    <w:rsid w:val="00735F29"/>
    <w:rsid w:val="00742040"/>
    <w:rsid w:val="0074699C"/>
    <w:rsid w:val="00752389"/>
    <w:rsid w:val="00753E30"/>
    <w:rsid w:val="00755E36"/>
    <w:rsid w:val="007576C5"/>
    <w:rsid w:val="00760702"/>
    <w:rsid w:val="00761AEF"/>
    <w:rsid w:val="00762330"/>
    <w:rsid w:val="00785445"/>
    <w:rsid w:val="0078736F"/>
    <w:rsid w:val="00787682"/>
    <w:rsid w:val="00790379"/>
    <w:rsid w:val="00794354"/>
    <w:rsid w:val="00794958"/>
    <w:rsid w:val="0079667A"/>
    <w:rsid w:val="007D1767"/>
    <w:rsid w:val="007D6095"/>
    <w:rsid w:val="007E35FD"/>
    <w:rsid w:val="007E69F4"/>
    <w:rsid w:val="007E6F38"/>
    <w:rsid w:val="007F343D"/>
    <w:rsid w:val="00814A26"/>
    <w:rsid w:val="008160EC"/>
    <w:rsid w:val="008337F3"/>
    <w:rsid w:val="008343E0"/>
    <w:rsid w:val="00835F5B"/>
    <w:rsid w:val="00837BD0"/>
    <w:rsid w:val="00841D96"/>
    <w:rsid w:val="0084372F"/>
    <w:rsid w:val="008464D9"/>
    <w:rsid w:val="008632CE"/>
    <w:rsid w:val="008705E9"/>
    <w:rsid w:val="00871006"/>
    <w:rsid w:val="00887E5C"/>
    <w:rsid w:val="00897D0D"/>
    <w:rsid w:val="008B029B"/>
    <w:rsid w:val="008B3AFA"/>
    <w:rsid w:val="008B4A8D"/>
    <w:rsid w:val="008C3BA2"/>
    <w:rsid w:val="008C412F"/>
    <w:rsid w:val="008C655C"/>
    <w:rsid w:val="008C6CF0"/>
    <w:rsid w:val="008C6E40"/>
    <w:rsid w:val="008D2762"/>
    <w:rsid w:val="008D4BA0"/>
    <w:rsid w:val="008D5F22"/>
    <w:rsid w:val="008E01BF"/>
    <w:rsid w:val="008F0A98"/>
    <w:rsid w:val="008F3217"/>
    <w:rsid w:val="008F55F7"/>
    <w:rsid w:val="008F5E6A"/>
    <w:rsid w:val="008F756A"/>
    <w:rsid w:val="00901915"/>
    <w:rsid w:val="00903135"/>
    <w:rsid w:val="00906BD1"/>
    <w:rsid w:val="00907DB7"/>
    <w:rsid w:val="00907FCB"/>
    <w:rsid w:val="009126D7"/>
    <w:rsid w:val="00912FD3"/>
    <w:rsid w:val="0092107E"/>
    <w:rsid w:val="009227DF"/>
    <w:rsid w:val="009234DF"/>
    <w:rsid w:val="0092456D"/>
    <w:rsid w:val="00925A38"/>
    <w:rsid w:val="009264FC"/>
    <w:rsid w:val="00926761"/>
    <w:rsid w:val="00927AD5"/>
    <w:rsid w:val="00932695"/>
    <w:rsid w:val="00932C3F"/>
    <w:rsid w:val="009355B2"/>
    <w:rsid w:val="0094027A"/>
    <w:rsid w:val="0094091D"/>
    <w:rsid w:val="00941402"/>
    <w:rsid w:val="00944746"/>
    <w:rsid w:val="009448B7"/>
    <w:rsid w:val="00954B61"/>
    <w:rsid w:val="0095579D"/>
    <w:rsid w:val="00957907"/>
    <w:rsid w:val="00964813"/>
    <w:rsid w:val="00976928"/>
    <w:rsid w:val="00977C92"/>
    <w:rsid w:val="0099107C"/>
    <w:rsid w:val="009916B5"/>
    <w:rsid w:val="009916DA"/>
    <w:rsid w:val="00992B59"/>
    <w:rsid w:val="0099323C"/>
    <w:rsid w:val="0099522E"/>
    <w:rsid w:val="009A5F3B"/>
    <w:rsid w:val="009A6D17"/>
    <w:rsid w:val="009A7A90"/>
    <w:rsid w:val="009B0930"/>
    <w:rsid w:val="009B116B"/>
    <w:rsid w:val="009C0891"/>
    <w:rsid w:val="009C168D"/>
    <w:rsid w:val="009C2365"/>
    <w:rsid w:val="009D00B9"/>
    <w:rsid w:val="009D27B4"/>
    <w:rsid w:val="009D37E3"/>
    <w:rsid w:val="009D6CFD"/>
    <w:rsid w:val="009E1112"/>
    <w:rsid w:val="009E1C84"/>
    <w:rsid w:val="009E3224"/>
    <w:rsid w:val="009F136E"/>
    <w:rsid w:val="009F5203"/>
    <w:rsid w:val="00A03239"/>
    <w:rsid w:val="00A0564F"/>
    <w:rsid w:val="00A1074F"/>
    <w:rsid w:val="00A13E1C"/>
    <w:rsid w:val="00A20934"/>
    <w:rsid w:val="00A25111"/>
    <w:rsid w:val="00A32A6B"/>
    <w:rsid w:val="00A36A8C"/>
    <w:rsid w:val="00A408FE"/>
    <w:rsid w:val="00A4172D"/>
    <w:rsid w:val="00A41CBE"/>
    <w:rsid w:val="00A46784"/>
    <w:rsid w:val="00A5004C"/>
    <w:rsid w:val="00A55530"/>
    <w:rsid w:val="00A56AF5"/>
    <w:rsid w:val="00A6228C"/>
    <w:rsid w:val="00A645DA"/>
    <w:rsid w:val="00A65516"/>
    <w:rsid w:val="00A709EE"/>
    <w:rsid w:val="00A75A17"/>
    <w:rsid w:val="00A84C05"/>
    <w:rsid w:val="00A856B4"/>
    <w:rsid w:val="00A865C9"/>
    <w:rsid w:val="00A904FB"/>
    <w:rsid w:val="00A914D5"/>
    <w:rsid w:val="00AB040D"/>
    <w:rsid w:val="00AB2D53"/>
    <w:rsid w:val="00AB578D"/>
    <w:rsid w:val="00AB65EF"/>
    <w:rsid w:val="00AC3AC3"/>
    <w:rsid w:val="00AD0118"/>
    <w:rsid w:val="00AD2EBE"/>
    <w:rsid w:val="00AD4F68"/>
    <w:rsid w:val="00AE39C2"/>
    <w:rsid w:val="00AE4A66"/>
    <w:rsid w:val="00AE52E2"/>
    <w:rsid w:val="00AE5DC2"/>
    <w:rsid w:val="00AE7427"/>
    <w:rsid w:val="00AF046D"/>
    <w:rsid w:val="00AF1563"/>
    <w:rsid w:val="00B04801"/>
    <w:rsid w:val="00B10E34"/>
    <w:rsid w:val="00B11B20"/>
    <w:rsid w:val="00B1797C"/>
    <w:rsid w:val="00B20AB3"/>
    <w:rsid w:val="00B2265D"/>
    <w:rsid w:val="00B3376F"/>
    <w:rsid w:val="00B36638"/>
    <w:rsid w:val="00B45A00"/>
    <w:rsid w:val="00B45A49"/>
    <w:rsid w:val="00B47B02"/>
    <w:rsid w:val="00B547B7"/>
    <w:rsid w:val="00B56A0A"/>
    <w:rsid w:val="00B6178F"/>
    <w:rsid w:val="00B62D52"/>
    <w:rsid w:val="00B6488F"/>
    <w:rsid w:val="00B64B6F"/>
    <w:rsid w:val="00B6572E"/>
    <w:rsid w:val="00B8236E"/>
    <w:rsid w:val="00B84539"/>
    <w:rsid w:val="00B84E94"/>
    <w:rsid w:val="00B863D0"/>
    <w:rsid w:val="00B90204"/>
    <w:rsid w:val="00BA283E"/>
    <w:rsid w:val="00BA62D3"/>
    <w:rsid w:val="00BA706E"/>
    <w:rsid w:val="00BB1031"/>
    <w:rsid w:val="00BB2395"/>
    <w:rsid w:val="00BB30D4"/>
    <w:rsid w:val="00BB3926"/>
    <w:rsid w:val="00BB4861"/>
    <w:rsid w:val="00BB53E3"/>
    <w:rsid w:val="00BC3FBA"/>
    <w:rsid w:val="00BC69CC"/>
    <w:rsid w:val="00BD0618"/>
    <w:rsid w:val="00BD42F9"/>
    <w:rsid w:val="00BE598F"/>
    <w:rsid w:val="00BF016B"/>
    <w:rsid w:val="00BF0381"/>
    <w:rsid w:val="00BF1CE0"/>
    <w:rsid w:val="00BF226A"/>
    <w:rsid w:val="00BF5305"/>
    <w:rsid w:val="00BF53C4"/>
    <w:rsid w:val="00BF7BBD"/>
    <w:rsid w:val="00C12A35"/>
    <w:rsid w:val="00C16C6D"/>
    <w:rsid w:val="00C21049"/>
    <w:rsid w:val="00C222AC"/>
    <w:rsid w:val="00C2230A"/>
    <w:rsid w:val="00C3148A"/>
    <w:rsid w:val="00C345FF"/>
    <w:rsid w:val="00C378BC"/>
    <w:rsid w:val="00C44E36"/>
    <w:rsid w:val="00C450E3"/>
    <w:rsid w:val="00C537BB"/>
    <w:rsid w:val="00C53A4D"/>
    <w:rsid w:val="00C54231"/>
    <w:rsid w:val="00C63CC5"/>
    <w:rsid w:val="00C64DD2"/>
    <w:rsid w:val="00C661CA"/>
    <w:rsid w:val="00C67D5B"/>
    <w:rsid w:val="00C748C3"/>
    <w:rsid w:val="00C74DB4"/>
    <w:rsid w:val="00C9468B"/>
    <w:rsid w:val="00C949C4"/>
    <w:rsid w:val="00C975E0"/>
    <w:rsid w:val="00CA108F"/>
    <w:rsid w:val="00CA7C8D"/>
    <w:rsid w:val="00CB0B03"/>
    <w:rsid w:val="00CB1072"/>
    <w:rsid w:val="00CB1705"/>
    <w:rsid w:val="00CB6816"/>
    <w:rsid w:val="00CC17AD"/>
    <w:rsid w:val="00CC5A7F"/>
    <w:rsid w:val="00CD17A7"/>
    <w:rsid w:val="00CD26D5"/>
    <w:rsid w:val="00CD7C35"/>
    <w:rsid w:val="00D04623"/>
    <w:rsid w:val="00D06DAB"/>
    <w:rsid w:val="00D14133"/>
    <w:rsid w:val="00D16133"/>
    <w:rsid w:val="00D21318"/>
    <w:rsid w:val="00D24C94"/>
    <w:rsid w:val="00D250D0"/>
    <w:rsid w:val="00D27132"/>
    <w:rsid w:val="00D27D4C"/>
    <w:rsid w:val="00D341C5"/>
    <w:rsid w:val="00D5066A"/>
    <w:rsid w:val="00D507D8"/>
    <w:rsid w:val="00D51BC8"/>
    <w:rsid w:val="00D520BC"/>
    <w:rsid w:val="00D53605"/>
    <w:rsid w:val="00D5596A"/>
    <w:rsid w:val="00D600C2"/>
    <w:rsid w:val="00D6711D"/>
    <w:rsid w:val="00D70F20"/>
    <w:rsid w:val="00D71E29"/>
    <w:rsid w:val="00D7598E"/>
    <w:rsid w:val="00D77A9B"/>
    <w:rsid w:val="00D77D99"/>
    <w:rsid w:val="00D85A4C"/>
    <w:rsid w:val="00D85D82"/>
    <w:rsid w:val="00D909D1"/>
    <w:rsid w:val="00DA0A81"/>
    <w:rsid w:val="00DA2F46"/>
    <w:rsid w:val="00DA513F"/>
    <w:rsid w:val="00DB0578"/>
    <w:rsid w:val="00DB2846"/>
    <w:rsid w:val="00DC4780"/>
    <w:rsid w:val="00DC651A"/>
    <w:rsid w:val="00DD0E17"/>
    <w:rsid w:val="00DD3C6A"/>
    <w:rsid w:val="00DD59B7"/>
    <w:rsid w:val="00DF5EBE"/>
    <w:rsid w:val="00E004FF"/>
    <w:rsid w:val="00E00D56"/>
    <w:rsid w:val="00E0688B"/>
    <w:rsid w:val="00E07601"/>
    <w:rsid w:val="00E07DBB"/>
    <w:rsid w:val="00E14B87"/>
    <w:rsid w:val="00E15150"/>
    <w:rsid w:val="00E15ED4"/>
    <w:rsid w:val="00E17C38"/>
    <w:rsid w:val="00E22A97"/>
    <w:rsid w:val="00E3073B"/>
    <w:rsid w:val="00E32BFC"/>
    <w:rsid w:val="00E33FAD"/>
    <w:rsid w:val="00E34D1B"/>
    <w:rsid w:val="00E40FF2"/>
    <w:rsid w:val="00E45FF4"/>
    <w:rsid w:val="00E52519"/>
    <w:rsid w:val="00E52C33"/>
    <w:rsid w:val="00E5439C"/>
    <w:rsid w:val="00E546BA"/>
    <w:rsid w:val="00E549C7"/>
    <w:rsid w:val="00E54AC4"/>
    <w:rsid w:val="00E56664"/>
    <w:rsid w:val="00E574F6"/>
    <w:rsid w:val="00E6131F"/>
    <w:rsid w:val="00E717F2"/>
    <w:rsid w:val="00E752BE"/>
    <w:rsid w:val="00E85237"/>
    <w:rsid w:val="00E91F0B"/>
    <w:rsid w:val="00E96EAD"/>
    <w:rsid w:val="00EA0D0D"/>
    <w:rsid w:val="00EB7BC0"/>
    <w:rsid w:val="00ED0D6B"/>
    <w:rsid w:val="00ED4452"/>
    <w:rsid w:val="00ED4AAD"/>
    <w:rsid w:val="00EE12C2"/>
    <w:rsid w:val="00EE384D"/>
    <w:rsid w:val="00EE42A9"/>
    <w:rsid w:val="00EF016D"/>
    <w:rsid w:val="00EF1493"/>
    <w:rsid w:val="00EF3709"/>
    <w:rsid w:val="00EF750C"/>
    <w:rsid w:val="00F01AF4"/>
    <w:rsid w:val="00F06415"/>
    <w:rsid w:val="00F066FB"/>
    <w:rsid w:val="00F076AA"/>
    <w:rsid w:val="00F07EA4"/>
    <w:rsid w:val="00F1522C"/>
    <w:rsid w:val="00F16DAF"/>
    <w:rsid w:val="00F201A4"/>
    <w:rsid w:val="00F223BF"/>
    <w:rsid w:val="00F23667"/>
    <w:rsid w:val="00F30668"/>
    <w:rsid w:val="00F343C0"/>
    <w:rsid w:val="00F42839"/>
    <w:rsid w:val="00F44885"/>
    <w:rsid w:val="00F45559"/>
    <w:rsid w:val="00F543AB"/>
    <w:rsid w:val="00F54AE9"/>
    <w:rsid w:val="00F54F99"/>
    <w:rsid w:val="00F55540"/>
    <w:rsid w:val="00F60DAA"/>
    <w:rsid w:val="00F61032"/>
    <w:rsid w:val="00F62C7B"/>
    <w:rsid w:val="00F65947"/>
    <w:rsid w:val="00F6641E"/>
    <w:rsid w:val="00F733AA"/>
    <w:rsid w:val="00F74E41"/>
    <w:rsid w:val="00F754E1"/>
    <w:rsid w:val="00F76830"/>
    <w:rsid w:val="00F827F3"/>
    <w:rsid w:val="00F9393C"/>
    <w:rsid w:val="00F9516F"/>
    <w:rsid w:val="00F95305"/>
    <w:rsid w:val="00FA16F8"/>
    <w:rsid w:val="00FA2280"/>
    <w:rsid w:val="00FA4FC5"/>
    <w:rsid w:val="00FA6635"/>
    <w:rsid w:val="00FA7E7B"/>
    <w:rsid w:val="00FB0D64"/>
    <w:rsid w:val="00FC12A7"/>
    <w:rsid w:val="00FD062E"/>
    <w:rsid w:val="00FD51B6"/>
    <w:rsid w:val="00FD694F"/>
    <w:rsid w:val="00FE0680"/>
    <w:rsid w:val="00FE26CC"/>
    <w:rsid w:val="00FF021D"/>
    <w:rsid w:val="016264E0"/>
    <w:rsid w:val="02CA1611"/>
    <w:rsid w:val="052A6788"/>
    <w:rsid w:val="0C007CDA"/>
    <w:rsid w:val="100F070B"/>
    <w:rsid w:val="11617CC7"/>
    <w:rsid w:val="169F287B"/>
    <w:rsid w:val="26262CBE"/>
    <w:rsid w:val="37491447"/>
    <w:rsid w:val="3A640191"/>
    <w:rsid w:val="3B3D1B9C"/>
    <w:rsid w:val="3BF74CCC"/>
    <w:rsid w:val="3D383B3D"/>
    <w:rsid w:val="3DBF0EB6"/>
    <w:rsid w:val="3DCE380F"/>
    <w:rsid w:val="3E436EF8"/>
    <w:rsid w:val="411820A5"/>
    <w:rsid w:val="42B7196C"/>
    <w:rsid w:val="480E633F"/>
    <w:rsid w:val="4F4E0160"/>
    <w:rsid w:val="4FA81D26"/>
    <w:rsid w:val="53EB4207"/>
    <w:rsid w:val="5BD918E1"/>
    <w:rsid w:val="5F0663CF"/>
    <w:rsid w:val="6BFE41C0"/>
    <w:rsid w:val="6CCB106B"/>
    <w:rsid w:val="6DBD2696"/>
    <w:rsid w:val="6F224F92"/>
    <w:rsid w:val="723B034B"/>
    <w:rsid w:val="73CA59E6"/>
    <w:rsid w:val="7946187A"/>
    <w:rsid w:val="7A8B2487"/>
    <w:rsid w:val="7DBE1DD7"/>
    <w:rsid w:val="7F6C7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paragraph" w:styleId="3">
    <w:name w:val="heading 2"/>
    <w:basedOn w:val="1"/>
    <w:next w:val="1"/>
    <w:link w:val="28"/>
    <w:qFormat/>
    <w:uiPriority w:val="9"/>
    <w:pPr>
      <w:keepNext/>
      <w:keepLines/>
      <w:spacing w:line="416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link w:val="29"/>
    <w:qFormat/>
    <w:uiPriority w:val="9"/>
    <w:pPr>
      <w:keepNext/>
      <w:keepLines/>
      <w:spacing w:line="416" w:lineRule="auto"/>
      <w:outlineLvl w:val="2"/>
    </w:pPr>
    <w:rPr>
      <w:b/>
      <w:bCs/>
      <w:szCs w:val="32"/>
    </w:rPr>
  </w:style>
  <w:style w:type="paragraph" w:styleId="5">
    <w:name w:val="heading 4"/>
    <w:basedOn w:val="1"/>
    <w:next w:val="6"/>
    <w:qFormat/>
    <w:uiPriority w:val="0"/>
    <w:pPr>
      <w:keepNext/>
      <w:jc w:val="center"/>
      <w:outlineLvl w:val="3"/>
    </w:pPr>
    <w:rPr>
      <w:rFonts w:ascii="Times New Roman" w:hAnsi="Times New Roman"/>
      <w:sz w:val="4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7">
    <w:name w:val="Body Text"/>
    <w:basedOn w:val="1"/>
    <w:link w:val="36"/>
    <w:qFormat/>
    <w:uiPriority w:val="0"/>
    <w:pPr>
      <w:tabs>
        <w:tab w:val="left" w:pos="5040"/>
      </w:tabs>
    </w:pPr>
    <w:rPr>
      <w:rFonts w:ascii="宋体" w:hAnsi="宋体"/>
      <w:sz w:val="24"/>
      <w:szCs w:val="24"/>
    </w:rPr>
  </w:style>
  <w:style w:type="paragraph" w:styleId="8">
    <w:name w:val="Body Text Indent"/>
    <w:basedOn w:val="1"/>
    <w:link w:val="35"/>
    <w:qFormat/>
    <w:uiPriority w:val="0"/>
    <w:pPr>
      <w:ind w:firstLine="472" w:firstLineChars="200"/>
    </w:pPr>
    <w:rPr>
      <w:rFonts w:ascii="Times New Roman" w:hAnsi="Times New Roman"/>
      <w:spacing w:val="-2"/>
      <w:sz w:val="24"/>
      <w:szCs w:val="24"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0">
    <w:name w:val="Plain Text"/>
    <w:basedOn w:val="1"/>
    <w:link w:val="34"/>
    <w:qFormat/>
    <w:uiPriority w:val="0"/>
    <w:rPr>
      <w:rFonts w:ascii="宋体" w:hAnsi="Courier New"/>
      <w:szCs w:val="21"/>
    </w:rPr>
  </w:style>
  <w:style w:type="paragraph" w:styleId="11">
    <w:name w:val="Date"/>
    <w:basedOn w:val="1"/>
    <w:next w:val="1"/>
    <w:link w:val="33"/>
    <w:unhideWhenUsed/>
    <w:qFormat/>
    <w:uiPriority w:val="0"/>
    <w:pPr>
      <w:ind w:left="100" w:leftChars="2500"/>
    </w:pPr>
  </w:style>
  <w:style w:type="paragraph" w:styleId="12">
    <w:name w:val="Body Text Indent 2"/>
    <w:basedOn w:val="1"/>
    <w:link w:val="37"/>
    <w:qFormat/>
    <w:uiPriority w:val="0"/>
    <w:pPr>
      <w:ind w:firstLine="508" w:firstLineChars="242"/>
    </w:pPr>
    <w:rPr>
      <w:rFonts w:ascii="Times New Roman" w:hAnsi="Times New Roman"/>
      <w:szCs w:val="24"/>
    </w:rPr>
  </w:style>
  <w:style w:type="paragraph" w:styleId="13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Body Text First Indent 2"/>
    <w:basedOn w:val="8"/>
    <w:qFormat/>
    <w:uiPriority w:val="0"/>
    <w:pPr>
      <w:spacing w:after="120"/>
      <w:ind w:left="420" w:firstLine="210" w:firstLineChars="0"/>
    </w:pPr>
    <w:rPr>
      <w:rFonts w:hint="eastAsia" w:ascii="宋体" w:hAnsi="宋体"/>
      <w:spacing w:val="0"/>
      <w:sz w:val="21"/>
      <w:szCs w:val="20"/>
    </w:rPr>
  </w:style>
  <w:style w:type="paragraph" w:styleId="16">
    <w:name w:val="header"/>
    <w:basedOn w:val="1"/>
    <w:link w:val="3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</w:style>
  <w:style w:type="paragraph" w:styleId="18">
    <w:name w:val="Body Text Indent 3"/>
    <w:basedOn w:val="1"/>
    <w:link w:val="38"/>
    <w:qFormat/>
    <w:uiPriority w:val="0"/>
    <w:pPr>
      <w:ind w:firstLine="405" w:firstLineChars="193"/>
    </w:pPr>
    <w:rPr>
      <w:rFonts w:ascii="Times New Roman" w:hAnsi="Times New Roman"/>
      <w:szCs w:val="24"/>
    </w:rPr>
  </w:style>
  <w:style w:type="paragraph" w:styleId="19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20">
    <w:name w:val="Body Text 2"/>
    <w:basedOn w:val="1"/>
    <w:qFormat/>
    <w:uiPriority w:val="0"/>
    <w:pPr>
      <w:spacing w:line="480" w:lineRule="exact"/>
      <w:jc w:val="left"/>
    </w:pPr>
    <w:rPr>
      <w:rFonts w:ascii="Times New Roman" w:hAnsi="Times New Roman"/>
      <w:spacing w:val="-10"/>
      <w:kern w:val="0"/>
      <w:sz w:val="24"/>
      <w:szCs w:val="24"/>
    </w:rPr>
  </w:style>
  <w:style w:type="character" w:styleId="22">
    <w:name w:val="page number"/>
    <w:basedOn w:val="21"/>
    <w:qFormat/>
    <w:uiPriority w:val="0"/>
  </w:style>
  <w:style w:type="character" w:styleId="23">
    <w:name w:val="FollowedHyperlink"/>
    <w:basedOn w:val="21"/>
    <w:qFormat/>
    <w:uiPriority w:val="0"/>
    <w:rPr>
      <w:color w:val="800080"/>
      <w:u w:val="single"/>
    </w:rPr>
  </w:style>
  <w:style w:type="character" w:styleId="24">
    <w:name w:val="Hyperlink"/>
    <w:basedOn w:val="21"/>
    <w:unhideWhenUsed/>
    <w:qFormat/>
    <w:uiPriority w:val="99"/>
    <w:rPr>
      <w:color w:val="0000FF"/>
      <w:u w:val="single"/>
    </w:rPr>
  </w:style>
  <w:style w:type="table" w:styleId="26">
    <w:name w:val="Table Grid"/>
    <w:basedOn w:val="2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标题 1 Char"/>
    <w:basedOn w:val="21"/>
    <w:link w:val="2"/>
    <w:qFormat/>
    <w:uiPriority w:val="0"/>
    <w:rPr>
      <w:rFonts w:ascii="Times New Roman" w:hAnsi="Times New Roman" w:eastAsia="宋体" w:cs="Times New Roman"/>
      <w:b/>
      <w:bCs/>
      <w:sz w:val="32"/>
      <w:szCs w:val="24"/>
    </w:rPr>
  </w:style>
  <w:style w:type="character" w:customStyle="1" w:styleId="28">
    <w:name w:val="标题 2 Char"/>
    <w:basedOn w:val="21"/>
    <w:link w:val="3"/>
    <w:qFormat/>
    <w:uiPriority w:val="9"/>
    <w:rPr>
      <w:rFonts w:ascii="Cambria" w:hAnsi="Cambria" w:eastAsia="宋体" w:cs="Times New Roman"/>
      <w:b/>
      <w:bCs/>
      <w:szCs w:val="32"/>
    </w:rPr>
  </w:style>
  <w:style w:type="character" w:customStyle="1" w:styleId="29">
    <w:name w:val="标题 3 Char"/>
    <w:basedOn w:val="21"/>
    <w:link w:val="4"/>
    <w:qFormat/>
    <w:uiPriority w:val="9"/>
    <w:rPr>
      <w:b/>
      <w:bCs/>
      <w:szCs w:val="32"/>
    </w:rPr>
  </w:style>
  <w:style w:type="character" w:customStyle="1" w:styleId="30">
    <w:name w:val="页眉 Char"/>
    <w:basedOn w:val="21"/>
    <w:link w:val="16"/>
    <w:qFormat/>
    <w:uiPriority w:val="0"/>
    <w:rPr>
      <w:sz w:val="18"/>
      <w:szCs w:val="18"/>
    </w:rPr>
  </w:style>
  <w:style w:type="character" w:customStyle="1" w:styleId="31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32">
    <w:name w:val="批注框文本 Char"/>
    <w:basedOn w:val="21"/>
    <w:link w:val="13"/>
    <w:semiHidden/>
    <w:qFormat/>
    <w:uiPriority w:val="99"/>
    <w:rPr>
      <w:sz w:val="18"/>
      <w:szCs w:val="18"/>
    </w:rPr>
  </w:style>
  <w:style w:type="character" w:customStyle="1" w:styleId="33">
    <w:name w:val="日期 Char"/>
    <w:basedOn w:val="21"/>
    <w:link w:val="11"/>
    <w:semiHidden/>
    <w:qFormat/>
    <w:uiPriority w:val="99"/>
  </w:style>
  <w:style w:type="character" w:customStyle="1" w:styleId="34">
    <w:name w:val="纯文本 Char"/>
    <w:basedOn w:val="21"/>
    <w:link w:val="10"/>
    <w:qFormat/>
    <w:uiPriority w:val="0"/>
    <w:rPr>
      <w:rFonts w:ascii="宋体" w:hAnsi="Courier New" w:eastAsia="宋体" w:cs="Times New Roman"/>
      <w:szCs w:val="21"/>
    </w:rPr>
  </w:style>
  <w:style w:type="character" w:customStyle="1" w:styleId="35">
    <w:name w:val="正文文本缩进 Char"/>
    <w:basedOn w:val="21"/>
    <w:link w:val="8"/>
    <w:qFormat/>
    <w:uiPriority w:val="0"/>
    <w:rPr>
      <w:rFonts w:ascii="Times New Roman" w:hAnsi="Times New Roman" w:eastAsia="宋体" w:cs="Times New Roman"/>
      <w:spacing w:val="-2"/>
      <w:sz w:val="24"/>
      <w:szCs w:val="24"/>
    </w:rPr>
  </w:style>
  <w:style w:type="character" w:customStyle="1" w:styleId="36">
    <w:name w:val="正文文本 Char"/>
    <w:basedOn w:val="21"/>
    <w:link w:val="7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7">
    <w:name w:val="正文文本缩进 2 Char"/>
    <w:basedOn w:val="21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8">
    <w:name w:val="正文文本缩进 3 Char"/>
    <w:basedOn w:val="21"/>
    <w:link w:val="18"/>
    <w:qFormat/>
    <w:uiPriority w:val="0"/>
    <w:rPr>
      <w:rFonts w:ascii="Times New Roman" w:hAnsi="Times New Roman" w:eastAsia="宋体" w:cs="Times New Roman"/>
      <w:szCs w:val="24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paragraph" w:customStyle="1" w:styleId="40">
    <w:name w:val="TOC 标题1"/>
    <w:basedOn w:val="2"/>
    <w:next w:val="1"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1">
    <w:name w:val="Char Char11"/>
    <w:basedOn w:val="21"/>
    <w:qFormat/>
    <w:locked/>
    <w:uiPriority w:val="0"/>
    <w:rPr>
      <w:rFonts w:eastAsia="宋体"/>
      <w:b/>
      <w:bCs/>
      <w:kern w:val="2"/>
      <w:sz w:val="32"/>
      <w:szCs w:val="24"/>
      <w:lang w:val="en-US" w:eastAsia="zh-CN" w:bidi="ar-SA"/>
    </w:rPr>
  </w:style>
  <w:style w:type="character" w:customStyle="1" w:styleId="42">
    <w:name w:val="Char Char10"/>
    <w:basedOn w:val="21"/>
    <w:qFormat/>
    <w:locked/>
    <w:uiPriority w:val="0"/>
    <w:rPr>
      <w:rFonts w:ascii="Cambria" w:hAnsi="Cambria" w:eastAsia="宋体" w:cs="宋体"/>
      <w:b/>
      <w:bCs/>
      <w:kern w:val="2"/>
      <w:sz w:val="21"/>
      <w:szCs w:val="32"/>
      <w:lang w:val="en-US" w:eastAsia="zh-CN" w:bidi="ar-SA"/>
    </w:rPr>
  </w:style>
  <w:style w:type="character" w:customStyle="1" w:styleId="43">
    <w:name w:val="Char Char9"/>
    <w:basedOn w:val="21"/>
    <w:qFormat/>
    <w:locked/>
    <w:uiPriority w:val="0"/>
    <w:rPr>
      <w:rFonts w:ascii="Calibri" w:hAnsi="Calibri" w:eastAsia="宋体" w:cs="宋体"/>
      <w:b/>
      <w:bCs/>
      <w:kern w:val="2"/>
      <w:sz w:val="21"/>
      <w:szCs w:val="32"/>
      <w:lang w:val="en-US" w:eastAsia="zh-CN" w:bidi="ar-SA"/>
    </w:rPr>
  </w:style>
  <w:style w:type="character" w:customStyle="1" w:styleId="44">
    <w:name w:val="Char Char8"/>
    <w:basedOn w:val="21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45">
    <w:name w:val="Char Char7"/>
    <w:basedOn w:val="21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46">
    <w:name w:val="Char Char2"/>
    <w:basedOn w:val="21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47">
    <w:name w:val="Char Char3"/>
    <w:basedOn w:val="21"/>
    <w:qFormat/>
    <w:locked/>
    <w:uiPriority w:val="0"/>
    <w:rPr>
      <w:rFonts w:ascii="宋体" w:hAnsi="宋体" w:eastAsia="宋体"/>
      <w:spacing w:val="-2"/>
      <w:kern w:val="2"/>
      <w:sz w:val="24"/>
      <w:szCs w:val="24"/>
      <w:lang w:val="en-US" w:eastAsia="zh-CN" w:bidi="ar-SA"/>
    </w:rPr>
  </w:style>
  <w:style w:type="character" w:customStyle="1" w:styleId="48">
    <w:name w:val="Char Char1"/>
    <w:basedOn w:val="2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49">
    <w:name w:val="Char Char"/>
    <w:basedOn w:val="2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50">
    <w:name w:val="Char Char4"/>
    <w:basedOn w:val="21"/>
    <w:qFormat/>
    <w:locked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paragraph" w:customStyle="1" w:styleId="51">
    <w:name w:val="样式1"/>
    <w:basedOn w:val="1"/>
    <w:qFormat/>
    <w:uiPriority w:val="0"/>
    <w:pPr>
      <w:tabs>
        <w:tab w:val="left" w:pos="525"/>
      </w:tabs>
    </w:pPr>
    <w:rPr>
      <w:rFonts w:ascii="宋体" w:hAnsi="宋体"/>
      <w:szCs w:val="21"/>
    </w:rPr>
  </w:style>
  <w:style w:type="paragraph" w:customStyle="1" w:styleId="5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54">
    <w:name w:val="Char Char13"/>
    <w:basedOn w:val="21"/>
    <w:qFormat/>
    <w:uiPriority w:val="0"/>
    <w:rPr>
      <w:rFonts w:hint="eastAsia" w:ascii="宋体" w:hAnsi="宋体" w:eastAsia="宋体"/>
      <w:b/>
      <w:kern w:val="44"/>
      <w:sz w:val="44"/>
      <w:szCs w:val="24"/>
      <w:lang w:val="en-US" w:eastAsia="zh-CN" w:bidi="ar-SA"/>
    </w:rPr>
  </w:style>
  <w:style w:type="character" w:customStyle="1" w:styleId="55">
    <w:name w:val="Char Char12"/>
    <w:basedOn w:val="21"/>
    <w:qFormat/>
    <w:uiPriority w:val="0"/>
    <w:rPr>
      <w:rFonts w:hint="default" w:ascii="Arial" w:hAnsi="Arial" w:eastAsia="黑体" w:cs="Arial"/>
      <w:b/>
      <w:kern w:val="2"/>
      <w:sz w:val="32"/>
      <w:szCs w:val="24"/>
      <w:lang w:val="en-US" w:eastAsia="zh-CN" w:bidi="ar-SA"/>
    </w:rPr>
  </w:style>
  <w:style w:type="paragraph" w:customStyle="1" w:styleId="56">
    <w:name w:val="标准称谓"/>
    <w:next w:val="1"/>
    <w:qFormat/>
    <w:uiPriority w:val="0"/>
    <w:pPr>
      <w:framePr w:w="9638" w:h="754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57">
    <w:name w:val="前言、引言标题"/>
    <w:next w:val="1"/>
    <w:link w:val="87"/>
    <w:qFormat/>
    <w:uiPriority w:val="0"/>
    <w:pPr>
      <w:numPr>
        <w:ilvl w:val="0"/>
        <w:numId w:val="1"/>
      </w:numPr>
      <w:shd w:val="clear" w:color="auto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8">
    <w:name w:val="章标题"/>
    <w:next w:val="1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9">
    <w:name w:val="一级条标题"/>
    <w:next w:val="1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60">
    <w:name w:val="二级条标题"/>
    <w:basedOn w:val="59"/>
    <w:next w:val="1"/>
    <w:qFormat/>
    <w:uiPriority w:val="0"/>
    <w:pPr>
      <w:numPr>
        <w:ilvl w:val="3"/>
      </w:numPr>
      <w:outlineLvl w:val="3"/>
    </w:pPr>
  </w:style>
  <w:style w:type="paragraph" w:customStyle="1" w:styleId="61">
    <w:name w:val="发布部门"/>
    <w:next w:val="1"/>
    <w:qFormat/>
    <w:uiPriority w:val="0"/>
    <w:pPr>
      <w:framePr w:w="7433" w:h="585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2">
    <w:name w:val="封面标准号2"/>
    <w:basedOn w:val="1"/>
    <w:qFormat/>
    <w:uiPriority w:val="0"/>
    <w:pPr>
      <w:framePr w:w="9138" w:h="1244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</w:pPr>
    <w:rPr>
      <w:rFonts w:ascii="Times New Roman" w:hAnsi="Times New Roman"/>
      <w:kern w:val="0"/>
      <w:sz w:val="28"/>
      <w:szCs w:val="20"/>
    </w:rPr>
  </w:style>
  <w:style w:type="paragraph" w:customStyle="1" w:styleId="63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4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65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6">
    <w:name w:val="目次、标准名称标题"/>
    <w:basedOn w:val="57"/>
    <w:next w:val="1"/>
    <w:qFormat/>
    <w:uiPriority w:val="0"/>
    <w:pPr>
      <w:spacing w:line="460" w:lineRule="exact"/>
    </w:pPr>
  </w:style>
  <w:style w:type="paragraph" w:customStyle="1" w:styleId="67">
    <w:name w:val="三级条标题"/>
    <w:basedOn w:val="60"/>
    <w:next w:val="1"/>
    <w:qFormat/>
    <w:uiPriority w:val="0"/>
    <w:pPr>
      <w:numPr>
        <w:ilvl w:val="4"/>
      </w:numPr>
      <w:outlineLvl w:val="4"/>
    </w:pPr>
  </w:style>
  <w:style w:type="paragraph" w:customStyle="1" w:styleId="68">
    <w:name w:val="四级条标题"/>
    <w:basedOn w:val="67"/>
    <w:next w:val="1"/>
    <w:qFormat/>
    <w:uiPriority w:val="0"/>
    <w:pPr>
      <w:numPr>
        <w:ilvl w:val="5"/>
      </w:numPr>
      <w:outlineLvl w:val="5"/>
    </w:pPr>
  </w:style>
  <w:style w:type="paragraph" w:customStyle="1" w:styleId="69">
    <w:name w:val="文献分类号"/>
    <w:qFormat/>
    <w:uiPriority w:val="0"/>
    <w:pPr>
      <w:framePr w:hSpace="180" w:vSpace="180" w:wrap="around" w:vAnchor="margin" w:hAnchor="margin" w:y="1" w:anchorLock="1"/>
      <w:widowControl w:val="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70">
    <w:name w:val="五级条标题"/>
    <w:basedOn w:val="68"/>
    <w:next w:val="1"/>
    <w:qFormat/>
    <w:uiPriority w:val="0"/>
    <w:pPr>
      <w:numPr>
        <w:ilvl w:val="6"/>
      </w:numPr>
      <w:outlineLvl w:val="6"/>
    </w:pPr>
  </w:style>
  <w:style w:type="character" w:customStyle="1" w:styleId="71">
    <w:name w:val="发布"/>
    <w:basedOn w:val="21"/>
    <w:qFormat/>
    <w:uiPriority w:val="0"/>
    <w:rPr>
      <w:rFonts w:hint="eastAsia" w:ascii="黑体" w:eastAsia="黑体"/>
      <w:spacing w:val="22"/>
      <w:w w:val="100"/>
      <w:position w:val="3"/>
      <w:sz w:val="28"/>
    </w:rPr>
  </w:style>
  <w:style w:type="paragraph" w:customStyle="1" w:styleId="72">
    <w:name w:val="正文表标题"/>
    <w:next w:val="52"/>
    <w:qFormat/>
    <w:uiPriority w:val="0"/>
    <w:pPr>
      <w:ind w:left="360" w:hanging="36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3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74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6">
    <w:name w:val="封面标准代替信息"/>
    <w:basedOn w:val="62"/>
    <w:qFormat/>
    <w:uiPriority w:val="0"/>
    <w:pPr>
      <w:framePr w:h="1244" w:hRule="exact"/>
      <w:spacing w:before="57"/>
      <w:textAlignment w:val="center"/>
    </w:pPr>
    <w:rPr>
      <w:rFonts w:ascii="宋体"/>
      <w:sz w:val="21"/>
    </w:rPr>
  </w:style>
  <w:style w:type="paragraph" w:customStyle="1" w:styleId="77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8">
    <w:name w:val="列项——（一级）"/>
    <w:link w:val="80"/>
    <w:qFormat/>
    <w:uiPriority w:val="0"/>
    <w:pPr>
      <w:widowControl w:val="0"/>
      <w:numPr>
        <w:ilvl w:val="0"/>
        <w:numId w:val="2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79">
    <w:name w:val="实施日期"/>
    <w:basedOn w:val="75"/>
    <w:qFormat/>
    <w:uiPriority w:val="0"/>
    <w:pPr>
      <w:framePr w:hSpace="0" w:xAlign="right"/>
      <w:jc w:val="right"/>
    </w:pPr>
  </w:style>
  <w:style w:type="character" w:customStyle="1" w:styleId="80">
    <w:name w:val="列项——（一级） Char"/>
    <w:link w:val="78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81">
    <w:name w:val="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82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83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4">
    <w:name w:val="标准书眉_偶数页"/>
    <w:basedOn w:val="83"/>
    <w:next w:val="1"/>
    <w:qFormat/>
    <w:uiPriority w:val="0"/>
    <w:pPr>
      <w:jc w:val="left"/>
    </w:pPr>
  </w:style>
  <w:style w:type="paragraph" w:customStyle="1" w:styleId="85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6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87">
    <w:name w:val="前言、引言标题 Char"/>
    <w:basedOn w:val="21"/>
    <w:link w:val="57"/>
    <w:qFormat/>
    <w:uiPriority w:val="0"/>
    <w:rPr>
      <w:rFonts w:ascii="黑体" w:hAnsi="Times New Roman" w:eastAsia="黑体"/>
      <w:sz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3.wmf"/><Relationship Id="rId16" Type="http://schemas.openxmlformats.org/officeDocument/2006/relationships/oleObject" Target="embeddings/oleObject2.bin"/><Relationship Id="rId15" Type="http://schemas.openxmlformats.org/officeDocument/2006/relationships/image" Target="media/image2.wmf"/><Relationship Id="rId14" Type="http://schemas.openxmlformats.org/officeDocument/2006/relationships/oleObject" Target="embeddings/oleObject1.bin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66"/>
    <customShpInfo spid="_x0000_s2065"/>
    <customShpInfo spid="_x0000_s2050"/>
    <customShpInfo spid="_x0000_s2061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 User</Company>
  <Pages>6</Pages>
  <Words>628</Words>
  <Characters>3584</Characters>
  <Lines>29</Lines>
  <Paragraphs>8</Paragraphs>
  <TotalTime>5</TotalTime>
  <ScaleCrop>false</ScaleCrop>
  <LinksUpToDate>false</LinksUpToDate>
  <CharactersWithSpaces>4204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2015-11-19T01:05:00Z</dcterms:created>
  <dc:creator>王巨平</dc:creator>
  <cp:lastModifiedBy>Administrator</cp:lastModifiedBy>
  <cp:lastPrinted>2015-11-09T07:06:00Z</cp:lastPrinted>
  <dcterms:modified xsi:type="dcterms:W3CDTF">2018-12-09T10:27:15Z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