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67" w:rsidRDefault="00BE7295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31" type="#_x0000_t202" style="position:absolute;left:0;text-align:left;margin-left:.75pt;margin-top:.05pt;width:200pt;height:51.8pt;z-index:251653120;mso-position-horizontal-relative:margin;mso-position-vertical-relative:margin;mso-width-relative:page;mso-height-relative:page" stroked="f">
            <v:textbox style="mso-next-textbox:#fmFrame1" inset="0,0,0,0">
              <w:txbxContent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77.120.99</w:t>
                  </w:r>
                </w:p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H 68</w:t>
                  </w:r>
                </w:p>
              </w:txbxContent>
            </v:textbox>
            <w10:wrap anchorx="margin" anchory="margin"/>
            <w10:anchorlock/>
          </v:shape>
        </w:pict>
      </w:r>
      <w:r w:rsidR="00B61507">
        <w:rPr>
          <w:rFonts w:eastAsia="Times New Roman"/>
          <w:position w:val="51"/>
        </w:rPr>
        <w:tab/>
      </w:r>
      <w:r>
        <w:pict>
          <v:shape id="fmFrame8" o:spid="_x0000_s1030" type="#_x0000_t202" style="position:absolute;left:0;text-align:left;margin-left:323.15pt;margin-top:8.45pt;width:90.15pt;height:55.2pt;z-index:251654144;mso-wrap-style:none;mso-position-horizontal-relative:margin;mso-position-vertical-relative:margin;mso-width-relative:page;mso-height-relative:page" stroked="f">
            <v:textbox style="mso-next-textbox:#fmFrame8;mso-fit-shape-to-text:t" inset="0,0,0,0">
              <w:txbxContent>
                <w:p w:rsidR="00C84467" w:rsidRDefault="00386E51">
                  <w:pPr>
                    <w:pStyle w:val="af4"/>
                  </w:pPr>
                  <w:r w:rsidRPr="00386E51">
                    <w:rPr>
                      <w:b w:val="0"/>
                      <w:w w:val="100"/>
                      <w:kern w:val="2"/>
                      <w:sz w:val="21"/>
                      <w:szCs w:val="24"/>
                    </w:rPr>
                    <w:object w:dxaOrig="10842" w:dyaOrig="55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01.4pt;height:49.8pt;mso-position-horizontal-relative:page;mso-position-vertical-relative:page" o:ole="">
                        <v:imagedata r:id="rId7" o:title=""/>
                      </v:shape>
                      <o:OLEObject Type="Embed" ProgID="Equation.3" ShapeID="Picture 1" DrawAspect="Content" ObjectID="_1616565944" r:id="rId8"/>
                    </w:objec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1" w:line="160" w:lineRule="exact"/>
        <w:rPr>
          <w:rFonts w:eastAsia="Times New Roman"/>
          <w:sz w:val="16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BE7295">
      <w:pPr>
        <w:spacing w:line="581" w:lineRule="exact"/>
        <w:rPr>
          <w:rFonts w:ascii="宋体" w:hAnsi="宋体"/>
          <w:sz w:val="52"/>
        </w:rPr>
      </w:pPr>
      <w:r>
        <w:pict>
          <v:shape id="fmFrame2" o:spid="_x0000_s1029" type="#_x0000_t202" style="position:absolute;left:0;text-align:left;margin-left:-18.8pt;margin-top:79.6pt;width:481.9pt;height:30.8pt;z-index:251655168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pStyle w:val="af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BE7295">
      <w:pPr>
        <w:spacing w:beforeLines="50" w:before="156" w:afterLines="50" w:after="156"/>
        <w:ind w:right="594"/>
        <w:rPr>
          <w:rFonts w:ascii="宋体" w:hAnsi="宋体"/>
        </w:rPr>
      </w:pPr>
      <w:r>
        <w:pict>
          <v:shape id="fmFrame3" o:spid="_x0000_s1032" type="#_x0000_t202" style="position:absolute;left:0;text-align:left;margin-left:.75pt;margin-top:115.9pt;width:456.9pt;height:25.1pt;z-index:251656192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GB/T xxxx－20xx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8" w:line="170" w:lineRule="exact"/>
        <w:rPr>
          <w:rFonts w:ascii="宋体" w:hAnsi="宋体"/>
          <w:sz w:val="17"/>
        </w:rPr>
      </w:pPr>
    </w:p>
    <w:p w:rsidR="00C84467" w:rsidRDefault="00BE7295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75pt;margin-top:5.7pt;width:456.9pt;height:0;z-index:251657216;mso-width-relative:page;mso-height-relative:page" o:connectortype="straight"/>
        </w:pict>
      </w: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C84467" w:rsidRDefault="00BE7295">
      <w:pPr>
        <w:spacing w:line="200" w:lineRule="exact"/>
        <w:rPr>
          <w:rFonts w:eastAsia="Times New Roman"/>
          <w:sz w:val="20"/>
        </w:rPr>
      </w:pPr>
      <w:r>
        <w:rPr>
          <w:sz w:val="20"/>
        </w:rPr>
        <w:pict>
          <v:shape id="文本框 22" o:spid="_x0000_s1033" type="#_x0000_t202" style="position:absolute;left:0;text-align:left;margin-left:-14.4pt;margin-top:7.4pt;width:489.5pt;height:288.8pt;z-index:251658240;mso-width-relative:page;mso-height-relative:page" stroked="f">
            <v:textbox inset="2.53997mm,,2.53997mm">
              <w:txbxContent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金砷合金 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砷量的测定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电感耦合等离子体原子发射光谱法</w:t>
                  </w:r>
                </w:p>
                <w:p w:rsidR="00C84467" w:rsidRDefault="00C8446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Gold-arsenic alloys</w:t>
                  </w:r>
                  <w:r>
                    <w:rPr>
                      <w:rFonts w:hint="eastAsia"/>
                      <w:sz w:val="28"/>
                      <w:szCs w:val="28"/>
                    </w:rPr>
                    <w:t>－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Determination of arsenic content-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Inductively coupled plasma atomic emission spectromeic method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（</w:t>
                  </w:r>
                  <w:r w:rsidR="001C153A"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讨论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稿）</w:t>
                  </w:r>
                </w:p>
                <w:p w:rsidR="00C84467" w:rsidRDefault="00C84467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C84467" w:rsidRDefault="00C84467"/>
              </w:txbxContent>
            </v:textbox>
          </v:shape>
        </w:pict>
      </w: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spacing w:before="6" w:line="120" w:lineRule="exact"/>
        <w:rPr>
          <w:rFonts w:ascii="宋体" w:hAnsi="宋体"/>
          <w:sz w:val="12"/>
        </w:rPr>
      </w:pPr>
    </w:p>
    <w:p w:rsidR="00C84467" w:rsidRDefault="00C84467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</w:p>
    <w:p w:rsidR="00607A27" w:rsidRPr="00607A27" w:rsidRDefault="00BE7295">
      <w:pPr>
        <w:tabs>
          <w:tab w:val="left" w:pos="6700"/>
        </w:tabs>
        <w:ind w:left="146" w:right="36"/>
        <w:rPr>
          <w:rFonts w:ascii="黑体" w:eastAsia="黑体" w:hAnsi="黑体"/>
          <w:sz w:val="28"/>
          <w:szCs w:val="28"/>
          <w:u w:val="thick"/>
        </w:rPr>
      </w:pPr>
      <w:r>
        <w:rPr>
          <w:rFonts w:ascii="宋体" w:hAnsi="宋体"/>
          <w:noProof/>
          <w:sz w:val="28"/>
          <w:szCs w:val="28"/>
        </w:rPr>
        <w:pict>
          <v:shape id="文本框 4" o:spid="_x0000_s1040" type="#_x0000_t202" style="position:absolute;left:0;text-align:left;margin-left:32.4pt;margin-top:27.05pt;width:333pt;height:43.75pt;z-index:251664384" stroked="f">
            <v:textbox>
              <w:txbxContent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中华人民共和国国家质量监督检验检疫总局</w:t>
                  </w:r>
                </w:p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</v:shape>
        </w:pic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 xml:space="preserve">发布 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              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实施</w:t>
      </w:r>
    </w:p>
    <w:p w:rsidR="00C84467" w:rsidRPr="00607A27" w:rsidRDefault="00607A27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</w:t>
      </w:r>
      <w:r>
        <w:rPr>
          <w:rFonts w:ascii="宋体" w:hAnsi="宋体"/>
          <w:sz w:val="28"/>
          <w:szCs w:val="28"/>
        </w:rPr>
        <w:t xml:space="preserve">        </w:t>
      </w:r>
      <w:r w:rsidRPr="00607A27">
        <w:rPr>
          <w:rFonts w:ascii="黑体" w:eastAsia="黑体" w:hAnsi="黑体" w:hint="eastAsia"/>
          <w:sz w:val="28"/>
          <w:szCs w:val="28"/>
        </w:rPr>
        <w:t>发布</w:t>
      </w:r>
    </w:p>
    <w:p w:rsidR="00C84467" w:rsidRPr="00607A27" w:rsidRDefault="00C84467">
      <w:pPr>
        <w:spacing w:line="360" w:lineRule="auto"/>
        <w:rPr>
          <w:rFonts w:ascii="宋体" w:hAnsi="宋体"/>
          <w:sz w:val="28"/>
          <w:szCs w:val="28"/>
        </w:rPr>
      </w:pPr>
    </w:p>
    <w:p w:rsidR="00C84467" w:rsidRPr="00607A27" w:rsidRDefault="00C84467">
      <w:pPr>
        <w:spacing w:line="360" w:lineRule="auto"/>
        <w:jc w:val="center"/>
        <w:rPr>
          <w:rFonts w:ascii="宋体" w:hAnsi="宋体"/>
          <w:sz w:val="28"/>
          <w:szCs w:val="28"/>
        </w:rPr>
        <w:sectPr w:rsidR="00C84467" w:rsidRPr="00607A27">
          <w:headerReference w:type="even" r:id="rId9"/>
          <w:headerReference w:type="default" r:id="rId10"/>
          <w:headerReference w:type="first" r:id="rId11"/>
          <w:pgSz w:w="11906" w:h="16838"/>
          <w:pgMar w:top="1440" w:right="1800" w:bottom="1090" w:left="1800" w:header="851" w:footer="992" w:gutter="0"/>
          <w:cols w:space="720"/>
          <w:titlePg/>
          <w:docGrid w:type="lines" w:linePitch="312"/>
        </w:sectPr>
      </w:pPr>
    </w:p>
    <w:p w:rsidR="00C84467" w:rsidRDefault="00C8446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C84467" w:rsidRDefault="00B6150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前</w:t>
      </w:r>
      <w:r>
        <w:rPr>
          <w:rFonts w:ascii="黑体" w:eastAsia="黑体" w:hAnsi="宋体" w:hint="eastAsia"/>
          <w:sz w:val="32"/>
          <w:szCs w:val="32"/>
        </w:rPr>
        <w:tab/>
        <w:t>言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本标准按照 GB/T1.1-2009 给出的规则起草。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本标准</w:t>
      </w:r>
      <w:r>
        <w:rPr>
          <w:rFonts w:ascii="宋体" w:hAnsi="宋体"/>
        </w:rPr>
        <w:t>由中国有色金属工业协会提出</w:t>
      </w:r>
      <w:r>
        <w:rPr>
          <w:rFonts w:ascii="宋体" w:hAnsi="宋体" w:hint="eastAsia"/>
        </w:rPr>
        <w:t>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本标准由全国有色金属标准化技术委员会（SAC/TC243）归口。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起草单位：北京有色金属与稀土应研究所、北京达博有色金属焊料有限责任公司、北京市冶金产品质量监督检验站、广州省工业分析检测中心、南京市产品质量监督检验院、福建紫金矿冶测试技术有限公司、北矿检测技术有限公司、河南中原黄金冶炼厂、长春黄金研究院有限公司、深圳市中金岭南有色金属股份有限公司。 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本标准主要起草人： XXX、XXX、XXX、XXX、XXX、XXX。</w:t>
      </w:r>
    </w:p>
    <w:p w:rsidR="00C84467" w:rsidRDefault="00C84467">
      <w:pPr>
        <w:ind w:left="13" w:right="280"/>
        <w:rPr>
          <w:rFonts w:ascii="宋体" w:hAnsi="宋体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  <w:sectPr w:rsidR="00C84467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090" w:left="1800" w:header="851" w:footer="992" w:gutter="0"/>
          <w:pgNumType w:fmt="upperRoman" w:start="1"/>
          <w:cols w:space="720"/>
          <w:docGrid w:type="lines" w:linePitch="312"/>
        </w:sectPr>
      </w:pP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lastRenderedPageBreak/>
        <w:t xml:space="preserve">金砷合金 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砷量的测定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电感耦合等离子体原子发射光谱法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 xml:space="preserve">    警示 </w:t>
      </w:r>
      <w:r>
        <w:rPr>
          <w:rFonts w:ascii="黑体" w:eastAsia="黑体" w:hAnsi="黑体"/>
          <w:bCs/>
          <w:szCs w:val="21"/>
        </w:rPr>
        <w:t>——</w:t>
      </w:r>
      <w:r>
        <w:rPr>
          <w:rFonts w:ascii="黑体" w:eastAsia="黑体" w:hAnsi="黑体" w:hint="eastAsia"/>
          <w:bCs/>
          <w:szCs w:val="21"/>
        </w:rPr>
        <w:t>使用本标准的</w:t>
      </w:r>
      <w:r>
        <w:rPr>
          <w:rFonts w:ascii="黑体" w:eastAsia="黑体" w:hAnsi="黑体"/>
          <w:bCs/>
          <w:szCs w:val="21"/>
        </w:rPr>
        <w:t>人员应有正规实验室工作的实践经验。本标准</w:t>
      </w:r>
      <w:r>
        <w:rPr>
          <w:rFonts w:ascii="黑体" w:eastAsia="黑体" w:hAnsi="黑体" w:hint="eastAsia"/>
          <w:bCs/>
          <w:szCs w:val="21"/>
        </w:rPr>
        <w:t>并未指出</w:t>
      </w:r>
      <w:r>
        <w:rPr>
          <w:rFonts w:ascii="黑体" w:eastAsia="黑体" w:hAnsi="黑体"/>
          <w:bCs/>
          <w:szCs w:val="21"/>
        </w:rPr>
        <w:t>所有可能的安全问题。使用者</w:t>
      </w:r>
      <w:r>
        <w:rPr>
          <w:rFonts w:ascii="黑体" w:eastAsia="黑体" w:hAnsi="黑体" w:hint="eastAsia"/>
          <w:bCs/>
          <w:szCs w:val="21"/>
        </w:rPr>
        <w:t>有责任</w:t>
      </w:r>
      <w:r>
        <w:rPr>
          <w:rFonts w:ascii="黑体" w:eastAsia="黑体" w:hAnsi="黑体"/>
          <w:bCs/>
          <w:szCs w:val="21"/>
        </w:rPr>
        <w:t>采取适当的安全和健康措施，并保证符合国家有关规定的条件。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1 </w:t>
      </w:r>
      <w:r>
        <w:rPr>
          <w:rFonts w:ascii="黑体" w:eastAsia="黑体" w:hAnsi="黑体" w:hint="eastAsia"/>
          <w:bCs/>
          <w:szCs w:val="21"/>
        </w:rPr>
        <w:t>范围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>
        <w:rPr>
          <w:rFonts w:hint="eastAsia"/>
          <w:sz w:val="21"/>
        </w:rPr>
        <w:t>本标准规定了金砷合金中砷</w:t>
      </w:r>
      <w:r>
        <w:rPr>
          <w:rFonts w:hint="eastAsia"/>
          <w:kern w:val="2"/>
          <w:sz w:val="21"/>
          <w:szCs w:val="24"/>
        </w:rPr>
        <w:t>的测定方法。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>
        <w:rPr>
          <w:rFonts w:hint="eastAsia"/>
          <w:sz w:val="21"/>
        </w:rPr>
        <w:t>本标准适用于金砷合金中砷</w:t>
      </w:r>
      <w:r>
        <w:rPr>
          <w:rFonts w:hint="eastAsia"/>
          <w:kern w:val="2"/>
          <w:sz w:val="21"/>
          <w:szCs w:val="24"/>
        </w:rPr>
        <w:t>的测定方法。测定范围：</w:t>
      </w:r>
      <w:r>
        <w:rPr>
          <w:rFonts w:hint="eastAsia"/>
          <w:kern w:val="2"/>
          <w:sz w:val="21"/>
          <w:szCs w:val="24"/>
        </w:rPr>
        <w:t>0.10%</w:t>
      </w:r>
      <w:r>
        <w:rPr>
          <w:rFonts w:hint="eastAsia"/>
          <w:kern w:val="2"/>
          <w:sz w:val="21"/>
          <w:szCs w:val="24"/>
        </w:rPr>
        <w:t>～</w:t>
      </w:r>
      <w:r>
        <w:rPr>
          <w:rFonts w:hint="eastAsia"/>
          <w:kern w:val="2"/>
          <w:sz w:val="21"/>
          <w:szCs w:val="24"/>
        </w:rPr>
        <w:t>3</w:t>
      </w:r>
      <w:r>
        <w:rPr>
          <w:kern w:val="2"/>
          <w:sz w:val="21"/>
          <w:szCs w:val="24"/>
        </w:rPr>
        <w:t>.</w:t>
      </w:r>
      <w:r>
        <w:rPr>
          <w:rFonts w:hint="eastAsia"/>
          <w:kern w:val="2"/>
          <w:sz w:val="21"/>
          <w:szCs w:val="24"/>
        </w:rPr>
        <w:t>0%</w:t>
      </w:r>
      <w:r>
        <w:rPr>
          <w:rFonts w:hint="eastAsia"/>
          <w:kern w:val="2"/>
          <w:sz w:val="21"/>
          <w:szCs w:val="24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2  </w:t>
      </w:r>
      <w:r>
        <w:rPr>
          <w:rFonts w:ascii="黑体" w:eastAsia="黑体" w:hAnsi="黑体" w:hint="eastAsia"/>
          <w:bCs/>
          <w:szCs w:val="21"/>
        </w:rPr>
        <w:t>方法提要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ind w:firstLineChars="150" w:firstLine="315"/>
        <w:jc w:val="left"/>
        <w:rPr>
          <w:sz w:val="21"/>
        </w:rPr>
      </w:pPr>
      <w:r>
        <w:rPr>
          <w:rFonts w:hint="eastAsia"/>
          <w:sz w:val="21"/>
        </w:rPr>
        <w:t>试料用盐酸、硝酸混合酸溶解，在电感耦合等离子体原子发射光谱仪测定</w:t>
      </w:r>
      <w:r>
        <w:rPr>
          <w:sz w:val="21"/>
        </w:rPr>
        <w:t>，</w:t>
      </w:r>
      <w:r>
        <w:rPr>
          <w:rFonts w:hint="eastAsia"/>
          <w:sz w:val="21"/>
        </w:rPr>
        <w:t>计算</w:t>
      </w:r>
      <w:r>
        <w:rPr>
          <w:sz w:val="21"/>
        </w:rPr>
        <w:t>砷的质量分数</w:t>
      </w:r>
      <w:r>
        <w:rPr>
          <w:rFonts w:hint="eastAsia"/>
          <w:sz w:val="21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3  </w:t>
      </w:r>
      <w:r>
        <w:rPr>
          <w:rFonts w:ascii="黑体" w:eastAsia="黑体" w:hAnsi="黑体" w:hint="eastAsia"/>
          <w:bCs/>
          <w:szCs w:val="21"/>
        </w:rPr>
        <w:t>试剂与材料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>
        <w:rPr>
          <w:rFonts w:hint="eastAsia"/>
          <w:sz w:val="21"/>
        </w:rPr>
        <w:t>除非另有说明外，在分析中仅使用确认为优级纯试剂和去离子水</w:t>
      </w:r>
      <w:r>
        <w:rPr>
          <w:sz w:val="21"/>
        </w:rPr>
        <w:t>（</w:t>
      </w:r>
      <w:r>
        <w:rPr>
          <w:rFonts w:hint="eastAsia"/>
          <w:sz w:val="21"/>
        </w:rPr>
        <w:t>在线电阻率不大于</w:t>
      </w:r>
      <w:r>
        <w:rPr>
          <w:sz w:val="21"/>
        </w:rPr>
        <w:t>18.2M</w:t>
      </w:r>
      <w:r>
        <w:rPr>
          <w:rFonts w:hint="eastAsia"/>
          <w:sz w:val="21"/>
        </w:rPr>
        <w:t>Ω</w:t>
      </w:r>
      <w:r>
        <w:rPr>
          <w:sz w:val="21"/>
        </w:rPr>
        <w:t>.cm</w:t>
      </w:r>
      <w:r>
        <w:rPr>
          <w:sz w:val="21"/>
          <w:vertAlign w:val="superscript"/>
        </w:rPr>
        <w:t>-1</w:t>
      </w:r>
      <w:r>
        <w:rPr>
          <w:sz w:val="21"/>
        </w:rPr>
        <w:t>）</w:t>
      </w:r>
      <w:r>
        <w:rPr>
          <w:rFonts w:hint="eastAsia"/>
          <w:sz w:val="21"/>
        </w:rPr>
        <w:t>。试验中</w:t>
      </w:r>
      <w:r>
        <w:rPr>
          <w:sz w:val="21"/>
        </w:rPr>
        <w:t>所需的标准溶液</w:t>
      </w:r>
      <w:r>
        <w:rPr>
          <w:rFonts w:hint="eastAsia"/>
          <w:sz w:val="21"/>
        </w:rPr>
        <w:t>除</w:t>
      </w:r>
      <w:r>
        <w:rPr>
          <w:sz w:val="21"/>
        </w:rPr>
        <w:t>本部分规定</w:t>
      </w:r>
      <w:r>
        <w:rPr>
          <w:rFonts w:hint="eastAsia"/>
          <w:sz w:val="21"/>
        </w:rPr>
        <w:t>的</w:t>
      </w:r>
      <w:r>
        <w:rPr>
          <w:sz w:val="21"/>
        </w:rPr>
        <w:t>配制方法</w:t>
      </w:r>
      <w:r>
        <w:rPr>
          <w:rFonts w:hint="eastAsia"/>
          <w:sz w:val="21"/>
        </w:rPr>
        <w:t>配制外</w:t>
      </w:r>
      <w:r>
        <w:rPr>
          <w:sz w:val="21"/>
        </w:rPr>
        <w:t>，也可使用国家标准物质</w:t>
      </w:r>
      <w:r>
        <w:rPr>
          <w:rFonts w:hint="eastAsia"/>
          <w:sz w:val="21"/>
        </w:rPr>
        <w:t>（标准溶液）。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  </w:t>
      </w:r>
      <w:r>
        <w:rPr>
          <w:rFonts w:hint="eastAsia"/>
          <w:sz w:val="21"/>
        </w:rPr>
        <w:t>盐酸</w:t>
      </w:r>
      <w:r>
        <w:rPr>
          <w:sz w:val="21"/>
        </w:rPr>
        <w:t xml:space="preserve"> (ρ1.19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3.2  </w:t>
      </w:r>
      <w:r>
        <w:rPr>
          <w:rFonts w:hint="eastAsia"/>
          <w:sz w:val="21"/>
        </w:rPr>
        <w:t>硝酸</w:t>
      </w:r>
      <w:r>
        <w:rPr>
          <w:sz w:val="21"/>
        </w:rPr>
        <w:t xml:space="preserve"> (ρ1.42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3.3  </w:t>
      </w:r>
      <w:r>
        <w:rPr>
          <w:rFonts w:hint="eastAsia"/>
          <w:sz w:val="21"/>
        </w:rPr>
        <w:t>硝酸（</w:t>
      </w:r>
      <w:r>
        <w:rPr>
          <w:rFonts w:hint="eastAsia"/>
          <w:sz w:val="21"/>
        </w:rPr>
        <w:t>1</w:t>
      </w:r>
      <w:r>
        <w:rPr>
          <w:sz w:val="21"/>
        </w:rPr>
        <w:t>+1</w:t>
      </w:r>
      <w:r>
        <w:rPr>
          <w:rFonts w:hint="eastAsia"/>
          <w:sz w:val="21"/>
        </w:rPr>
        <w:t>），</w:t>
      </w:r>
      <w:r>
        <w:rPr>
          <w:sz w:val="21"/>
        </w:rPr>
        <w:t>用时现配。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3.4</w:t>
      </w:r>
      <w:r>
        <w:rPr>
          <w:sz w:val="21"/>
        </w:rPr>
        <w:t xml:space="preserve">  </w:t>
      </w:r>
      <w:r>
        <w:rPr>
          <w:rFonts w:hint="eastAsia"/>
          <w:sz w:val="21"/>
        </w:rPr>
        <w:t>混合酸：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体积盐酸（</w:t>
      </w:r>
      <w:r>
        <w:rPr>
          <w:sz w:val="21"/>
        </w:rPr>
        <w:t>3.1</w:t>
      </w:r>
      <w:r>
        <w:rPr>
          <w:rFonts w:hint="eastAsia"/>
          <w:sz w:val="21"/>
        </w:rPr>
        <w:t>）和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体积硝酸（</w:t>
      </w:r>
      <w:r>
        <w:rPr>
          <w:sz w:val="21"/>
        </w:rPr>
        <w:t>3.2</w:t>
      </w:r>
      <w:r>
        <w:rPr>
          <w:rFonts w:hint="eastAsia"/>
          <w:sz w:val="21"/>
        </w:rPr>
        <w:t>）混匀，用时现配。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3.5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砷标准贮存溶液：</w:t>
      </w:r>
      <w:r>
        <w:rPr>
          <w:rFonts w:hint="eastAsia"/>
          <w:sz w:val="21"/>
          <w:szCs w:val="21"/>
        </w:rPr>
        <w:t>称取</w:t>
      </w:r>
      <w:r>
        <w:rPr>
          <w:sz w:val="21"/>
          <w:szCs w:val="21"/>
        </w:rPr>
        <w:t>0.500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金属砷（</w:t>
      </w:r>
      <w:r>
        <w:rPr>
          <w:i/>
          <w:sz w:val="21"/>
          <w:szCs w:val="21"/>
        </w:rPr>
        <w:t>w</w:t>
      </w:r>
      <w:r>
        <w:rPr>
          <w:sz w:val="21"/>
          <w:szCs w:val="21"/>
          <w:vertAlign w:val="subscript"/>
        </w:rPr>
        <w:t>As</w:t>
      </w:r>
      <w:r>
        <w:rPr>
          <w:rFonts w:hint="eastAsia"/>
          <w:sz w:val="21"/>
          <w:szCs w:val="21"/>
        </w:rPr>
        <w:t>≥</w:t>
      </w:r>
      <w:r>
        <w:rPr>
          <w:sz w:val="21"/>
          <w:szCs w:val="21"/>
        </w:rPr>
        <w:t>99.99%</w:t>
      </w:r>
      <w:r>
        <w:rPr>
          <w:rFonts w:hint="eastAsia"/>
          <w:sz w:val="21"/>
          <w:szCs w:val="21"/>
        </w:rPr>
        <w:t>），置于</w:t>
      </w:r>
      <w:r>
        <w:rPr>
          <w:sz w:val="21"/>
          <w:szCs w:val="21"/>
        </w:rPr>
        <w:t>200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mL </w:t>
      </w:r>
      <w:r>
        <w:rPr>
          <w:rFonts w:hint="eastAsia"/>
          <w:sz w:val="21"/>
          <w:szCs w:val="21"/>
        </w:rPr>
        <w:t>烧杯中，加入</w:t>
      </w:r>
      <w:r>
        <w:rPr>
          <w:sz w:val="21"/>
          <w:szCs w:val="21"/>
        </w:rPr>
        <w:t>50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mL</w:t>
      </w:r>
      <w:r>
        <w:rPr>
          <w:rFonts w:hint="eastAsia"/>
          <w:sz w:val="21"/>
          <w:szCs w:val="21"/>
        </w:rPr>
        <w:t>硝酸（</w:t>
      </w:r>
      <w:r>
        <w:rPr>
          <w:rFonts w:hint="eastAsia"/>
          <w:sz w:val="21"/>
          <w:szCs w:val="21"/>
        </w:rPr>
        <w:t>3.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），盖上表面皿，加热溶解，冷却，移入</w:t>
      </w:r>
      <w:r>
        <w:rPr>
          <w:sz w:val="21"/>
          <w:szCs w:val="21"/>
        </w:rPr>
        <w:t>500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mL </w:t>
      </w:r>
      <w:r>
        <w:rPr>
          <w:rFonts w:hint="eastAsia"/>
          <w:sz w:val="21"/>
          <w:szCs w:val="21"/>
        </w:rPr>
        <w:t>容量瓶中，用水稀释至刻度，混匀。此溶液</w:t>
      </w:r>
      <w:r>
        <w:rPr>
          <w:sz w:val="21"/>
          <w:szCs w:val="21"/>
        </w:rPr>
        <w:t>1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mL</w:t>
      </w:r>
      <w:r>
        <w:rPr>
          <w:rFonts w:hint="eastAsia"/>
          <w:sz w:val="21"/>
          <w:szCs w:val="21"/>
        </w:rPr>
        <w:t>含</w:t>
      </w:r>
      <w:r>
        <w:rPr>
          <w:sz w:val="21"/>
          <w:szCs w:val="21"/>
        </w:rPr>
        <w:t>1000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µg</w:t>
      </w:r>
      <w:r>
        <w:rPr>
          <w:rFonts w:hint="eastAsia"/>
          <w:sz w:val="21"/>
          <w:szCs w:val="21"/>
        </w:rPr>
        <w:t>砷。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>3.</w:t>
      </w:r>
      <w:r>
        <w:rPr>
          <w:rFonts w:hint="eastAsia"/>
          <w:sz w:val="21"/>
        </w:rPr>
        <w:t xml:space="preserve">6  </w:t>
      </w:r>
      <w:r>
        <w:rPr>
          <w:rFonts w:hint="eastAsia"/>
          <w:sz w:val="21"/>
        </w:rPr>
        <w:t>砷标准溶液：准确移取</w:t>
      </w:r>
      <w:r>
        <w:rPr>
          <w:rFonts w:hint="eastAsia"/>
          <w:sz w:val="21"/>
        </w:rPr>
        <w:t>10.00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砷标准贮存溶液</w:t>
      </w:r>
      <w:r>
        <w:rPr>
          <w:sz w:val="21"/>
        </w:rPr>
        <w:t>（</w:t>
      </w:r>
      <w:r>
        <w:rPr>
          <w:rFonts w:hint="eastAsia"/>
          <w:sz w:val="21"/>
        </w:rPr>
        <w:t>3</w:t>
      </w:r>
      <w:r>
        <w:rPr>
          <w:sz w:val="21"/>
        </w:rPr>
        <w:t>.5</w:t>
      </w:r>
      <w:r>
        <w:rPr>
          <w:sz w:val="21"/>
        </w:rPr>
        <w:t>）</w:t>
      </w:r>
      <w:r>
        <w:rPr>
          <w:rFonts w:hint="eastAsia"/>
          <w:sz w:val="21"/>
        </w:rPr>
        <w:t>至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容量瓶中，加入</w:t>
      </w:r>
      <w:r>
        <w:rPr>
          <w:sz w:val="21"/>
        </w:rPr>
        <w:t>10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盐酸</w:t>
      </w:r>
      <w:r>
        <w:rPr>
          <w:sz w:val="21"/>
        </w:rPr>
        <w:t>（</w:t>
      </w:r>
      <w:r>
        <w:rPr>
          <w:rFonts w:hint="eastAsia"/>
          <w:sz w:val="21"/>
        </w:rPr>
        <w:t>3.</w:t>
      </w:r>
      <w:r>
        <w:rPr>
          <w:sz w:val="21"/>
        </w:rPr>
        <w:t>1</w:t>
      </w:r>
      <w:r>
        <w:rPr>
          <w:sz w:val="21"/>
        </w:rPr>
        <w:t>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稀释至刻度，混匀。此溶液</w:t>
      </w:r>
      <w:r>
        <w:rPr>
          <w:rFonts w:hint="eastAsia"/>
          <w:sz w:val="21"/>
        </w:rPr>
        <w:t>1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分别含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μ</w:t>
      </w:r>
      <w:r>
        <w:rPr>
          <w:rFonts w:hint="eastAsia"/>
          <w:sz w:val="21"/>
        </w:rPr>
        <w:t>g</w:t>
      </w:r>
      <w:r>
        <w:rPr>
          <w:rFonts w:hint="eastAsia"/>
          <w:sz w:val="21"/>
        </w:rPr>
        <w:t>砷。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 xml:space="preserve">3.7  </w:t>
      </w:r>
      <w:r>
        <w:rPr>
          <w:rFonts w:hint="eastAsia"/>
          <w:sz w:val="21"/>
        </w:rPr>
        <w:t>氩气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（体积分数≥</w:t>
      </w:r>
      <w:r>
        <w:rPr>
          <w:rFonts w:hint="eastAsia"/>
          <w:sz w:val="21"/>
        </w:rPr>
        <w:t>99.99%</w:t>
      </w:r>
      <w:r>
        <w:rPr>
          <w:rFonts w:hint="eastAsia"/>
          <w:sz w:val="21"/>
        </w:rPr>
        <w:t>）。</w:t>
      </w:r>
    </w:p>
    <w:p w:rsidR="00C84467" w:rsidRDefault="00C8446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4 仪器</w:t>
      </w:r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</w:rPr>
        <w:t>电感耦合等离子体原子发射光谱仪</w:t>
      </w:r>
      <w:r>
        <w:rPr>
          <w:rFonts w:hint="eastAsia"/>
          <w:kern w:val="0"/>
          <w:szCs w:val="20"/>
        </w:rPr>
        <w:t>。在仪器</w:t>
      </w:r>
      <w:r>
        <w:rPr>
          <w:kern w:val="0"/>
          <w:szCs w:val="20"/>
        </w:rPr>
        <w:t>最佳</w:t>
      </w:r>
      <w:r>
        <w:rPr>
          <w:rFonts w:hint="eastAsia"/>
          <w:kern w:val="0"/>
          <w:szCs w:val="20"/>
        </w:rPr>
        <w:t>条件下</w:t>
      </w:r>
      <w:r>
        <w:rPr>
          <w:kern w:val="0"/>
          <w:szCs w:val="20"/>
        </w:rPr>
        <w:t>，凡能达到下列指标均可使用。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.1 </w:t>
      </w:r>
      <w:r>
        <w:rPr>
          <w:rFonts w:hint="eastAsia"/>
          <w:kern w:val="0"/>
          <w:szCs w:val="20"/>
        </w:rPr>
        <w:t>光源</w:t>
      </w:r>
      <w:r>
        <w:rPr>
          <w:kern w:val="0"/>
          <w:szCs w:val="20"/>
        </w:rPr>
        <w:t>：氩等离子体光源，发</w:t>
      </w:r>
      <w:r>
        <w:rPr>
          <w:rFonts w:hint="eastAsia"/>
          <w:kern w:val="0"/>
          <w:szCs w:val="20"/>
        </w:rPr>
        <w:t>生</w:t>
      </w:r>
      <w:r>
        <w:rPr>
          <w:kern w:val="0"/>
          <w:szCs w:val="20"/>
        </w:rPr>
        <w:t>器最大输出功率不小于</w:t>
      </w:r>
      <w:r>
        <w:rPr>
          <w:rFonts w:hint="eastAsia"/>
          <w:kern w:val="0"/>
          <w:szCs w:val="20"/>
        </w:rPr>
        <w:t>1</w:t>
      </w:r>
      <w:r>
        <w:rPr>
          <w:kern w:val="0"/>
          <w:szCs w:val="20"/>
        </w:rPr>
        <w:t>.3</w:t>
      </w:r>
      <w:r w:rsidR="008A29BF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kW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ascii="宋体" w:hAnsi="宋体"/>
          <w:szCs w:val="21"/>
        </w:rPr>
        <w:t>4.2</w:t>
      </w:r>
      <w:r>
        <w:rPr>
          <w:rFonts w:hint="eastAsia"/>
          <w:kern w:val="0"/>
          <w:szCs w:val="20"/>
        </w:rPr>
        <w:t>分辨率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200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处光谱分辨率应优于</w:t>
      </w:r>
      <w:r>
        <w:rPr>
          <w:rFonts w:hint="eastAsia"/>
          <w:kern w:val="0"/>
          <w:szCs w:val="20"/>
        </w:rPr>
        <w:t>0.01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.3 </w:t>
      </w:r>
      <w:r>
        <w:rPr>
          <w:rFonts w:hint="eastAsia"/>
          <w:kern w:val="0"/>
          <w:szCs w:val="20"/>
        </w:rPr>
        <w:t>仪器稳定性：</w:t>
      </w:r>
      <w:r>
        <w:rPr>
          <w:rFonts w:ascii="宋体" w:hAnsi="宋体" w:hint="eastAsia"/>
          <w:kern w:val="0"/>
          <w:szCs w:val="20"/>
        </w:rPr>
        <w:t>≤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%</w:t>
      </w:r>
      <w:r>
        <w:rPr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5 试样</w:t>
      </w:r>
    </w:p>
    <w:p w:rsidR="00C84467" w:rsidRDefault="00B61507">
      <w:r>
        <w:rPr>
          <w:rFonts w:hint="eastAsia"/>
        </w:rPr>
        <w:t xml:space="preserve">   </w:t>
      </w:r>
      <w:r>
        <w:rPr>
          <w:rFonts w:hint="eastAsia"/>
        </w:rPr>
        <w:t>试样</w:t>
      </w:r>
      <w:r>
        <w:t>用丙酮去除油污，加工成碎屑洗净、烘干。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6分析步骤</w:t>
      </w:r>
    </w:p>
    <w:p w:rsidR="00C84467" w:rsidRDefault="00C8446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  <w:sectPr w:rsidR="00C84467">
          <w:footerReference w:type="even" r:id="rId16"/>
          <w:footerReference w:type="default" r:id="rId17"/>
          <w:pgSz w:w="11906" w:h="16838"/>
          <w:pgMar w:top="1440" w:right="1800" w:bottom="1090" w:left="1800" w:header="851" w:footer="992" w:gutter="0"/>
          <w:pgNumType w:start="1"/>
          <w:cols w:space="720"/>
          <w:docGrid w:type="lines" w:linePitch="312"/>
        </w:sectPr>
      </w:pP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lastRenderedPageBreak/>
        <w:t>6</w:t>
      </w:r>
      <w:r>
        <w:rPr>
          <w:rFonts w:ascii="黑体" w:eastAsia="黑体" w:hAnsi="黑体" w:hint="eastAsia"/>
          <w:kern w:val="0"/>
          <w:szCs w:val="20"/>
        </w:rPr>
        <w:t>.1 试料</w:t>
      </w:r>
    </w:p>
    <w:p w:rsidR="00C84467" w:rsidRDefault="00B61507">
      <w:pPr>
        <w:ind w:leftChars="8" w:left="17"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称取</w:t>
      </w:r>
      <w:r>
        <w:rPr>
          <w:rFonts w:hint="eastAsia"/>
          <w:kern w:val="0"/>
          <w:szCs w:val="20"/>
        </w:rPr>
        <w:t xml:space="preserve"> 0.1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g </w:t>
      </w:r>
      <w:r>
        <w:rPr>
          <w:rFonts w:hint="eastAsia"/>
          <w:kern w:val="0"/>
          <w:szCs w:val="20"/>
        </w:rPr>
        <w:t>试样，精确至</w:t>
      </w:r>
      <w:r>
        <w:rPr>
          <w:rFonts w:hint="eastAsia"/>
          <w:kern w:val="0"/>
          <w:szCs w:val="20"/>
        </w:rPr>
        <w:t xml:space="preserve"> 0.000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Pr="00B559E2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.2 </w:t>
      </w:r>
      <w:r w:rsidR="00801C4A" w:rsidRPr="00B559E2">
        <w:rPr>
          <w:rFonts w:ascii="黑体" w:eastAsia="黑体" w:hAnsi="黑体" w:hint="eastAsia"/>
          <w:kern w:val="0"/>
          <w:szCs w:val="20"/>
        </w:rPr>
        <w:t>平行试验</w:t>
      </w:r>
      <w:r w:rsidRPr="00B559E2">
        <w:rPr>
          <w:rFonts w:ascii="黑体" w:eastAsia="黑体" w:hAnsi="黑体" w:hint="eastAsia"/>
          <w:kern w:val="0"/>
          <w:szCs w:val="20"/>
        </w:rPr>
        <w:t xml:space="preserve">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独立进行两次测定，取其平均值。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.3 空白试验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随同试料做空白试验。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.4 测定</w:t>
      </w:r>
    </w:p>
    <w:p w:rsidR="00C84467" w:rsidRDefault="00B61507">
      <w:pPr>
        <w:ind w:left="15" w:hangingChars="7" w:hanging="15"/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.4.1</w:t>
      </w:r>
      <w:r>
        <w:rPr>
          <w:kern w:val="0"/>
          <w:szCs w:val="20"/>
        </w:rPr>
        <w:t xml:space="preserve">  </w:t>
      </w:r>
      <w:r>
        <w:rPr>
          <w:rFonts w:hint="eastAsia"/>
          <w:kern w:val="0"/>
          <w:szCs w:val="20"/>
        </w:rPr>
        <w:t>试料溶液</w:t>
      </w:r>
      <w:r>
        <w:rPr>
          <w:kern w:val="0"/>
          <w:szCs w:val="20"/>
        </w:rPr>
        <w:t>制备</w:t>
      </w:r>
    </w:p>
    <w:p w:rsidR="00C84467" w:rsidRDefault="00B61507">
      <w:pPr>
        <w:ind w:left="15" w:firstLineChars="150" w:firstLine="315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将试料（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.1</w:t>
      </w:r>
      <w:r>
        <w:rPr>
          <w:rFonts w:hint="eastAsia"/>
          <w:kern w:val="0"/>
          <w:szCs w:val="20"/>
        </w:rPr>
        <w:t>）置于</w:t>
      </w:r>
      <w:r>
        <w:rPr>
          <w:rFonts w:hint="eastAsia"/>
          <w:kern w:val="0"/>
          <w:szCs w:val="20"/>
        </w:rPr>
        <w:t xml:space="preserve"> 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烧杯中，加入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混合酸（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4</w:t>
      </w:r>
      <w:r>
        <w:rPr>
          <w:rFonts w:hint="eastAsia"/>
          <w:kern w:val="0"/>
          <w:szCs w:val="20"/>
        </w:rPr>
        <w:t>），盖上</w:t>
      </w:r>
      <w:r>
        <w:rPr>
          <w:kern w:val="0"/>
          <w:szCs w:val="20"/>
        </w:rPr>
        <w:t>表面皿，</w:t>
      </w:r>
      <w:r w:rsidR="0076116A" w:rsidRPr="00B559E2">
        <w:rPr>
          <w:rFonts w:hint="eastAsia"/>
          <w:kern w:val="0"/>
          <w:szCs w:val="20"/>
        </w:rPr>
        <w:t>低温</w:t>
      </w:r>
      <w:r w:rsidRPr="00B559E2">
        <w:rPr>
          <w:rFonts w:hint="eastAsia"/>
          <w:kern w:val="0"/>
          <w:szCs w:val="20"/>
        </w:rPr>
        <w:t>加热至试料完全溶解，</w:t>
      </w:r>
      <w:r w:rsidR="006B01FE" w:rsidRPr="00B559E2">
        <w:rPr>
          <w:kern w:val="0"/>
          <w:szCs w:val="20"/>
        </w:rPr>
        <w:t>煮沸驱除氮氧化物</w:t>
      </w:r>
      <w:r w:rsidR="006B01FE" w:rsidRPr="00B559E2">
        <w:rPr>
          <w:rFonts w:hint="eastAsia"/>
          <w:kern w:val="0"/>
          <w:szCs w:val="20"/>
        </w:rPr>
        <w:t>，</w:t>
      </w:r>
      <w:r w:rsidRPr="00B559E2">
        <w:rPr>
          <w:rFonts w:hint="eastAsia"/>
          <w:kern w:val="0"/>
          <w:szCs w:val="20"/>
        </w:rPr>
        <w:t>冷却</w:t>
      </w:r>
      <w:r w:rsidR="006B01FE" w:rsidRPr="00B559E2">
        <w:rPr>
          <w:rFonts w:hint="eastAsia"/>
          <w:kern w:val="0"/>
          <w:szCs w:val="20"/>
        </w:rPr>
        <w:t>至室温。</w:t>
      </w:r>
      <w:r w:rsidR="006B01FE" w:rsidRPr="00B559E2">
        <w:rPr>
          <w:rFonts w:ascii="宋体" w:hAnsi="宋体" w:cs="宋体" w:hint="eastAsia"/>
          <w:kern w:val="0"/>
          <w:szCs w:val="20"/>
        </w:rPr>
        <w:t>吹洗</w:t>
      </w:r>
      <w:r w:rsidR="006B01FE" w:rsidRPr="00B559E2">
        <w:rPr>
          <w:rFonts w:ascii="宋体" w:hAnsi="宋体" w:cs="宋体"/>
          <w:kern w:val="0"/>
          <w:szCs w:val="20"/>
        </w:rPr>
        <w:t>表面皿及杯壁</w:t>
      </w:r>
      <w:r w:rsidR="006B01FE" w:rsidRPr="00B559E2">
        <w:rPr>
          <w:rFonts w:ascii="宋体" w:hAnsi="宋体" w:cs="宋体" w:hint="eastAsia"/>
          <w:kern w:val="0"/>
          <w:szCs w:val="20"/>
        </w:rPr>
        <w:t>，</w:t>
      </w:r>
      <w:r w:rsidRPr="00B559E2">
        <w:rPr>
          <w:kern w:val="0"/>
          <w:szCs w:val="20"/>
        </w:rPr>
        <w:t>按表</w:t>
      </w:r>
      <w:r w:rsidRPr="00B559E2">
        <w:rPr>
          <w:rFonts w:hint="eastAsia"/>
          <w:kern w:val="0"/>
          <w:szCs w:val="20"/>
        </w:rPr>
        <w:t>1</w:t>
      </w:r>
      <w:r w:rsidRPr="00B559E2">
        <w:rPr>
          <w:rFonts w:hint="eastAsia"/>
          <w:kern w:val="0"/>
          <w:szCs w:val="20"/>
        </w:rPr>
        <w:t>移入相应容量瓶，用水稀释</w:t>
      </w:r>
      <w:r w:rsidRPr="00B559E2">
        <w:rPr>
          <w:kern w:val="0"/>
          <w:szCs w:val="20"/>
        </w:rPr>
        <w:t>至刻度</w:t>
      </w:r>
      <w:r w:rsidRPr="00B559E2">
        <w:rPr>
          <w:rFonts w:hint="eastAsia"/>
          <w:kern w:val="0"/>
          <w:szCs w:val="20"/>
        </w:rPr>
        <w:t>，混匀。分</w:t>
      </w:r>
      <w:r w:rsidRPr="00B559E2">
        <w:rPr>
          <w:kern w:val="0"/>
          <w:szCs w:val="20"/>
        </w:rPr>
        <w:t>取时</w:t>
      </w:r>
      <w:r w:rsidRPr="00B559E2">
        <w:rPr>
          <w:rFonts w:hint="eastAsia"/>
          <w:kern w:val="0"/>
          <w:szCs w:val="20"/>
        </w:rPr>
        <w:t>补</w:t>
      </w:r>
      <w:r w:rsidRPr="00B559E2">
        <w:rPr>
          <w:kern w:val="0"/>
          <w:szCs w:val="20"/>
        </w:rPr>
        <w:t>加</w:t>
      </w:r>
      <w:r w:rsidR="00DC56BD" w:rsidRPr="00B559E2">
        <w:rPr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 w:rsidRPr="00B559E2">
        <w:rPr>
          <w:kern w:val="0"/>
          <w:szCs w:val="20"/>
        </w:rPr>
        <w:t>mL</w:t>
      </w:r>
      <w:r w:rsidRPr="00B559E2">
        <w:rPr>
          <w:rFonts w:hint="eastAsia"/>
          <w:kern w:val="0"/>
          <w:szCs w:val="20"/>
        </w:rPr>
        <w:t>盐酸</w:t>
      </w:r>
      <w:r w:rsidRPr="00B559E2">
        <w:rPr>
          <w:kern w:val="0"/>
          <w:szCs w:val="20"/>
        </w:rPr>
        <w:t>（</w:t>
      </w:r>
      <w:r w:rsidRPr="00B559E2">
        <w:rPr>
          <w:rFonts w:hint="eastAsia"/>
          <w:kern w:val="0"/>
          <w:szCs w:val="20"/>
        </w:rPr>
        <w:t>3.</w:t>
      </w:r>
      <w:r w:rsidRPr="00B559E2">
        <w:rPr>
          <w:kern w:val="0"/>
          <w:szCs w:val="20"/>
        </w:rPr>
        <w:t>1</w:t>
      </w:r>
      <w:r w:rsidRPr="00B559E2">
        <w:rPr>
          <w:kern w:val="0"/>
          <w:szCs w:val="20"/>
        </w:rPr>
        <w:t>）</w:t>
      </w:r>
      <w:r w:rsidRPr="00B559E2">
        <w:rPr>
          <w:rFonts w:hint="eastAsia"/>
          <w:kern w:val="0"/>
          <w:szCs w:val="20"/>
        </w:rPr>
        <w:t>，用水稀释</w:t>
      </w:r>
      <w:r w:rsidRPr="00B559E2">
        <w:rPr>
          <w:kern w:val="0"/>
          <w:szCs w:val="20"/>
        </w:rPr>
        <w:t>至</w:t>
      </w:r>
      <w:r>
        <w:rPr>
          <w:kern w:val="0"/>
          <w:szCs w:val="20"/>
        </w:rPr>
        <w:t>刻度</w:t>
      </w:r>
      <w:r>
        <w:rPr>
          <w:rFonts w:hint="eastAsia"/>
          <w:kern w:val="0"/>
          <w:szCs w:val="20"/>
        </w:rPr>
        <w:t>，混匀。</w:t>
      </w:r>
    </w:p>
    <w:p w:rsidR="00C84467" w:rsidRDefault="00B61507">
      <w:pPr>
        <w:ind w:left="15" w:hangingChars="7" w:hanging="15"/>
        <w:jc w:val="center"/>
        <w:rPr>
          <w:kern w:val="0"/>
          <w:szCs w:val="20"/>
        </w:rPr>
      </w:pPr>
      <w:r>
        <w:rPr>
          <w:rFonts w:hint="eastAsia"/>
          <w:kern w:val="0"/>
          <w:szCs w:val="20"/>
        </w:rPr>
        <w:t>表</w:t>
      </w:r>
      <w:r>
        <w:rPr>
          <w:rFonts w:hint="eastAsia"/>
          <w:kern w:val="0"/>
          <w:szCs w:val="20"/>
        </w:rPr>
        <w:t>1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503"/>
        <w:gridCol w:w="1894"/>
        <w:gridCol w:w="2127"/>
        <w:gridCol w:w="1998"/>
      </w:tblGrid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元素的质量分数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w</w:t>
            </w:r>
            <w:r>
              <w:rPr>
                <w:rFonts w:hint="eastAsia"/>
                <w:kern w:val="0"/>
                <w:sz w:val="20"/>
                <w:szCs w:val="20"/>
              </w:rPr>
              <w:t>/%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</w:t>
            </w:r>
            <w:r>
              <w:rPr>
                <w:kern w:val="0"/>
                <w:sz w:val="20"/>
                <w:szCs w:val="20"/>
              </w:rPr>
              <w:t>总</w:t>
            </w:r>
            <w:r>
              <w:rPr>
                <w:rFonts w:hint="eastAsia"/>
                <w:kern w:val="0"/>
                <w:sz w:val="20"/>
                <w:szCs w:val="20"/>
              </w:rPr>
              <w:t>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分取试液体积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溶液测定体积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0.1~1.0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&gt;1.0</w:t>
            </w:r>
            <w:r>
              <w:rPr>
                <w:rFonts w:hint="eastAsia"/>
                <w:kern w:val="0"/>
                <w:sz w:val="20"/>
                <w:szCs w:val="20"/>
              </w:rPr>
              <w:t>~3.0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1998" w:type="dxa"/>
          </w:tcPr>
          <w:p w:rsidR="00C84467" w:rsidRDefault="00C502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B61507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.4.2</w:t>
      </w:r>
      <w:r>
        <w:rPr>
          <w:rFonts w:hint="eastAsia"/>
          <w:kern w:val="0"/>
          <w:szCs w:val="20"/>
        </w:rPr>
        <w:t>测定条件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按参考</w:t>
      </w:r>
      <w:r>
        <w:rPr>
          <w:kern w:val="0"/>
          <w:szCs w:val="20"/>
        </w:rPr>
        <w:t>附录</w:t>
      </w:r>
      <w:r>
        <w:rPr>
          <w:rFonts w:hint="eastAsia"/>
          <w:kern w:val="0"/>
          <w:szCs w:val="20"/>
        </w:rPr>
        <w:t>A</w:t>
      </w:r>
      <w:r>
        <w:rPr>
          <w:rFonts w:hint="eastAsia"/>
          <w:kern w:val="0"/>
          <w:szCs w:val="20"/>
        </w:rPr>
        <w:t>进行条件优化后</w:t>
      </w:r>
      <w:r>
        <w:rPr>
          <w:kern w:val="0"/>
          <w:szCs w:val="20"/>
        </w:rPr>
        <w:t>设定参数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6.4.</w:t>
      </w:r>
      <w:r w:rsidR="00586FC7">
        <w:rPr>
          <w:kern w:val="0"/>
          <w:szCs w:val="20"/>
        </w:rPr>
        <w:t>3</w:t>
      </w:r>
      <w:r>
        <w:rPr>
          <w:rFonts w:hint="eastAsia"/>
          <w:kern w:val="0"/>
          <w:szCs w:val="20"/>
        </w:rPr>
        <w:t>分析线</w:t>
      </w:r>
      <w:r>
        <w:rPr>
          <w:kern w:val="0"/>
          <w:szCs w:val="20"/>
        </w:rPr>
        <w:t>：推荐使用</w:t>
      </w:r>
      <w:r>
        <w:rPr>
          <w:rFonts w:hint="eastAsia"/>
          <w:kern w:val="0"/>
          <w:szCs w:val="20"/>
        </w:rPr>
        <w:t>A</w:t>
      </w:r>
      <w:r>
        <w:rPr>
          <w:kern w:val="0"/>
          <w:szCs w:val="20"/>
        </w:rPr>
        <w:t>s</w:t>
      </w:r>
      <w:r>
        <w:rPr>
          <w:kern w:val="0"/>
          <w:szCs w:val="20"/>
        </w:rPr>
        <w:t>分析线</w:t>
      </w:r>
      <w:r>
        <w:rPr>
          <w:rFonts w:hint="eastAsia"/>
          <w:kern w:val="0"/>
          <w:szCs w:val="20"/>
        </w:rPr>
        <w:t>用</w:t>
      </w:r>
      <w:r>
        <w:rPr>
          <w:rFonts w:ascii="宋体" w:hAnsi="宋体" w:cs="宋体" w:hint="eastAsia"/>
          <w:kern w:val="0"/>
          <w:szCs w:val="21"/>
        </w:rPr>
        <w:t>193.</w:t>
      </w:r>
      <w:r>
        <w:rPr>
          <w:rFonts w:ascii="宋体" w:hAnsi="宋体" w:cs="宋体"/>
          <w:kern w:val="0"/>
          <w:szCs w:val="21"/>
        </w:rPr>
        <w:t>695</w:t>
      </w:r>
      <w:r w:rsidR="00A55DE8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nm</w:t>
      </w:r>
      <w:r>
        <w:rPr>
          <w:rFonts w:ascii="宋体" w:hAnsi="宋体" w:cs="宋体"/>
          <w:kern w:val="0"/>
          <w:sz w:val="18"/>
          <w:szCs w:val="18"/>
        </w:rPr>
        <w:t>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.5 工作曲线</w:t>
      </w:r>
      <w:bookmarkStart w:id="0" w:name="_GoBack"/>
      <w:bookmarkEnd w:id="0"/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分别移取</w:t>
      </w:r>
      <w:r>
        <w:rPr>
          <w:rFonts w:hint="eastAsia"/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,0.50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,1.00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,3.00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，</w:t>
      </w:r>
      <w:r>
        <w:rPr>
          <w:rFonts w:hint="eastAsia"/>
          <w:kern w:val="0"/>
          <w:szCs w:val="20"/>
        </w:rPr>
        <w:t>10.00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砷标准溶液（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）于一组</w:t>
      </w:r>
      <w:r>
        <w:rPr>
          <w:rFonts w:hint="eastAsia"/>
          <w:kern w:val="0"/>
          <w:szCs w:val="20"/>
        </w:rPr>
        <w:t>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容量瓶中，各加入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1</w:t>
      </w:r>
      <w:r>
        <w:rPr>
          <w:rFonts w:hint="eastAsia"/>
          <w:kern w:val="0"/>
          <w:szCs w:val="20"/>
        </w:rPr>
        <w:t>）盐酸，以去离子水稀释至刻度，混匀。此标准系列溶液</w:t>
      </w:r>
      <w:r>
        <w:rPr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mL</w:t>
      </w:r>
      <w:r>
        <w:rPr>
          <w:rFonts w:hint="eastAsia"/>
          <w:kern w:val="0"/>
          <w:szCs w:val="20"/>
        </w:rPr>
        <w:t>含砷依次为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0.50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3.00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10.00</w:t>
      </w:r>
      <w:r w:rsidR="00A55DE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7 </w:t>
      </w:r>
      <w:r w:rsidR="00801C4A" w:rsidRPr="00B559E2">
        <w:rPr>
          <w:rFonts w:ascii="黑体" w:eastAsia="黑体" w:hAnsi="黑体" w:hint="eastAsia"/>
          <w:bCs/>
          <w:szCs w:val="21"/>
        </w:rPr>
        <w:t>试验数据处理</w:t>
      </w:r>
    </w:p>
    <w:p w:rsidR="00C84467" w:rsidRDefault="00B61507">
      <w:pPr>
        <w:shd w:val="clear" w:color="auto" w:fill="FFFFFF"/>
        <w:snapToGrid w:val="0"/>
        <w:spacing w:line="360" w:lineRule="auto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按式</w:t>
      </w:r>
      <w:r>
        <w:rPr>
          <w:kern w:val="0"/>
          <w:szCs w:val="20"/>
        </w:rPr>
        <w:t>(1)</w:t>
      </w:r>
      <w:r>
        <w:rPr>
          <w:rFonts w:hint="eastAsia"/>
          <w:kern w:val="0"/>
          <w:szCs w:val="20"/>
        </w:rPr>
        <w:t>计算测定元素的质量分数</w:t>
      </w:r>
      <w:r>
        <w:rPr>
          <w:rFonts w:hint="eastAsia"/>
          <w:i/>
          <w:kern w:val="0"/>
          <w:szCs w:val="20"/>
        </w:rPr>
        <w:t>w</w:t>
      </w:r>
      <w:r>
        <w:rPr>
          <w:rFonts w:hint="eastAsia"/>
          <w:i/>
          <w:kern w:val="0"/>
          <w:szCs w:val="20"/>
          <w:vertAlign w:val="subscript"/>
        </w:rPr>
        <w:t>As</w:t>
      </w:r>
      <w:r>
        <w:rPr>
          <w:kern w:val="0"/>
          <w:szCs w:val="20"/>
        </w:rPr>
        <w:t>,</w:t>
      </w:r>
      <w:r>
        <w:rPr>
          <w:rFonts w:hint="eastAsia"/>
          <w:kern w:val="0"/>
          <w:szCs w:val="20"/>
        </w:rPr>
        <w:t>数值以</w:t>
      </w:r>
      <w:r>
        <w:rPr>
          <w:kern w:val="0"/>
          <w:szCs w:val="20"/>
        </w:rPr>
        <w:t>%</w:t>
      </w:r>
      <w:r>
        <w:rPr>
          <w:rFonts w:hint="eastAsia"/>
          <w:kern w:val="0"/>
          <w:szCs w:val="20"/>
        </w:rPr>
        <w:t>表示：</w:t>
      </w:r>
    </w:p>
    <w:p w:rsidR="00C84467" w:rsidRDefault="00B61507">
      <w:pPr>
        <w:tabs>
          <w:tab w:val="left" w:pos="2899"/>
        </w:tabs>
        <w:rPr>
          <w:rFonts w:hAnsi="宋体"/>
          <w:szCs w:val="21"/>
        </w:rPr>
      </w:pPr>
      <w:r>
        <w:rPr>
          <w:rFonts w:ascii="宋体"/>
          <w:szCs w:val="21"/>
        </w:rPr>
        <w:tab/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Cs w:val="21"/>
              </w:rPr>
              <m:t>As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∙10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m∙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1"/>
          </w:rPr>
          <m:t>×100%</m:t>
        </m:r>
      </m:oMath>
      <w:r>
        <w:rPr>
          <w:rFonts w:ascii="宋体"/>
          <w:position w:val="-10"/>
          <w:szCs w:val="21"/>
        </w:rPr>
        <w:object w:dxaOrig="1440" w:dyaOrig="340">
          <v:shape id="_x0000_i1025" type="#_x0000_t75" style="width:1in;height:16.8pt" o:ole="">
            <v:imagedata r:id="rId18" o:title=""/>
          </v:shape>
          <o:OLEObject Type="Embed" ProgID="Equation.3" ShapeID="_x0000_i1025" DrawAspect="Content" ObjectID="_1616565943" r:id="rId19"/>
        </w:object>
      </w:r>
      <w:r>
        <w:rPr>
          <w:rFonts w:ascii="宋体" w:hint="eastAsia"/>
          <w:szCs w:val="21"/>
        </w:rPr>
        <w:tab/>
      </w:r>
    </w:p>
    <w:p w:rsidR="00C84467" w:rsidRDefault="00B61507">
      <w:pPr>
        <w:shd w:val="clear" w:color="auto" w:fill="FFFFFF"/>
        <w:tabs>
          <w:tab w:val="left" w:pos="4740"/>
          <w:tab w:val="left" w:pos="5025"/>
        </w:tabs>
        <w:snapToGrid w:val="0"/>
        <w:ind w:firstLineChars="200" w:firstLine="420"/>
      </w:pPr>
      <w:r>
        <w:rPr>
          <w:rFonts w:hint="eastAsia"/>
        </w:rPr>
        <w:t>式中：</w:t>
      </w:r>
      <w:r>
        <w:t>ρ</w:t>
      </w:r>
      <w:r>
        <w:rPr>
          <w:vertAlign w:val="subscript"/>
        </w:rPr>
        <w:t>0</w:t>
      </w:r>
      <w:r>
        <w:t>—</w:t>
      </w:r>
      <w:r>
        <w:rPr>
          <w:rFonts w:hint="eastAsia"/>
        </w:rPr>
        <w:t>空白溶液的质量浓度，单位为微克每毫升（</w:t>
      </w:r>
      <w:r>
        <w:rPr>
          <w:rFonts w:hint="eastAsia"/>
          <w:szCs w:val="20"/>
        </w:rPr>
        <w:t>μ</w:t>
      </w:r>
      <w:r>
        <w:t>g/mL</w:t>
      </w:r>
      <w:r>
        <w:rPr>
          <w:rFonts w:hint="eastAsia"/>
        </w:rPr>
        <w:t>）；</w:t>
      </w:r>
    </w:p>
    <w:p w:rsidR="00C84467" w:rsidRDefault="00B61507">
      <w:pPr>
        <w:tabs>
          <w:tab w:val="left" w:pos="0"/>
        </w:tabs>
        <w:ind w:firstLineChars="500" w:firstLine="1050"/>
      </w:pPr>
      <w:r>
        <w:t>ρ</w:t>
      </w:r>
      <w:r>
        <w:rPr>
          <w:rFonts w:hint="eastAsia"/>
          <w:vertAlign w:val="subscript"/>
        </w:rPr>
        <w:t>As</w:t>
      </w:r>
      <w:r>
        <w:t>—</w:t>
      </w:r>
      <w:r>
        <w:rPr>
          <w:rFonts w:hint="eastAsia"/>
        </w:rPr>
        <w:t>试料溶液的质量浓度，单位为微克每毫升（</w:t>
      </w:r>
      <w:r>
        <w:rPr>
          <w:rFonts w:hint="eastAsia"/>
          <w:szCs w:val="20"/>
        </w:rPr>
        <w:t>μ</w:t>
      </w:r>
      <w:r>
        <w:t>g /mL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</w:rPr>
        <w:t>m</w:t>
      </w:r>
      <w:r>
        <w:t>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1</w:t>
      </w:r>
      <w:r>
        <w:t>—</w:t>
      </w:r>
      <w:r>
        <w:rPr>
          <w:rFonts w:hint="eastAsia"/>
        </w:rPr>
        <w:t>试液的总体积，单位为毫升（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2</w:t>
      </w:r>
      <w:r>
        <w:t>—</w:t>
      </w:r>
      <w:r>
        <w:rPr>
          <w:rFonts w:hint="eastAsia"/>
        </w:rPr>
        <w:t>试液的分取体积，单位为毫升（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>
      <w:pPr>
        <w:ind w:rightChars="12" w:right="25" w:firstLineChars="500" w:firstLine="1050"/>
      </w:pPr>
      <w:r>
        <w:rPr>
          <w:rFonts w:hint="eastAsia"/>
        </w:rPr>
        <w:t>计算结果保留到</w:t>
      </w:r>
      <w:r w:rsidR="00801C4A" w:rsidRPr="00B559E2">
        <w:rPr>
          <w:rFonts w:hint="eastAsia"/>
        </w:rPr>
        <w:t>小数点后两位</w:t>
      </w:r>
      <w:r>
        <w:rPr>
          <w:rFonts w:hint="eastAsia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/>
          <w:b/>
          <w:bCs/>
          <w:szCs w:val="21"/>
        </w:rPr>
        <w:t xml:space="preserve">8 </w:t>
      </w:r>
      <w:r>
        <w:rPr>
          <w:rFonts w:ascii="黑体" w:eastAsia="黑体" w:hint="eastAsia"/>
          <w:b/>
          <w:bCs/>
          <w:szCs w:val="21"/>
        </w:rPr>
        <w:t>精密度</w:t>
      </w:r>
    </w:p>
    <w:p w:rsidR="00C84467" w:rsidRDefault="00B61507">
      <w:pPr>
        <w:ind w:left="15" w:hangingChars="7" w:hanging="15"/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Ansi="黑体"/>
          <w:kern w:val="0"/>
          <w:szCs w:val="20"/>
        </w:rPr>
        <w:t xml:space="preserve">8.1 </w:t>
      </w:r>
      <w:r>
        <w:rPr>
          <w:rFonts w:ascii="黑体" w:eastAsia="黑体" w:hAnsi="黑体" w:hint="eastAsia"/>
          <w:kern w:val="0"/>
          <w:szCs w:val="20"/>
        </w:rPr>
        <w:t>重复性</w:t>
      </w:r>
    </w:p>
    <w:p w:rsidR="00C84467" w:rsidRDefault="00B61507">
      <w:pPr>
        <w:ind w:firstLine="420"/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按表</w:t>
      </w:r>
      <w:r>
        <w:rPr>
          <w:rFonts w:hint="eastAsia"/>
        </w:rPr>
        <w:t>2</w:t>
      </w:r>
      <w:r>
        <w:rPr>
          <w:rFonts w:hint="eastAsia"/>
        </w:rPr>
        <w:t>数据采用内插法求得。</w:t>
      </w:r>
    </w:p>
    <w:p w:rsidR="00C84467" w:rsidRDefault="00B61507">
      <w:pPr>
        <w:ind w:firstLine="42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 </w:t>
      </w:r>
      <w:r>
        <w:rPr>
          <w:rFonts w:hint="eastAsia"/>
        </w:rPr>
        <w:t>重复性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BE7295" w:rsidP="004E17D8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0.019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0.021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0.036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0.053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0.065</w:t>
            </w:r>
          </w:p>
        </w:tc>
      </w:tr>
    </w:tbl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8.2</w:t>
      </w:r>
      <w:r>
        <w:rPr>
          <w:rFonts w:ascii="黑体" w:eastAsia="黑体" w:hAnsi="黑体" w:hint="eastAsia"/>
          <w:kern w:val="0"/>
          <w:szCs w:val="20"/>
        </w:rPr>
        <w:t>再现性</w:t>
      </w:r>
    </w:p>
    <w:p w:rsidR="00607A27" w:rsidRDefault="00B61507" w:rsidP="00607A27">
      <w:pPr>
        <w:spacing w:line="360" w:lineRule="exact"/>
        <w:ind w:right="108" w:firstLineChars="200" w:firstLine="420"/>
      </w:pPr>
      <w:r>
        <w:rPr>
          <w:rFonts w:hint="eastAsia"/>
        </w:rPr>
        <w:t>在再现性条件下获得的两次独立测试结果的测定值，在表</w:t>
      </w:r>
      <w:r>
        <w:rPr>
          <w:rFonts w:hint="eastAsia"/>
        </w:rPr>
        <w:t>3</w:t>
      </w:r>
      <w:r>
        <w:rPr>
          <w:rFonts w:hint="eastAsia"/>
        </w:rPr>
        <w:t>给出的平均值范围内，两</w:t>
      </w:r>
      <w:r>
        <w:rPr>
          <w:rFonts w:hint="eastAsia"/>
        </w:rPr>
        <w:lastRenderedPageBreak/>
        <w:t>个测试结果的绝对差值不超过再现性限（</w:t>
      </w:r>
      <w:r>
        <w:t>R</w:t>
      </w:r>
      <w:r>
        <w:rPr>
          <w:rFonts w:hint="eastAsia"/>
        </w:rPr>
        <w:t>），超过再现性限（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t>R</w:t>
      </w:r>
      <w:r>
        <w:rPr>
          <w:rFonts w:hint="eastAsia"/>
        </w:rPr>
        <w:t>）按表</w:t>
      </w:r>
      <w:r>
        <w:rPr>
          <w:rFonts w:hint="eastAsia"/>
        </w:rPr>
        <w:t>3</w:t>
      </w:r>
      <w:r>
        <w:rPr>
          <w:rFonts w:hint="eastAsia"/>
        </w:rPr>
        <w:t>数据采用线性内插法求得。</w:t>
      </w:r>
    </w:p>
    <w:p w:rsidR="00C84467" w:rsidRDefault="00B61507" w:rsidP="00607A27">
      <w:pPr>
        <w:spacing w:line="360" w:lineRule="exact"/>
        <w:ind w:right="108" w:firstLineChars="200" w:firstLine="42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3  </w:t>
      </w:r>
      <w:r>
        <w:rPr>
          <w:rFonts w:hint="eastAsia"/>
        </w:rPr>
        <w:t>再现性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BE7295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0.068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0.099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0.29</w:t>
            </w:r>
          </w:p>
        </w:tc>
      </w:tr>
    </w:tbl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宋体" w:hAnsi="宋体"/>
          <w:szCs w:val="21"/>
        </w:rPr>
      </w:pPr>
      <w:r>
        <w:rPr>
          <w:rFonts w:ascii="黑体" w:eastAsia="黑体"/>
          <w:b/>
          <w:bCs/>
          <w:szCs w:val="21"/>
        </w:rPr>
        <w:t>9</w:t>
      </w:r>
      <w:r>
        <w:rPr>
          <w:rFonts w:ascii="黑体" w:eastAsia="黑体" w:hint="eastAsia"/>
          <w:b/>
          <w:bCs/>
          <w:szCs w:val="21"/>
        </w:rPr>
        <w:t xml:space="preserve"> 质量保证和控制</w:t>
      </w:r>
    </w:p>
    <w:p w:rsidR="00C84467" w:rsidRDefault="00B61507">
      <w:pPr>
        <w:spacing w:line="360" w:lineRule="exact"/>
        <w:ind w:right="108" w:firstLineChars="200" w:firstLine="420"/>
      </w:pPr>
      <w:r>
        <w:rPr>
          <w:rFonts w:hint="eastAsia"/>
        </w:rPr>
        <w:t>应用国家级标准</w:t>
      </w:r>
      <w:r>
        <w:t>样品或行业标准样品（当前两者没有</w:t>
      </w:r>
      <w:r>
        <w:rPr>
          <w:rFonts w:hint="eastAsia"/>
        </w:rPr>
        <w:t>时</w:t>
      </w:r>
      <w:r>
        <w:t>，也可用控制</w:t>
      </w:r>
      <w:r>
        <w:rPr>
          <w:rFonts w:hint="eastAsia"/>
        </w:rPr>
        <w:t>标样</w:t>
      </w:r>
      <w:r>
        <w:t>替代）</w:t>
      </w:r>
      <w:r>
        <w:rPr>
          <w:rFonts w:hint="eastAsia"/>
        </w:rPr>
        <w:t>，</w:t>
      </w:r>
      <w:r>
        <w:t>每周或两周</w:t>
      </w:r>
      <w:r>
        <w:rPr>
          <w:rFonts w:hint="eastAsia"/>
        </w:rPr>
        <w:t>校核一次</w:t>
      </w:r>
      <w:r>
        <w:t>本分析方法标准的有效性。当过程失</w:t>
      </w:r>
      <w:r>
        <w:rPr>
          <w:rFonts w:hint="eastAsia"/>
        </w:rPr>
        <w:t>控</w:t>
      </w:r>
      <w:r>
        <w:t>时</w:t>
      </w:r>
      <w:r>
        <w:rPr>
          <w:rFonts w:hint="eastAsia"/>
        </w:rPr>
        <w:t>，应找出原因</w:t>
      </w:r>
      <w:r>
        <w:t>，纠正错误后，重新进行</w:t>
      </w:r>
      <w:r>
        <w:rPr>
          <w:rFonts w:hint="eastAsia"/>
        </w:rPr>
        <w:t>校核。</w:t>
      </w:r>
    </w:p>
    <w:p w:rsidR="00C84467" w:rsidRDefault="00B61507">
      <w:pPr>
        <w:spacing w:beforeLines="50" w:before="156" w:afterLines="50" w:after="156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10 试验报告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试验报告包括以下内容：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——试样；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——使用的标准（包括发布和出版年号）；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——分析结果及其表示；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——与基本分析步骤的差异；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——测定中观察到的异常现象；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——试验日期。</w:t>
      </w:r>
    </w:p>
    <w:p w:rsidR="00C84467" w:rsidRDefault="00B61507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int="eastAsia"/>
          <w:szCs w:val="21"/>
        </w:rPr>
        <w:t xml:space="preserve"> </w:t>
      </w:r>
      <w:r w:rsidR="00BE7295">
        <w:rPr>
          <w:rFonts w:ascii="宋体" w:hAnsi="宋体"/>
          <w:szCs w:val="21"/>
        </w:rPr>
        <w:pict>
          <v:shape id="_x0000_s1037" type="#_x0000_t32" style="position:absolute;left:0;text-align:left;margin-left:7.8pt;margin-top:12.6pt;width:231.6pt;height:0;z-index:251663360;mso-position-horizontal-relative:text;mso-position-vertical-relative:text;mso-width-relative:page;mso-height-relative:page" o:connectortype="straight"/>
        </w:pic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附录A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(</w:t>
      </w:r>
      <w:r>
        <w:rPr>
          <w:rFonts w:ascii="黑体" w:eastAsia="黑体" w:hAnsi="黑体" w:hint="eastAsia"/>
          <w:szCs w:val="21"/>
        </w:rPr>
        <w:t>资料</w:t>
      </w:r>
      <w:r>
        <w:rPr>
          <w:rFonts w:ascii="黑体" w:eastAsia="黑体" w:hAnsi="黑体"/>
          <w:szCs w:val="21"/>
        </w:rPr>
        <w:t>性附录)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仪器测定</w:t>
      </w:r>
      <w:r>
        <w:rPr>
          <w:rFonts w:ascii="黑体" w:eastAsia="黑体" w:hAnsi="黑体"/>
          <w:szCs w:val="21"/>
        </w:rPr>
        <w:t>条件</w:t>
      </w:r>
    </w:p>
    <w:p w:rsidR="00C84467" w:rsidRDefault="00B61507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int="eastAsia"/>
          <w:szCs w:val="21"/>
        </w:rPr>
        <w:t>按仪器</w:t>
      </w:r>
      <w:r>
        <w:rPr>
          <w:rFonts w:ascii="宋体"/>
          <w:szCs w:val="21"/>
        </w:rPr>
        <w:t>使用说明书优化仪器测定条件，参考下列参数设定：</w:t>
      </w:r>
    </w:p>
    <w:p w:rsidR="00C84467" w:rsidRDefault="00B61507">
      <w:pPr>
        <w:spacing w:line="240" w:lineRule="atLeast"/>
        <w:ind w:firstLineChars="200" w:firstLine="420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表A.1 仪器工作参数</w:t>
      </w:r>
    </w:p>
    <w:tbl>
      <w:tblPr>
        <w:tblStyle w:val="ab"/>
        <w:tblW w:w="509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</w:tblGrid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项目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参数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功率（W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1150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冷却气流量（L/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辅助气流量（L/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0.5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雾化器气体流量（k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Pa）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220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蠕动泵速（rpm）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曝光时间（s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紫外：10；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摄谱曝光时间（s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15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观测高度（mm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测定模式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垂直</w:t>
            </w:r>
          </w:p>
        </w:tc>
      </w:tr>
    </w:tbl>
    <w:p w:rsidR="00C84467" w:rsidRDefault="00C84467">
      <w:pPr>
        <w:spacing w:line="240" w:lineRule="atLeast"/>
        <w:ind w:leftChars="171" w:left="359" w:firstLineChars="1200" w:firstLine="2520"/>
        <w:rPr>
          <w:rFonts w:ascii="宋体"/>
          <w:szCs w:val="21"/>
        </w:rPr>
      </w:pPr>
    </w:p>
    <w:p w:rsidR="00C84467" w:rsidRDefault="00B61507">
      <w:pPr>
        <w:autoSpaceDE w:val="0"/>
        <w:autoSpaceDN w:val="0"/>
        <w:adjustRightInd w:val="0"/>
        <w:spacing w:line="240" w:lineRule="atLeast"/>
        <w:ind w:firstLineChars="200" w:firstLine="420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表A.2 元素谱线</w:t>
      </w:r>
    </w:p>
    <w:tbl>
      <w:tblPr>
        <w:tblW w:w="5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698"/>
      </w:tblGrid>
      <w:tr w:rsidR="00C84467">
        <w:trPr>
          <w:trHeight w:val="387"/>
          <w:jc w:val="center"/>
        </w:trPr>
        <w:tc>
          <w:tcPr>
            <w:tcW w:w="38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As</w:t>
            </w:r>
          </w:p>
        </w:tc>
      </w:tr>
      <w:tr w:rsidR="00C84467">
        <w:trPr>
          <w:trHeight w:val="273"/>
          <w:jc w:val="center"/>
        </w:trPr>
        <w:tc>
          <w:tcPr>
            <w:tcW w:w="38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波长/nm</w:t>
            </w:r>
          </w:p>
        </w:tc>
        <w:tc>
          <w:tcPr>
            <w:tcW w:w="16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 w:rsidP="00B559E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193.695</w:t>
            </w:r>
          </w:p>
        </w:tc>
      </w:tr>
    </w:tbl>
    <w:p w:rsidR="00C84467" w:rsidRDefault="00C84467" w:rsidP="00B559E2">
      <w:pPr>
        <w:spacing w:line="240" w:lineRule="atLeast"/>
        <w:rPr>
          <w:rFonts w:ascii="宋体"/>
          <w:szCs w:val="21"/>
        </w:rPr>
      </w:pPr>
    </w:p>
    <w:sectPr w:rsidR="00C84467">
      <w:footerReference w:type="even" r:id="rId20"/>
      <w:footerReference w:type="default" r:id="rId21"/>
      <w:pgSz w:w="11906" w:h="16838"/>
      <w:pgMar w:top="1440" w:right="1800" w:bottom="1090" w:left="1800" w:header="851" w:footer="992" w:gutter="0"/>
      <w:pgNumType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95" w:rsidRDefault="00BE7295">
      <w:r>
        <w:separator/>
      </w:r>
    </w:p>
  </w:endnote>
  <w:endnote w:type="continuationSeparator" w:id="0">
    <w:p w:rsidR="00BE7295" w:rsidRDefault="00B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06.4pt;margin-top:0;width:2in;height:2in;z-index:25166336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1FA5">
                  <w:rPr>
                    <w:noProof/>
                    <w:sz w:val="18"/>
                  </w:rPr>
                  <w:t>II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06.4pt;margin-top:0;width:2in;height:2in;z-index:25166131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50223">
                  <w:rPr>
                    <w:noProof/>
                    <w:sz w:val="18"/>
                  </w:rPr>
                  <w:t>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06.4pt;margin-top:0;width:2in;height:2in;z-index:25166643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06.4pt;margin-top:0;width:2in;height:2in;z-index:25167667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06.4pt;margin-top:0;width:2in;height:2in;z-index:25167052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5022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 w:rsidP="00273822">
    <w:pPr>
      <w:pStyle w:val="a8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04.55pt;margin-top:4.8pt;width:4.55pt;height:10.35pt;z-index:251794432;mso-wrap-style:none;mso-position-horizontal-relative:margin;mso-width-relative:page;mso-height-relative:page" filled="f" stroked="f">
          <v:textbox style="mso-next-textbox:#_x0000_s2063;mso-fit-shape-to-text:t" inset="0,0,0,0">
            <w:txbxContent>
              <w:p w:rsidR="00C84467" w:rsidRDefault="002F671D" w:rsidP="002F671D"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BE729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.15pt;margin-top:4.8pt;width:4.55pt;height:10.35pt;z-index:251742208;mso-wrap-style:none;mso-position-horizontal-relative:margin;mso-width-relative:page;mso-height-relative:page" filled="f" stroked="f">
          <v:textbox style="mso-fit-shape-to-text:t" inset="0,0,0,0">
            <w:txbxContent>
              <w:p w:rsidR="00C84467" w:rsidRDefault="002F67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95" w:rsidRDefault="00BE7295">
      <w:r>
        <w:separator/>
      </w:r>
    </w:p>
  </w:footnote>
  <w:footnote w:type="continuationSeparator" w:id="0">
    <w:p w:rsidR="00BE7295" w:rsidRDefault="00BE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jc w:val="both"/>
      <w:rPr>
        <w:sz w:val="21"/>
        <w:szCs w:val="21"/>
      </w:rPr>
    </w:pPr>
  </w:p>
  <w:p w:rsidR="00C84467" w:rsidRDefault="00B61507" w:rsidP="00273822">
    <w:pPr>
      <w:pStyle w:val="a9"/>
      <w:pBdr>
        <w:bottom w:val="none" w:sz="0" w:space="1" w:color="auto"/>
      </w:pBdr>
      <w:jc w:val="right"/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  <w:p w:rsidR="00C84467" w:rsidRDefault="00B61507" w:rsidP="008A1028">
    <w:pPr>
      <w:pStyle w:val="a9"/>
      <w:pBdr>
        <w:bottom w:val="none" w:sz="0" w:space="0" w:color="auto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424"/>
    <w:rsid w:val="0000424E"/>
    <w:rsid w:val="000075F4"/>
    <w:rsid w:val="00013CE3"/>
    <w:rsid w:val="000147B0"/>
    <w:rsid w:val="00042DC9"/>
    <w:rsid w:val="00061EC0"/>
    <w:rsid w:val="000D17DC"/>
    <w:rsid w:val="00143F89"/>
    <w:rsid w:val="00154D37"/>
    <w:rsid w:val="001830BB"/>
    <w:rsid w:val="0018529C"/>
    <w:rsid w:val="001A1196"/>
    <w:rsid w:val="001C153A"/>
    <w:rsid w:val="001D32C9"/>
    <w:rsid w:val="001D7198"/>
    <w:rsid w:val="001F0C3F"/>
    <w:rsid w:val="00205EF1"/>
    <w:rsid w:val="00211BA9"/>
    <w:rsid w:val="002156DC"/>
    <w:rsid w:val="002351E5"/>
    <w:rsid w:val="002473E3"/>
    <w:rsid w:val="002727FA"/>
    <w:rsid w:val="00273822"/>
    <w:rsid w:val="00290A32"/>
    <w:rsid w:val="002B1C56"/>
    <w:rsid w:val="002C42EF"/>
    <w:rsid w:val="002F671D"/>
    <w:rsid w:val="00300F07"/>
    <w:rsid w:val="003369E2"/>
    <w:rsid w:val="0034373E"/>
    <w:rsid w:val="0038424B"/>
    <w:rsid w:val="00385F18"/>
    <w:rsid w:val="00386E51"/>
    <w:rsid w:val="00387BE7"/>
    <w:rsid w:val="003A7916"/>
    <w:rsid w:val="003A7E19"/>
    <w:rsid w:val="003D3F81"/>
    <w:rsid w:val="00436173"/>
    <w:rsid w:val="004428FB"/>
    <w:rsid w:val="00463EE0"/>
    <w:rsid w:val="00465568"/>
    <w:rsid w:val="004A1FA5"/>
    <w:rsid w:val="004D2BE9"/>
    <w:rsid w:val="004E17D8"/>
    <w:rsid w:val="004E4833"/>
    <w:rsid w:val="00541B2A"/>
    <w:rsid w:val="0055574C"/>
    <w:rsid w:val="00573572"/>
    <w:rsid w:val="005738FB"/>
    <w:rsid w:val="00586FC7"/>
    <w:rsid w:val="00594804"/>
    <w:rsid w:val="005C0732"/>
    <w:rsid w:val="005F11D0"/>
    <w:rsid w:val="005F39A5"/>
    <w:rsid w:val="00607A27"/>
    <w:rsid w:val="00640772"/>
    <w:rsid w:val="00645424"/>
    <w:rsid w:val="00655BF3"/>
    <w:rsid w:val="00656290"/>
    <w:rsid w:val="00683AD9"/>
    <w:rsid w:val="00684ABA"/>
    <w:rsid w:val="006858E4"/>
    <w:rsid w:val="006B01FE"/>
    <w:rsid w:val="006D16A3"/>
    <w:rsid w:val="006E6140"/>
    <w:rsid w:val="006E628A"/>
    <w:rsid w:val="006F1C46"/>
    <w:rsid w:val="006F769A"/>
    <w:rsid w:val="00706BBE"/>
    <w:rsid w:val="0076116A"/>
    <w:rsid w:val="00772FA2"/>
    <w:rsid w:val="007B2DA7"/>
    <w:rsid w:val="007B3E31"/>
    <w:rsid w:val="007B5C9A"/>
    <w:rsid w:val="007C3DC8"/>
    <w:rsid w:val="007E3616"/>
    <w:rsid w:val="007E3CBD"/>
    <w:rsid w:val="00801C4A"/>
    <w:rsid w:val="00845A02"/>
    <w:rsid w:val="008A1028"/>
    <w:rsid w:val="008A29BF"/>
    <w:rsid w:val="008D1DC8"/>
    <w:rsid w:val="008F50F1"/>
    <w:rsid w:val="009064A5"/>
    <w:rsid w:val="00912E1B"/>
    <w:rsid w:val="00916F96"/>
    <w:rsid w:val="009264AB"/>
    <w:rsid w:val="0093747E"/>
    <w:rsid w:val="00945463"/>
    <w:rsid w:val="0094684C"/>
    <w:rsid w:val="0096089D"/>
    <w:rsid w:val="009A1E0A"/>
    <w:rsid w:val="009A6359"/>
    <w:rsid w:val="009E66B7"/>
    <w:rsid w:val="009F7C35"/>
    <w:rsid w:val="00A23C23"/>
    <w:rsid w:val="00A55DE8"/>
    <w:rsid w:val="00AA488F"/>
    <w:rsid w:val="00AB0C42"/>
    <w:rsid w:val="00AC3B6D"/>
    <w:rsid w:val="00AC4D90"/>
    <w:rsid w:val="00B22312"/>
    <w:rsid w:val="00B4269F"/>
    <w:rsid w:val="00B559E2"/>
    <w:rsid w:val="00B61507"/>
    <w:rsid w:val="00B7141F"/>
    <w:rsid w:val="00BA79E2"/>
    <w:rsid w:val="00BB735C"/>
    <w:rsid w:val="00BC29AF"/>
    <w:rsid w:val="00BE7295"/>
    <w:rsid w:val="00C466FE"/>
    <w:rsid w:val="00C50223"/>
    <w:rsid w:val="00C62577"/>
    <w:rsid w:val="00C84467"/>
    <w:rsid w:val="00C85ADA"/>
    <w:rsid w:val="00CB7017"/>
    <w:rsid w:val="00CD2158"/>
    <w:rsid w:val="00D01624"/>
    <w:rsid w:val="00D15FDD"/>
    <w:rsid w:val="00D166E9"/>
    <w:rsid w:val="00D634D7"/>
    <w:rsid w:val="00D82B1A"/>
    <w:rsid w:val="00D9078E"/>
    <w:rsid w:val="00D94138"/>
    <w:rsid w:val="00DC56BD"/>
    <w:rsid w:val="00DD43BA"/>
    <w:rsid w:val="00E0331E"/>
    <w:rsid w:val="00E265F7"/>
    <w:rsid w:val="00E3061E"/>
    <w:rsid w:val="00E32E5E"/>
    <w:rsid w:val="00E33D13"/>
    <w:rsid w:val="00E34A2F"/>
    <w:rsid w:val="00E514F7"/>
    <w:rsid w:val="00E57993"/>
    <w:rsid w:val="00E65783"/>
    <w:rsid w:val="00EA0BE7"/>
    <w:rsid w:val="00EB1B95"/>
    <w:rsid w:val="00EB7266"/>
    <w:rsid w:val="00F1117D"/>
    <w:rsid w:val="00F242B5"/>
    <w:rsid w:val="00F26F38"/>
    <w:rsid w:val="00F3605F"/>
    <w:rsid w:val="00F80382"/>
    <w:rsid w:val="00F83BC9"/>
    <w:rsid w:val="00F85452"/>
    <w:rsid w:val="00FA356A"/>
    <w:rsid w:val="00FB497A"/>
    <w:rsid w:val="00FB5EEA"/>
    <w:rsid w:val="00FC3EC7"/>
    <w:rsid w:val="00FD7883"/>
    <w:rsid w:val="11C44F5F"/>
    <w:rsid w:val="1F3D6352"/>
    <w:rsid w:val="2B9C7F14"/>
    <w:rsid w:val="33FC4047"/>
    <w:rsid w:val="3B9427D3"/>
    <w:rsid w:val="3F4E7EA0"/>
    <w:rsid w:val="5D1878E5"/>
    <w:rsid w:val="63C916F1"/>
    <w:rsid w:val="6B204EC4"/>
    <w:rsid w:val="6E19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37"/>
      </o:rules>
    </o:shapelayout>
  </w:shapeDefaults>
  <w:decimalSymbol w:val="."/>
  <w:listSeparator w:val=","/>
  <w15:docId w15:val="{1461ABA3-44F9-4E99-9548-C762C80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line="312" w:lineRule="auto"/>
      <w:ind w:left="360"/>
      <w:jc w:val="left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4">
    <w:name w:val="Body Text"/>
    <w:basedOn w:val="a"/>
    <w:link w:val="Char"/>
    <w:uiPriority w:val="99"/>
    <w:qFormat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styleId="a5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Pr>
      <w:rFonts w:ascii="Times New Roman" w:eastAsia="宋体" w:hAnsi="Times New Roman" w:cs="Times New Roman"/>
      <w:sz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="Times New Roman" w:eastAsia="宋体" w:hAnsi="Times New Roman" w:cs="Times New Roman"/>
      <w:b/>
      <w:kern w:val="28"/>
      <w:sz w:val="24"/>
      <w:szCs w:val="20"/>
    </w:rPr>
  </w:style>
  <w:style w:type="character" w:customStyle="1" w:styleId="5Char">
    <w:name w:val="标题 5 Char"/>
    <w:basedOn w:val="a0"/>
    <w:link w:val="5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4"/>
    <w:uiPriority w:val="99"/>
    <w:qFormat/>
    <w:rPr>
      <w:rFonts w:ascii="Times New Roman" w:eastAsia="宋体" w:hAnsi="Times New Roman" w:cs="Times New Roman"/>
      <w:spacing w:val="-5"/>
      <w:kern w:val="0"/>
      <w:sz w:val="30"/>
      <w:szCs w:val="20"/>
    </w:rPr>
  </w:style>
  <w:style w:type="paragraph" w:customStyle="1" w:styleId="ac">
    <w:name w:val="段"/>
    <w:link w:val="Char5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d">
    <w:name w:val="基准页眉样式"/>
    <w:basedOn w:val="a4"/>
    <w:uiPriority w:val="99"/>
    <w:qFormat/>
    <w:pPr>
      <w:keepLines/>
      <w:tabs>
        <w:tab w:val="center" w:pos="4320"/>
        <w:tab w:val="right" w:pos="8640"/>
      </w:tabs>
      <w:spacing w:after="0"/>
    </w:pPr>
  </w:style>
  <w:style w:type="paragraph" w:customStyle="1" w:styleId="ae">
    <w:name w:val="封面标准英文名称"/>
    <w:uiPriority w:val="99"/>
    <w:qFormat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Char0">
    <w:name w:val="纯文本 Char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封面标准文稿编辑信息"/>
    <w:uiPriority w:val="99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character" w:customStyle="1" w:styleId="af0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其他标准称谓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2">
    <w:name w:val="文献分类号"/>
    <w:qFormat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3">
    <w:name w:val="发布部门"/>
    <w:next w:val="ac"/>
    <w:qFormat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f4">
    <w:name w:val="标准标志"/>
    <w:next w:val="a"/>
    <w:qFormat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5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实施日期"/>
    <w:basedOn w:val="af7"/>
    <w:qFormat/>
    <w:pPr>
      <w:framePr w:hSpace="0" w:wrap="around" w:xAlign="right"/>
      <w:jc w:val="right"/>
    </w:pPr>
  </w:style>
  <w:style w:type="paragraph" w:customStyle="1" w:styleId="af7">
    <w:name w:val="发布日期"/>
    <w:qFormat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sz w:val="2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  <w:style w:type="character" w:customStyle="1" w:styleId="Char5">
    <w:name w:val="段 Char"/>
    <w:basedOn w:val="a0"/>
    <w:link w:val="ac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5" textRotate="1"/>
    <customShpInfo spid="_x0000_s2056" textRotate="1"/>
    <customShpInfo spid="_x0000_s2057" textRotate="1"/>
    <customShpInfo spid="_x0000_s2058" textRotate="1"/>
    <customShpInfo spid="_x0000_s2059" textRotate="1"/>
    <customShpInfo spid="_x0000_s2060" textRotate="1"/>
    <customShpInfo spid="_x0000_s2061" textRotate="1"/>
    <customShpInfo spid="_x0000_s2062" textRotate="1"/>
    <customShpInfo spid="_x0000_s2063" textRotate="1"/>
    <customShpInfo spid="_x0000_s1031"/>
    <customShpInfo spid="_x0000_s1030"/>
    <customShpInfo spid="_x0000_s1029"/>
    <customShpInfo spid="_x0000_s1032"/>
    <customShpInfo spid="_x0000_s1034"/>
    <customShpInfo spid="_x0000_s1033"/>
    <customShpInfo spid="_x0000_s1027"/>
    <customShpInfo spid="_x0000_s1028"/>
    <customShpInfo spid="_x0000_s1026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yss</cp:lastModifiedBy>
  <cp:revision>93</cp:revision>
  <cp:lastPrinted>2018-11-28T03:50:00Z</cp:lastPrinted>
  <dcterms:created xsi:type="dcterms:W3CDTF">2015-05-19T06:09:00Z</dcterms:created>
  <dcterms:modified xsi:type="dcterms:W3CDTF">2019-04-12T01:19:00Z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