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403C" w:rsidRDefault="00F067C7" w:rsidP="001622B3">
      <w:pPr>
        <w:adjustRightInd w:val="0"/>
        <w:snapToGrid w:val="0"/>
        <w:spacing w:afterLines="100" w:line="360" w:lineRule="auto"/>
        <w:ind w:firstLineChars="0" w:firstLine="0"/>
        <w:jc w:val="center"/>
        <w:rPr>
          <w:rFonts w:asciiTheme="majorEastAsia" w:eastAsiaTheme="majorEastAsia" w:hAnsiTheme="majorEastAsia" w:cs="Times New Roman"/>
          <w:b/>
          <w:sz w:val="36"/>
          <w:szCs w:val="30"/>
        </w:rPr>
      </w:pPr>
      <w:r>
        <w:rPr>
          <w:rFonts w:asciiTheme="majorEastAsia" w:eastAsiaTheme="majorEastAsia" w:hAnsiTheme="majorEastAsia" w:cs="Times New Roman" w:hint="eastAsia"/>
          <w:b/>
          <w:sz w:val="36"/>
          <w:szCs w:val="30"/>
        </w:rPr>
        <w:t>行业标准《</w:t>
      </w:r>
      <w:r>
        <w:rPr>
          <w:rFonts w:asciiTheme="majorEastAsia" w:eastAsiaTheme="majorEastAsia" w:hAnsiTheme="majorEastAsia" w:cs="Times New Roman" w:hint="eastAsia"/>
          <w:b/>
          <w:sz w:val="36"/>
          <w:szCs w:val="30"/>
        </w:rPr>
        <w:t>镧铁合金</w:t>
      </w:r>
      <w:r>
        <w:rPr>
          <w:rFonts w:asciiTheme="majorEastAsia" w:eastAsiaTheme="majorEastAsia" w:hAnsiTheme="majorEastAsia" w:cs="Times New Roman" w:hint="eastAsia"/>
          <w:b/>
          <w:sz w:val="36"/>
          <w:szCs w:val="30"/>
        </w:rPr>
        <w:t>》</w:t>
      </w:r>
    </w:p>
    <w:p w:rsidR="0087403C" w:rsidRDefault="00F067C7" w:rsidP="001622B3">
      <w:pPr>
        <w:adjustRightInd w:val="0"/>
        <w:snapToGrid w:val="0"/>
        <w:spacing w:afterLines="100" w:line="360" w:lineRule="auto"/>
        <w:ind w:firstLineChars="0" w:firstLine="0"/>
        <w:jc w:val="center"/>
        <w:rPr>
          <w:rFonts w:asciiTheme="majorEastAsia" w:eastAsiaTheme="majorEastAsia" w:hAnsiTheme="majorEastAsia" w:cs="Times New Roman"/>
          <w:b/>
          <w:sz w:val="36"/>
          <w:szCs w:val="30"/>
        </w:rPr>
      </w:pPr>
      <w:r>
        <w:rPr>
          <w:rFonts w:asciiTheme="majorEastAsia" w:eastAsiaTheme="majorEastAsia" w:hAnsiTheme="majorEastAsia" w:cs="Times New Roman" w:hint="eastAsia"/>
          <w:b/>
          <w:sz w:val="36"/>
          <w:szCs w:val="30"/>
        </w:rPr>
        <w:t>编制说明</w:t>
      </w:r>
    </w:p>
    <w:p w:rsidR="0087403C" w:rsidRDefault="00F067C7" w:rsidP="001622B3">
      <w:p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t>一、工作简况</w:t>
      </w:r>
    </w:p>
    <w:p w:rsidR="0087403C" w:rsidRDefault="00F067C7" w:rsidP="001622B3">
      <w:pPr>
        <w:ind w:firstLine="480"/>
      </w:pPr>
      <w:r>
        <w:rPr>
          <w:rFonts w:hint="eastAsia"/>
        </w:rPr>
        <w:t xml:space="preserve">1.1 </w:t>
      </w:r>
      <w:r>
        <w:rPr>
          <w:rFonts w:hint="eastAsia"/>
        </w:rPr>
        <w:t>任务背景：</w:t>
      </w:r>
    </w:p>
    <w:p w:rsidR="0087403C" w:rsidRDefault="00F067C7" w:rsidP="001622B3">
      <w:pPr>
        <w:ind w:firstLine="480"/>
      </w:pPr>
      <w:r>
        <w:rPr>
          <w:rFonts w:hint="eastAsia"/>
        </w:rPr>
        <w:t>随着市场对高端钢材需求的增长，稀土钢的应用会进入一个快速发展时期。作为稀土钢的添加剂：</w:t>
      </w:r>
      <w:proofErr w:type="gramStart"/>
      <w:r>
        <w:rPr>
          <w:rFonts w:hint="eastAsia"/>
        </w:rPr>
        <w:t>镧</w:t>
      </w:r>
      <w:proofErr w:type="gramEnd"/>
      <w:r>
        <w:rPr>
          <w:rFonts w:hint="eastAsia"/>
        </w:rPr>
        <w:t>铁合金的用量也会大幅提升，钢铁产业的转型升级是未来的发展趋势，我国稀土钢的研发技术会得到进一步提高。稀土钢的应用领域会进一步扩展，国际、国内对稀土钢的需求在逐年增加。</w:t>
      </w:r>
    </w:p>
    <w:p w:rsidR="0087403C" w:rsidRDefault="00F067C7" w:rsidP="001622B3">
      <w:pPr>
        <w:ind w:firstLine="480"/>
      </w:pPr>
      <w:r>
        <w:rPr>
          <w:rFonts w:hint="eastAsia"/>
        </w:rPr>
        <w:t>本产品在包钢已得到产业化应用，用于制造稀土耐磨钢、稀土特殊油井管等多品种稀土钢产品，采用</w:t>
      </w:r>
      <w:proofErr w:type="gramStart"/>
      <w:r>
        <w:rPr>
          <w:rFonts w:hint="eastAsia"/>
        </w:rPr>
        <w:t>镧</w:t>
      </w:r>
      <w:proofErr w:type="gramEnd"/>
      <w:r>
        <w:rPr>
          <w:rFonts w:hint="eastAsia"/>
        </w:rPr>
        <w:t>铁合金生产高品质稀土钢时，可加速稀土与钢中</w:t>
      </w:r>
      <w:r>
        <w:rPr>
          <w:rFonts w:hint="eastAsia"/>
        </w:rPr>
        <w:t>O</w:t>
      </w:r>
      <w:r>
        <w:rPr>
          <w:rFonts w:hint="eastAsia"/>
        </w:rPr>
        <w:t>、</w:t>
      </w:r>
      <w:r>
        <w:rPr>
          <w:rFonts w:hint="eastAsia"/>
        </w:rPr>
        <w:t>S</w:t>
      </w:r>
      <w:r>
        <w:rPr>
          <w:rFonts w:hint="eastAsia"/>
        </w:rPr>
        <w:t>、</w:t>
      </w:r>
      <w:r>
        <w:rPr>
          <w:rFonts w:hint="eastAsia"/>
        </w:rPr>
        <w:t>N</w:t>
      </w:r>
      <w:r>
        <w:rPr>
          <w:rFonts w:hint="eastAsia"/>
        </w:rPr>
        <w:t>、</w:t>
      </w:r>
      <w:r>
        <w:rPr>
          <w:rFonts w:hint="eastAsia"/>
        </w:rPr>
        <w:t>P</w:t>
      </w:r>
      <w:r>
        <w:rPr>
          <w:rFonts w:hint="eastAsia"/>
        </w:rPr>
        <w:t>等有害杂质的化学反应，从而实现对钢水的深度净化，可提高钢材的耐磨性能、耐腐蚀性能。产品性能稳定，工艺顺行，收率高，在包钢年用量将很快达到</w:t>
      </w:r>
      <w:r>
        <w:rPr>
          <w:rFonts w:hint="eastAsia"/>
        </w:rPr>
        <w:t>2000</w:t>
      </w:r>
      <w:r>
        <w:rPr>
          <w:rFonts w:hint="eastAsia"/>
        </w:rPr>
        <w:t>吨，未来需求量将迅速攀升。</w:t>
      </w:r>
    </w:p>
    <w:p w:rsidR="0087403C" w:rsidRDefault="00F067C7" w:rsidP="001622B3">
      <w:pPr>
        <w:ind w:firstLine="480"/>
      </w:pPr>
      <w:r>
        <w:rPr>
          <w:rFonts w:hint="eastAsia"/>
        </w:rPr>
        <w:t>为了使稀土</w:t>
      </w:r>
      <w:proofErr w:type="gramStart"/>
      <w:r>
        <w:rPr>
          <w:rFonts w:hint="eastAsia"/>
        </w:rPr>
        <w:t>钢用稀土镧</w:t>
      </w:r>
      <w:proofErr w:type="gramEnd"/>
      <w:r>
        <w:rPr>
          <w:rFonts w:hint="eastAsia"/>
        </w:rPr>
        <w:t>铁合金企业产品质量得到保证，使稀土</w:t>
      </w:r>
      <w:proofErr w:type="gramStart"/>
      <w:r>
        <w:rPr>
          <w:rFonts w:hint="eastAsia"/>
        </w:rPr>
        <w:t>镧</w:t>
      </w:r>
      <w:proofErr w:type="gramEnd"/>
      <w:r>
        <w:rPr>
          <w:rFonts w:hint="eastAsia"/>
        </w:rPr>
        <w:t>铁中间合金企业生产规范化，增强我国稀土钢在高端应用领域的话语权，填补标准空白，制定本标准是非常必要和迫切的。</w:t>
      </w:r>
    </w:p>
    <w:p w:rsidR="0087403C" w:rsidRDefault="00F067C7" w:rsidP="001622B3">
      <w:pPr>
        <w:ind w:firstLine="480"/>
      </w:pPr>
      <w:r>
        <w:rPr>
          <w:rFonts w:hint="eastAsia"/>
        </w:rPr>
        <w:t>本标准依据实际生产经验、对成</w:t>
      </w:r>
      <w:r>
        <w:rPr>
          <w:rFonts w:hint="eastAsia"/>
        </w:rPr>
        <w:t>分、杂质含量给出了具体要求，操作性较强。</w:t>
      </w:r>
    </w:p>
    <w:p w:rsidR="0087403C" w:rsidRDefault="00F067C7" w:rsidP="001622B3">
      <w:pPr>
        <w:ind w:firstLine="480"/>
      </w:pPr>
      <w:r>
        <w:t>1.2</w:t>
      </w:r>
      <w:r>
        <w:rPr>
          <w:rFonts w:hint="eastAsia"/>
        </w:rPr>
        <w:t>任务来源：</w:t>
      </w:r>
    </w:p>
    <w:p w:rsidR="0087403C" w:rsidRDefault="00F067C7" w:rsidP="001622B3">
      <w:pPr>
        <w:ind w:firstLine="480"/>
      </w:pPr>
      <w:r>
        <w:rPr>
          <w:rFonts w:hint="eastAsia"/>
        </w:rPr>
        <w:t>根据稀土标委</w:t>
      </w:r>
      <w:r>
        <w:rPr>
          <w:rFonts w:hint="eastAsia"/>
        </w:rPr>
        <w:t>[2019] 06</w:t>
      </w:r>
      <w:r>
        <w:rPr>
          <w:rFonts w:hint="eastAsia"/>
        </w:rPr>
        <w:t>号</w:t>
      </w:r>
      <w:r>
        <w:rPr>
          <w:rFonts w:hint="eastAsia"/>
        </w:rPr>
        <w:t xml:space="preserve"> </w:t>
      </w:r>
      <w:r>
        <w:rPr>
          <w:rFonts w:hint="eastAsia"/>
        </w:rPr>
        <w:t>关于发送</w:t>
      </w:r>
      <w:r>
        <w:rPr>
          <w:rFonts w:hint="eastAsia"/>
        </w:rPr>
        <w:t>2019</w:t>
      </w:r>
      <w:r>
        <w:rPr>
          <w:rFonts w:hint="eastAsia"/>
        </w:rPr>
        <w:t>年《钪稳定铈锆复合粉》等</w:t>
      </w:r>
      <w:r>
        <w:rPr>
          <w:rFonts w:hint="eastAsia"/>
        </w:rPr>
        <w:t>11</w:t>
      </w:r>
      <w:r>
        <w:rPr>
          <w:rFonts w:hint="eastAsia"/>
        </w:rPr>
        <w:t>项稀土国家、行业标准任务落实会议纪要的通知，《镧铁合金》行业标准计划正式下达，计划号</w:t>
      </w:r>
      <w:r>
        <w:rPr>
          <w:rFonts w:hint="eastAsia"/>
        </w:rPr>
        <w:t>2018-2082T-XB</w:t>
      </w:r>
      <w:r>
        <w:rPr>
          <w:rFonts w:hint="eastAsia"/>
        </w:rPr>
        <w:t>，完成年限</w:t>
      </w:r>
      <w:r>
        <w:rPr>
          <w:rFonts w:hint="eastAsia"/>
        </w:rPr>
        <w:t>2019</w:t>
      </w:r>
      <w:r>
        <w:rPr>
          <w:rFonts w:hint="eastAsia"/>
        </w:rPr>
        <w:t>年</w:t>
      </w:r>
      <w:r>
        <w:rPr>
          <w:rFonts w:hint="eastAsia"/>
        </w:rPr>
        <w:t>8</w:t>
      </w:r>
      <w:r>
        <w:rPr>
          <w:rFonts w:hint="eastAsia"/>
        </w:rPr>
        <w:t>月。本标准牵头起草单位为包头稀土研究院，报名参加起草单位有：瑞科稀土冶金及功能材料国家工程研究中心有限公司、有</w:t>
      </w:r>
      <w:proofErr w:type="gramStart"/>
      <w:r>
        <w:rPr>
          <w:rFonts w:hint="eastAsia"/>
        </w:rPr>
        <w:t>研</w:t>
      </w:r>
      <w:proofErr w:type="gramEnd"/>
      <w:r>
        <w:rPr>
          <w:rFonts w:hint="eastAsia"/>
        </w:rPr>
        <w:t>稀土新材料股份有限公司、赣州有色冶金研究所、包头市中</w:t>
      </w:r>
      <w:proofErr w:type="gramStart"/>
      <w:r>
        <w:rPr>
          <w:rFonts w:hint="eastAsia"/>
        </w:rPr>
        <w:t>鑫安泰磁业有限公司</w:t>
      </w:r>
      <w:proofErr w:type="gramEnd"/>
      <w:r>
        <w:rPr>
          <w:rFonts w:hint="eastAsia"/>
        </w:rPr>
        <w:t>、国家稀土产品质量监督检验中心、乐山有</w:t>
      </w:r>
      <w:proofErr w:type="gramStart"/>
      <w:r>
        <w:rPr>
          <w:rFonts w:hint="eastAsia"/>
        </w:rPr>
        <w:t>研</w:t>
      </w:r>
      <w:proofErr w:type="gramEnd"/>
      <w:r>
        <w:rPr>
          <w:rFonts w:hint="eastAsia"/>
        </w:rPr>
        <w:t>稀土新材料有限公司、</w:t>
      </w:r>
      <w:r>
        <w:rPr>
          <w:rFonts w:hint="eastAsia"/>
        </w:rPr>
        <w:t>信丰县新利稀土有限公司。</w:t>
      </w:r>
    </w:p>
    <w:p w:rsidR="0087403C" w:rsidRDefault="00F067C7" w:rsidP="001622B3">
      <w:pPr>
        <w:ind w:firstLine="480"/>
      </w:pPr>
      <w:r>
        <w:rPr>
          <w:rFonts w:hint="eastAsia"/>
        </w:rPr>
        <w:lastRenderedPageBreak/>
        <w:t>1.3</w:t>
      </w:r>
      <w:r>
        <w:rPr>
          <w:rFonts w:hint="eastAsia"/>
        </w:rPr>
        <w:t>起草单位情况</w:t>
      </w:r>
    </w:p>
    <w:p w:rsidR="0087403C" w:rsidRDefault="00F067C7" w:rsidP="001622B3">
      <w:pPr>
        <w:ind w:firstLine="480"/>
      </w:pPr>
      <w:r>
        <w:rPr>
          <w:rFonts w:hint="eastAsia"/>
        </w:rPr>
        <w:t>包头稀土研究院是一个以稀土资源的综合利用为宗旨，以稀土冶金、环境保护、新型稀土功能材料及专用设备、稀土在传统产业中的应用为研究重点的、全国最大的稀土科研开发机构，是国家</w:t>
      </w:r>
      <w:r>
        <w:rPr>
          <w:rFonts w:hint="eastAsia"/>
        </w:rPr>
        <w:t>242</w:t>
      </w:r>
      <w:r>
        <w:rPr>
          <w:rFonts w:hint="eastAsia"/>
        </w:rPr>
        <w:t>个改制院所之一。建院</w:t>
      </w:r>
      <w:r>
        <w:rPr>
          <w:rFonts w:hint="eastAsia"/>
        </w:rPr>
        <w:t>50</w:t>
      </w:r>
      <w:r>
        <w:rPr>
          <w:rFonts w:hint="eastAsia"/>
        </w:rPr>
        <w:t>年来，共承担</w:t>
      </w:r>
      <w:r>
        <w:rPr>
          <w:rFonts w:hint="eastAsia"/>
        </w:rPr>
        <w:t xml:space="preserve"> </w:t>
      </w:r>
      <w:r>
        <w:rPr>
          <w:rFonts w:hint="eastAsia"/>
        </w:rPr>
        <w:t>“</w:t>
      </w:r>
      <w:r>
        <w:rPr>
          <w:rFonts w:hint="eastAsia"/>
        </w:rPr>
        <w:t>863</w:t>
      </w:r>
      <w:r>
        <w:rPr>
          <w:rFonts w:hint="eastAsia"/>
        </w:rPr>
        <w:t>计划”、“</w:t>
      </w:r>
      <w:r>
        <w:rPr>
          <w:rFonts w:hint="eastAsia"/>
        </w:rPr>
        <w:t>973</w:t>
      </w:r>
      <w:r>
        <w:rPr>
          <w:rFonts w:hint="eastAsia"/>
        </w:rPr>
        <w:t>计划”等国家级科技项目、省部、地市级研发项目和为企业服务的各类项目</w:t>
      </w:r>
      <w:r>
        <w:rPr>
          <w:rFonts w:hint="eastAsia"/>
        </w:rPr>
        <w:t>1860</w:t>
      </w:r>
      <w:r>
        <w:rPr>
          <w:rFonts w:hint="eastAsia"/>
        </w:rPr>
        <w:t>多项，取得各类科研成果</w:t>
      </w:r>
      <w:r>
        <w:rPr>
          <w:rFonts w:hint="eastAsia"/>
        </w:rPr>
        <w:t>770</w:t>
      </w:r>
      <w:r>
        <w:rPr>
          <w:rFonts w:hint="eastAsia"/>
        </w:rPr>
        <w:t>多项，获得国家发明奖和省部级以上各类科技成果奖</w:t>
      </w:r>
      <w:r>
        <w:rPr>
          <w:rFonts w:hint="eastAsia"/>
        </w:rPr>
        <w:t>230</w:t>
      </w:r>
      <w:r>
        <w:rPr>
          <w:rFonts w:hint="eastAsia"/>
        </w:rPr>
        <w:t>多项。在稀土选矿、稀土冶金、环境保护、稀土功能材料及专用设备、稀土应用等领域</w:t>
      </w:r>
      <w:r>
        <w:rPr>
          <w:rFonts w:hint="eastAsia"/>
        </w:rPr>
        <w:t>的一大批成果，已在生产中得到了成功的应用，为中国稀土工业</w:t>
      </w:r>
      <w:proofErr w:type="gramStart"/>
      <w:r>
        <w:rPr>
          <w:rFonts w:hint="eastAsia"/>
        </w:rPr>
        <w:t>作出</w:t>
      </w:r>
      <w:proofErr w:type="gramEnd"/>
      <w:r>
        <w:rPr>
          <w:rFonts w:hint="eastAsia"/>
        </w:rPr>
        <w:t>了重大贡献。</w:t>
      </w:r>
    </w:p>
    <w:p w:rsidR="0087403C" w:rsidRDefault="00F067C7" w:rsidP="001622B3">
      <w:pPr>
        <w:ind w:firstLine="480"/>
      </w:pPr>
      <w:r>
        <w:rPr>
          <w:rFonts w:hint="eastAsia"/>
        </w:rPr>
        <w:t>包头</w:t>
      </w:r>
      <w:r>
        <w:rPr>
          <w:rFonts w:hint="eastAsia"/>
        </w:rPr>
        <w:t>稀土研究院一直对利用稀土改善钢材性能进行研究，早些年由于长期受制于稀土加入工艺和稀土含量的准确控制工艺限制，使稀土钢的工业化生产和推广应用受到了极大的限制。近年来包头稀土研究院开展了大量稀土铁合金方面的课题研究。</w:t>
      </w:r>
      <w:r>
        <w:rPr>
          <w:rFonts w:hint="eastAsia"/>
        </w:rPr>
        <w:t>2013</w:t>
      </w:r>
      <w:r>
        <w:rPr>
          <w:rFonts w:hint="eastAsia"/>
        </w:rPr>
        <w:t>年至今，相关铁合金制备项目分别被列入包头市、工信部重大科研、产业化项目中，得到了各方面大力支持，也为项目的顺利进行提过了充足的保障，成功开发了系列稀土铁合金产品，开发和建立了稀土铁合金制备等产业化配套的技术体系。产</w:t>
      </w:r>
      <w:r>
        <w:rPr>
          <w:rFonts w:hint="eastAsia"/>
        </w:rPr>
        <w:t>品在多家企业</w:t>
      </w:r>
      <w:proofErr w:type="gramStart"/>
      <w:r>
        <w:rPr>
          <w:rFonts w:hint="eastAsia"/>
        </w:rPr>
        <w:t>院所得</w:t>
      </w:r>
      <w:proofErr w:type="gramEnd"/>
      <w:r>
        <w:rPr>
          <w:rFonts w:hint="eastAsia"/>
        </w:rPr>
        <w:t>到了应用，效果良好。</w:t>
      </w:r>
    </w:p>
    <w:p w:rsidR="0087403C" w:rsidRDefault="00F067C7" w:rsidP="001622B3">
      <w:pPr>
        <w:ind w:firstLine="480"/>
      </w:pPr>
      <w:r>
        <w:rPr>
          <w:rFonts w:hint="eastAsia"/>
        </w:rPr>
        <w:t>1.4</w:t>
      </w:r>
      <w:r>
        <w:rPr>
          <w:rFonts w:hint="eastAsia"/>
        </w:rPr>
        <w:t>工作进度安排。</w:t>
      </w:r>
    </w:p>
    <w:p w:rsidR="0087403C" w:rsidRDefault="00F067C7" w:rsidP="001622B3">
      <w:pPr>
        <w:ind w:firstLine="480"/>
      </w:pPr>
      <w:r>
        <w:rPr>
          <w:rFonts w:hint="eastAsia"/>
        </w:rPr>
        <w:t>1)201</w:t>
      </w:r>
      <w:r>
        <w:rPr>
          <w:rFonts w:hint="eastAsia"/>
        </w:rPr>
        <w:t>9</w:t>
      </w:r>
      <w:r>
        <w:rPr>
          <w:rFonts w:hint="eastAsia"/>
        </w:rPr>
        <w:t>年</w:t>
      </w:r>
      <w:r>
        <w:rPr>
          <w:rFonts w:hint="eastAsia"/>
        </w:rPr>
        <w:t>1</w:t>
      </w:r>
      <w:r>
        <w:rPr>
          <w:rFonts w:hint="eastAsia"/>
        </w:rPr>
        <w:t>月—</w:t>
      </w:r>
      <w:r>
        <w:rPr>
          <w:rFonts w:hint="eastAsia"/>
        </w:rPr>
        <w:t>201</w:t>
      </w:r>
      <w:r w:rsidR="001622B3">
        <w:rPr>
          <w:rFonts w:hint="eastAsia"/>
        </w:rPr>
        <w:t>9</w:t>
      </w:r>
      <w:r>
        <w:rPr>
          <w:rFonts w:hint="eastAsia"/>
        </w:rPr>
        <w:t>年</w:t>
      </w:r>
      <w:r>
        <w:rPr>
          <w:rFonts w:hint="eastAsia"/>
        </w:rPr>
        <w:t>2</w:t>
      </w:r>
      <w:r>
        <w:rPr>
          <w:rFonts w:hint="eastAsia"/>
        </w:rPr>
        <w:t>月：调研、查阅资料，了解国内外</w:t>
      </w:r>
      <w:proofErr w:type="gramStart"/>
      <w:r>
        <w:rPr>
          <w:rFonts w:hint="eastAsia"/>
        </w:rPr>
        <w:t>镧</w:t>
      </w:r>
      <w:proofErr w:type="gramEnd"/>
      <w:r>
        <w:rPr>
          <w:rFonts w:hint="eastAsia"/>
        </w:rPr>
        <w:t>铁合金的生产动态及应用领域的变化，编写标准</w:t>
      </w:r>
      <w:r>
        <w:rPr>
          <w:rFonts w:hint="eastAsia"/>
        </w:rPr>
        <w:t>征求意见稿</w:t>
      </w:r>
      <w:r>
        <w:rPr>
          <w:rFonts w:hint="eastAsia"/>
        </w:rPr>
        <w:t>、编制说明。</w:t>
      </w:r>
    </w:p>
    <w:p w:rsidR="0087403C" w:rsidRDefault="00F067C7" w:rsidP="001622B3">
      <w:pPr>
        <w:ind w:firstLine="480"/>
      </w:pPr>
      <w:r>
        <w:rPr>
          <w:rFonts w:hint="eastAsia"/>
        </w:rPr>
        <w:t>2)201</w:t>
      </w:r>
      <w:r>
        <w:rPr>
          <w:rFonts w:hint="eastAsia"/>
        </w:rPr>
        <w:t>9</w:t>
      </w:r>
      <w:r>
        <w:rPr>
          <w:rFonts w:hint="eastAsia"/>
        </w:rPr>
        <w:t>年</w:t>
      </w:r>
      <w:r>
        <w:rPr>
          <w:rFonts w:hint="eastAsia"/>
        </w:rPr>
        <w:t>2</w:t>
      </w:r>
      <w:r>
        <w:rPr>
          <w:rFonts w:hint="eastAsia"/>
        </w:rPr>
        <w:t>月—</w:t>
      </w:r>
      <w:r>
        <w:rPr>
          <w:rFonts w:hint="eastAsia"/>
        </w:rPr>
        <w:t>201</w:t>
      </w:r>
      <w:r w:rsidR="001622B3">
        <w:rPr>
          <w:rFonts w:hint="eastAsia"/>
        </w:rPr>
        <w:t>9</w:t>
      </w:r>
      <w:r>
        <w:rPr>
          <w:rFonts w:hint="eastAsia"/>
        </w:rPr>
        <w:t>年</w:t>
      </w:r>
      <w:r>
        <w:rPr>
          <w:rFonts w:hint="eastAsia"/>
        </w:rPr>
        <w:t>3</w:t>
      </w:r>
      <w:r>
        <w:rPr>
          <w:rFonts w:hint="eastAsia"/>
        </w:rPr>
        <w:t>月：对生产厂家、应用厂家广泛征求意见，</w:t>
      </w:r>
      <w:r>
        <w:rPr>
          <w:rFonts w:hint="eastAsia"/>
        </w:rPr>
        <w:t>通过邮件形式将征求意见稿发</w:t>
      </w:r>
      <w:r w:rsidR="001622B3">
        <w:rPr>
          <w:rFonts w:hint="eastAsia"/>
        </w:rPr>
        <w:t>往</w:t>
      </w:r>
      <w:r>
        <w:rPr>
          <w:rFonts w:hint="eastAsia"/>
        </w:rPr>
        <w:t>18</w:t>
      </w:r>
      <w:r>
        <w:rPr>
          <w:rFonts w:hint="eastAsia"/>
        </w:rPr>
        <w:t>家单位，</w:t>
      </w:r>
      <w:r w:rsidRPr="00F067C7">
        <w:rPr>
          <w:rFonts w:hint="eastAsia"/>
          <w:color w:val="FF0000"/>
        </w:rPr>
        <w:t>其中用户占比</w:t>
      </w:r>
      <w:r w:rsidRPr="00F067C7">
        <w:rPr>
          <w:rFonts w:hint="eastAsia"/>
          <w:color w:val="FF0000"/>
        </w:rPr>
        <w:t>22%</w:t>
      </w:r>
      <w:r w:rsidRPr="00F067C7">
        <w:rPr>
          <w:rFonts w:hint="eastAsia"/>
          <w:color w:val="FF0000"/>
        </w:rPr>
        <w:t>，科研单位占比</w:t>
      </w:r>
      <w:r w:rsidRPr="00F067C7">
        <w:rPr>
          <w:rFonts w:hint="eastAsia"/>
          <w:color w:val="FF0000"/>
        </w:rPr>
        <w:t>16%</w:t>
      </w:r>
      <w:r w:rsidRPr="00F067C7">
        <w:rPr>
          <w:rFonts w:hint="eastAsia"/>
          <w:color w:val="FF0000"/>
        </w:rPr>
        <w:t>，共有</w:t>
      </w:r>
      <w:r w:rsidRPr="00F067C7">
        <w:rPr>
          <w:rFonts w:hint="eastAsia"/>
          <w:color w:val="FF0000"/>
        </w:rPr>
        <w:t>8</w:t>
      </w:r>
      <w:r w:rsidRPr="00F067C7">
        <w:rPr>
          <w:rFonts w:hint="eastAsia"/>
          <w:color w:val="FF0000"/>
        </w:rPr>
        <w:t>家单位回复了意见</w:t>
      </w:r>
      <w:r>
        <w:rPr>
          <w:rFonts w:hint="eastAsia"/>
        </w:rPr>
        <w:t>。通过对意见反馈进行汇总整理，</w:t>
      </w:r>
      <w:r>
        <w:rPr>
          <w:rFonts w:hint="eastAsia"/>
        </w:rPr>
        <w:t>3</w:t>
      </w:r>
      <w:r>
        <w:rPr>
          <w:rFonts w:hint="eastAsia"/>
        </w:rPr>
        <w:t>月底形成预审稿。</w:t>
      </w:r>
    </w:p>
    <w:p w:rsidR="0087403C" w:rsidRDefault="00F067C7" w:rsidP="001622B3">
      <w:pPr>
        <w:ind w:firstLine="480"/>
      </w:pPr>
      <w:r>
        <w:rPr>
          <w:rFonts w:hint="eastAsia"/>
        </w:rPr>
        <w:t>3)201</w:t>
      </w:r>
      <w:r>
        <w:rPr>
          <w:rFonts w:hint="eastAsia"/>
        </w:rPr>
        <w:t>9</w:t>
      </w:r>
      <w:r>
        <w:rPr>
          <w:rFonts w:hint="eastAsia"/>
        </w:rPr>
        <w:t>年</w:t>
      </w:r>
      <w:r>
        <w:rPr>
          <w:rFonts w:hint="eastAsia"/>
        </w:rPr>
        <w:t>3</w:t>
      </w:r>
      <w:r>
        <w:rPr>
          <w:rFonts w:hint="eastAsia"/>
        </w:rPr>
        <w:t>月—</w:t>
      </w:r>
      <w:r>
        <w:rPr>
          <w:rFonts w:hint="eastAsia"/>
        </w:rPr>
        <w:t>201</w:t>
      </w:r>
      <w:r w:rsidR="001622B3">
        <w:rPr>
          <w:rFonts w:hint="eastAsia"/>
        </w:rPr>
        <w:t>9</w:t>
      </w:r>
      <w:r>
        <w:rPr>
          <w:rFonts w:hint="eastAsia"/>
        </w:rPr>
        <w:t>年</w:t>
      </w:r>
      <w:r>
        <w:rPr>
          <w:rFonts w:hint="eastAsia"/>
        </w:rPr>
        <w:t>4</w:t>
      </w:r>
      <w:r>
        <w:rPr>
          <w:rFonts w:hint="eastAsia"/>
        </w:rPr>
        <w:t>月：</w:t>
      </w:r>
      <w:r>
        <w:rPr>
          <w:rFonts w:hint="eastAsia"/>
        </w:rPr>
        <w:t>预审稿挂网广泛征求意见，召开标准预审会。</w:t>
      </w:r>
    </w:p>
    <w:p w:rsidR="0087403C" w:rsidRDefault="00F067C7" w:rsidP="001622B3">
      <w:pPr>
        <w:ind w:firstLine="480"/>
      </w:pPr>
      <w:r>
        <w:rPr>
          <w:rFonts w:hint="eastAsia"/>
        </w:rPr>
        <w:t>4)201</w:t>
      </w:r>
      <w:r>
        <w:rPr>
          <w:rFonts w:hint="eastAsia"/>
        </w:rPr>
        <w:t>9</w:t>
      </w:r>
      <w:r>
        <w:rPr>
          <w:rFonts w:hint="eastAsia"/>
        </w:rPr>
        <w:t>年</w:t>
      </w:r>
      <w:r>
        <w:rPr>
          <w:rFonts w:hint="eastAsia"/>
        </w:rPr>
        <w:t>5</w:t>
      </w:r>
      <w:r>
        <w:rPr>
          <w:rFonts w:hint="eastAsia"/>
        </w:rPr>
        <w:t>月—</w:t>
      </w:r>
      <w:r>
        <w:rPr>
          <w:rFonts w:hint="eastAsia"/>
        </w:rPr>
        <w:t>201</w:t>
      </w:r>
      <w:r>
        <w:rPr>
          <w:rFonts w:hint="eastAsia"/>
        </w:rPr>
        <w:t>9</w:t>
      </w:r>
      <w:r>
        <w:rPr>
          <w:rFonts w:hint="eastAsia"/>
        </w:rPr>
        <w:t>年</w:t>
      </w:r>
      <w:r>
        <w:rPr>
          <w:rFonts w:hint="eastAsia"/>
        </w:rPr>
        <w:t>7</w:t>
      </w:r>
      <w:r>
        <w:rPr>
          <w:rFonts w:hint="eastAsia"/>
        </w:rPr>
        <w:t>月：</w:t>
      </w:r>
      <w:r>
        <w:rPr>
          <w:rFonts w:hint="eastAsia"/>
        </w:rPr>
        <w:t>对预审稿根据意见进行修改，现成送审稿。</w:t>
      </w:r>
    </w:p>
    <w:p w:rsidR="0087403C" w:rsidRDefault="00F067C7" w:rsidP="001622B3">
      <w:pPr>
        <w:ind w:firstLine="480"/>
      </w:pPr>
      <w:r>
        <w:rPr>
          <w:rFonts w:hint="eastAsia"/>
        </w:rPr>
        <w:t>5</w:t>
      </w:r>
      <w:r>
        <w:rPr>
          <w:rFonts w:hint="eastAsia"/>
        </w:rPr>
        <w:t>)2019</w:t>
      </w:r>
      <w:r>
        <w:rPr>
          <w:rFonts w:hint="eastAsia"/>
        </w:rPr>
        <w:t>年</w:t>
      </w:r>
      <w:r>
        <w:rPr>
          <w:rFonts w:hint="eastAsia"/>
        </w:rPr>
        <w:t>7</w:t>
      </w:r>
      <w:r>
        <w:rPr>
          <w:rFonts w:hint="eastAsia"/>
        </w:rPr>
        <w:t>月—</w:t>
      </w:r>
      <w:r>
        <w:rPr>
          <w:rFonts w:hint="eastAsia"/>
        </w:rPr>
        <w:t>2019</w:t>
      </w:r>
      <w:r>
        <w:rPr>
          <w:rFonts w:hint="eastAsia"/>
        </w:rPr>
        <w:t>年</w:t>
      </w:r>
      <w:r>
        <w:rPr>
          <w:rFonts w:hint="eastAsia"/>
        </w:rPr>
        <w:t>8</w:t>
      </w:r>
      <w:r>
        <w:rPr>
          <w:rFonts w:hint="eastAsia"/>
        </w:rPr>
        <w:t>月：</w:t>
      </w:r>
      <w:r>
        <w:rPr>
          <w:rFonts w:hint="eastAsia"/>
        </w:rPr>
        <w:t>送审稿挂网征求意见，召开标准审定会，</w:t>
      </w:r>
      <w:r>
        <w:rPr>
          <w:rFonts w:hint="eastAsia"/>
        </w:rPr>
        <w:t>对送审稿进行审定</w:t>
      </w:r>
      <w:r>
        <w:rPr>
          <w:rFonts w:hint="eastAsia"/>
        </w:rPr>
        <w:t>。</w:t>
      </w:r>
    </w:p>
    <w:p w:rsidR="0087403C" w:rsidRDefault="00F067C7" w:rsidP="001622B3">
      <w:pPr>
        <w:numPr>
          <w:ilvl w:val="0"/>
          <w:numId w:val="1"/>
        </w:num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t>标准编制原则</w:t>
      </w:r>
    </w:p>
    <w:p w:rsidR="0087403C" w:rsidRDefault="00F067C7" w:rsidP="001622B3">
      <w:pPr>
        <w:ind w:firstLine="480"/>
      </w:pPr>
      <w:r>
        <w:rPr>
          <w:rFonts w:hint="eastAsia"/>
        </w:rPr>
        <w:lastRenderedPageBreak/>
        <w:t xml:space="preserve">(1) </w:t>
      </w:r>
      <w:r>
        <w:rPr>
          <w:rFonts w:hint="eastAsia"/>
        </w:rPr>
        <w:t>本标准根据</w:t>
      </w:r>
      <w:r>
        <w:rPr>
          <w:rFonts w:hint="eastAsia"/>
        </w:rPr>
        <w:t>GB/T1.1-2009</w:t>
      </w:r>
      <w:r>
        <w:rPr>
          <w:rFonts w:hint="eastAsia"/>
        </w:rPr>
        <w:t>《标准化工作导则》的规定编写；</w:t>
      </w:r>
    </w:p>
    <w:p w:rsidR="0087403C" w:rsidRDefault="00F067C7" w:rsidP="001622B3">
      <w:pPr>
        <w:ind w:firstLine="480"/>
      </w:pPr>
      <w:r>
        <w:rPr>
          <w:rFonts w:hint="eastAsia"/>
        </w:rPr>
        <w:t xml:space="preserve">(2) </w:t>
      </w:r>
      <w:r>
        <w:rPr>
          <w:rFonts w:hint="eastAsia"/>
        </w:rPr>
        <w:t>充分满足市场并有利于创新发展的原则；</w:t>
      </w:r>
      <w:r>
        <w:rPr>
          <w:rFonts w:hint="eastAsia"/>
        </w:rPr>
        <w:t xml:space="preserve"> </w:t>
      </w:r>
    </w:p>
    <w:p w:rsidR="0087403C" w:rsidRDefault="00F067C7" w:rsidP="001622B3">
      <w:pPr>
        <w:ind w:firstLine="480"/>
      </w:pPr>
      <w:r>
        <w:rPr>
          <w:rFonts w:hint="eastAsia"/>
        </w:rPr>
        <w:t>（</w:t>
      </w:r>
      <w:r>
        <w:rPr>
          <w:rFonts w:hint="eastAsia"/>
        </w:rPr>
        <w:t>3</w:t>
      </w:r>
      <w:r>
        <w:rPr>
          <w:rFonts w:hint="eastAsia"/>
        </w:rPr>
        <w:t>）本着通用性的原则，使得标准既要满足现有大多数产品的需要，同时充分考虑国内外相关技术发展趋势，使得本标准具有技术先进性的要求。</w:t>
      </w:r>
      <w:r>
        <w:rPr>
          <w:rFonts w:hint="eastAsia"/>
        </w:rPr>
        <w:t xml:space="preserve"> </w:t>
      </w:r>
    </w:p>
    <w:p w:rsidR="0087403C" w:rsidRDefault="00F067C7" w:rsidP="001622B3">
      <w:p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t>三、标准主要技术内容</w:t>
      </w:r>
    </w:p>
    <w:p w:rsidR="0087403C" w:rsidRDefault="00F067C7" w:rsidP="001622B3">
      <w:pPr>
        <w:ind w:firstLine="480"/>
      </w:pPr>
      <w:r>
        <w:rPr>
          <w:rFonts w:hAnsi="宋体" w:cs="宋体" w:hint="eastAsia"/>
          <w:szCs w:val="24"/>
          <w:shd w:val="clear" w:color="auto" w:fill="FFFFFF"/>
          <w:lang/>
        </w:rPr>
        <w:t>任务下达后</w:t>
      </w:r>
      <w:r>
        <w:rPr>
          <w:rFonts w:hAnsi="宋体" w:cs="宋体" w:hint="eastAsia"/>
          <w:szCs w:val="24"/>
          <w:shd w:val="clear" w:color="auto" w:fill="FFFFFF"/>
          <w:lang/>
        </w:rPr>
        <w:t>，</w:t>
      </w:r>
      <w:r>
        <w:rPr>
          <w:rFonts w:hAnsi="宋体" w:cs="宋体" w:hint="eastAsia"/>
          <w:szCs w:val="24"/>
          <w:shd w:val="clear" w:color="auto" w:fill="FFFFFF"/>
          <w:lang/>
        </w:rPr>
        <w:t>标准编制小组走访了相关</w:t>
      </w:r>
      <w:r>
        <w:rPr>
          <w:rFonts w:hAnsi="宋体" w:cs="宋体" w:hint="eastAsia"/>
          <w:szCs w:val="24"/>
          <w:shd w:val="clear" w:color="auto" w:fill="FFFFFF"/>
          <w:lang/>
        </w:rPr>
        <w:t>稀土钢</w:t>
      </w:r>
      <w:r>
        <w:rPr>
          <w:rFonts w:hAnsi="宋体" w:cs="宋体" w:hint="eastAsia"/>
          <w:szCs w:val="24"/>
          <w:shd w:val="clear" w:color="auto" w:fill="FFFFFF"/>
          <w:lang/>
        </w:rPr>
        <w:t>生产企业，确定了牌号及考察元</w:t>
      </w:r>
      <w:r>
        <w:rPr>
          <w:rFonts w:hAnsi="宋体" w:cs="宋体" w:hint="eastAsia"/>
          <w:szCs w:val="24"/>
          <w:shd w:val="clear" w:color="auto" w:fill="FFFFFF"/>
          <w:lang/>
        </w:rPr>
        <w:t>素。通过大量产品的送检分析，结合用户意见，确定了成分范围，最终确定了</w:t>
      </w:r>
      <w:r>
        <w:rPr>
          <w:rFonts w:hAnsi="宋体" w:cs="宋体" w:hint="eastAsia"/>
          <w:szCs w:val="24"/>
          <w:shd w:val="clear" w:color="auto" w:fill="FFFFFF"/>
          <w:lang/>
        </w:rPr>
        <w:t>3.1</w:t>
      </w:r>
      <w:r>
        <w:rPr>
          <w:rFonts w:hAnsi="宋体" w:cs="宋体" w:hint="eastAsia"/>
          <w:szCs w:val="24"/>
          <w:shd w:val="clear" w:color="auto" w:fill="FFFFFF"/>
          <w:lang/>
        </w:rPr>
        <w:t>，</w:t>
      </w:r>
      <w:r>
        <w:rPr>
          <w:rFonts w:hAnsi="宋体" w:cs="宋体" w:hint="eastAsia"/>
          <w:szCs w:val="24"/>
          <w:shd w:val="clear" w:color="auto" w:fill="FFFFFF"/>
          <w:lang/>
        </w:rPr>
        <w:t>3.2</w:t>
      </w:r>
      <w:r>
        <w:rPr>
          <w:rFonts w:hAnsi="宋体" w:cs="宋体" w:hint="eastAsia"/>
          <w:szCs w:val="24"/>
          <w:shd w:val="clear" w:color="auto" w:fill="FFFFFF"/>
          <w:lang/>
        </w:rPr>
        <w:t>的相关内容。</w:t>
      </w:r>
    </w:p>
    <w:p w:rsidR="0087403C" w:rsidRDefault="00F067C7" w:rsidP="001622B3">
      <w:pPr>
        <w:widowControl/>
        <w:tabs>
          <w:tab w:val="left" w:pos="5954"/>
        </w:tabs>
        <w:ind w:firstLine="482"/>
        <w:textAlignment w:val="bottom"/>
        <w:rPr>
          <w:rFonts w:ascii="宋体" w:hAnsi="宋体" w:cs="宋体"/>
          <w:b/>
          <w:szCs w:val="24"/>
          <w:shd w:val="clear" w:color="auto" w:fill="FFFFFF"/>
        </w:rPr>
      </w:pPr>
      <w:r>
        <w:rPr>
          <w:rFonts w:ascii="宋体" w:hAnsi="宋体" w:cs="宋体" w:hint="eastAsia"/>
          <w:b/>
          <w:szCs w:val="24"/>
          <w:shd w:val="clear" w:color="auto" w:fill="FFFFFF"/>
          <w:lang/>
        </w:rPr>
        <w:t>3.1</w:t>
      </w:r>
      <w:r>
        <w:rPr>
          <w:rFonts w:ascii="宋体" w:hAnsi="宋体" w:cs="宋体" w:hint="eastAsia"/>
          <w:b/>
          <w:szCs w:val="24"/>
          <w:shd w:val="clear" w:color="auto" w:fill="FFFFFF"/>
          <w:lang/>
        </w:rPr>
        <w:t>产品分类及论据</w:t>
      </w:r>
    </w:p>
    <w:p w:rsidR="0087403C" w:rsidRDefault="00F067C7" w:rsidP="001622B3">
      <w:pPr>
        <w:ind w:firstLine="480"/>
      </w:pPr>
      <w:r>
        <w:rPr>
          <w:rFonts w:hint="eastAsia"/>
        </w:rPr>
        <w:t>本标准产品分类主要以稀土总量为依据分为三个牌号，分别为</w:t>
      </w:r>
      <w:proofErr w:type="spellStart"/>
      <w:r>
        <w:rPr>
          <w:rFonts w:hint="eastAsia"/>
        </w:rPr>
        <w:t>LaFe</w:t>
      </w:r>
      <w:proofErr w:type="spellEnd"/>
      <w:r>
        <w:rPr>
          <w:rFonts w:hint="eastAsia"/>
        </w:rPr>
        <w:t>--10</w:t>
      </w:r>
      <w:r>
        <w:rPr>
          <w:rFonts w:hint="eastAsia"/>
        </w:rPr>
        <w:t>、</w:t>
      </w:r>
      <w:r>
        <w:rPr>
          <w:rFonts w:hint="eastAsia"/>
        </w:rPr>
        <w:t>LaFe-15</w:t>
      </w:r>
      <w:r>
        <w:rPr>
          <w:rFonts w:hint="eastAsia"/>
        </w:rPr>
        <w:t>、</w:t>
      </w:r>
      <w:r>
        <w:rPr>
          <w:rFonts w:hint="eastAsia"/>
        </w:rPr>
        <w:t>LaFe-20</w:t>
      </w:r>
      <w:r>
        <w:rPr>
          <w:rFonts w:hint="eastAsia"/>
        </w:rPr>
        <w:t>，分别适用于不同性能稀土钢的使用范围。按调研时生产厂家和用户要求来划分。</w:t>
      </w:r>
      <w:bookmarkStart w:id="0" w:name="_GoBack"/>
      <w:bookmarkEnd w:id="0"/>
    </w:p>
    <w:p w:rsidR="0087403C" w:rsidRDefault="00F067C7" w:rsidP="001622B3">
      <w:pPr>
        <w:widowControl/>
        <w:tabs>
          <w:tab w:val="left" w:pos="5954"/>
        </w:tabs>
        <w:ind w:leftChars="200" w:left="480" w:firstLineChars="0" w:firstLine="0"/>
        <w:textAlignment w:val="bottom"/>
        <w:rPr>
          <w:rFonts w:ascii="宋体" w:hAnsi="宋体" w:cs="宋体"/>
          <w:b/>
          <w:szCs w:val="24"/>
          <w:shd w:val="clear" w:color="auto" w:fill="FFFFFF"/>
        </w:rPr>
      </w:pPr>
      <w:r>
        <w:rPr>
          <w:rFonts w:ascii="宋体" w:hAnsi="宋体" w:cs="宋体" w:hint="eastAsia"/>
          <w:b/>
          <w:szCs w:val="24"/>
          <w:shd w:val="clear" w:color="auto" w:fill="FFFFFF"/>
          <w:lang/>
        </w:rPr>
        <w:t>3.2</w:t>
      </w:r>
      <w:r>
        <w:rPr>
          <w:rFonts w:ascii="宋体" w:hAnsi="宋体" w:cs="宋体" w:hint="eastAsia"/>
          <w:b/>
          <w:szCs w:val="24"/>
          <w:shd w:val="clear" w:color="auto" w:fill="FFFFFF"/>
          <w:lang/>
        </w:rPr>
        <w:t>技术指标的确定与论据</w:t>
      </w:r>
    </w:p>
    <w:p w:rsidR="0087403C" w:rsidRDefault="00F067C7">
      <w:pPr>
        <w:spacing w:line="440" w:lineRule="exact"/>
        <w:ind w:firstLine="480"/>
        <w:rPr>
          <w:rFonts w:cs="Calibri"/>
          <w:shd w:val="clear" w:color="auto" w:fill="FFFFFF"/>
        </w:rPr>
      </w:pPr>
      <w:r>
        <w:rPr>
          <w:rFonts w:hAnsi="宋体" w:cs="宋体" w:hint="eastAsia"/>
          <w:shd w:val="clear" w:color="auto" w:fill="FFFFFF"/>
          <w:lang/>
        </w:rPr>
        <w:t>元素确定：</w:t>
      </w:r>
    </w:p>
    <w:p w:rsidR="0087403C" w:rsidRDefault="00F067C7">
      <w:pPr>
        <w:spacing w:line="440" w:lineRule="exact"/>
        <w:ind w:firstLine="480"/>
        <w:rPr>
          <w:rFonts w:cs="Calibri"/>
          <w:shd w:val="clear" w:color="auto" w:fill="FFFFFF"/>
        </w:rPr>
      </w:pPr>
      <w:r>
        <w:rPr>
          <w:rFonts w:hAnsi="宋体" w:cs="宋体" w:hint="eastAsia"/>
          <w:shd w:val="clear" w:color="auto" w:fill="FFFFFF"/>
          <w:lang/>
        </w:rPr>
        <w:t>将关键考察指标及下游厂家要求的指标加入了标准。</w:t>
      </w:r>
    </w:p>
    <w:p w:rsidR="0087403C" w:rsidRDefault="00F067C7">
      <w:pPr>
        <w:spacing w:line="440" w:lineRule="exact"/>
        <w:ind w:firstLine="480"/>
        <w:rPr>
          <w:rFonts w:hAnsi="宋体" w:cs="宋体"/>
          <w:shd w:val="clear" w:color="auto" w:fill="FFFFFF"/>
          <w:lang/>
        </w:rPr>
      </w:pPr>
      <w:r>
        <w:rPr>
          <w:rFonts w:hAnsi="宋体" w:cs="宋体" w:hint="eastAsia"/>
          <w:shd w:val="clear" w:color="auto" w:fill="FFFFFF"/>
          <w:lang/>
        </w:rPr>
        <w:t>质量考察关键元素：稀土总量、碳、硫、磷、硅、氧、锰</w:t>
      </w:r>
    </w:p>
    <w:p w:rsidR="0087403C" w:rsidRDefault="00F067C7">
      <w:pPr>
        <w:spacing w:line="440" w:lineRule="exact"/>
        <w:ind w:firstLine="480"/>
        <w:rPr>
          <w:rFonts w:cs="Calibri"/>
          <w:shd w:val="clear" w:color="auto" w:fill="FFFFFF"/>
        </w:rPr>
      </w:pPr>
      <w:r>
        <w:rPr>
          <w:rFonts w:hAnsi="宋体" w:cs="宋体" w:hint="eastAsia"/>
          <w:shd w:val="clear" w:color="auto" w:fill="FFFFFF"/>
          <w:lang/>
        </w:rPr>
        <w:t>本产品通过各牌号产品的批量取样送检，共送检</w:t>
      </w:r>
      <w:r>
        <w:rPr>
          <w:rFonts w:hAnsi="宋体" w:cs="宋体" w:hint="eastAsia"/>
          <w:shd w:val="clear" w:color="auto" w:fill="FFFFFF"/>
          <w:lang/>
        </w:rPr>
        <w:t>200</w:t>
      </w:r>
      <w:r>
        <w:rPr>
          <w:rFonts w:hAnsi="宋体" w:cs="宋体" w:hint="eastAsia"/>
          <w:shd w:val="clear" w:color="auto" w:fill="FFFFFF"/>
          <w:lang/>
        </w:rPr>
        <w:t>余批次样品，依据现行分析方法，确定各元素含量、为标准制定提供数据支撑。</w:t>
      </w:r>
    </w:p>
    <w:p w:rsidR="0087403C" w:rsidRDefault="00F067C7">
      <w:pPr>
        <w:spacing w:line="440" w:lineRule="exact"/>
        <w:ind w:firstLine="420"/>
        <w:rPr>
          <w:rFonts w:ascii="宋体" w:hAnsi="宋体" w:cs="宋体"/>
          <w:sz w:val="21"/>
          <w:szCs w:val="21"/>
          <w:shd w:val="clear" w:color="auto" w:fill="FFFFFF"/>
        </w:rPr>
      </w:pPr>
      <w:r>
        <w:rPr>
          <w:rFonts w:ascii="宋体" w:hAnsi="宋体" w:cs="宋体" w:hint="eastAsia"/>
          <w:sz w:val="21"/>
          <w:szCs w:val="21"/>
          <w:shd w:val="clear" w:color="auto" w:fill="FFFFFF"/>
          <w:lang/>
        </w:rPr>
        <w:t>取样结果范围统计见表</w:t>
      </w:r>
      <w:r>
        <w:rPr>
          <w:rFonts w:ascii="Times New Roman" w:hAnsi="Times New Roman" w:cs="Times New Roman"/>
          <w:sz w:val="21"/>
          <w:szCs w:val="21"/>
          <w:shd w:val="clear" w:color="auto" w:fill="FFFFFF"/>
          <w:lang/>
        </w:rPr>
        <w:t>1</w:t>
      </w:r>
      <w:r>
        <w:rPr>
          <w:rFonts w:ascii="宋体" w:hAnsi="宋体" w:cs="宋体" w:hint="eastAsia"/>
          <w:sz w:val="21"/>
          <w:szCs w:val="21"/>
          <w:shd w:val="clear" w:color="auto" w:fill="FFFFFF"/>
          <w:lang/>
        </w:rPr>
        <w:t>。</w:t>
      </w:r>
    </w:p>
    <w:p w:rsidR="0087403C" w:rsidRDefault="0087403C" w:rsidP="001622B3">
      <w:pPr>
        <w:spacing w:line="440" w:lineRule="exact"/>
        <w:ind w:firstLine="420"/>
        <w:jc w:val="center"/>
        <w:rPr>
          <w:rFonts w:ascii="宋体" w:hAnsi="宋体" w:cs="宋体"/>
          <w:sz w:val="21"/>
          <w:szCs w:val="21"/>
          <w:shd w:val="clear" w:color="auto" w:fill="FFFFFF"/>
          <w:lang/>
        </w:rPr>
      </w:pPr>
    </w:p>
    <w:p w:rsidR="0087403C" w:rsidRDefault="00F067C7" w:rsidP="001622B3">
      <w:pPr>
        <w:spacing w:line="440" w:lineRule="exact"/>
        <w:ind w:firstLine="420"/>
        <w:jc w:val="center"/>
        <w:rPr>
          <w:rFonts w:ascii="Times New Roman" w:hAnsi="Times New Roman" w:cs="Times New Roman"/>
          <w:sz w:val="21"/>
          <w:szCs w:val="21"/>
          <w:shd w:val="clear" w:color="auto" w:fill="FFFFFF"/>
        </w:rPr>
      </w:pPr>
      <w:r>
        <w:rPr>
          <w:rFonts w:ascii="宋体" w:hAnsi="宋体" w:cs="宋体" w:hint="eastAsia"/>
          <w:sz w:val="21"/>
          <w:szCs w:val="21"/>
          <w:shd w:val="clear" w:color="auto" w:fill="FFFFFF"/>
          <w:lang/>
        </w:rPr>
        <w:t>表</w:t>
      </w:r>
      <w:r>
        <w:rPr>
          <w:rFonts w:ascii="Times New Roman" w:hAnsi="Times New Roman" w:cs="Times New Roman"/>
          <w:sz w:val="21"/>
          <w:szCs w:val="21"/>
          <w:shd w:val="clear" w:color="auto" w:fill="FFFFFF"/>
          <w:lang/>
        </w:rPr>
        <w:t>1</w:t>
      </w:r>
    </w:p>
    <w:tbl>
      <w:tblPr>
        <w:tblW w:w="830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Look w:val="04A0"/>
      </w:tblPr>
      <w:tblGrid>
        <w:gridCol w:w="2076"/>
        <w:gridCol w:w="2075"/>
        <w:gridCol w:w="2077"/>
        <w:gridCol w:w="2076"/>
      </w:tblGrid>
      <w:tr w:rsidR="0087403C">
        <w:trPr>
          <w:trHeight w:val="412"/>
          <w:jc w:val="center"/>
        </w:trPr>
        <w:tc>
          <w:tcPr>
            <w:tcW w:w="2076" w:type="dxa"/>
            <w:tcBorders>
              <w:top w:val="single" w:sz="12" w:space="0" w:color="auto"/>
              <w:left w:val="single" w:sz="12" w:space="0" w:color="auto"/>
              <w:bottom w:val="single" w:sz="12" w:space="0" w:color="auto"/>
              <w:right w:val="single" w:sz="2" w:space="0" w:color="auto"/>
            </w:tcBorders>
            <w:shd w:val="clear" w:color="auto" w:fill="auto"/>
          </w:tcPr>
          <w:p w:rsidR="0087403C" w:rsidRDefault="00F067C7" w:rsidP="001622B3">
            <w:pPr>
              <w:spacing w:line="440" w:lineRule="exact"/>
              <w:ind w:firstLine="422"/>
              <w:jc w:val="center"/>
              <w:rPr>
                <w:rFonts w:ascii="Times New Roman" w:hAnsi="Times New Roman" w:cs="Times New Roman"/>
                <w:b/>
                <w:sz w:val="21"/>
                <w:szCs w:val="21"/>
              </w:rPr>
            </w:pPr>
            <w:r>
              <w:rPr>
                <w:rFonts w:ascii="宋体" w:hAnsi="宋体" w:cs="宋体" w:hint="eastAsia"/>
                <w:b/>
                <w:sz w:val="21"/>
                <w:szCs w:val="21"/>
                <w:lang/>
              </w:rPr>
              <w:t>元素</w:t>
            </w:r>
          </w:p>
        </w:tc>
        <w:tc>
          <w:tcPr>
            <w:tcW w:w="2075" w:type="dxa"/>
            <w:tcBorders>
              <w:top w:val="single" w:sz="12" w:space="0" w:color="auto"/>
              <w:left w:val="single" w:sz="2" w:space="0" w:color="auto"/>
              <w:bottom w:val="single" w:sz="12" w:space="0" w:color="auto"/>
              <w:right w:val="single" w:sz="2" w:space="0" w:color="auto"/>
            </w:tcBorders>
            <w:shd w:val="clear" w:color="auto" w:fill="auto"/>
          </w:tcPr>
          <w:p w:rsidR="0087403C" w:rsidRDefault="00F067C7" w:rsidP="001622B3">
            <w:pPr>
              <w:spacing w:line="440" w:lineRule="exact"/>
              <w:ind w:firstLine="422"/>
              <w:jc w:val="center"/>
              <w:rPr>
                <w:rFonts w:ascii="Times New Roman" w:hAnsi="Times New Roman" w:cs="Times New Roman"/>
                <w:b/>
                <w:sz w:val="21"/>
                <w:szCs w:val="21"/>
              </w:rPr>
            </w:pPr>
            <w:r>
              <w:rPr>
                <w:rFonts w:ascii="宋体" w:hAnsi="宋体" w:cs="宋体" w:hint="eastAsia"/>
                <w:b/>
                <w:sz w:val="21"/>
                <w:szCs w:val="21"/>
                <w:lang/>
              </w:rPr>
              <w:t>质量分数</w:t>
            </w:r>
            <w:r>
              <w:rPr>
                <w:rFonts w:ascii="Times New Roman" w:hAnsi="Times New Roman" w:cs="Times New Roman"/>
                <w:b/>
                <w:sz w:val="21"/>
                <w:szCs w:val="21"/>
                <w:lang/>
              </w:rPr>
              <w:t>/%</w:t>
            </w:r>
          </w:p>
        </w:tc>
        <w:tc>
          <w:tcPr>
            <w:tcW w:w="2077" w:type="dxa"/>
            <w:tcBorders>
              <w:top w:val="single" w:sz="12" w:space="0" w:color="auto"/>
              <w:left w:val="single" w:sz="2" w:space="0" w:color="auto"/>
              <w:bottom w:val="single" w:sz="12" w:space="0" w:color="auto"/>
              <w:right w:val="single" w:sz="2" w:space="0" w:color="auto"/>
            </w:tcBorders>
            <w:shd w:val="clear" w:color="auto" w:fill="auto"/>
          </w:tcPr>
          <w:p w:rsidR="0087403C" w:rsidRDefault="00F067C7" w:rsidP="001622B3">
            <w:pPr>
              <w:spacing w:line="440" w:lineRule="exact"/>
              <w:ind w:firstLine="422"/>
              <w:jc w:val="center"/>
              <w:rPr>
                <w:rFonts w:ascii="Times New Roman" w:hAnsi="Times New Roman" w:cs="Times New Roman"/>
                <w:b/>
                <w:sz w:val="21"/>
                <w:szCs w:val="21"/>
              </w:rPr>
            </w:pPr>
            <w:r>
              <w:rPr>
                <w:rFonts w:ascii="宋体" w:hAnsi="宋体" w:cs="宋体" w:hint="eastAsia"/>
                <w:b/>
                <w:sz w:val="21"/>
                <w:szCs w:val="21"/>
                <w:lang/>
              </w:rPr>
              <w:t>元素</w:t>
            </w:r>
          </w:p>
        </w:tc>
        <w:tc>
          <w:tcPr>
            <w:tcW w:w="2076" w:type="dxa"/>
            <w:tcBorders>
              <w:top w:val="single" w:sz="12" w:space="0" w:color="auto"/>
              <w:left w:val="single" w:sz="2" w:space="0" w:color="auto"/>
              <w:bottom w:val="single" w:sz="12" w:space="0" w:color="auto"/>
              <w:right w:val="single" w:sz="12" w:space="0" w:color="auto"/>
            </w:tcBorders>
            <w:shd w:val="clear" w:color="auto" w:fill="auto"/>
          </w:tcPr>
          <w:p w:rsidR="0087403C" w:rsidRDefault="00F067C7" w:rsidP="001622B3">
            <w:pPr>
              <w:spacing w:line="440" w:lineRule="exact"/>
              <w:ind w:firstLine="422"/>
              <w:jc w:val="center"/>
              <w:rPr>
                <w:rFonts w:ascii="Times New Roman" w:hAnsi="Times New Roman" w:cs="Times New Roman"/>
                <w:b/>
                <w:sz w:val="21"/>
                <w:szCs w:val="21"/>
              </w:rPr>
            </w:pPr>
            <w:r>
              <w:rPr>
                <w:rFonts w:ascii="宋体" w:hAnsi="宋体" w:cs="宋体" w:hint="eastAsia"/>
                <w:b/>
                <w:sz w:val="21"/>
                <w:szCs w:val="21"/>
                <w:lang/>
              </w:rPr>
              <w:t>质量分数</w:t>
            </w:r>
            <w:r>
              <w:rPr>
                <w:rFonts w:ascii="Times New Roman" w:hAnsi="Times New Roman" w:cs="Times New Roman"/>
                <w:b/>
                <w:sz w:val="21"/>
                <w:szCs w:val="21"/>
                <w:lang/>
              </w:rPr>
              <w:t>/%</w:t>
            </w:r>
          </w:p>
        </w:tc>
      </w:tr>
      <w:tr w:rsidR="0087403C">
        <w:trPr>
          <w:trHeight w:val="2321"/>
          <w:jc w:val="center"/>
        </w:trPr>
        <w:tc>
          <w:tcPr>
            <w:tcW w:w="2076" w:type="dxa"/>
            <w:tcBorders>
              <w:top w:val="single" w:sz="12" w:space="0" w:color="auto"/>
              <w:left w:val="single" w:sz="12" w:space="0" w:color="auto"/>
              <w:bottom w:val="single" w:sz="12" w:space="0" w:color="auto"/>
              <w:right w:val="single" w:sz="2" w:space="0" w:color="auto"/>
            </w:tcBorders>
            <w:shd w:val="clear" w:color="auto" w:fill="auto"/>
            <w:vAlign w:val="center"/>
          </w:tcPr>
          <w:p w:rsidR="0087403C" w:rsidRDefault="00F067C7" w:rsidP="001622B3">
            <w:pPr>
              <w:spacing w:line="440" w:lineRule="exact"/>
              <w:ind w:firstLine="420"/>
              <w:jc w:val="center"/>
              <w:rPr>
                <w:rFonts w:ascii="Times New Roman" w:hAnsi="Times New Roman" w:cs="Times New Roman"/>
                <w:sz w:val="21"/>
                <w:szCs w:val="21"/>
              </w:rPr>
            </w:pPr>
            <w:r>
              <w:rPr>
                <w:rFonts w:ascii="宋体" w:hAnsi="宋体" w:cs="宋体" w:hint="eastAsia"/>
                <w:sz w:val="21"/>
                <w:szCs w:val="21"/>
                <w:lang/>
              </w:rPr>
              <w:t>碳</w:t>
            </w:r>
          </w:p>
          <w:p w:rsidR="0087403C" w:rsidRDefault="00F067C7" w:rsidP="001622B3">
            <w:pPr>
              <w:spacing w:line="440" w:lineRule="exact"/>
              <w:ind w:firstLine="420"/>
              <w:jc w:val="center"/>
              <w:rPr>
                <w:rFonts w:ascii="Times New Roman" w:hAnsi="Times New Roman" w:cs="Times New Roman"/>
                <w:sz w:val="21"/>
                <w:szCs w:val="21"/>
              </w:rPr>
            </w:pPr>
            <w:r>
              <w:rPr>
                <w:rFonts w:ascii="宋体" w:hAnsi="宋体" w:cs="宋体" w:hint="eastAsia"/>
                <w:sz w:val="21"/>
                <w:szCs w:val="21"/>
                <w:lang/>
              </w:rPr>
              <w:t>硅</w:t>
            </w:r>
          </w:p>
          <w:p w:rsidR="0087403C" w:rsidRDefault="00F067C7" w:rsidP="001622B3">
            <w:pPr>
              <w:spacing w:line="440" w:lineRule="exact"/>
              <w:ind w:firstLine="420"/>
              <w:jc w:val="center"/>
              <w:rPr>
                <w:rFonts w:ascii="宋体" w:hAnsi="宋体" w:cs="宋体"/>
                <w:sz w:val="21"/>
                <w:szCs w:val="21"/>
                <w:lang/>
              </w:rPr>
            </w:pPr>
            <w:r>
              <w:rPr>
                <w:rFonts w:ascii="宋体" w:hAnsi="宋体" w:cs="宋体" w:hint="eastAsia"/>
                <w:sz w:val="21"/>
                <w:szCs w:val="21"/>
                <w:lang/>
              </w:rPr>
              <w:t>硫</w:t>
            </w:r>
          </w:p>
        </w:tc>
        <w:tc>
          <w:tcPr>
            <w:tcW w:w="2075" w:type="dxa"/>
            <w:tcBorders>
              <w:top w:val="single" w:sz="12" w:space="0" w:color="auto"/>
              <w:left w:val="single" w:sz="2" w:space="0" w:color="auto"/>
              <w:bottom w:val="single" w:sz="12" w:space="0" w:color="auto"/>
              <w:right w:val="single" w:sz="2" w:space="0" w:color="auto"/>
            </w:tcBorders>
            <w:shd w:val="clear" w:color="auto" w:fill="auto"/>
            <w:vAlign w:val="center"/>
          </w:tcPr>
          <w:p w:rsidR="0087403C" w:rsidRDefault="00F067C7" w:rsidP="001622B3">
            <w:pPr>
              <w:spacing w:line="440" w:lineRule="exact"/>
              <w:ind w:firstLine="420"/>
              <w:jc w:val="center"/>
              <w:rPr>
                <w:rFonts w:ascii="Times New Roman" w:hAnsi="Times New Roman" w:cs="Times New Roman"/>
                <w:sz w:val="21"/>
                <w:szCs w:val="21"/>
              </w:rPr>
            </w:pPr>
            <w:r>
              <w:rPr>
                <w:rFonts w:ascii="宋体" w:hAnsi="宋体" w:cs="宋体" w:hint="eastAsia"/>
                <w:sz w:val="21"/>
                <w:szCs w:val="21"/>
                <w:lang/>
              </w:rPr>
              <w:t>0.015</w:t>
            </w:r>
            <w:r>
              <w:rPr>
                <w:rFonts w:ascii="宋体" w:hAnsi="宋体" w:cs="宋体" w:hint="eastAsia"/>
                <w:sz w:val="21"/>
                <w:szCs w:val="21"/>
                <w:lang/>
              </w:rPr>
              <w:t>～</w:t>
            </w:r>
            <w:r>
              <w:rPr>
                <w:rFonts w:ascii="宋体" w:hAnsi="宋体" w:cs="宋体" w:hint="eastAsia"/>
                <w:sz w:val="21"/>
                <w:szCs w:val="21"/>
                <w:lang/>
              </w:rPr>
              <w:t>0.025</w:t>
            </w:r>
          </w:p>
          <w:p w:rsidR="0087403C" w:rsidRDefault="00F067C7" w:rsidP="001622B3">
            <w:pPr>
              <w:spacing w:line="440" w:lineRule="exact"/>
              <w:ind w:firstLine="420"/>
              <w:jc w:val="center"/>
              <w:rPr>
                <w:rFonts w:ascii="Times New Roman" w:hAnsi="Times New Roman" w:cs="Times New Roman"/>
                <w:sz w:val="21"/>
                <w:szCs w:val="21"/>
              </w:rPr>
            </w:pPr>
            <w:r>
              <w:rPr>
                <w:rFonts w:ascii="宋体" w:hAnsi="宋体" w:cs="宋体" w:hint="eastAsia"/>
                <w:sz w:val="21"/>
                <w:szCs w:val="21"/>
                <w:lang/>
              </w:rPr>
              <w:t>0.005</w:t>
            </w:r>
            <w:r>
              <w:rPr>
                <w:rFonts w:ascii="宋体" w:hAnsi="宋体" w:cs="宋体" w:hint="eastAsia"/>
                <w:sz w:val="21"/>
                <w:szCs w:val="21"/>
                <w:lang/>
              </w:rPr>
              <w:t>～</w:t>
            </w:r>
            <w:r>
              <w:rPr>
                <w:rFonts w:ascii="宋体" w:hAnsi="宋体" w:cs="宋体" w:hint="eastAsia"/>
                <w:sz w:val="21"/>
                <w:szCs w:val="21"/>
                <w:lang/>
              </w:rPr>
              <w:t>0.015</w:t>
            </w:r>
          </w:p>
          <w:p w:rsidR="0087403C" w:rsidRDefault="00F067C7" w:rsidP="001622B3">
            <w:pPr>
              <w:spacing w:line="440" w:lineRule="exact"/>
              <w:ind w:firstLine="420"/>
              <w:jc w:val="center"/>
              <w:rPr>
                <w:rFonts w:ascii="Times New Roman" w:hAnsi="Times New Roman" w:cs="Times New Roman"/>
                <w:sz w:val="21"/>
                <w:szCs w:val="21"/>
              </w:rPr>
            </w:pPr>
            <w:r>
              <w:rPr>
                <w:rFonts w:ascii="宋体" w:hAnsi="宋体" w:cs="宋体" w:hint="eastAsia"/>
                <w:sz w:val="21"/>
                <w:szCs w:val="21"/>
                <w:lang/>
              </w:rPr>
              <w:t>0.005</w:t>
            </w:r>
            <w:r>
              <w:rPr>
                <w:rFonts w:ascii="宋体" w:hAnsi="宋体" w:cs="宋体" w:hint="eastAsia"/>
                <w:sz w:val="21"/>
                <w:szCs w:val="21"/>
                <w:lang/>
              </w:rPr>
              <w:t>～</w:t>
            </w:r>
            <w:r>
              <w:rPr>
                <w:rFonts w:ascii="宋体" w:hAnsi="宋体" w:cs="宋体" w:hint="eastAsia"/>
                <w:sz w:val="21"/>
                <w:szCs w:val="21"/>
                <w:lang/>
              </w:rPr>
              <w:t>0.01</w:t>
            </w:r>
          </w:p>
        </w:tc>
        <w:tc>
          <w:tcPr>
            <w:tcW w:w="2077" w:type="dxa"/>
            <w:tcBorders>
              <w:top w:val="single" w:sz="12" w:space="0" w:color="auto"/>
              <w:left w:val="single" w:sz="2" w:space="0" w:color="auto"/>
              <w:bottom w:val="single" w:sz="12" w:space="0" w:color="auto"/>
              <w:right w:val="single" w:sz="2" w:space="0" w:color="auto"/>
            </w:tcBorders>
            <w:shd w:val="clear" w:color="auto" w:fill="auto"/>
            <w:vAlign w:val="center"/>
          </w:tcPr>
          <w:p w:rsidR="0087403C" w:rsidRDefault="00F067C7" w:rsidP="001622B3">
            <w:pPr>
              <w:spacing w:line="440" w:lineRule="exact"/>
              <w:ind w:firstLine="420"/>
              <w:jc w:val="center"/>
              <w:rPr>
                <w:rFonts w:ascii="宋体" w:hAnsi="宋体" w:cs="宋体"/>
                <w:sz w:val="21"/>
                <w:szCs w:val="21"/>
                <w:lang/>
              </w:rPr>
            </w:pPr>
            <w:r>
              <w:rPr>
                <w:rFonts w:ascii="宋体" w:hAnsi="宋体" w:cs="宋体" w:hint="eastAsia"/>
                <w:sz w:val="21"/>
                <w:szCs w:val="21"/>
                <w:lang/>
              </w:rPr>
              <w:t>磷</w:t>
            </w:r>
          </w:p>
          <w:p w:rsidR="0087403C" w:rsidRDefault="00F067C7" w:rsidP="001622B3">
            <w:pPr>
              <w:spacing w:line="440" w:lineRule="exact"/>
              <w:ind w:firstLine="420"/>
              <w:jc w:val="center"/>
              <w:rPr>
                <w:rFonts w:ascii="宋体" w:hAnsi="宋体" w:cs="宋体"/>
                <w:sz w:val="21"/>
                <w:szCs w:val="21"/>
                <w:lang/>
              </w:rPr>
            </w:pPr>
            <w:r>
              <w:rPr>
                <w:rFonts w:ascii="宋体" w:hAnsi="宋体" w:cs="宋体" w:hint="eastAsia"/>
                <w:sz w:val="21"/>
                <w:szCs w:val="21"/>
                <w:lang/>
              </w:rPr>
              <w:t>氧</w:t>
            </w:r>
          </w:p>
          <w:p w:rsidR="0087403C" w:rsidRDefault="00F067C7" w:rsidP="001622B3">
            <w:pPr>
              <w:spacing w:line="440" w:lineRule="exact"/>
              <w:ind w:firstLine="420"/>
              <w:jc w:val="center"/>
              <w:rPr>
                <w:rFonts w:ascii="Times New Roman" w:hAnsi="Times New Roman" w:cs="Times New Roman"/>
                <w:sz w:val="21"/>
                <w:szCs w:val="21"/>
              </w:rPr>
            </w:pPr>
            <w:r>
              <w:rPr>
                <w:rFonts w:ascii="Times New Roman" w:hAnsi="Times New Roman" w:cs="Times New Roman" w:hint="eastAsia"/>
                <w:sz w:val="21"/>
                <w:szCs w:val="21"/>
              </w:rPr>
              <w:t>锰</w:t>
            </w:r>
          </w:p>
        </w:tc>
        <w:tc>
          <w:tcPr>
            <w:tcW w:w="2076" w:type="dxa"/>
            <w:tcBorders>
              <w:top w:val="single" w:sz="12" w:space="0" w:color="auto"/>
              <w:left w:val="single" w:sz="2" w:space="0" w:color="auto"/>
              <w:bottom w:val="single" w:sz="12" w:space="0" w:color="auto"/>
              <w:right w:val="single" w:sz="12" w:space="0" w:color="auto"/>
            </w:tcBorders>
            <w:shd w:val="clear" w:color="auto" w:fill="auto"/>
            <w:vAlign w:val="center"/>
          </w:tcPr>
          <w:p w:rsidR="0087403C" w:rsidRDefault="00F067C7" w:rsidP="001622B3">
            <w:pPr>
              <w:spacing w:line="440" w:lineRule="exact"/>
              <w:ind w:firstLine="420"/>
              <w:jc w:val="center"/>
              <w:rPr>
                <w:rFonts w:ascii="Times New Roman" w:hAnsi="Times New Roman" w:cs="Times New Roman"/>
                <w:sz w:val="21"/>
                <w:szCs w:val="21"/>
              </w:rPr>
            </w:pPr>
            <w:r>
              <w:rPr>
                <w:rFonts w:ascii="Times New Roman" w:hAnsi="Times New Roman" w:cs="Times New Roman"/>
                <w:sz w:val="21"/>
                <w:szCs w:val="21"/>
              </w:rPr>
              <w:t>0.005</w:t>
            </w:r>
            <w:r>
              <w:rPr>
                <w:rFonts w:ascii="Times New Roman" w:hAnsi="Times New Roman" w:cs="Times New Roman"/>
                <w:sz w:val="21"/>
                <w:szCs w:val="21"/>
              </w:rPr>
              <w:t>～</w:t>
            </w:r>
            <w:r>
              <w:rPr>
                <w:rFonts w:ascii="Times New Roman" w:hAnsi="Times New Roman" w:cs="Times New Roman"/>
                <w:sz w:val="21"/>
                <w:szCs w:val="21"/>
              </w:rPr>
              <w:t>0.01</w:t>
            </w:r>
          </w:p>
          <w:p w:rsidR="0087403C" w:rsidRDefault="00F067C7" w:rsidP="001622B3">
            <w:pPr>
              <w:spacing w:line="440" w:lineRule="exact"/>
              <w:ind w:firstLine="420"/>
              <w:jc w:val="center"/>
              <w:rPr>
                <w:rFonts w:ascii="Times New Roman" w:hAnsi="Times New Roman" w:cs="Times New Roman"/>
                <w:sz w:val="21"/>
                <w:szCs w:val="21"/>
              </w:rPr>
            </w:pPr>
            <w:r>
              <w:rPr>
                <w:rFonts w:ascii="Times New Roman" w:hAnsi="Times New Roman" w:cs="Times New Roman" w:hint="eastAsia"/>
                <w:sz w:val="21"/>
                <w:szCs w:val="21"/>
              </w:rPr>
              <w:t>0.004</w:t>
            </w:r>
            <w:r>
              <w:rPr>
                <w:rFonts w:ascii="Times New Roman" w:hAnsi="Times New Roman" w:cs="Times New Roman" w:hint="eastAsia"/>
                <w:sz w:val="21"/>
                <w:szCs w:val="21"/>
              </w:rPr>
              <w:t>～</w:t>
            </w:r>
            <w:r>
              <w:rPr>
                <w:rFonts w:ascii="Times New Roman" w:hAnsi="Times New Roman" w:cs="Times New Roman" w:hint="eastAsia"/>
                <w:sz w:val="21"/>
                <w:szCs w:val="21"/>
              </w:rPr>
              <w:t>0.025</w:t>
            </w:r>
          </w:p>
          <w:p w:rsidR="0087403C" w:rsidRDefault="00F067C7" w:rsidP="001622B3">
            <w:pPr>
              <w:spacing w:line="440" w:lineRule="exact"/>
              <w:ind w:firstLine="420"/>
              <w:jc w:val="center"/>
              <w:rPr>
                <w:rFonts w:ascii="Times New Roman" w:hAnsi="Times New Roman" w:cs="Times New Roman"/>
                <w:color w:val="70AD47"/>
                <w:sz w:val="21"/>
                <w:szCs w:val="21"/>
              </w:rPr>
            </w:pPr>
            <w:r>
              <w:rPr>
                <w:rFonts w:ascii="Times New Roman" w:hAnsi="Times New Roman" w:cs="Times New Roman" w:hint="eastAsia"/>
                <w:sz w:val="21"/>
                <w:szCs w:val="21"/>
              </w:rPr>
              <w:t>0.1</w:t>
            </w:r>
            <w:r>
              <w:rPr>
                <w:rFonts w:ascii="Times New Roman" w:hAnsi="Times New Roman" w:cs="Times New Roman" w:hint="eastAsia"/>
                <w:sz w:val="21"/>
                <w:szCs w:val="21"/>
              </w:rPr>
              <w:t>～</w:t>
            </w:r>
            <w:r>
              <w:rPr>
                <w:rFonts w:ascii="Times New Roman" w:hAnsi="Times New Roman" w:cs="Times New Roman" w:hint="eastAsia"/>
                <w:sz w:val="21"/>
                <w:szCs w:val="21"/>
              </w:rPr>
              <w:t>0.2</w:t>
            </w:r>
          </w:p>
        </w:tc>
      </w:tr>
    </w:tbl>
    <w:p w:rsidR="0087403C" w:rsidRDefault="0087403C" w:rsidP="001622B3">
      <w:pPr>
        <w:ind w:firstLine="480"/>
      </w:pPr>
    </w:p>
    <w:p w:rsidR="0087403C" w:rsidRDefault="00F067C7" w:rsidP="001622B3">
      <w:pPr>
        <w:numPr>
          <w:ilvl w:val="0"/>
          <w:numId w:val="2"/>
        </w:num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lastRenderedPageBreak/>
        <w:t>标准水平分析</w:t>
      </w:r>
    </w:p>
    <w:p w:rsidR="0087403C" w:rsidRDefault="00F067C7" w:rsidP="001622B3">
      <w:pPr>
        <w:ind w:firstLine="480"/>
      </w:pPr>
      <w:r>
        <w:rPr>
          <w:rFonts w:hint="eastAsia"/>
        </w:rPr>
        <w:t>本产品</w:t>
      </w:r>
      <w:r>
        <w:rPr>
          <w:rFonts w:hint="eastAsia"/>
        </w:rPr>
        <w:t>完全满足稀土钢生产需求</w:t>
      </w:r>
      <w:r>
        <w:rPr>
          <w:rFonts w:hint="eastAsia"/>
        </w:rPr>
        <w:t>，具有较高的推广价值，与同类标准比较，技术处于先进水平。</w:t>
      </w:r>
    </w:p>
    <w:p w:rsidR="0087403C" w:rsidRDefault="00F067C7" w:rsidP="001622B3">
      <w:p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t>五、与现行法律、法规规章</w:t>
      </w:r>
      <w:proofErr w:type="gramStart"/>
      <w:r>
        <w:rPr>
          <w:rFonts w:asciiTheme="minorEastAsia" w:hAnsiTheme="minorEastAsia" w:hint="eastAsia"/>
          <w:b/>
          <w:kern w:val="0"/>
          <w:sz w:val="30"/>
          <w:szCs w:val="30"/>
        </w:rPr>
        <w:t>主相关</w:t>
      </w:r>
      <w:proofErr w:type="gramEnd"/>
      <w:r>
        <w:rPr>
          <w:rFonts w:asciiTheme="minorEastAsia" w:hAnsiTheme="minorEastAsia" w:hint="eastAsia"/>
          <w:b/>
          <w:kern w:val="0"/>
          <w:sz w:val="30"/>
          <w:szCs w:val="30"/>
        </w:rPr>
        <w:t>标准的协调性</w:t>
      </w:r>
    </w:p>
    <w:p w:rsidR="0087403C" w:rsidRDefault="00F067C7" w:rsidP="001622B3">
      <w:pPr>
        <w:ind w:firstLine="480"/>
      </w:pPr>
      <w:r>
        <w:rPr>
          <w:rFonts w:hint="eastAsia"/>
        </w:rPr>
        <w:t>本标准完全满足现行国家法规的要求，本标准根据</w:t>
      </w:r>
      <w:r>
        <w:rPr>
          <w:rFonts w:hint="eastAsia"/>
        </w:rPr>
        <w:t>GB/T1.1-2009</w:t>
      </w:r>
      <w:r>
        <w:rPr>
          <w:rFonts w:hint="eastAsia"/>
        </w:rPr>
        <w:t>《标准化工作导则》的规定编写；充分满足市场并有利于创新发展的原则；本着通用性的原则，使得标准既要满足现有大多数产品的需要，同时充分考虑国内外相关技术发展趋势，使得本标准具有技术先进性的要求。标准文本内容表述合理，格式规范，与现行法律、法规完全相符。目前，国际及国内无此产品标准。</w:t>
      </w:r>
    </w:p>
    <w:p w:rsidR="0087403C" w:rsidRDefault="00F067C7" w:rsidP="001622B3">
      <w:p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t>六、标准中涉及专利的知识产权分析</w:t>
      </w:r>
    </w:p>
    <w:p w:rsidR="0087403C" w:rsidRDefault="00F067C7" w:rsidP="001622B3">
      <w:pPr>
        <w:ind w:firstLine="480"/>
      </w:pPr>
      <w:r>
        <w:rPr>
          <w:rFonts w:hint="eastAsia"/>
        </w:rPr>
        <w:t>本标准未涉及相关知识产权。</w:t>
      </w:r>
    </w:p>
    <w:p w:rsidR="0087403C" w:rsidRDefault="00F067C7" w:rsidP="001622B3">
      <w:p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t>七、重大分歧意见的处理经过和依据</w:t>
      </w:r>
    </w:p>
    <w:p w:rsidR="0087403C" w:rsidRDefault="00F067C7" w:rsidP="001622B3">
      <w:pPr>
        <w:ind w:firstLine="480"/>
      </w:pPr>
      <w:r>
        <w:rPr>
          <w:rFonts w:hint="eastAsia"/>
        </w:rPr>
        <w:t>在本标准起草和编制过程中，征求了生产、技术、检测、应用客户等相关单位</w:t>
      </w:r>
      <w:r>
        <w:rPr>
          <w:rFonts w:hint="eastAsia"/>
        </w:rPr>
        <w:t>意见，同意该标准确定的相关技术内容。</w:t>
      </w:r>
    </w:p>
    <w:p w:rsidR="0087403C" w:rsidRDefault="00F067C7" w:rsidP="001622B3">
      <w:p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t>八、贯彻标准的要求和措施建议</w:t>
      </w:r>
    </w:p>
    <w:p w:rsidR="0087403C" w:rsidRDefault="00F067C7" w:rsidP="001622B3">
      <w:pPr>
        <w:ind w:firstLine="480"/>
      </w:pPr>
      <w:r>
        <w:rPr>
          <w:rFonts w:hint="eastAsia"/>
        </w:rPr>
        <w:t>组织措施</w:t>
      </w:r>
      <w:r>
        <w:rPr>
          <w:rFonts w:hint="eastAsia"/>
        </w:rPr>
        <w:t>：</w:t>
      </w:r>
      <w:r>
        <w:rPr>
          <w:rFonts w:hint="eastAsia"/>
        </w:rPr>
        <w:t>为使标准更好地发挥技术指导作用，提高产品质量水平，建议做好宣传培训，使各企业掌握标准的各项技术要求，使标准的应用真正落到实处，不断提高产品质量，提高市场竞争力，同时对《</w:t>
      </w:r>
      <w:r>
        <w:rPr>
          <w:rFonts w:hint="eastAsia"/>
        </w:rPr>
        <w:t>镧</w:t>
      </w:r>
      <w:r>
        <w:rPr>
          <w:rFonts w:hint="eastAsia"/>
        </w:rPr>
        <w:t>铁合金》</w:t>
      </w:r>
      <w:r>
        <w:rPr>
          <w:rFonts w:hint="eastAsia"/>
        </w:rPr>
        <w:t>团体</w:t>
      </w:r>
      <w:r>
        <w:rPr>
          <w:rFonts w:hint="eastAsia"/>
        </w:rPr>
        <w:t>标准执行情况进行跟踪调查，及时发现标准中存在的问题，不断修订完善。</w:t>
      </w:r>
    </w:p>
    <w:p w:rsidR="0087403C" w:rsidRDefault="00F067C7" w:rsidP="001622B3">
      <w:pPr>
        <w:ind w:firstLine="480"/>
      </w:pPr>
      <w:r>
        <w:rPr>
          <w:rFonts w:hint="eastAsia"/>
        </w:rPr>
        <w:t>技术措施</w:t>
      </w:r>
      <w:r>
        <w:rPr>
          <w:rFonts w:hint="eastAsia"/>
        </w:rPr>
        <w:t>：</w:t>
      </w:r>
      <w:proofErr w:type="gramStart"/>
      <w:r>
        <w:rPr>
          <w:rFonts w:hint="eastAsia"/>
        </w:rPr>
        <w:t>镧</w:t>
      </w:r>
      <w:proofErr w:type="gramEnd"/>
      <w:r>
        <w:rPr>
          <w:rFonts w:hint="eastAsia"/>
        </w:rPr>
        <w:t>铁合金标准针对</w:t>
      </w:r>
      <w:r>
        <w:rPr>
          <w:rFonts w:hint="eastAsia"/>
        </w:rPr>
        <w:t>钢铁企业</w:t>
      </w:r>
      <w:r>
        <w:rPr>
          <w:rFonts w:hint="eastAsia"/>
        </w:rPr>
        <w:t>对原料的要求制定，依托大量生产实践，对产品外观、成分做了合理要求，相关企业参照使用本套标准时，应认真解读系列方法标准，根据产品要求，选择最适宜的牌号要</w:t>
      </w:r>
      <w:r>
        <w:rPr>
          <w:rFonts w:hint="eastAsia"/>
        </w:rPr>
        <w:t>求。</w:t>
      </w:r>
    </w:p>
    <w:p w:rsidR="0087403C" w:rsidRDefault="00F067C7" w:rsidP="001622B3">
      <w:pPr>
        <w:numPr>
          <w:ilvl w:val="0"/>
          <w:numId w:val="3"/>
        </w:num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t>预期的经济和社会效益</w:t>
      </w:r>
    </w:p>
    <w:p w:rsidR="0087403C" w:rsidRDefault="00F067C7" w:rsidP="001622B3">
      <w:pPr>
        <w:ind w:firstLine="480"/>
      </w:pPr>
      <w:r>
        <w:rPr>
          <w:rFonts w:hint="eastAsia"/>
        </w:rPr>
        <w:t>本产品目前在部分钢材中已得到产业化应用，有巨大的应用前景，本标准能</w:t>
      </w:r>
      <w:proofErr w:type="gramStart"/>
      <w:r>
        <w:rPr>
          <w:rFonts w:hint="eastAsia"/>
        </w:rPr>
        <w:t>购很好</w:t>
      </w:r>
      <w:proofErr w:type="gramEnd"/>
      <w:r>
        <w:rPr>
          <w:rFonts w:hint="eastAsia"/>
        </w:rPr>
        <w:t>推动市场良性发展，扩大</w:t>
      </w:r>
      <w:proofErr w:type="gramStart"/>
      <w:r>
        <w:rPr>
          <w:rFonts w:hint="eastAsia"/>
        </w:rPr>
        <w:t>镧</w:t>
      </w:r>
      <w:proofErr w:type="gramEnd"/>
      <w:r>
        <w:rPr>
          <w:rFonts w:hint="eastAsia"/>
        </w:rPr>
        <w:t>的</w:t>
      </w:r>
      <w:r>
        <w:rPr>
          <w:rFonts w:hint="eastAsia"/>
        </w:rPr>
        <w:t>应用范围，对稀土行业有较大经济效益。</w:t>
      </w:r>
    </w:p>
    <w:p w:rsidR="0087403C" w:rsidRDefault="00F067C7" w:rsidP="001622B3">
      <w:pPr>
        <w:ind w:firstLine="480"/>
      </w:pPr>
      <w:r>
        <w:rPr>
          <w:rFonts w:hint="eastAsia"/>
        </w:rPr>
        <w:t>本产品的标准化，可以规范产品市场、增大产品的需求量，为稀土资源找寻</w:t>
      </w:r>
      <w:r>
        <w:rPr>
          <w:rFonts w:hint="eastAsia"/>
        </w:rPr>
        <w:lastRenderedPageBreak/>
        <w:t>一条应用出路，同时也为稀土钢的生产提供合格、优质的原料，保障稀土钢生产的首要步骤，为开发具有高品质系列化稀土钢产品奠定坚实的基础。推动了我国稀土</w:t>
      </w:r>
      <w:proofErr w:type="gramStart"/>
      <w:r>
        <w:rPr>
          <w:rFonts w:hint="eastAsia"/>
        </w:rPr>
        <w:t>钢产业</w:t>
      </w:r>
      <w:proofErr w:type="gramEnd"/>
      <w:r>
        <w:rPr>
          <w:rFonts w:hint="eastAsia"/>
        </w:rPr>
        <w:t>的发展。发展稀土钢不但可以促进钢铁产业升级，还可以实现稀土元素的综合利用，对促进稀土行业健康发展同样具有积极作用。</w:t>
      </w:r>
    </w:p>
    <w:p w:rsidR="0087403C" w:rsidRDefault="00F067C7" w:rsidP="001622B3">
      <w:pPr>
        <w:spacing w:line="360" w:lineRule="auto"/>
        <w:ind w:firstLine="602"/>
        <w:rPr>
          <w:rFonts w:asciiTheme="minorEastAsia" w:hAnsiTheme="minorEastAsia"/>
          <w:b/>
          <w:kern w:val="0"/>
          <w:sz w:val="30"/>
          <w:szCs w:val="30"/>
        </w:rPr>
      </w:pPr>
      <w:r>
        <w:rPr>
          <w:rFonts w:asciiTheme="minorEastAsia" w:hAnsiTheme="minorEastAsia" w:hint="eastAsia"/>
          <w:b/>
          <w:kern w:val="0"/>
          <w:sz w:val="30"/>
          <w:szCs w:val="30"/>
        </w:rPr>
        <w:t>十、其它需说明事</w:t>
      </w:r>
      <w:r>
        <w:rPr>
          <w:rFonts w:asciiTheme="minorEastAsia" w:hAnsiTheme="minorEastAsia" w:hint="eastAsia"/>
          <w:b/>
          <w:kern w:val="0"/>
          <w:sz w:val="30"/>
          <w:szCs w:val="30"/>
        </w:rPr>
        <w:t>项</w:t>
      </w:r>
    </w:p>
    <w:p w:rsidR="0087403C" w:rsidRDefault="0087403C" w:rsidP="0087403C">
      <w:pPr>
        <w:spacing w:afterLines="100"/>
        <w:ind w:firstLineChars="0" w:firstLine="0"/>
        <w:rPr>
          <w:rFonts w:asciiTheme="minorEastAsia" w:eastAsiaTheme="minorEastAsia" w:hAnsiTheme="minorEastAsia" w:cs="Times New Roman"/>
          <w:szCs w:val="21"/>
        </w:rPr>
      </w:pPr>
    </w:p>
    <w:sectPr w:rsidR="0087403C" w:rsidSect="0087403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3C" w:rsidRDefault="0087403C" w:rsidP="0087403C">
      <w:pPr>
        <w:spacing w:line="240" w:lineRule="auto"/>
        <w:ind w:firstLine="480"/>
      </w:pPr>
      <w:r>
        <w:separator/>
      </w:r>
    </w:p>
  </w:endnote>
  <w:endnote w:type="continuationSeparator" w:id="1">
    <w:p w:rsidR="0087403C" w:rsidRDefault="0087403C" w:rsidP="0087403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汉仪仿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B3" w:rsidRDefault="001622B3" w:rsidP="001622B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3C" w:rsidRDefault="0087403C" w:rsidP="001622B3">
    <w:pPr>
      <w:pStyle w:val="a4"/>
      <w:ind w:firstLine="360"/>
      <w:jc w:val="center"/>
    </w:pPr>
    <w:r w:rsidRPr="0087403C">
      <w:fldChar w:fldCharType="begin"/>
    </w:r>
    <w:r w:rsidR="00F067C7">
      <w:instrText xml:space="preserve"> PAGE   \* MERGEFORMAT </w:instrText>
    </w:r>
    <w:r w:rsidRPr="0087403C">
      <w:fldChar w:fldCharType="separate"/>
    </w:r>
    <w:r w:rsidR="00F067C7" w:rsidRPr="00F067C7">
      <w:rPr>
        <w:noProof/>
        <w:lang w:val="zh-CN"/>
      </w:rPr>
      <w:t>2</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B3" w:rsidRDefault="001622B3" w:rsidP="001622B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3C" w:rsidRDefault="0087403C" w:rsidP="0087403C">
      <w:pPr>
        <w:spacing w:line="240" w:lineRule="auto"/>
        <w:ind w:firstLine="480"/>
      </w:pPr>
      <w:r>
        <w:separator/>
      </w:r>
    </w:p>
  </w:footnote>
  <w:footnote w:type="continuationSeparator" w:id="1">
    <w:p w:rsidR="0087403C" w:rsidRDefault="0087403C" w:rsidP="0087403C">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B3" w:rsidRDefault="001622B3" w:rsidP="001622B3">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B3" w:rsidRDefault="001622B3" w:rsidP="001622B3">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2B3" w:rsidRDefault="001622B3" w:rsidP="001622B3">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440D2"/>
    <w:multiLevelType w:val="singleLevel"/>
    <w:tmpl w:val="5B4440D2"/>
    <w:lvl w:ilvl="0">
      <w:start w:val="9"/>
      <w:numFmt w:val="chineseCounting"/>
      <w:suff w:val="nothing"/>
      <w:lvlText w:val="%1、"/>
      <w:lvlJc w:val="left"/>
    </w:lvl>
  </w:abstractNum>
  <w:abstractNum w:abstractNumId="1">
    <w:nsid w:val="5B4448E0"/>
    <w:multiLevelType w:val="singleLevel"/>
    <w:tmpl w:val="5B4448E0"/>
    <w:lvl w:ilvl="0">
      <w:start w:val="2"/>
      <w:numFmt w:val="chineseCounting"/>
      <w:suff w:val="nothing"/>
      <w:lvlText w:val="%1、"/>
      <w:lvlJc w:val="left"/>
    </w:lvl>
  </w:abstractNum>
  <w:abstractNum w:abstractNumId="2">
    <w:nsid w:val="5B4449CC"/>
    <w:multiLevelType w:val="singleLevel"/>
    <w:tmpl w:val="5B4449CC"/>
    <w:lvl w:ilvl="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F62BC"/>
    <w:rsid w:val="00000D73"/>
    <w:rsid w:val="0000486E"/>
    <w:rsid w:val="000050DD"/>
    <w:rsid w:val="0000602E"/>
    <w:rsid w:val="00007290"/>
    <w:rsid w:val="00013AF1"/>
    <w:rsid w:val="00017A4A"/>
    <w:rsid w:val="00021160"/>
    <w:rsid w:val="000212A6"/>
    <w:rsid w:val="00021745"/>
    <w:rsid w:val="000226F1"/>
    <w:rsid w:val="00024ACB"/>
    <w:rsid w:val="00033053"/>
    <w:rsid w:val="0003383D"/>
    <w:rsid w:val="00037733"/>
    <w:rsid w:val="0004211C"/>
    <w:rsid w:val="000462F2"/>
    <w:rsid w:val="00046775"/>
    <w:rsid w:val="00050383"/>
    <w:rsid w:val="0005272A"/>
    <w:rsid w:val="00057B90"/>
    <w:rsid w:val="00060691"/>
    <w:rsid w:val="000630CB"/>
    <w:rsid w:val="00066331"/>
    <w:rsid w:val="00070D2D"/>
    <w:rsid w:val="00071B05"/>
    <w:rsid w:val="0007380B"/>
    <w:rsid w:val="0007677E"/>
    <w:rsid w:val="00080364"/>
    <w:rsid w:val="000879D7"/>
    <w:rsid w:val="000902F4"/>
    <w:rsid w:val="000903DF"/>
    <w:rsid w:val="000935BD"/>
    <w:rsid w:val="00095317"/>
    <w:rsid w:val="000979F1"/>
    <w:rsid w:val="000A690D"/>
    <w:rsid w:val="000B05CF"/>
    <w:rsid w:val="000B12E6"/>
    <w:rsid w:val="000B2FE9"/>
    <w:rsid w:val="000B6599"/>
    <w:rsid w:val="000B69A6"/>
    <w:rsid w:val="000B770B"/>
    <w:rsid w:val="000C0CBD"/>
    <w:rsid w:val="000C11A3"/>
    <w:rsid w:val="000C3BAB"/>
    <w:rsid w:val="000C7910"/>
    <w:rsid w:val="000D157C"/>
    <w:rsid w:val="000D288E"/>
    <w:rsid w:val="000D2BCE"/>
    <w:rsid w:val="000D7D6B"/>
    <w:rsid w:val="000E0177"/>
    <w:rsid w:val="000E023E"/>
    <w:rsid w:val="000E4111"/>
    <w:rsid w:val="000E4916"/>
    <w:rsid w:val="000F0837"/>
    <w:rsid w:val="000F21DC"/>
    <w:rsid w:val="000F348F"/>
    <w:rsid w:val="000F3681"/>
    <w:rsid w:val="000F3D70"/>
    <w:rsid w:val="000F4B0A"/>
    <w:rsid w:val="001001C5"/>
    <w:rsid w:val="001021AF"/>
    <w:rsid w:val="00104DFD"/>
    <w:rsid w:val="00105C4C"/>
    <w:rsid w:val="001110B1"/>
    <w:rsid w:val="001137EE"/>
    <w:rsid w:val="00116035"/>
    <w:rsid w:val="001221AD"/>
    <w:rsid w:val="00124C6D"/>
    <w:rsid w:val="0013224A"/>
    <w:rsid w:val="00142B33"/>
    <w:rsid w:val="00143FEC"/>
    <w:rsid w:val="00150252"/>
    <w:rsid w:val="00150EFB"/>
    <w:rsid w:val="00150F1D"/>
    <w:rsid w:val="00157FED"/>
    <w:rsid w:val="00161A52"/>
    <w:rsid w:val="001622B3"/>
    <w:rsid w:val="00172D6A"/>
    <w:rsid w:val="00182219"/>
    <w:rsid w:val="001836E3"/>
    <w:rsid w:val="00193F6F"/>
    <w:rsid w:val="001978D2"/>
    <w:rsid w:val="001A2B82"/>
    <w:rsid w:val="001A52C4"/>
    <w:rsid w:val="001B0ACA"/>
    <w:rsid w:val="001B11F5"/>
    <w:rsid w:val="001B148E"/>
    <w:rsid w:val="001B1A65"/>
    <w:rsid w:val="001B393E"/>
    <w:rsid w:val="001B493D"/>
    <w:rsid w:val="001B4A18"/>
    <w:rsid w:val="001C02AF"/>
    <w:rsid w:val="001C75A3"/>
    <w:rsid w:val="001D0B4B"/>
    <w:rsid w:val="001D4087"/>
    <w:rsid w:val="001E0268"/>
    <w:rsid w:val="001E1511"/>
    <w:rsid w:val="001E3675"/>
    <w:rsid w:val="001F5456"/>
    <w:rsid w:val="001F6592"/>
    <w:rsid w:val="00204482"/>
    <w:rsid w:val="0020483C"/>
    <w:rsid w:val="002062EF"/>
    <w:rsid w:val="00206DA5"/>
    <w:rsid w:val="00210956"/>
    <w:rsid w:val="002145AB"/>
    <w:rsid w:val="00214BBB"/>
    <w:rsid w:val="002159B5"/>
    <w:rsid w:val="00220543"/>
    <w:rsid w:val="00220A3F"/>
    <w:rsid w:val="00222CDF"/>
    <w:rsid w:val="00224B3F"/>
    <w:rsid w:val="00225DB1"/>
    <w:rsid w:val="002300C5"/>
    <w:rsid w:val="00230D23"/>
    <w:rsid w:val="00234A0C"/>
    <w:rsid w:val="00235BBF"/>
    <w:rsid w:val="00236616"/>
    <w:rsid w:val="00241B70"/>
    <w:rsid w:val="00244651"/>
    <w:rsid w:val="00244F56"/>
    <w:rsid w:val="0025191C"/>
    <w:rsid w:val="002538D1"/>
    <w:rsid w:val="00253D8D"/>
    <w:rsid w:val="002574EC"/>
    <w:rsid w:val="00260675"/>
    <w:rsid w:val="00265270"/>
    <w:rsid w:val="0027049B"/>
    <w:rsid w:val="00274C72"/>
    <w:rsid w:val="00282ACB"/>
    <w:rsid w:val="0028418B"/>
    <w:rsid w:val="00290EDE"/>
    <w:rsid w:val="00295E8F"/>
    <w:rsid w:val="00297D13"/>
    <w:rsid w:val="002A4E4A"/>
    <w:rsid w:val="002A5710"/>
    <w:rsid w:val="002A7938"/>
    <w:rsid w:val="002B6A2E"/>
    <w:rsid w:val="002C0B33"/>
    <w:rsid w:val="002C19DF"/>
    <w:rsid w:val="002C215C"/>
    <w:rsid w:val="002C23AD"/>
    <w:rsid w:val="002C306C"/>
    <w:rsid w:val="002D1E0C"/>
    <w:rsid w:val="002D4C56"/>
    <w:rsid w:val="002D66B5"/>
    <w:rsid w:val="002D7CAC"/>
    <w:rsid w:val="002E0E52"/>
    <w:rsid w:val="002E60B6"/>
    <w:rsid w:val="002E72F5"/>
    <w:rsid w:val="002E7395"/>
    <w:rsid w:val="002F27AA"/>
    <w:rsid w:val="002F3119"/>
    <w:rsid w:val="002F3D76"/>
    <w:rsid w:val="002F56EC"/>
    <w:rsid w:val="002F67A9"/>
    <w:rsid w:val="002F7561"/>
    <w:rsid w:val="00302636"/>
    <w:rsid w:val="003039CC"/>
    <w:rsid w:val="003069B1"/>
    <w:rsid w:val="00306DD7"/>
    <w:rsid w:val="00310347"/>
    <w:rsid w:val="00314A8E"/>
    <w:rsid w:val="003215B2"/>
    <w:rsid w:val="00323259"/>
    <w:rsid w:val="00323B30"/>
    <w:rsid w:val="00323E84"/>
    <w:rsid w:val="003262B3"/>
    <w:rsid w:val="003313ED"/>
    <w:rsid w:val="00331698"/>
    <w:rsid w:val="003334B4"/>
    <w:rsid w:val="0033390B"/>
    <w:rsid w:val="00337019"/>
    <w:rsid w:val="00345E57"/>
    <w:rsid w:val="00345FCF"/>
    <w:rsid w:val="003510DF"/>
    <w:rsid w:val="003566CB"/>
    <w:rsid w:val="0036164A"/>
    <w:rsid w:val="00361C98"/>
    <w:rsid w:val="00361D86"/>
    <w:rsid w:val="00363BDC"/>
    <w:rsid w:val="00364352"/>
    <w:rsid w:val="0036749D"/>
    <w:rsid w:val="00370000"/>
    <w:rsid w:val="0037078D"/>
    <w:rsid w:val="00372B23"/>
    <w:rsid w:val="0037572E"/>
    <w:rsid w:val="003766D6"/>
    <w:rsid w:val="00377382"/>
    <w:rsid w:val="00377F28"/>
    <w:rsid w:val="00380016"/>
    <w:rsid w:val="00381826"/>
    <w:rsid w:val="00382C9A"/>
    <w:rsid w:val="00390713"/>
    <w:rsid w:val="00390943"/>
    <w:rsid w:val="003A0441"/>
    <w:rsid w:val="003A1E89"/>
    <w:rsid w:val="003A4D69"/>
    <w:rsid w:val="003A5D8C"/>
    <w:rsid w:val="003B2ADD"/>
    <w:rsid w:val="003B5600"/>
    <w:rsid w:val="003C2104"/>
    <w:rsid w:val="003C6293"/>
    <w:rsid w:val="003D0185"/>
    <w:rsid w:val="003D6B18"/>
    <w:rsid w:val="003D701D"/>
    <w:rsid w:val="003D75FD"/>
    <w:rsid w:val="003E4396"/>
    <w:rsid w:val="003E781C"/>
    <w:rsid w:val="003F02CD"/>
    <w:rsid w:val="003F035C"/>
    <w:rsid w:val="003F0BE7"/>
    <w:rsid w:val="003F1E4D"/>
    <w:rsid w:val="003F2DD3"/>
    <w:rsid w:val="003F43AD"/>
    <w:rsid w:val="003F5C2E"/>
    <w:rsid w:val="0040053B"/>
    <w:rsid w:val="0040248A"/>
    <w:rsid w:val="004029E4"/>
    <w:rsid w:val="004030F4"/>
    <w:rsid w:val="0040753C"/>
    <w:rsid w:val="00407B6C"/>
    <w:rsid w:val="00412944"/>
    <w:rsid w:val="00412EB1"/>
    <w:rsid w:val="00416514"/>
    <w:rsid w:val="00416D9D"/>
    <w:rsid w:val="00421AA3"/>
    <w:rsid w:val="004233BA"/>
    <w:rsid w:val="00424A17"/>
    <w:rsid w:val="00424FC3"/>
    <w:rsid w:val="004262FE"/>
    <w:rsid w:val="00426625"/>
    <w:rsid w:val="00426696"/>
    <w:rsid w:val="004312A8"/>
    <w:rsid w:val="00435A35"/>
    <w:rsid w:val="00436113"/>
    <w:rsid w:val="004373AC"/>
    <w:rsid w:val="0043758F"/>
    <w:rsid w:val="0044122E"/>
    <w:rsid w:val="00441F9E"/>
    <w:rsid w:val="00451F2B"/>
    <w:rsid w:val="0045233E"/>
    <w:rsid w:val="00455E7D"/>
    <w:rsid w:val="00457571"/>
    <w:rsid w:val="00473A37"/>
    <w:rsid w:val="00474FC4"/>
    <w:rsid w:val="00475C49"/>
    <w:rsid w:val="004844C2"/>
    <w:rsid w:val="00484FA1"/>
    <w:rsid w:val="00487629"/>
    <w:rsid w:val="00490080"/>
    <w:rsid w:val="00494775"/>
    <w:rsid w:val="004A4E9C"/>
    <w:rsid w:val="004B1AA7"/>
    <w:rsid w:val="004B22BB"/>
    <w:rsid w:val="004B5B78"/>
    <w:rsid w:val="004C0E59"/>
    <w:rsid w:val="004C1F80"/>
    <w:rsid w:val="004C4133"/>
    <w:rsid w:val="004C4CDE"/>
    <w:rsid w:val="004C70D8"/>
    <w:rsid w:val="004D3D50"/>
    <w:rsid w:val="004D5462"/>
    <w:rsid w:val="004E0399"/>
    <w:rsid w:val="004E077B"/>
    <w:rsid w:val="004E216A"/>
    <w:rsid w:val="004E408A"/>
    <w:rsid w:val="004E6FA4"/>
    <w:rsid w:val="004F1B52"/>
    <w:rsid w:val="004F5C39"/>
    <w:rsid w:val="00502C90"/>
    <w:rsid w:val="00503A56"/>
    <w:rsid w:val="005143D5"/>
    <w:rsid w:val="005162C8"/>
    <w:rsid w:val="00520C67"/>
    <w:rsid w:val="00523DCA"/>
    <w:rsid w:val="005270FD"/>
    <w:rsid w:val="0053206B"/>
    <w:rsid w:val="0053381D"/>
    <w:rsid w:val="00540409"/>
    <w:rsid w:val="00541770"/>
    <w:rsid w:val="00541CF5"/>
    <w:rsid w:val="005439C6"/>
    <w:rsid w:val="00544F81"/>
    <w:rsid w:val="005463CE"/>
    <w:rsid w:val="00553080"/>
    <w:rsid w:val="00557E03"/>
    <w:rsid w:val="00563A5C"/>
    <w:rsid w:val="00564E32"/>
    <w:rsid w:val="005676D3"/>
    <w:rsid w:val="005678B3"/>
    <w:rsid w:val="005719E9"/>
    <w:rsid w:val="005729AC"/>
    <w:rsid w:val="00573253"/>
    <w:rsid w:val="0057463B"/>
    <w:rsid w:val="005758E4"/>
    <w:rsid w:val="00577F83"/>
    <w:rsid w:val="00582179"/>
    <w:rsid w:val="005839E5"/>
    <w:rsid w:val="00587176"/>
    <w:rsid w:val="005933ED"/>
    <w:rsid w:val="005953D9"/>
    <w:rsid w:val="0059560E"/>
    <w:rsid w:val="005A1D05"/>
    <w:rsid w:val="005A3494"/>
    <w:rsid w:val="005A4886"/>
    <w:rsid w:val="005A73A3"/>
    <w:rsid w:val="005B16A8"/>
    <w:rsid w:val="005B42B4"/>
    <w:rsid w:val="005B7D97"/>
    <w:rsid w:val="005C1022"/>
    <w:rsid w:val="005C3894"/>
    <w:rsid w:val="005C5316"/>
    <w:rsid w:val="005D3059"/>
    <w:rsid w:val="005D4B7D"/>
    <w:rsid w:val="005D5A7A"/>
    <w:rsid w:val="005D6705"/>
    <w:rsid w:val="005E1D97"/>
    <w:rsid w:val="005E259C"/>
    <w:rsid w:val="005E28BB"/>
    <w:rsid w:val="005E3D07"/>
    <w:rsid w:val="005F0DC2"/>
    <w:rsid w:val="005F65DC"/>
    <w:rsid w:val="005F6997"/>
    <w:rsid w:val="006018E0"/>
    <w:rsid w:val="00603FC9"/>
    <w:rsid w:val="00605E9F"/>
    <w:rsid w:val="00614294"/>
    <w:rsid w:val="00617068"/>
    <w:rsid w:val="00617B3F"/>
    <w:rsid w:val="00617F40"/>
    <w:rsid w:val="00621135"/>
    <w:rsid w:val="0062674D"/>
    <w:rsid w:val="006323A1"/>
    <w:rsid w:val="006418E2"/>
    <w:rsid w:val="006448F6"/>
    <w:rsid w:val="00647FBC"/>
    <w:rsid w:val="00651E5F"/>
    <w:rsid w:val="00654C83"/>
    <w:rsid w:val="00661D01"/>
    <w:rsid w:val="00663353"/>
    <w:rsid w:val="00663A0F"/>
    <w:rsid w:val="006641E4"/>
    <w:rsid w:val="0066580D"/>
    <w:rsid w:val="00670972"/>
    <w:rsid w:val="00670D04"/>
    <w:rsid w:val="00670DA3"/>
    <w:rsid w:val="00673373"/>
    <w:rsid w:val="006740D1"/>
    <w:rsid w:val="00674398"/>
    <w:rsid w:val="00682E9C"/>
    <w:rsid w:val="00684707"/>
    <w:rsid w:val="00685878"/>
    <w:rsid w:val="0068728A"/>
    <w:rsid w:val="006A21E4"/>
    <w:rsid w:val="006A751A"/>
    <w:rsid w:val="006B16FB"/>
    <w:rsid w:val="006B445F"/>
    <w:rsid w:val="006B7EE2"/>
    <w:rsid w:val="006C708C"/>
    <w:rsid w:val="006C7850"/>
    <w:rsid w:val="006D6420"/>
    <w:rsid w:val="006E0CA2"/>
    <w:rsid w:val="006E3739"/>
    <w:rsid w:val="006F04FA"/>
    <w:rsid w:val="006F29BE"/>
    <w:rsid w:val="006F7348"/>
    <w:rsid w:val="007010D6"/>
    <w:rsid w:val="00706328"/>
    <w:rsid w:val="00706CDA"/>
    <w:rsid w:val="00716E76"/>
    <w:rsid w:val="00720850"/>
    <w:rsid w:val="0072231B"/>
    <w:rsid w:val="007228CC"/>
    <w:rsid w:val="00722C6F"/>
    <w:rsid w:val="00722D5D"/>
    <w:rsid w:val="00726E71"/>
    <w:rsid w:val="007412DE"/>
    <w:rsid w:val="007439A5"/>
    <w:rsid w:val="007464FD"/>
    <w:rsid w:val="007474B9"/>
    <w:rsid w:val="0075239B"/>
    <w:rsid w:val="007555EE"/>
    <w:rsid w:val="00757244"/>
    <w:rsid w:val="00762C93"/>
    <w:rsid w:val="00763848"/>
    <w:rsid w:val="00764B41"/>
    <w:rsid w:val="00766F61"/>
    <w:rsid w:val="00772627"/>
    <w:rsid w:val="007846C9"/>
    <w:rsid w:val="00786761"/>
    <w:rsid w:val="0079010D"/>
    <w:rsid w:val="00792571"/>
    <w:rsid w:val="00794020"/>
    <w:rsid w:val="00794594"/>
    <w:rsid w:val="00795D16"/>
    <w:rsid w:val="007A087A"/>
    <w:rsid w:val="007A288C"/>
    <w:rsid w:val="007A521F"/>
    <w:rsid w:val="007A6F3C"/>
    <w:rsid w:val="007B016B"/>
    <w:rsid w:val="007B03B2"/>
    <w:rsid w:val="007B28FB"/>
    <w:rsid w:val="007B6C7A"/>
    <w:rsid w:val="007B6D5C"/>
    <w:rsid w:val="007C1FCA"/>
    <w:rsid w:val="007C3AAE"/>
    <w:rsid w:val="007C47AB"/>
    <w:rsid w:val="007C7C3A"/>
    <w:rsid w:val="007D1F6F"/>
    <w:rsid w:val="007D668E"/>
    <w:rsid w:val="007E59C5"/>
    <w:rsid w:val="007E5FD6"/>
    <w:rsid w:val="007E649C"/>
    <w:rsid w:val="007E6680"/>
    <w:rsid w:val="007F0949"/>
    <w:rsid w:val="007F62BC"/>
    <w:rsid w:val="007F7573"/>
    <w:rsid w:val="00800407"/>
    <w:rsid w:val="00801440"/>
    <w:rsid w:val="00802BB7"/>
    <w:rsid w:val="00807786"/>
    <w:rsid w:val="008121A3"/>
    <w:rsid w:val="00812679"/>
    <w:rsid w:val="00830241"/>
    <w:rsid w:val="00830B11"/>
    <w:rsid w:val="008328B2"/>
    <w:rsid w:val="008347B9"/>
    <w:rsid w:val="00852335"/>
    <w:rsid w:val="00852D9C"/>
    <w:rsid w:val="0086453D"/>
    <w:rsid w:val="008662F5"/>
    <w:rsid w:val="00870D07"/>
    <w:rsid w:val="0087403C"/>
    <w:rsid w:val="00875D92"/>
    <w:rsid w:val="008772CF"/>
    <w:rsid w:val="0087741E"/>
    <w:rsid w:val="00882F2B"/>
    <w:rsid w:val="0088613E"/>
    <w:rsid w:val="008877F1"/>
    <w:rsid w:val="008901D1"/>
    <w:rsid w:val="0089140A"/>
    <w:rsid w:val="00896284"/>
    <w:rsid w:val="00897D02"/>
    <w:rsid w:val="008A3476"/>
    <w:rsid w:val="008A5FEE"/>
    <w:rsid w:val="008A6340"/>
    <w:rsid w:val="008B05D1"/>
    <w:rsid w:val="008B2631"/>
    <w:rsid w:val="008B6887"/>
    <w:rsid w:val="008B7CD4"/>
    <w:rsid w:val="008C1674"/>
    <w:rsid w:val="008C7B85"/>
    <w:rsid w:val="008D3448"/>
    <w:rsid w:val="008D5BB6"/>
    <w:rsid w:val="008E175E"/>
    <w:rsid w:val="008E3844"/>
    <w:rsid w:val="008E4646"/>
    <w:rsid w:val="008E4663"/>
    <w:rsid w:val="008E77AA"/>
    <w:rsid w:val="00901387"/>
    <w:rsid w:val="0090482E"/>
    <w:rsid w:val="00907E19"/>
    <w:rsid w:val="00910EB0"/>
    <w:rsid w:val="00914A0E"/>
    <w:rsid w:val="0091749D"/>
    <w:rsid w:val="00922A9F"/>
    <w:rsid w:val="00923B95"/>
    <w:rsid w:val="00927E54"/>
    <w:rsid w:val="00931DF4"/>
    <w:rsid w:val="009326BD"/>
    <w:rsid w:val="009333B1"/>
    <w:rsid w:val="00933EDD"/>
    <w:rsid w:val="00940D1A"/>
    <w:rsid w:val="00954056"/>
    <w:rsid w:val="00966026"/>
    <w:rsid w:val="00966405"/>
    <w:rsid w:val="00967357"/>
    <w:rsid w:val="00967981"/>
    <w:rsid w:val="00970EE0"/>
    <w:rsid w:val="00971807"/>
    <w:rsid w:val="00972E8E"/>
    <w:rsid w:val="00973937"/>
    <w:rsid w:val="009762C1"/>
    <w:rsid w:val="00976C88"/>
    <w:rsid w:val="00980A89"/>
    <w:rsid w:val="00985085"/>
    <w:rsid w:val="009871A7"/>
    <w:rsid w:val="009936CE"/>
    <w:rsid w:val="00993C0D"/>
    <w:rsid w:val="00993D72"/>
    <w:rsid w:val="00994A19"/>
    <w:rsid w:val="009A430E"/>
    <w:rsid w:val="009A4D37"/>
    <w:rsid w:val="009B4D27"/>
    <w:rsid w:val="009B5224"/>
    <w:rsid w:val="009C04B7"/>
    <w:rsid w:val="009C1BDD"/>
    <w:rsid w:val="009C2A54"/>
    <w:rsid w:val="009C6CEE"/>
    <w:rsid w:val="009C7605"/>
    <w:rsid w:val="009C7FB1"/>
    <w:rsid w:val="009D31A2"/>
    <w:rsid w:val="009D41E0"/>
    <w:rsid w:val="009D4624"/>
    <w:rsid w:val="009D46EB"/>
    <w:rsid w:val="009D7E0C"/>
    <w:rsid w:val="009E0FD5"/>
    <w:rsid w:val="009E2D03"/>
    <w:rsid w:val="009E398D"/>
    <w:rsid w:val="009E3C01"/>
    <w:rsid w:val="009E76A8"/>
    <w:rsid w:val="009E79F0"/>
    <w:rsid w:val="009F08F7"/>
    <w:rsid w:val="009F777F"/>
    <w:rsid w:val="00A033C1"/>
    <w:rsid w:val="00A04CCF"/>
    <w:rsid w:val="00A0623A"/>
    <w:rsid w:val="00A06830"/>
    <w:rsid w:val="00A06B98"/>
    <w:rsid w:val="00A07460"/>
    <w:rsid w:val="00A12EAE"/>
    <w:rsid w:val="00A12F33"/>
    <w:rsid w:val="00A20DB5"/>
    <w:rsid w:val="00A24B4B"/>
    <w:rsid w:val="00A32AC9"/>
    <w:rsid w:val="00A34521"/>
    <w:rsid w:val="00A356B8"/>
    <w:rsid w:val="00A361FA"/>
    <w:rsid w:val="00A36452"/>
    <w:rsid w:val="00A36AB8"/>
    <w:rsid w:val="00A420CD"/>
    <w:rsid w:val="00A44746"/>
    <w:rsid w:val="00A529F2"/>
    <w:rsid w:val="00A52AC1"/>
    <w:rsid w:val="00A53617"/>
    <w:rsid w:val="00A55280"/>
    <w:rsid w:val="00A5530B"/>
    <w:rsid w:val="00A573D6"/>
    <w:rsid w:val="00A63B2E"/>
    <w:rsid w:val="00A73720"/>
    <w:rsid w:val="00A739E5"/>
    <w:rsid w:val="00A74C1B"/>
    <w:rsid w:val="00A75A29"/>
    <w:rsid w:val="00A800F9"/>
    <w:rsid w:val="00A821EB"/>
    <w:rsid w:val="00A82B1D"/>
    <w:rsid w:val="00A83584"/>
    <w:rsid w:val="00A84411"/>
    <w:rsid w:val="00A87D96"/>
    <w:rsid w:val="00A97E57"/>
    <w:rsid w:val="00AA40EB"/>
    <w:rsid w:val="00AA5E73"/>
    <w:rsid w:val="00AA6690"/>
    <w:rsid w:val="00AB0F31"/>
    <w:rsid w:val="00AB2075"/>
    <w:rsid w:val="00AB6426"/>
    <w:rsid w:val="00AB6530"/>
    <w:rsid w:val="00AC263A"/>
    <w:rsid w:val="00AC6919"/>
    <w:rsid w:val="00AD76D2"/>
    <w:rsid w:val="00AE4F48"/>
    <w:rsid w:val="00AE59C4"/>
    <w:rsid w:val="00AE6A8B"/>
    <w:rsid w:val="00AF4783"/>
    <w:rsid w:val="00B023F8"/>
    <w:rsid w:val="00B1032C"/>
    <w:rsid w:val="00B1071C"/>
    <w:rsid w:val="00B1141D"/>
    <w:rsid w:val="00B12E2E"/>
    <w:rsid w:val="00B12EA9"/>
    <w:rsid w:val="00B145FE"/>
    <w:rsid w:val="00B174F1"/>
    <w:rsid w:val="00B239D0"/>
    <w:rsid w:val="00B24E1C"/>
    <w:rsid w:val="00B30C78"/>
    <w:rsid w:val="00B31593"/>
    <w:rsid w:val="00B4077A"/>
    <w:rsid w:val="00B40C90"/>
    <w:rsid w:val="00B413A1"/>
    <w:rsid w:val="00B42497"/>
    <w:rsid w:val="00B43A30"/>
    <w:rsid w:val="00B46017"/>
    <w:rsid w:val="00B46DC1"/>
    <w:rsid w:val="00B5609C"/>
    <w:rsid w:val="00B56ACB"/>
    <w:rsid w:val="00B60490"/>
    <w:rsid w:val="00B6049C"/>
    <w:rsid w:val="00B60BFC"/>
    <w:rsid w:val="00B60E7C"/>
    <w:rsid w:val="00B615A1"/>
    <w:rsid w:val="00B6263A"/>
    <w:rsid w:val="00B71B71"/>
    <w:rsid w:val="00B72668"/>
    <w:rsid w:val="00B73DBE"/>
    <w:rsid w:val="00B76141"/>
    <w:rsid w:val="00B80C3D"/>
    <w:rsid w:val="00B80F6E"/>
    <w:rsid w:val="00B830FF"/>
    <w:rsid w:val="00B8332A"/>
    <w:rsid w:val="00B95AB4"/>
    <w:rsid w:val="00BA006A"/>
    <w:rsid w:val="00BA4AA1"/>
    <w:rsid w:val="00BA4E15"/>
    <w:rsid w:val="00BB252E"/>
    <w:rsid w:val="00BB3D89"/>
    <w:rsid w:val="00BC3E0C"/>
    <w:rsid w:val="00BC639E"/>
    <w:rsid w:val="00BC6CC2"/>
    <w:rsid w:val="00BC760C"/>
    <w:rsid w:val="00BD0985"/>
    <w:rsid w:val="00BD0C30"/>
    <w:rsid w:val="00BE0413"/>
    <w:rsid w:val="00BE1ED5"/>
    <w:rsid w:val="00BE428C"/>
    <w:rsid w:val="00BE6D3E"/>
    <w:rsid w:val="00BE794A"/>
    <w:rsid w:val="00BF1F8D"/>
    <w:rsid w:val="00BF28CE"/>
    <w:rsid w:val="00BF7653"/>
    <w:rsid w:val="00BF773B"/>
    <w:rsid w:val="00C02680"/>
    <w:rsid w:val="00C044A3"/>
    <w:rsid w:val="00C06BE1"/>
    <w:rsid w:val="00C06DB1"/>
    <w:rsid w:val="00C10462"/>
    <w:rsid w:val="00C1099A"/>
    <w:rsid w:val="00C214E3"/>
    <w:rsid w:val="00C24BE5"/>
    <w:rsid w:val="00C25935"/>
    <w:rsid w:val="00C33526"/>
    <w:rsid w:val="00C35A82"/>
    <w:rsid w:val="00C36E93"/>
    <w:rsid w:val="00C412AC"/>
    <w:rsid w:val="00C45B1E"/>
    <w:rsid w:val="00C52C75"/>
    <w:rsid w:val="00C53518"/>
    <w:rsid w:val="00C55253"/>
    <w:rsid w:val="00C620D8"/>
    <w:rsid w:val="00C67F5F"/>
    <w:rsid w:val="00C705B8"/>
    <w:rsid w:val="00C74F38"/>
    <w:rsid w:val="00C777EC"/>
    <w:rsid w:val="00C82120"/>
    <w:rsid w:val="00C832C4"/>
    <w:rsid w:val="00C87D74"/>
    <w:rsid w:val="00C93B0F"/>
    <w:rsid w:val="00C94453"/>
    <w:rsid w:val="00C953E3"/>
    <w:rsid w:val="00C95513"/>
    <w:rsid w:val="00C97E88"/>
    <w:rsid w:val="00CA2F94"/>
    <w:rsid w:val="00CB4AAE"/>
    <w:rsid w:val="00CC37A7"/>
    <w:rsid w:val="00CC3A0B"/>
    <w:rsid w:val="00CC44B8"/>
    <w:rsid w:val="00CC6A9B"/>
    <w:rsid w:val="00CD00D4"/>
    <w:rsid w:val="00CD3232"/>
    <w:rsid w:val="00CD40C8"/>
    <w:rsid w:val="00CD7492"/>
    <w:rsid w:val="00CE0785"/>
    <w:rsid w:val="00CE17AF"/>
    <w:rsid w:val="00CF1C0C"/>
    <w:rsid w:val="00CF3C27"/>
    <w:rsid w:val="00CF4651"/>
    <w:rsid w:val="00D006EA"/>
    <w:rsid w:val="00D04E68"/>
    <w:rsid w:val="00D06C4D"/>
    <w:rsid w:val="00D07DD3"/>
    <w:rsid w:val="00D10783"/>
    <w:rsid w:val="00D13263"/>
    <w:rsid w:val="00D13DF2"/>
    <w:rsid w:val="00D1501E"/>
    <w:rsid w:val="00D17066"/>
    <w:rsid w:val="00D21349"/>
    <w:rsid w:val="00D32C88"/>
    <w:rsid w:val="00D32EBA"/>
    <w:rsid w:val="00D3367D"/>
    <w:rsid w:val="00D33D55"/>
    <w:rsid w:val="00D37121"/>
    <w:rsid w:val="00D371D0"/>
    <w:rsid w:val="00D40B41"/>
    <w:rsid w:val="00D41D96"/>
    <w:rsid w:val="00D44C66"/>
    <w:rsid w:val="00D5224B"/>
    <w:rsid w:val="00D5264F"/>
    <w:rsid w:val="00D52A25"/>
    <w:rsid w:val="00D5467E"/>
    <w:rsid w:val="00D55071"/>
    <w:rsid w:val="00D5594F"/>
    <w:rsid w:val="00D56D62"/>
    <w:rsid w:val="00D579B5"/>
    <w:rsid w:val="00D6172B"/>
    <w:rsid w:val="00D6299A"/>
    <w:rsid w:val="00D64A68"/>
    <w:rsid w:val="00D66431"/>
    <w:rsid w:val="00D70CAA"/>
    <w:rsid w:val="00D71903"/>
    <w:rsid w:val="00D73E53"/>
    <w:rsid w:val="00D824A4"/>
    <w:rsid w:val="00D838D7"/>
    <w:rsid w:val="00D84776"/>
    <w:rsid w:val="00D853D8"/>
    <w:rsid w:val="00D875B1"/>
    <w:rsid w:val="00D8785B"/>
    <w:rsid w:val="00D91F36"/>
    <w:rsid w:val="00D92BBC"/>
    <w:rsid w:val="00D9508B"/>
    <w:rsid w:val="00DA29AA"/>
    <w:rsid w:val="00DA4F4F"/>
    <w:rsid w:val="00DA7B25"/>
    <w:rsid w:val="00DB0E07"/>
    <w:rsid w:val="00DB3276"/>
    <w:rsid w:val="00DB3D3E"/>
    <w:rsid w:val="00DB596F"/>
    <w:rsid w:val="00DC098E"/>
    <w:rsid w:val="00DC2521"/>
    <w:rsid w:val="00DC30BF"/>
    <w:rsid w:val="00DC46B2"/>
    <w:rsid w:val="00DD6FA8"/>
    <w:rsid w:val="00DE10B2"/>
    <w:rsid w:val="00DE1174"/>
    <w:rsid w:val="00DE238F"/>
    <w:rsid w:val="00DE40D9"/>
    <w:rsid w:val="00DE53EE"/>
    <w:rsid w:val="00DE5489"/>
    <w:rsid w:val="00DE5EA3"/>
    <w:rsid w:val="00DF1FCE"/>
    <w:rsid w:val="00DF5B78"/>
    <w:rsid w:val="00DF6F39"/>
    <w:rsid w:val="00E005F8"/>
    <w:rsid w:val="00E07792"/>
    <w:rsid w:val="00E11182"/>
    <w:rsid w:val="00E11D04"/>
    <w:rsid w:val="00E1539B"/>
    <w:rsid w:val="00E158CB"/>
    <w:rsid w:val="00E17EFB"/>
    <w:rsid w:val="00E25046"/>
    <w:rsid w:val="00E25A1C"/>
    <w:rsid w:val="00E3152D"/>
    <w:rsid w:val="00E3564A"/>
    <w:rsid w:val="00E35A41"/>
    <w:rsid w:val="00E37CA7"/>
    <w:rsid w:val="00E4123F"/>
    <w:rsid w:val="00E4204D"/>
    <w:rsid w:val="00E447EA"/>
    <w:rsid w:val="00E459A8"/>
    <w:rsid w:val="00E466CD"/>
    <w:rsid w:val="00E46F04"/>
    <w:rsid w:val="00E47066"/>
    <w:rsid w:val="00E513A7"/>
    <w:rsid w:val="00E54E69"/>
    <w:rsid w:val="00E55C49"/>
    <w:rsid w:val="00E56576"/>
    <w:rsid w:val="00E56890"/>
    <w:rsid w:val="00E602E4"/>
    <w:rsid w:val="00E602EF"/>
    <w:rsid w:val="00E617D5"/>
    <w:rsid w:val="00E61850"/>
    <w:rsid w:val="00E622AF"/>
    <w:rsid w:val="00E66229"/>
    <w:rsid w:val="00E7069D"/>
    <w:rsid w:val="00E7309D"/>
    <w:rsid w:val="00E75367"/>
    <w:rsid w:val="00E83A48"/>
    <w:rsid w:val="00E84DB1"/>
    <w:rsid w:val="00E87868"/>
    <w:rsid w:val="00E90C02"/>
    <w:rsid w:val="00E92D7B"/>
    <w:rsid w:val="00E9665C"/>
    <w:rsid w:val="00EA74D8"/>
    <w:rsid w:val="00EB04CB"/>
    <w:rsid w:val="00EB49DD"/>
    <w:rsid w:val="00EC08BE"/>
    <w:rsid w:val="00EC17F5"/>
    <w:rsid w:val="00EC189D"/>
    <w:rsid w:val="00EC3689"/>
    <w:rsid w:val="00EC375B"/>
    <w:rsid w:val="00EC408F"/>
    <w:rsid w:val="00EC6CA5"/>
    <w:rsid w:val="00EC6E04"/>
    <w:rsid w:val="00ED18C4"/>
    <w:rsid w:val="00ED1FFC"/>
    <w:rsid w:val="00ED2DB8"/>
    <w:rsid w:val="00EE19D0"/>
    <w:rsid w:val="00EE3A04"/>
    <w:rsid w:val="00EE3E04"/>
    <w:rsid w:val="00EE5E48"/>
    <w:rsid w:val="00EF0992"/>
    <w:rsid w:val="00EF1E28"/>
    <w:rsid w:val="00EF454F"/>
    <w:rsid w:val="00F00FD3"/>
    <w:rsid w:val="00F03A7A"/>
    <w:rsid w:val="00F0576F"/>
    <w:rsid w:val="00F067C7"/>
    <w:rsid w:val="00F12EC0"/>
    <w:rsid w:val="00F145E5"/>
    <w:rsid w:val="00F17463"/>
    <w:rsid w:val="00F17A4E"/>
    <w:rsid w:val="00F20438"/>
    <w:rsid w:val="00F21810"/>
    <w:rsid w:val="00F23606"/>
    <w:rsid w:val="00F239F8"/>
    <w:rsid w:val="00F26378"/>
    <w:rsid w:val="00F31597"/>
    <w:rsid w:val="00F33A50"/>
    <w:rsid w:val="00F363E1"/>
    <w:rsid w:val="00F403C5"/>
    <w:rsid w:val="00F426B1"/>
    <w:rsid w:val="00F43CC5"/>
    <w:rsid w:val="00F520DF"/>
    <w:rsid w:val="00F52128"/>
    <w:rsid w:val="00F53804"/>
    <w:rsid w:val="00F53DEA"/>
    <w:rsid w:val="00F54BE6"/>
    <w:rsid w:val="00F56E7C"/>
    <w:rsid w:val="00F5711B"/>
    <w:rsid w:val="00F70693"/>
    <w:rsid w:val="00F70751"/>
    <w:rsid w:val="00F70E65"/>
    <w:rsid w:val="00F720E9"/>
    <w:rsid w:val="00F733BB"/>
    <w:rsid w:val="00F735D9"/>
    <w:rsid w:val="00F739A8"/>
    <w:rsid w:val="00F761C0"/>
    <w:rsid w:val="00F77CA1"/>
    <w:rsid w:val="00F80F36"/>
    <w:rsid w:val="00F81366"/>
    <w:rsid w:val="00F82B8A"/>
    <w:rsid w:val="00F837DB"/>
    <w:rsid w:val="00F83933"/>
    <w:rsid w:val="00F862D5"/>
    <w:rsid w:val="00F90EC8"/>
    <w:rsid w:val="00F935AE"/>
    <w:rsid w:val="00F96578"/>
    <w:rsid w:val="00F973B7"/>
    <w:rsid w:val="00FA0163"/>
    <w:rsid w:val="00FA0559"/>
    <w:rsid w:val="00FA13A5"/>
    <w:rsid w:val="00FA37C8"/>
    <w:rsid w:val="00FA3B3B"/>
    <w:rsid w:val="00FB0A7C"/>
    <w:rsid w:val="00FB1CC8"/>
    <w:rsid w:val="00FB43EC"/>
    <w:rsid w:val="00FB4C4D"/>
    <w:rsid w:val="00FB5946"/>
    <w:rsid w:val="00FB6B51"/>
    <w:rsid w:val="00FC0494"/>
    <w:rsid w:val="00FC410B"/>
    <w:rsid w:val="00FC4657"/>
    <w:rsid w:val="00FD5059"/>
    <w:rsid w:val="00FD6C19"/>
    <w:rsid w:val="00FD6E75"/>
    <w:rsid w:val="00FD7428"/>
    <w:rsid w:val="00FE1E21"/>
    <w:rsid w:val="00FE2DD3"/>
    <w:rsid w:val="00FE2E2A"/>
    <w:rsid w:val="00FE3D9A"/>
    <w:rsid w:val="00FE5E5A"/>
    <w:rsid w:val="00FF3658"/>
    <w:rsid w:val="03504F71"/>
    <w:rsid w:val="03825885"/>
    <w:rsid w:val="03CD56DE"/>
    <w:rsid w:val="06B448EF"/>
    <w:rsid w:val="080D46CB"/>
    <w:rsid w:val="134275C7"/>
    <w:rsid w:val="15440D05"/>
    <w:rsid w:val="1BF85BE2"/>
    <w:rsid w:val="1C0C157A"/>
    <w:rsid w:val="1CA35C32"/>
    <w:rsid w:val="1D443657"/>
    <w:rsid w:val="21774F48"/>
    <w:rsid w:val="21CC58F5"/>
    <w:rsid w:val="2371122D"/>
    <w:rsid w:val="26967D66"/>
    <w:rsid w:val="29B35277"/>
    <w:rsid w:val="2C5E02B3"/>
    <w:rsid w:val="2C8E0B61"/>
    <w:rsid w:val="2CE1542E"/>
    <w:rsid w:val="2EC82235"/>
    <w:rsid w:val="30592EE5"/>
    <w:rsid w:val="32B310BD"/>
    <w:rsid w:val="35037B43"/>
    <w:rsid w:val="39B67A30"/>
    <w:rsid w:val="3B0E7426"/>
    <w:rsid w:val="3D62470E"/>
    <w:rsid w:val="3DEA2AC5"/>
    <w:rsid w:val="3E090A96"/>
    <w:rsid w:val="3F4F3B9F"/>
    <w:rsid w:val="42A012DD"/>
    <w:rsid w:val="43DA70B7"/>
    <w:rsid w:val="45B3030E"/>
    <w:rsid w:val="49D97C06"/>
    <w:rsid w:val="4B723608"/>
    <w:rsid w:val="4BA0546D"/>
    <w:rsid w:val="4D882D78"/>
    <w:rsid w:val="52142AEC"/>
    <w:rsid w:val="53FA2055"/>
    <w:rsid w:val="59F208E7"/>
    <w:rsid w:val="5AF474B8"/>
    <w:rsid w:val="5EB73272"/>
    <w:rsid w:val="6A4B5282"/>
    <w:rsid w:val="6CB46566"/>
    <w:rsid w:val="6CD360FF"/>
    <w:rsid w:val="6EFC5CBC"/>
    <w:rsid w:val="6FF33160"/>
    <w:rsid w:val="70535B65"/>
    <w:rsid w:val="71324E6D"/>
    <w:rsid w:val="73445AAB"/>
    <w:rsid w:val="74D93943"/>
    <w:rsid w:val="751F7BBC"/>
    <w:rsid w:val="76823163"/>
    <w:rsid w:val="780A49EB"/>
    <w:rsid w:val="7B1A6007"/>
    <w:rsid w:val="7B1F2A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99"/>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99" w:qFormat="1"/>
    <w:lsdException w:name="Hyperlink" w:semiHidden="0" w:uiPriority="99"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3C"/>
    <w:pPr>
      <w:widowControl w:val="0"/>
      <w:spacing w:line="500" w:lineRule="exact"/>
      <w:ind w:firstLineChars="200" w:firstLine="640"/>
      <w:jc w:val="both"/>
    </w:pPr>
    <w:rPr>
      <w:rFonts w:ascii="Calibri" w:hAnsi="Calibri" w:cs="黑体"/>
      <w:kern w:val="2"/>
      <w:sz w:val="24"/>
      <w:szCs w:val="22"/>
    </w:rPr>
  </w:style>
  <w:style w:type="paragraph" w:styleId="1">
    <w:name w:val="heading 1"/>
    <w:basedOn w:val="a"/>
    <w:next w:val="a"/>
    <w:link w:val="1Char"/>
    <w:qFormat/>
    <w:rsid w:val="0087403C"/>
    <w:pPr>
      <w:keepNext/>
      <w:keepLines/>
      <w:adjustRightInd w:val="0"/>
      <w:snapToGrid w:val="0"/>
      <w:spacing w:line="300" w:lineRule="auto"/>
      <w:ind w:firstLine="560"/>
      <w:jc w:val="center"/>
      <w:outlineLvl w:val="0"/>
    </w:pPr>
    <w:rPr>
      <w:rFonts w:ascii="Arial" w:eastAsia="黑体" w:hAnsi="Arial" w:cs="Times New Roman"/>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unhideWhenUsed/>
    <w:qFormat/>
    <w:rsid w:val="0087403C"/>
    <w:pPr>
      <w:widowControl/>
    </w:pPr>
    <w:rPr>
      <w:rFonts w:ascii="Times New Roman" w:eastAsia="仿宋_GB2312" w:hAnsi="Times New Roman" w:cs="Times New Roman"/>
      <w:kern w:val="0"/>
      <w:sz w:val="28"/>
      <w:szCs w:val="28"/>
    </w:rPr>
  </w:style>
  <w:style w:type="paragraph" w:styleId="a3">
    <w:name w:val="Balloon Text"/>
    <w:basedOn w:val="a"/>
    <w:link w:val="Char"/>
    <w:uiPriority w:val="99"/>
    <w:unhideWhenUsed/>
    <w:qFormat/>
    <w:rsid w:val="0087403C"/>
    <w:rPr>
      <w:sz w:val="18"/>
      <w:szCs w:val="18"/>
    </w:rPr>
  </w:style>
  <w:style w:type="paragraph" w:styleId="a4">
    <w:name w:val="footer"/>
    <w:basedOn w:val="a"/>
    <w:link w:val="Char0"/>
    <w:uiPriority w:val="99"/>
    <w:unhideWhenUsed/>
    <w:qFormat/>
    <w:rsid w:val="0087403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7403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7403C"/>
  </w:style>
  <w:style w:type="paragraph" w:styleId="a6">
    <w:name w:val="Normal (Web)"/>
    <w:basedOn w:val="a"/>
    <w:unhideWhenUsed/>
    <w:qFormat/>
    <w:rsid w:val="0087403C"/>
    <w:pPr>
      <w:widowControl/>
      <w:spacing w:before="100" w:beforeAutospacing="1" w:after="100" w:afterAutospacing="1"/>
      <w:jc w:val="left"/>
    </w:pPr>
    <w:rPr>
      <w:rFonts w:ascii="宋体" w:hAnsi="宋体" w:cs="宋体"/>
      <w:color w:val="000000"/>
      <w:kern w:val="0"/>
    </w:rPr>
  </w:style>
  <w:style w:type="paragraph" w:styleId="11">
    <w:name w:val="index 1"/>
    <w:basedOn w:val="a"/>
    <w:next w:val="a"/>
    <w:uiPriority w:val="99"/>
    <w:unhideWhenUsed/>
    <w:rsid w:val="0087403C"/>
    <w:pPr>
      <w:spacing w:line="240" w:lineRule="atLeast"/>
      <w:jc w:val="center"/>
    </w:pPr>
    <w:rPr>
      <w:rFonts w:ascii="汉仪仿宋简" w:eastAsia="汉仪仿宋简" w:hAnsi="宋体" w:cs="宋体"/>
      <w:sz w:val="28"/>
      <w:szCs w:val="28"/>
    </w:rPr>
  </w:style>
  <w:style w:type="character" w:styleId="a7">
    <w:name w:val="Strong"/>
    <w:basedOn w:val="a0"/>
    <w:uiPriority w:val="22"/>
    <w:qFormat/>
    <w:rsid w:val="0087403C"/>
    <w:rPr>
      <w:b/>
    </w:rPr>
  </w:style>
  <w:style w:type="character" w:styleId="a8">
    <w:name w:val="page number"/>
    <w:basedOn w:val="a0"/>
    <w:unhideWhenUsed/>
    <w:qFormat/>
    <w:rsid w:val="0087403C"/>
  </w:style>
  <w:style w:type="character" w:styleId="a9">
    <w:name w:val="FollowedHyperlink"/>
    <w:basedOn w:val="a0"/>
    <w:unhideWhenUsed/>
    <w:qFormat/>
    <w:rsid w:val="0087403C"/>
    <w:rPr>
      <w:color w:val="000000"/>
      <w:u w:val="none"/>
    </w:rPr>
  </w:style>
  <w:style w:type="character" w:styleId="aa">
    <w:name w:val="Hyperlink"/>
    <w:basedOn w:val="a0"/>
    <w:uiPriority w:val="99"/>
    <w:unhideWhenUsed/>
    <w:qFormat/>
    <w:rsid w:val="0087403C"/>
    <w:rPr>
      <w:color w:val="000000"/>
      <w:u w:val="none"/>
    </w:rPr>
  </w:style>
  <w:style w:type="table" w:styleId="ab">
    <w:name w:val="Table Grid"/>
    <w:basedOn w:val="a1"/>
    <w:qFormat/>
    <w:rsid w:val="008740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 首行缩进:  2 字符"/>
    <w:basedOn w:val="10"/>
    <w:qFormat/>
    <w:rsid w:val="0087403C"/>
    <w:pPr>
      <w:tabs>
        <w:tab w:val="right" w:leader="dot" w:pos="8303"/>
      </w:tabs>
      <w:adjustRightInd w:val="0"/>
      <w:snapToGrid w:val="0"/>
      <w:spacing w:before="120" w:after="120" w:line="300" w:lineRule="auto"/>
      <w:ind w:firstLine="560"/>
      <w:jc w:val="left"/>
    </w:pPr>
    <w:rPr>
      <w:rFonts w:ascii="Times New Roman" w:eastAsia="仿宋_GB2312" w:hAnsi="Times New Roman" w:cs="Times New Roman"/>
      <w:bCs/>
      <w:caps/>
      <w:snapToGrid w:val="0"/>
      <w:kern w:val="0"/>
      <w:sz w:val="28"/>
      <w:szCs w:val="20"/>
    </w:rPr>
  </w:style>
  <w:style w:type="paragraph" w:customStyle="1" w:styleId="12">
    <w:name w:val="列出段落1"/>
    <w:basedOn w:val="a"/>
    <w:uiPriority w:val="34"/>
    <w:qFormat/>
    <w:rsid w:val="0087403C"/>
    <w:pPr>
      <w:ind w:firstLine="420"/>
    </w:pPr>
  </w:style>
  <w:style w:type="character" w:customStyle="1" w:styleId="1Char">
    <w:name w:val="标题 1 Char"/>
    <w:basedOn w:val="a0"/>
    <w:link w:val="1"/>
    <w:qFormat/>
    <w:rsid w:val="0087403C"/>
    <w:rPr>
      <w:rFonts w:ascii="Arial" w:eastAsia="黑体" w:hAnsi="Arial" w:cs="Times New Roman"/>
      <w:bCs/>
      <w:snapToGrid w:val="0"/>
      <w:kern w:val="0"/>
      <w:sz w:val="28"/>
      <w:szCs w:val="28"/>
    </w:rPr>
  </w:style>
  <w:style w:type="character" w:customStyle="1" w:styleId="Char1">
    <w:name w:val="页眉 Char"/>
    <w:basedOn w:val="a0"/>
    <w:link w:val="a5"/>
    <w:uiPriority w:val="99"/>
    <w:qFormat/>
    <w:rsid w:val="0087403C"/>
    <w:rPr>
      <w:sz w:val="18"/>
      <w:szCs w:val="18"/>
    </w:rPr>
  </w:style>
  <w:style w:type="character" w:customStyle="1" w:styleId="Char0">
    <w:name w:val="页脚 Char"/>
    <w:basedOn w:val="a0"/>
    <w:link w:val="a4"/>
    <w:uiPriority w:val="99"/>
    <w:qFormat/>
    <w:rsid w:val="0087403C"/>
    <w:rPr>
      <w:sz w:val="18"/>
      <w:szCs w:val="18"/>
    </w:rPr>
  </w:style>
  <w:style w:type="character" w:customStyle="1" w:styleId="Char">
    <w:name w:val="批注框文本 Char"/>
    <w:basedOn w:val="a0"/>
    <w:link w:val="a3"/>
    <w:uiPriority w:val="99"/>
    <w:semiHidden/>
    <w:qFormat/>
    <w:rsid w:val="0087403C"/>
    <w:rPr>
      <w:sz w:val="18"/>
      <w:szCs w:val="18"/>
    </w:rPr>
  </w:style>
  <w:style w:type="paragraph" w:customStyle="1" w:styleId="20">
    <w:name w:val="列出段落2"/>
    <w:basedOn w:val="a"/>
    <w:uiPriority w:val="34"/>
    <w:unhideWhenUsed/>
    <w:qFormat/>
    <w:rsid w:val="0087403C"/>
    <w:pPr>
      <w:ind w:firstLine="420"/>
    </w:pPr>
  </w:style>
  <w:style w:type="character" w:customStyle="1" w:styleId="3Char">
    <w:name w:val="正文文本 3 Char"/>
    <w:basedOn w:val="a0"/>
    <w:link w:val="3"/>
    <w:uiPriority w:val="99"/>
    <w:qFormat/>
    <w:rsid w:val="0087403C"/>
    <w:rPr>
      <w:rFonts w:eastAsia="仿宋_GB2312"/>
      <w:sz w:val="28"/>
      <w:szCs w:val="28"/>
    </w:rPr>
  </w:style>
  <w:style w:type="character" w:customStyle="1" w:styleId="msoins0">
    <w:name w:val="msoins"/>
    <w:basedOn w:val="a0"/>
    <w:qFormat/>
    <w:rsid w:val="0087403C"/>
    <w:rPr>
      <w:color w:val="FF000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9B8F9B-B4F3-492B-95A7-5F92C6F3D91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437</Words>
  <Characters>2496</Characters>
  <Application>Microsoft Office Word</Application>
  <DocSecurity>0</DocSecurity>
  <Lines>20</Lines>
  <Paragraphs>5</Paragraphs>
  <ScaleCrop>false</ScaleCrop>
  <Company>Sky123.Org</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中国水利学会标准管理办法</dc:title>
  <dc:creator>解萍</dc:creator>
  <cp:lastModifiedBy>解萍</cp:lastModifiedBy>
  <cp:revision>42</cp:revision>
  <cp:lastPrinted>2016-02-17T08:56:00Z</cp:lastPrinted>
  <dcterms:created xsi:type="dcterms:W3CDTF">2017-04-17T06:41:00Z</dcterms:created>
  <dcterms:modified xsi:type="dcterms:W3CDTF">2019-03-31T04:30:00Z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