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color w:val="000000" w:themeColor="text1"/>
          <w:sz w:val="24"/>
          <w:szCs w:val="24"/>
          <w14:textFill>
            <w14:solidFill>
              <w14:schemeClr w14:val="tx1"/>
            </w14:solidFill>
          </w14:textFill>
        </w:rPr>
      </w:pPr>
    </w:p>
    <w:p>
      <w:pPr>
        <w:spacing w:before="100" w:beforeAutospacing="1" w:after="100" w:afterAutospacing="1" w:line="360" w:lineRule="auto"/>
        <w:ind w:firstLine="880" w:firstLineChars="200"/>
        <w:jc w:val="center"/>
        <w:rPr>
          <w:color w:val="000000" w:themeColor="text1"/>
          <w:sz w:val="44"/>
          <w:szCs w:val="44"/>
          <w14:textFill>
            <w14:solidFill>
              <w14:schemeClr w14:val="tx1"/>
            </w14:solidFill>
          </w14:textFill>
        </w:rPr>
      </w:pPr>
    </w:p>
    <w:p>
      <w:pPr>
        <w:spacing w:before="100" w:beforeAutospacing="1" w:after="100" w:afterAutospacing="1" w:line="360" w:lineRule="auto"/>
        <w:ind w:firstLine="880" w:firstLineChars="200"/>
        <w:jc w:val="center"/>
        <w:rPr>
          <w:color w:val="000000" w:themeColor="text1"/>
          <w:sz w:val="44"/>
          <w:szCs w:val="44"/>
          <w14:textFill>
            <w14:solidFill>
              <w14:schemeClr w14:val="tx1"/>
            </w14:solidFill>
          </w14:textFill>
        </w:rPr>
      </w:pPr>
    </w:p>
    <w:p>
      <w:pPr>
        <w:spacing w:before="100" w:beforeAutospacing="1" w:after="100" w:afterAutospacing="1" w:line="360" w:lineRule="auto"/>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国家标准</w:t>
      </w:r>
    </w:p>
    <w:p>
      <w:pPr>
        <w:spacing w:before="100" w:beforeAutospacing="1" w:after="100" w:afterAutospacing="1" w:line="360" w:lineRule="auto"/>
        <w:jc w:val="center"/>
        <w:rPr>
          <w:color w:val="000000" w:themeColor="text1"/>
          <w:sz w:val="40"/>
          <w:szCs w:val="44"/>
          <w14:textFill>
            <w14:solidFill>
              <w14:schemeClr w14:val="tx1"/>
            </w14:solidFill>
          </w14:textFill>
        </w:rPr>
      </w:pPr>
      <w:r>
        <w:rPr>
          <w:color w:val="000000" w:themeColor="text1"/>
          <w:sz w:val="44"/>
          <w:szCs w:val="44"/>
          <w14:textFill>
            <w14:solidFill>
              <w14:schemeClr w14:val="tx1"/>
            </w14:solidFill>
          </w14:textFill>
        </w:rPr>
        <w:t>《</w:t>
      </w:r>
      <w:r>
        <w:rPr>
          <w:color w:val="000000" w:themeColor="text1"/>
          <w:sz w:val="40"/>
          <w:szCs w:val="44"/>
          <w14:textFill>
            <w14:solidFill>
              <w14:schemeClr w14:val="tx1"/>
            </w14:solidFill>
          </w14:textFill>
        </w:rPr>
        <w:t>烧结金属材料（不包括硬质合金）室温拉伸试验》</w:t>
      </w:r>
    </w:p>
    <w:p>
      <w:pPr>
        <w:spacing w:before="100" w:beforeAutospacing="1" w:after="100" w:afterAutospacing="1" w:line="360" w:lineRule="auto"/>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编制说明书</w:t>
      </w:r>
    </w:p>
    <w:p>
      <w:pPr>
        <w:spacing w:before="100" w:beforeAutospacing="1" w:after="100" w:afterAutospacing="1" w:line="360" w:lineRule="auto"/>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w:t>
      </w:r>
      <w:r>
        <w:rPr>
          <w:rFonts w:hint="eastAsia"/>
          <w:color w:val="000000" w:themeColor="text1"/>
          <w:sz w:val="32"/>
          <w:szCs w:val="32"/>
          <w:lang w:eastAsia="zh-CN"/>
          <w14:textFill>
            <w14:solidFill>
              <w14:schemeClr w14:val="tx1"/>
            </w14:solidFill>
          </w14:textFill>
        </w:rPr>
        <w:t>送审</w:t>
      </w:r>
      <w:r>
        <w:rPr>
          <w:color w:val="000000" w:themeColor="text1"/>
          <w:sz w:val="32"/>
          <w:szCs w:val="32"/>
          <w14:textFill>
            <w14:solidFill>
              <w14:schemeClr w14:val="tx1"/>
            </w14:solidFill>
          </w14:textFill>
        </w:rPr>
        <w:t>稿）</w:t>
      </w:r>
    </w:p>
    <w:p>
      <w:pPr>
        <w:spacing w:before="100" w:beforeAutospacing="1" w:after="100" w:afterAutospacing="1" w:line="360" w:lineRule="auto"/>
        <w:ind w:firstLine="480" w:firstLineChars="200"/>
        <w:jc w:val="left"/>
        <w:rPr>
          <w:color w:val="000000" w:themeColor="text1"/>
          <w:sz w:val="24"/>
          <w:szCs w:val="24"/>
          <w14:textFill>
            <w14:solidFill>
              <w14:schemeClr w14:val="tx1"/>
            </w14:solidFill>
          </w14:textFill>
        </w:rPr>
      </w:pPr>
    </w:p>
    <w:p>
      <w:pPr>
        <w:spacing w:before="100" w:beforeAutospacing="1" w:after="100" w:afterAutospacing="1" w:line="360" w:lineRule="auto"/>
        <w:ind w:firstLine="480" w:firstLineChars="200"/>
        <w:jc w:val="left"/>
        <w:rPr>
          <w:color w:val="000000" w:themeColor="text1"/>
          <w:sz w:val="24"/>
          <w:szCs w:val="24"/>
          <w14:textFill>
            <w14:solidFill>
              <w14:schemeClr w14:val="tx1"/>
            </w14:solidFill>
          </w14:textFill>
        </w:rPr>
      </w:pPr>
    </w:p>
    <w:p>
      <w:pPr>
        <w:spacing w:before="100" w:beforeAutospacing="1" w:after="100" w:afterAutospacing="1" w:line="360" w:lineRule="auto"/>
        <w:ind w:firstLine="480" w:firstLineChars="200"/>
        <w:jc w:val="left"/>
        <w:rPr>
          <w:color w:val="000000" w:themeColor="text1"/>
          <w:sz w:val="24"/>
          <w:szCs w:val="24"/>
          <w14:textFill>
            <w14:solidFill>
              <w14:schemeClr w14:val="tx1"/>
            </w14:solidFill>
          </w14:textFill>
        </w:rPr>
      </w:pPr>
    </w:p>
    <w:p>
      <w:pPr>
        <w:spacing w:before="100" w:beforeAutospacing="1" w:after="100" w:afterAutospacing="1" w:line="360" w:lineRule="auto"/>
        <w:rPr>
          <w:color w:val="000000" w:themeColor="text1"/>
          <w:sz w:val="24"/>
          <w:szCs w:val="24"/>
          <w14:textFill>
            <w14:solidFill>
              <w14:schemeClr w14:val="tx1"/>
            </w14:solidFill>
          </w14:textFill>
        </w:rPr>
      </w:pPr>
    </w:p>
    <w:p>
      <w:pPr>
        <w:spacing w:before="100" w:beforeAutospacing="1" w:after="100" w:afterAutospacing="1" w:line="360" w:lineRule="auto"/>
        <w:rPr>
          <w:color w:val="000000" w:themeColor="text1"/>
          <w:sz w:val="24"/>
          <w:szCs w:val="24"/>
          <w14:textFill>
            <w14:solidFill>
              <w14:schemeClr w14:val="tx1"/>
            </w14:solidFill>
          </w14:textFill>
        </w:rPr>
      </w:pPr>
    </w:p>
    <w:p>
      <w:pPr>
        <w:spacing w:before="100" w:beforeAutospacing="1" w:after="100" w:afterAutospacing="1" w:line="360" w:lineRule="auto"/>
        <w:jc w:val="center"/>
        <w:rPr>
          <w:color w:val="000000" w:themeColor="text1"/>
          <w:sz w:val="28"/>
          <w:szCs w:val="32"/>
          <w14:textFill>
            <w14:solidFill>
              <w14:schemeClr w14:val="tx1"/>
            </w14:solidFill>
          </w14:textFill>
        </w:rPr>
      </w:pPr>
      <w:r>
        <w:rPr>
          <w:color w:val="000000" w:themeColor="text1"/>
          <w:sz w:val="28"/>
          <w:szCs w:val="32"/>
          <w14:textFill>
            <w14:solidFill>
              <w14:schemeClr w14:val="tx1"/>
            </w14:solidFill>
          </w14:textFill>
        </w:rPr>
        <w:t>《烧结金属材料（不包括硬质合金）室温拉伸试验》标准编制组</w:t>
      </w:r>
    </w:p>
    <w:p>
      <w:pPr>
        <w:spacing w:before="100" w:beforeAutospacing="1" w:after="100" w:afterAutospacing="1" w:line="360" w:lineRule="auto"/>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编写单位：钢铁研究总院</w:t>
      </w:r>
    </w:p>
    <w:p>
      <w:pPr>
        <w:spacing w:before="100" w:beforeAutospacing="1" w:after="100" w:afterAutospacing="1" w:line="360" w:lineRule="auto"/>
        <w:jc w:val="center"/>
        <w:rPr>
          <w:color w:val="000000" w:themeColor="text1"/>
          <w:sz w:val="32"/>
          <w:szCs w:val="32"/>
          <w14:textFill>
            <w14:solidFill>
              <w14:schemeClr w14:val="tx1"/>
            </w14:solidFill>
          </w14:textFill>
        </w:rPr>
      </w:pPr>
    </w:p>
    <w:p>
      <w:pPr>
        <w:spacing w:before="100" w:beforeAutospacing="1" w:after="100" w:afterAutospacing="1" w:line="360" w:lineRule="auto"/>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二〇一九年四月</w:t>
      </w:r>
    </w:p>
    <w:p>
      <w:pPr>
        <w:widowControl/>
        <w:jc w:val="left"/>
        <w:rPr>
          <w:color w:val="000000" w:themeColor="text1"/>
          <w:sz w:val="32"/>
          <w:szCs w:val="32"/>
          <w14:textFill>
            <w14:solidFill>
              <w14:schemeClr w14:val="tx1"/>
            </w14:solidFill>
          </w14:textFill>
        </w:rPr>
        <w:sectPr>
          <w:headerReference r:id="rId4" w:type="first"/>
          <w:headerReference r:id="rId3" w:type="default"/>
          <w:footerReference r:id="rId5" w:type="default"/>
          <w:pgSz w:w="11906" w:h="16838"/>
          <w:pgMar w:top="1440" w:right="1440" w:bottom="1440" w:left="1440" w:header="851" w:footer="992" w:gutter="284"/>
          <w:pgNumType w:start="1"/>
          <w:cols w:space="425" w:num="1"/>
          <w:titlePg/>
          <w:docGrid w:linePitch="312" w:charSpace="0"/>
        </w:sectPr>
      </w:pPr>
      <w:bookmarkStart w:id="12" w:name="_GoBack"/>
      <w:bookmarkEnd w:id="12"/>
    </w:p>
    <w:p>
      <w:pPr>
        <w:spacing w:before="100" w:beforeAutospacing="1" w:after="100" w:afterAutospacing="1" w:line="360" w:lineRule="auto"/>
        <w:jc w:val="center"/>
        <w:rPr>
          <w:color w:val="000000" w:themeColor="text1"/>
          <w:sz w:val="32"/>
          <w:szCs w:val="36"/>
          <w14:textFill>
            <w14:solidFill>
              <w14:schemeClr w14:val="tx1"/>
            </w14:solidFill>
          </w14:textFill>
        </w:rPr>
      </w:pPr>
      <w:r>
        <w:rPr>
          <w:color w:val="000000" w:themeColor="text1"/>
          <w:sz w:val="32"/>
          <w:szCs w:val="36"/>
          <w14:textFill>
            <w14:solidFill>
              <w14:schemeClr w14:val="tx1"/>
            </w14:solidFill>
          </w14:textFill>
        </w:rPr>
        <w:t>国家标准《烧结金属材料（不包括硬质合金）室温拉伸试验》</w:t>
      </w:r>
    </w:p>
    <w:p>
      <w:pPr>
        <w:spacing w:before="100" w:beforeAutospacing="1" w:after="100" w:afterAutospacing="1" w:line="360" w:lineRule="auto"/>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编制说明</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一、工作简况</w:t>
      </w:r>
    </w:p>
    <w:p>
      <w:pPr>
        <w:widowControl/>
        <w:snapToGrid w:val="0"/>
        <w:spacing w:before="240" w:beforeLines="10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1 任务来源</w:t>
      </w:r>
    </w:p>
    <w:p>
      <w:pPr>
        <w:pStyle w:val="32"/>
        <w:spacing w:line="360" w:lineRule="auto"/>
        <w:ind w:firstLine="480"/>
        <w:jc w:val="left"/>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根据国标委《国家标准委关于下达2016年第三批国家标准制修订计划的通知》（国标委综合[2016]76号）文件要求，国家标准《烧结金属材料（不包括硬质合金）室温拉伸试验》（GB/T 7964-87）的修订工作由钢铁研究总院负责，项目计划编号为：20161671-T-610，项目完成年限为2019年10月。</w:t>
      </w:r>
    </w:p>
    <w:p>
      <w:pPr>
        <w:widowControl/>
        <w:snapToGrid w:val="0"/>
        <w:spacing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2 产品及方法简介</w:t>
      </w:r>
    </w:p>
    <w:p>
      <w:pPr>
        <w:widowControl/>
        <w:snapToGrid w:val="0"/>
        <w:spacing w:line="360" w:lineRule="auto"/>
        <w:ind w:firstLine="480" w:firstLineChars="200"/>
        <w:jc w:val="left"/>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粉末冶金是制取金属粉末或用金属粉末(或金属粉末与非金属粉末的混合物)作为原料，经过成形和烧结，制取金属材料、复合材料以及各种类型制品的工业技术。目前，粉末冶金技术已被广泛应用于交通、机械、电子、航空航天、兵器、生物、新能源、信息和核工业等领域，成为新材料科学中最具发展活力的分支之一。粉末冶金技术具备显著节能、省材、性能优异、产品精度高且稳定性好等一系列优点，非常适合于大批量生产。另外，部分用传统铸造方法和机械加工方法无法制备的材料和复杂零件也可用粉末冶金技术制造，因而备受工业界的重视。</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粉末冶金既是可拓展性强的零部件制造工艺，又是生产新型材料的加工方法。粉末冶金作为可扩展技术，不断向其他零部件品类拓展。首先，粉末冶金可以制造汽车发动机和变速箱的核心齿轮部件；可以制造新能源汽车的零部件，如电动汽车的传动系统、燃料电池连接板等。其次，粉末冶金又是新型材料如铝合金、高合金材料、高温合金、磁性材料制作技术，比如磁性材料可以应用在车载充电机、充电桩、光伏、太阳能等新能源领域。粉末冶金是通用型、平台型技术，应用范围逐步扩张，市场前景广阔。</w:t>
      </w:r>
    </w:p>
    <w:p>
      <w:pPr>
        <w:spacing w:line="360" w:lineRule="auto"/>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由于粉末冶金技术的优点，它已成为解决新材料问题的钥匙，在新材料的发展中起着举足轻重的作用。近年来，通过不断引进国外先进技术与自主开发创新相结合，中国粉末冶金产业和技术都呈现出高速发展的态势，是中国机械通用零部件行业中增</w:t>
      </w:r>
      <w:r>
        <w:rPr>
          <w:color w:val="000000" w:themeColor="text1"/>
          <w:sz w:val="24"/>
          <w:szCs w:val="24"/>
          <w14:textFill>
            <w14:solidFill>
              <w14:schemeClr w14:val="tx1"/>
            </w14:solidFill>
          </w14:textFill>
        </w:rPr>
        <w:t>长最快的行业之一，每年全国粉末冶金行业的产值以35％的速度递增。</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标准规定了烧结金属材料（不包括硬质合金）室温拉伸试验的测定方法。适用于机加工或非机加工的烧结金属材料（硬质合金除外）的屈服强度、规定塑性屈服强度、抗拉强度、断后伸长率和断面收缩率的测定。为科研、试验、生产、应用、贸易等方面提供拉伸试验最基本的技术标准依据。</w:t>
      </w:r>
    </w:p>
    <w:p>
      <w:pPr>
        <w:adjustRightInd w:val="0"/>
        <w:snapToGrid w:val="0"/>
        <w:spacing w:before="120" w:beforeLines="50" w:after="120" w:afterLines="5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3 标准修订的必要性</w:t>
      </w:r>
    </w:p>
    <w:p>
      <w:pPr>
        <w:spacing w:line="360" w:lineRule="auto"/>
        <w:ind w:firstLine="540" w:firstLineChars="22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原标准修订于1987年。十几年国内的粉末冶金行业技术取得了长足的进步，相关试验设备、附件也有了很大的变化。该标准无论从内容还是形式、规范上都不再适应现代化生产测试要求，不能起到有效区别产品质量、规范市场、指导企业生产的作用。基于实际需要，我单位提出对该标准进行修订，以更好的满足粉末冶金行业的需求。</w:t>
      </w:r>
    </w:p>
    <w:p>
      <w:pPr>
        <w:widowControl/>
        <w:snapToGrid w:val="0"/>
        <w:spacing w:before="120" w:beforeLines="5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4 承担单位情况和主要工作过程</w:t>
      </w:r>
    </w:p>
    <w:p>
      <w:pPr>
        <w:widowControl/>
        <w:snapToGrid w:val="0"/>
        <w:spacing w:before="120" w:beforeLines="5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4.1 项目起草单位情况</w:t>
      </w:r>
    </w:p>
    <w:p>
      <w:pPr>
        <w:pStyle w:val="32"/>
        <w:spacing w:line="360" w:lineRule="auto"/>
        <w:ind w:firstLine="480"/>
        <w:jc w:val="left"/>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钢铁研究总院是国家首批103家创新型企业试点单位之一，是中关村科技园首批100家创新型企业之一，是我国金属新材料研发基地、冶金行业重大关键与共性技术的创新基地、国家冶金分析测试技术的权威机构，拥有两院院士9人，博士生导师58人，教授级高级工程师255人，政府特殊津贴314人等高技术人才，在长期的发展过程中，承担了大量863、973、国防军工、自然基金等国家重大项目和课题。</w:t>
      </w:r>
    </w:p>
    <w:p>
      <w:pPr>
        <w:pStyle w:val="32"/>
        <w:spacing w:line="360" w:lineRule="auto"/>
        <w:ind w:firstLine="480"/>
        <w:jc w:val="left"/>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深圳市注成科技股份有限公司是专业从事铁基、不锈钢、硬质合金、高密度钨合金、铝合金、铜基等金属粉末冶金材料的注射成型产品开发、生产及销售，大批量生产精密、三维形状复杂以及具有特殊性能要求的金属零部件。公司由多名多年从事金属注射成形行业的专业人员组建，构建了集研发设计、制造和服务于一体的高效团队。公司设备优良，拥有全套金属注射成形生产和检测设备。公司产品主要应用于国防军工、机械制造、汽车摩托车、仪器仪表、冶金、IT通讯、小家电、医疗器械、轻纺及家具制造等行业。</w:t>
      </w:r>
    </w:p>
    <w:p>
      <w:pPr>
        <w:pStyle w:val="32"/>
        <w:spacing w:line="360" w:lineRule="auto"/>
        <w:ind w:firstLine="480"/>
        <w:jc w:val="left"/>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中南大学是教育部直属全国重点大学、国家“211工程”首批重点建设高校、国家“985工程”部省重点共建高水平大学和国家“2011计划”首批牵头高校，2017年9月经国务院批准入选世界一流大学A类建设高校。拥有完备的有色金属、医学、轨道交通等学科体系。有中国科学院院士2人，中国工程院院士14人，国家“千人计划”入选者57人，教授及相应正高职称人员1500余人，享受政府特殊津贴专家496人等。</w:t>
      </w:r>
    </w:p>
    <w:p>
      <w:pPr>
        <w:pStyle w:val="32"/>
        <w:spacing w:line="360" w:lineRule="auto"/>
        <w:ind w:firstLine="480"/>
        <w:jc w:val="left"/>
        <w:rPr>
          <w:rFonts w:ascii="Times New Roman" w:cs="Times New Roman"/>
          <w:color w:val="000000" w:themeColor="text1"/>
          <w:sz w:val="24"/>
          <w:szCs w:val="24"/>
          <w14:textFill>
            <w14:solidFill>
              <w14:schemeClr w14:val="tx1"/>
            </w14:solidFill>
          </w14:textFill>
        </w:rPr>
      </w:pPr>
      <w:r>
        <w:rPr>
          <w:rFonts w:ascii="Times New Roman" w:cs="Times New Roman"/>
          <w:color w:val="000000" w:themeColor="text1"/>
          <w:sz w:val="24"/>
          <w:szCs w:val="24"/>
          <w14:textFill>
            <w14:solidFill>
              <w14:schemeClr w14:val="tx1"/>
            </w14:solidFill>
          </w14:textFill>
        </w:rPr>
        <w:t>广东省材料与加工研究所主要从事粉末冶金材料、金属基复合材料、铝镁铜钛有色金属材料、先进成形加工技术及装备的研发、设计和工程化应用等研究工作。研究所先后承担完成国家和省市100余项科研课题，获省部级奖励20余项。近年来，研究所取得了一批高水平、具有自主知识产权的研究成果，开发的技术和产品广泛应用于汽车、轨道交通、船舶、电子电器、矿山、建筑、水泥、电力、冶金等行业，产生了显著的经济和社会效益，在推动行业技术进步、人才培养、学术交流等方面为国家和省市做出了重要贡献。</w:t>
      </w:r>
    </w:p>
    <w:p>
      <w:pPr>
        <w:widowControl/>
        <w:snapToGrid w:val="0"/>
        <w:spacing w:before="120" w:beforeLines="5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4.2 主要工作过程</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接到GB/T 7964-201X《烧结金属材料（不包括硬质合金）室温拉伸试验》标准的修订任务后，钢铁研究总院迅速成立了标准编制小组，组织专门人员对标准的相关资料进行查询和整理，包括国内外烧结金属材料试样、室温拉伸试验等相关标准，以及国内外高校、研究院所和企业多年科研试验、生产过程中产品的技术资料、质量检测记录等等。</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（1）标准制定工作组通过对烧结金属材料室温拉伸试验</w:t>
      </w:r>
      <w:r>
        <w:rPr>
          <w:rStyle w:val="45"/>
          <w:color w:val="000000" w:themeColor="text1"/>
          <w:sz w:val="24"/>
          <w:szCs w:val="24"/>
          <w14:textFill>
            <w14:solidFill>
              <w14:schemeClr w14:val="tx1"/>
            </w14:solidFill>
          </w14:textFill>
        </w:rPr>
        <w:t>国内外标准、国内各高校研院所对科研试验及国内主要生产厂家的对产品质量的检测需求进行了收集整理总结，</w:t>
      </w:r>
      <w:r>
        <w:rPr>
          <w:color w:val="000000" w:themeColor="text1"/>
          <w:sz w:val="24"/>
          <w:szCs w:val="24"/>
          <w14:textFill>
            <w14:solidFill>
              <w14:schemeClr w14:val="tx1"/>
            </w14:solidFill>
          </w14:textFill>
        </w:rPr>
        <w:t>广泛吸收了烧结金属材料科研、生产、质检等有关方面技术专家的意见，参考国内外有关烧结金属材料室温拉伸试验的先进标准，依据</w:t>
      </w:r>
      <w:r>
        <w:rPr>
          <w:color w:val="000000" w:themeColor="text1"/>
          <w:kern w:val="0"/>
          <w:sz w:val="24"/>
          <w:szCs w:val="24"/>
          <w:lang w:val="zh-CN"/>
          <w14:textFill>
            <w14:solidFill>
              <w14:schemeClr w14:val="tx1"/>
            </w14:solidFill>
          </w14:textFill>
        </w:rPr>
        <w:t>国家标准《标准化工作导则》</w:t>
      </w:r>
      <w:r>
        <w:rPr>
          <w:color w:val="000000" w:themeColor="text1"/>
          <w:sz w:val="24"/>
          <w:szCs w:val="24"/>
          <w:lang w:val="de-DE"/>
          <w14:textFill>
            <w14:solidFill>
              <w14:schemeClr w14:val="tx1"/>
            </w14:solidFill>
          </w14:textFill>
        </w:rPr>
        <w:t xml:space="preserve">GB/T </w:t>
      </w:r>
      <w:r>
        <w:rPr>
          <w:color w:val="000000" w:themeColor="text1"/>
          <w:kern w:val="0"/>
          <w:sz w:val="24"/>
          <w:szCs w:val="24"/>
          <w:lang w:val="zh-CN"/>
          <w14:textFill>
            <w14:solidFill>
              <w14:schemeClr w14:val="tx1"/>
            </w14:solidFill>
          </w14:textFill>
        </w:rPr>
        <w:t>1.1-2009和《国家标准编写模版》的电子文本的</w:t>
      </w:r>
      <w:r>
        <w:rPr>
          <w:color w:val="000000" w:themeColor="text1"/>
          <w:sz w:val="24"/>
          <w:szCs w:val="24"/>
          <w14:textFill>
            <w14:solidFill>
              <w14:schemeClr w14:val="tx1"/>
            </w14:solidFill>
          </w14:textFill>
        </w:rPr>
        <w:t>格式</w:t>
      </w:r>
      <w:r>
        <w:rPr>
          <w:color w:val="000000" w:themeColor="text1"/>
          <w:kern w:val="0"/>
          <w:sz w:val="24"/>
          <w:szCs w:val="24"/>
          <w:lang w:val="zh-CN"/>
          <w14:textFill>
            <w14:solidFill>
              <w14:schemeClr w14:val="tx1"/>
            </w14:solidFill>
          </w14:textFill>
        </w:rPr>
        <w:t>要求</w:t>
      </w:r>
      <w:r>
        <w:rPr>
          <w:color w:val="000000" w:themeColor="text1"/>
          <w:sz w:val="24"/>
          <w:szCs w:val="24"/>
          <w14:textFill>
            <w14:solidFill>
              <w14:schemeClr w14:val="tx1"/>
            </w14:solidFill>
          </w14:textFill>
        </w:rPr>
        <w:t>，于2018年10月形成了国家标准《烧结金属材料（不包括硬质合金）室温拉伸试验》的草案稿，发送到业内相关高校、科研院所、生产企业征求意见。</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2018年10月29日-31日，由全国有色金属标准化技术委员会主持，在安徽省合肥市组织召开本标准的讨论会。来自全国有色标准化技术委员会、株洲硬质合金集团有限公司、崇义章源钨业股份有限公司、广东省材料与加工研究所、江苏博迁新材料有限公司、自贡硬质合金有限公司、南昌硬质合金有限责任公司、北京矿冶研究总院等8家单位的10多位专家代表参加了会议。与会代表对本标准（讨论稿）进行了认真、细致的讨论，提出了宝贵的修改意见和建议。标准制定工作组根据讨论的意见，形成了标准意见汇总处理表和标准预审稿。</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2019年03月17日-29日，由全国有色金属标准化技术委员会主持，在湖南省株洲市组织召开本标准的预审会。来自全国有色标准化技术委员会、宝武特种冶金有限公司、北京当升材料科技股份有限公司、北京冶金科技集团有限公司、广东广晟稀有金属光电新材料有限公司、广东佳纳能源科技有限公司、广东省材料与加工研究所、湖南长远锂科有限公司、济宁市无界科技有限公司、金驰能源材料有限公司、金堆城钼业股份有限公司、九江有色金属冶炼有限公司、宁夏东方钽业股份有限公司、厦门虹鹭钨钼工业有限公司、深圳市注成科技股份有限公司、天津国安盟固利新材料科技股份有限公司、西部宝德科技股份有限公司、自贡硬质合金有限公司、四川新锂想能源科技有限责任公司、中南大学等20家单位的20多位专家代表参加了会议。与会代表对本标准（预审稿）进行了认真、细致的讨论，提出了</w:t>
      </w:r>
      <w:r>
        <w:rPr>
          <w:rFonts w:hint="eastAsia"/>
          <w:color w:val="000000" w:themeColor="text1"/>
          <w:sz w:val="24"/>
          <w:szCs w:val="24"/>
          <w14:textFill>
            <w14:solidFill>
              <w14:schemeClr w14:val="tx1"/>
            </w14:solidFill>
          </w14:textFill>
        </w:rPr>
        <w:t>以下</w:t>
      </w:r>
      <w:r>
        <w:rPr>
          <w:color w:val="000000" w:themeColor="text1"/>
          <w:sz w:val="24"/>
          <w:szCs w:val="24"/>
          <w14:textFill>
            <w14:solidFill>
              <w14:schemeClr w14:val="tx1"/>
            </w14:solidFill>
          </w14:textFill>
        </w:rPr>
        <w:t>的修改意见和建议</w:t>
      </w:r>
      <w:r>
        <w:rPr>
          <w:rFonts w:hint="eastAsia"/>
          <w:color w:val="000000" w:themeColor="text1"/>
          <w:sz w:val="24"/>
          <w:szCs w:val="24"/>
          <w14:textFill>
            <w14:solidFill>
              <w14:schemeClr w14:val="tx1"/>
            </w14:solidFill>
          </w14:textFill>
        </w:rPr>
        <w:t>：</w:t>
      </w:r>
    </w:p>
    <w:p>
      <w:pPr>
        <w:spacing w:line="360" w:lineRule="auto"/>
        <w:rPr>
          <w:sz w:val="24"/>
          <w:szCs w:val="24"/>
        </w:rPr>
      </w:pPr>
      <w:r>
        <w:rPr>
          <w:rFonts w:hint="eastAsia"/>
          <w:color w:val="000000" w:themeColor="text1"/>
          <w:sz w:val="24"/>
          <w:szCs w:val="24"/>
          <w14:textFill>
            <w14:solidFill>
              <w14:schemeClr w14:val="tx1"/>
            </w14:solidFill>
          </w14:textFill>
        </w:rPr>
        <w:t>（1）</w:t>
      </w:r>
      <w:r>
        <w:rPr>
          <w:sz w:val="24"/>
          <w:szCs w:val="24"/>
        </w:rPr>
        <w:t>前言中，应按标准编制要求规范前言书写；</w:t>
      </w:r>
    </w:p>
    <w:p>
      <w:pPr>
        <w:spacing w:line="360" w:lineRule="auto"/>
        <w:rPr>
          <w:sz w:val="24"/>
          <w:szCs w:val="24"/>
        </w:rPr>
      </w:pPr>
      <w:r>
        <w:rPr>
          <w:rFonts w:hint="eastAsia"/>
          <w:sz w:val="24"/>
          <w:szCs w:val="24"/>
        </w:rPr>
        <w:t>（2）第4章中，对符号的修改和说明应加入新旧符号对照表，写到附录中；</w:t>
      </w:r>
    </w:p>
    <w:p>
      <w:pPr>
        <w:spacing w:line="360" w:lineRule="auto"/>
        <w:rPr>
          <w:sz w:val="24"/>
          <w:szCs w:val="24"/>
        </w:rPr>
      </w:pPr>
      <w:r>
        <w:rPr>
          <w:rFonts w:hint="eastAsia"/>
          <w:sz w:val="24"/>
          <w:szCs w:val="24"/>
        </w:rPr>
        <w:t>（3）6</w:t>
      </w:r>
      <w:r>
        <w:rPr>
          <w:sz w:val="24"/>
          <w:szCs w:val="24"/>
        </w:rPr>
        <w:t>.2节中</w:t>
      </w:r>
      <w:r>
        <w:rPr>
          <w:rFonts w:hint="eastAsia"/>
          <w:sz w:val="24"/>
          <w:szCs w:val="24"/>
        </w:rPr>
        <w:t>，</w:t>
      </w:r>
      <w:r>
        <w:rPr>
          <w:sz w:val="24"/>
          <w:szCs w:val="24"/>
        </w:rPr>
        <w:t>规范语言</w:t>
      </w:r>
      <w:r>
        <w:rPr>
          <w:rFonts w:hint="eastAsia"/>
          <w:sz w:val="24"/>
          <w:szCs w:val="24"/>
        </w:rPr>
        <w:t>；</w:t>
      </w:r>
    </w:p>
    <w:p>
      <w:pPr>
        <w:spacing w:line="360" w:lineRule="auto"/>
        <w:rPr>
          <w:sz w:val="24"/>
          <w:szCs w:val="24"/>
        </w:rPr>
      </w:pPr>
      <w:r>
        <w:rPr>
          <w:rFonts w:hint="eastAsia"/>
          <w:sz w:val="24"/>
          <w:szCs w:val="24"/>
        </w:rPr>
        <w:t>（4）7</w:t>
      </w:r>
      <w:r>
        <w:rPr>
          <w:sz w:val="24"/>
          <w:szCs w:val="24"/>
        </w:rPr>
        <w:t>.2节中</w:t>
      </w:r>
      <w:r>
        <w:rPr>
          <w:rFonts w:hint="eastAsia"/>
          <w:sz w:val="24"/>
          <w:szCs w:val="24"/>
        </w:rPr>
        <w:t>，</w:t>
      </w:r>
      <w:r>
        <w:rPr>
          <w:sz w:val="24"/>
          <w:szCs w:val="24"/>
        </w:rPr>
        <w:t>加入横梁位移速率控制公式</w:t>
      </w:r>
      <w:r>
        <w:rPr>
          <w:rFonts w:hint="eastAsia"/>
          <w:sz w:val="24"/>
          <w:szCs w:val="24"/>
        </w:rPr>
        <w:t>；</w:t>
      </w:r>
    </w:p>
    <w:p>
      <w:pPr>
        <w:spacing w:line="360" w:lineRule="auto"/>
        <w:rPr>
          <w:color w:val="000000" w:themeColor="text1"/>
          <w:sz w:val="24"/>
          <w:szCs w:val="24"/>
          <w14:textFill>
            <w14:solidFill>
              <w14:schemeClr w14:val="tx1"/>
            </w14:solidFill>
          </w14:textFill>
        </w:rPr>
      </w:pPr>
      <w:r>
        <w:rPr>
          <w:rFonts w:hint="eastAsia"/>
          <w:sz w:val="24"/>
          <w:szCs w:val="24"/>
        </w:rPr>
        <w:t>（5）将1</w:t>
      </w:r>
      <w:r>
        <w:rPr>
          <w:sz w:val="24"/>
          <w:szCs w:val="24"/>
        </w:rPr>
        <w:t>0.1实验结果说明调整到第</w:t>
      </w:r>
      <w:r>
        <w:rPr>
          <w:rFonts w:hint="eastAsia"/>
          <w:sz w:val="24"/>
          <w:szCs w:val="24"/>
        </w:rPr>
        <w:t>8</w:t>
      </w:r>
      <w:r>
        <w:rPr>
          <w:sz w:val="24"/>
          <w:szCs w:val="24"/>
        </w:rPr>
        <w:t>章</w:t>
      </w:r>
      <w:r>
        <w:rPr>
          <w:rFonts w:hint="eastAsia"/>
          <w:sz w:val="24"/>
          <w:szCs w:val="24"/>
        </w:rPr>
        <w:t>。</w:t>
      </w:r>
    </w:p>
    <w:p>
      <w:pPr>
        <w:autoSpaceDE w:val="0"/>
        <w:autoSpaceDN w:val="0"/>
        <w:adjustRightIn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二、标准编制原则和确定标准主要修订内容及依据</w:t>
      </w:r>
    </w:p>
    <w:p>
      <w:pPr>
        <w:tabs>
          <w:tab w:val="left" w:pos="5220"/>
        </w:tabs>
        <w:autoSpaceDE w:val="0"/>
        <w:autoSpaceDN w:val="0"/>
        <w:adjustRightInd w:val="0"/>
        <w:spacing w:line="360" w:lineRule="auto"/>
        <w:jc w:val="left"/>
        <w:rPr>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1.标准编制原则</w:t>
      </w:r>
    </w:p>
    <w:p>
      <w:pPr>
        <w:autoSpaceDE w:val="0"/>
        <w:autoSpaceDN w:val="0"/>
        <w:adjustRightInd w:val="0"/>
        <w:spacing w:line="360" w:lineRule="auto"/>
        <w:ind w:firstLine="480" w:firstLineChars="200"/>
        <w:jc w:val="left"/>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保证标准的适用性；保持标准的先进性；提高标准的统一性和协调性；增加标准的经济性和社会效益。</w:t>
      </w:r>
    </w:p>
    <w:p>
      <w:pPr>
        <w:autoSpaceDE w:val="0"/>
        <w:autoSpaceDN w:val="0"/>
        <w:adjustRightInd w:val="0"/>
        <w:spacing w:line="360" w:lineRule="auto"/>
        <w:ind w:firstLine="480" w:firstLineChars="200"/>
        <w:jc w:val="left"/>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结合我国国情积极</w:t>
      </w:r>
      <w:r>
        <w:fldChar w:fldCharType="begin"/>
      </w:r>
      <w:r>
        <w:instrText xml:space="preserve"> HYPERLINK "https://www.baidu.com/s?wd=%E9%87%87%E7%94%A8%E5%9B%BD%E9%99%85%E6%A0%87%E5%87%86&amp;tn=44039180_cpr&amp;fenlei=mv6quAkxTZn0IZRqIHckPjm4nH00T1d9PhmYnHbdujbznHu9uHD40ZwV5Hcvrjm3rH6sPfKWUMw85HfYnjn4nH6sgvPsT6KdThsqpZwYTjCEQLGCpyw9Uz4Bmy-bIi4WUvYETgN-TLwGUv3EnHf1nj01Pj0vPjfzrjDzPj6drf" \t "_blank" </w:instrText>
      </w:r>
      <w:r>
        <w:fldChar w:fldCharType="separate"/>
      </w:r>
      <w:r>
        <w:rPr>
          <w:color w:val="000000" w:themeColor="text1"/>
          <w:kern w:val="0"/>
          <w:sz w:val="24"/>
          <w:szCs w:val="24"/>
          <w14:textFill>
            <w14:solidFill>
              <w14:schemeClr w14:val="tx1"/>
            </w14:solidFill>
          </w14:textFill>
        </w:rPr>
        <w:t>借鉴国际标准</w:t>
      </w:r>
      <w:r>
        <w:rPr>
          <w:color w:val="000000" w:themeColor="text1"/>
          <w:kern w:val="0"/>
          <w:sz w:val="24"/>
          <w:szCs w:val="24"/>
          <w14:textFill>
            <w14:solidFill>
              <w14:schemeClr w14:val="tx1"/>
            </w14:solidFill>
          </w14:textFill>
        </w:rPr>
        <w:fldChar w:fldCharType="end"/>
      </w:r>
      <w:r>
        <w:rPr>
          <w:color w:val="000000" w:themeColor="text1"/>
          <w:kern w:val="0"/>
          <w:sz w:val="24"/>
          <w:szCs w:val="24"/>
          <w14:textFill>
            <w14:solidFill>
              <w14:schemeClr w14:val="tx1"/>
            </w14:solidFill>
          </w14:textFill>
        </w:rPr>
        <w:t>和国外先进标准，加快和国际接轨的步伐，提高产品的竞争能力。</w:t>
      </w:r>
    </w:p>
    <w:p>
      <w:pPr>
        <w:tabs>
          <w:tab w:val="left" w:pos="5220"/>
        </w:tabs>
        <w:autoSpaceDE w:val="0"/>
        <w:autoSpaceDN w:val="0"/>
        <w:adjustRightInd w:val="0"/>
        <w:spacing w:line="360" w:lineRule="auto"/>
        <w:jc w:val="left"/>
        <w:rPr>
          <w:b/>
          <w:bCs/>
          <w:color w:val="000000" w:themeColor="text1"/>
          <w:kern w:val="0"/>
          <w:sz w:val="24"/>
          <w:szCs w:val="24"/>
          <w14:textFill>
            <w14:solidFill>
              <w14:schemeClr w14:val="tx1"/>
            </w14:solidFill>
          </w14:textFill>
        </w:rPr>
      </w:pPr>
      <w:bookmarkStart w:id="0" w:name="_Toc464224253"/>
      <w:r>
        <w:rPr>
          <w:b/>
          <w:bCs/>
          <w:color w:val="000000" w:themeColor="text1"/>
          <w:kern w:val="0"/>
          <w:sz w:val="24"/>
          <w:szCs w:val="24"/>
          <w14:textFill>
            <w14:solidFill>
              <w14:schemeClr w14:val="tx1"/>
            </w14:solidFill>
          </w14:textFill>
        </w:rPr>
        <w:t>2.修订依据</w:t>
      </w:r>
      <w:bookmarkEnd w:id="0"/>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修订以烧结金属材料室温拉伸试验</w:t>
      </w:r>
      <w:r>
        <w:rPr>
          <w:rStyle w:val="45"/>
          <w:color w:val="000000" w:themeColor="text1"/>
          <w:sz w:val="24"/>
          <w:szCs w:val="24"/>
          <w14:textFill>
            <w14:solidFill>
              <w14:schemeClr w14:val="tx1"/>
            </w14:solidFill>
          </w14:textFill>
        </w:rPr>
        <w:t>国内外标准、国内各高校研院所对科研试验及国内主要生产厂家的对产品质量的检测需求为重要依据，结合行业技术发展，试验设备和试验方法更新换代，形成适用于</w:t>
      </w:r>
      <w:r>
        <w:rPr>
          <w:color w:val="000000" w:themeColor="text1"/>
          <w:kern w:val="0"/>
          <w:sz w:val="24"/>
          <w:szCs w:val="24"/>
          <w14:textFill>
            <w14:solidFill>
              <w14:schemeClr w14:val="tx1"/>
            </w14:solidFill>
          </w14:textFill>
        </w:rPr>
        <w:t>我国国情的</w:t>
      </w:r>
      <w:r>
        <w:rPr>
          <w:color w:val="000000" w:themeColor="text1"/>
          <w:sz w:val="24"/>
          <w:szCs w:val="24"/>
          <w14:textFill>
            <w14:solidFill>
              <w14:schemeClr w14:val="tx1"/>
            </w14:solidFill>
          </w14:textFill>
        </w:rPr>
        <w:t>烧结金属材料室温拉伸试验标准，以提高产品质检的统一性和先进性。</w:t>
      </w:r>
    </w:p>
    <w:p>
      <w:pPr>
        <w:spacing w:line="360" w:lineRule="auto"/>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3.</w:t>
      </w:r>
      <w:r>
        <w:rPr>
          <w:b/>
          <w:bCs/>
          <w:color w:val="000000" w:themeColor="text1"/>
          <w:kern w:val="0"/>
          <w:sz w:val="24"/>
          <w:szCs w:val="24"/>
          <w:lang w:val="zh-CN"/>
          <w14:textFill>
            <w14:solidFill>
              <w14:schemeClr w14:val="tx1"/>
            </w14:solidFill>
          </w14:textFill>
        </w:rPr>
        <w:t>调研情况</w:t>
      </w:r>
    </w:p>
    <w:p>
      <w:pPr>
        <w:wordWrap w:val="0"/>
        <w:autoSpaceDE w:val="0"/>
        <w:autoSpaceDN w:val="0"/>
        <w:adjustRightInd w:val="0"/>
        <w:spacing w:line="360" w:lineRule="auto"/>
        <w:ind w:firstLine="480" w:firstLineChars="200"/>
        <w:jc w:val="left"/>
        <w:rPr>
          <w:rStyle w:val="45"/>
          <w:rFonts w:eastAsiaTheme="minorEastAsia"/>
          <w:color w:val="000000" w:themeColor="text1"/>
          <w:sz w:val="24"/>
          <w:szCs w:val="24"/>
          <w14:textFill>
            <w14:solidFill>
              <w14:schemeClr w14:val="tx1"/>
            </w14:solidFill>
          </w14:textFill>
        </w:rPr>
      </w:pPr>
      <w:r>
        <w:rPr>
          <w:rStyle w:val="45"/>
          <w:rFonts w:eastAsiaTheme="minorEastAsia"/>
          <w:color w:val="000000" w:themeColor="text1"/>
          <w:sz w:val="24"/>
          <w:szCs w:val="24"/>
          <w14:textFill>
            <w14:solidFill>
              <w14:schemeClr w14:val="tx1"/>
            </w14:solidFill>
          </w14:textFill>
        </w:rPr>
        <w:t>（1）标准制定工作组通过对烧结金属材料室温拉伸试验国内外相关标准进行调研，包括GB/T 7963-2015 《烧结金属材料（不包括硬质合金）拉伸试样》、JB/T 6646《烧结金属制品 物理性能检验规范》、GB/T 228.1-2010 《金属材料 拉伸试验 第1部分：室温试验方法》、ISO6892-1《Metallic materials –Tensile testing-Part 1: Method of test at room temperature》、ISO 2740-2009《Sintered metal materials, excluding hardmetals-Tensile test pieces》、ISO 23718《Metallic materials-Mechanical testing-Vocabulary》等。对烧结金属材料室温拉伸试验标准的试验术语、定义、原理等进行了规范。</w:t>
      </w:r>
    </w:p>
    <w:p>
      <w:pPr>
        <w:wordWrap w:val="0"/>
        <w:autoSpaceDE w:val="0"/>
        <w:autoSpaceDN w:val="0"/>
        <w:adjustRightInd w:val="0"/>
        <w:spacing w:line="360" w:lineRule="auto"/>
        <w:ind w:firstLine="480" w:firstLineChars="200"/>
        <w:jc w:val="left"/>
        <w:rPr>
          <w:color w:val="000000" w:themeColor="text1"/>
          <w:kern w:val="0"/>
          <w:sz w:val="24"/>
          <w:szCs w:val="24"/>
          <w14:textFill>
            <w14:solidFill>
              <w14:schemeClr w14:val="tx1"/>
            </w14:solidFill>
          </w14:textFill>
        </w:rPr>
      </w:pPr>
      <w:r>
        <w:rPr>
          <w:color w:val="000000" w:themeColor="text1"/>
          <w:sz w:val="24"/>
          <w:szCs w:val="24"/>
          <w14:textFill>
            <w14:solidFill>
              <w14:schemeClr w14:val="tx1"/>
            </w14:solidFill>
          </w14:textFill>
        </w:rPr>
        <w:t>（2）标准制定工作组通过对</w:t>
      </w:r>
      <w:r>
        <w:rPr>
          <w:rStyle w:val="45"/>
          <w:color w:val="000000" w:themeColor="text1"/>
          <w:sz w:val="24"/>
          <w:szCs w:val="24"/>
          <w14:textFill>
            <w14:solidFill>
              <w14:schemeClr w14:val="tx1"/>
            </w14:solidFill>
          </w14:textFill>
        </w:rPr>
        <w:t>国内各大高校、研究院所、企业等使用的</w:t>
      </w:r>
      <w:r>
        <w:rPr>
          <w:color w:val="000000" w:themeColor="text1"/>
          <w:sz w:val="24"/>
          <w:szCs w:val="24"/>
          <w14:textFill>
            <w14:solidFill>
              <w14:schemeClr w14:val="tx1"/>
            </w14:solidFill>
          </w14:textFill>
        </w:rPr>
        <w:t>烧结金属材料室温拉伸试验</w:t>
      </w:r>
      <w:r>
        <w:rPr>
          <w:rStyle w:val="45"/>
          <w:color w:val="000000" w:themeColor="text1"/>
          <w:sz w:val="24"/>
          <w:szCs w:val="24"/>
          <w14:textFill>
            <w14:solidFill>
              <w14:schemeClr w14:val="tx1"/>
            </w14:solidFill>
          </w14:textFill>
        </w:rPr>
        <w:t>相关试验设备、试验条件、样品加工能力进行了调研。</w:t>
      </w:r>
      <w:r>
        <w:rPr>
          <w:color w:val="000000" w:themeColor="text1"/>
          <w:kern w:val="0"/>
          <w:sz w:val="24"/>
          <w:szCs w:val="24"/>
          <w14:textFill>
            <w14:solidFill>
              <w14:schemeClr w14:val="tx1"/>
            </w14:solidFill>
          </w14:textFill>
        </w:rPr>
        <w:t>对</w:t>
      </w:r>
      <w:r>
        <w:rPr>
          <w:color w:val="000000" w:themeColor="text1"/>
          <w:sz w:val="24"/>
          <w:szCs w:val="24"/>
          <w14:textFill>
            <w14:solidFill>
              <w14:schemeClr w14:val="tx1"/>
            </w14:solidFill>
          </w14:textFill>
        </w:rPr>
        <w:t>烧结金属材料室温拉伸试验标准的试验设备、附件等进行了准确度要求，对试验条件等进行修改。</w:t>
      </w:r>
    </w:p>
    <w:p>
      <w:pPr>
        <w:autoSpaceDE w:val="0"/>
        <w:autoSpaceDN w:val="0"/>
        <w:adjustRightInd w:val="0"/>
        <w:spacing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4.修订内容及确定方法</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根据前期调研情况提出对以下内容进行修订。</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4.1标准英文名称</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标准英文名称由“Sintered metal materials (excluding hardmetal )-Tension testing at room temperature”修改为“Tension testing for sintered metal materials (excluding hardmetal ) at room temperature”。</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4.2范围</w:t>
      </w:r>
    </w:p>
    <w:p>
      <w:pPr>
        <w:spacing w:line="360" w:lineRule="auto"/>
        <w:ind w:firstLine="480" w:firstLineChars="200"/>
        <w:rPr>
          <w:bCs/>
          <w:color w:val="000000" w:themeColor="text1"/>
          <w:sz w:val="24"/>
          <w:szCs w:val="24"/>
          <w14:textFill>
            <w14:solidFill>
              <w14:schemeClr w14:val="tx1"/>
            </w14:solidFill>
          </w14:textFill>
        </w:rPr>
      </w:pPr>
      <w:r>
        <w:rPr>
          <w:rStyle w:val="45"/>
          <w:color w:val="000000" w:themeColor="text1"/>
          <w:sz w:val="24"/>
          <w:szCs w:val="24"/>
          <w14:textFill>
            <w14:solidFill>
              <w14:schemeClr w14:val="tx1"/>
            </w14:solidFill>
          </w14:textFill>
        </w:rPr>
        <w:t>“本标准适用于测定加工或非机加工的烧结金属材料（硬质合金除外）的屈服点、屈服应力、抗拉强力、伸长率和断面收缩率”修改为“</w:t>
      </w:r>
      <w:r>
        <w:rPr>
          <w:color w:val="000000" w:themeColor="text1"/>
          <w:sz w:val="24"/>
          <w:szCs w:val="24"/>
          <w14:textFill>
            <w14:solidFill>
              <w14:schemeClr w14:val="tx1"/>
            </w14:solidFill>
          </w14:textFill>
        </w:rPr>
        <w:t>本标准适用于测定加工或非机加工的烧结金属材料（硬质合金除外）的屈服强度、规定塑性延伸强度、抗拉强度、断后伸长率和断面收缩率</w:t>
      </w:r>
      <w:r>
        <w:rPr>
          <w:rStyle w:val="45"/>
          <w:color w:val="000000" w:themeColor="text1"/>
          <w:sz w:val="24"/>
          <w:szCs w:val="24"/>
          <w14:textFill>
            <w14:solidFill>
              <w14:schemeClr w14:val="tx1"/>
            </w14:solidFill>
          </w14:textFill>
        </w:rPr>
        <w:t>”。</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4.1增加规范性引用文件</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增加了GB/T 7963和GB/T 16825.1两个规范性引用文件。包括：</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GB/T 7963 《烧结金属材料（不包括硬质合金）拉伸试样》</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GB/T 16825.1 《静力单轴试验机的检验 第1部分：拉力和（或）压力试验机 测力系统的检验与校准》</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烧结金属材料室温拉伸试验结果的测量统一性和准确性与试验设备密切相关，对引伸计和静力单轴试验机的计量检验要求能保证各试验方所使用试验设备在试验误差内，以进一步保证试验结果的测量统一性和准确性。</w:t>
      </w:r>
    </w:p>
    <w:p>
      <w:pPr>
        <w:spacing w:line="36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4.2 实验原理的调整</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将“记录相应的负荷、变形或绘出应力-应变图（负荷-伸长图），计量力学性能”改为“由计算机记录相应的负荷、变形，得到负荷-伸长图，并计算力学性能”。</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4.3试验符号的调整</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按照GB/T 10623-2008《金属材料 力学性能试验术语》规范了使用符号的表示和相应的说明，见第4章。</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将表格中的“名称”改为“说明”；将“</w:t>
      </w:r>
      <w:r>
        <w:rPr>
          <w:i/>
          <w:color w:val="000000" w:themeColor="text1"/>
          <w:sz w:val="24"/>
          <w:szCs w:val="24"/>
          <w14:textFill>
            <w14:solidFill>
              <w14:schemeClr w14:val="tx1"/>
            </w14:solidFill>
          </w14:textFill>
        </w:rPr>
        <w:t>l</w:t>
      </w:r>
      <w:r>
        <w:rPr>
          <w:color w:val="000000" w:themeColor="text1"/>
          <w:sz w:val="24"/>
          <w:szCs w:val="24"/>
          <w:vertAlign w:val="subscript"/>
          <w14:textFill>
            <w14:solidFill>
              <w14:schemeClr w14:val="tx1"/>
            </w14:solidFill>
          </w14:textFill>
        </w:rPr>
        <w:t>o</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L</w:t>
      </w:r>
      <w:r>
        <w:rPr>
          <w:color w:val="000000" w:themeColor="text1"/>
          <w:szCs w:val="24"/>
          <w:vertAlign w:val="subscript"/>
          <w14:textFill>
            <w14:solidFill>
              <w14:schemeClr w14:val="tx1"/>
            </w14:solidFill>
          </w14:textFill>
        </w:rPr>
        <w:t>o</w:t>
      </w:r>
      <w:r>
        <w:rPr>
          <w:color w:val="000000" w:themeColor="text1"/>
          <w:sz w:val="24"/>
          <w:szCs w:val="24"/>
          <w14:textFill>
            <w14:solidFill>
              <w14:schemeClr w14:val="tx1"/>
            </w14:solidFill>
          </w14:textFill>
        </w:rPr>
        <w:t>”； 将“</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L</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”；将“</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”改为“</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”，并定义</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为引伸计标距的伸长；将“</w:t>
      </w:r>
      <w:r>
        <w:rPr>
          <w:i/>
          <w:color w:val="000000" w:themeColor="text1"/>
          <w:sz w:val="24"/>
          <w:szCs w:val="24"/>
          <w14:textFill>
            <w14:solidFill>
              <w14:schemeClr w14:val="tx1"/>
            </w14:solidFill>
          </w14:textFill>
        </w:rPr>
        <w:t>d</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d</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d</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为圆柱试样拉断后标距部分缩颈处的最小直径；将“</w:t>
      </w:r>
      <w:r>
        <w:rPr>
          <w:i/>
          <w:color w:val="000000" w:themeColor="text1"/>
          <w:sz w:val="24"/>
          <w:szCs w:val="24"/>
          <w14:textFill>
            <w14:solidFill>
              <w14:schemeClr w14:val="tx1"/>
            </w14:solidFill>
          </w14:textFill>
        </w:rPr>
        <w:t>A</w:t>
      </w:r>
      <w:r>
        <w:rPr>
          <w:color w:val="000000" w:themeColor="text1"/>
          <w:sz w:val="24"/>
          <w:szCs w:val="24"/>
          <w:vertAlign w:val="subscript"/>
          <w14:textFill>
            <w14:solidFill>
              <w14:schemeClr w14:val="tx1"/>
            </w14:solidFill>
          </w14:textFill>
        </w:rPr>
        <w:t>o</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S</w:t>
      </w:r>
      <w:r>
        <w:rPr>
          <w:color w:val="000000" w:themeColor="text1"/>
          <w:szCs w:val="24"/>
          <w:vertAlign w:val="subscript"/>
          <w14:textFill>
            <w14:solidFill>
              <w14:schemeClr w14:val="tx1"/>
            </w14:solidFill>
          </w14:textFill>
        </w:rPr>
        <w:t>o</w:t>
      </w:r>
      <w:r>
        <w:rPr>
          <w:color w:val="000000" w:themeColor="text1"/>
          <w:sz w:val="24"/>
          <w:szCs w:val="24"/>
          <w14:textFill>
            <w14:solidFill>
              <w14:schemeClr w14:val="tx1"/>
            </w14:solidFill>
          </w14:textFill>
        </w:rPr>
        <w:t>”； 将“</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S</w:t>
      </w:r>
      <w:r>
        <w:rPr>
          <w:color w:val="000000" w:themeColor="text1"/>
          <w:sz w:val="24"/>
          <w:szCs w:val="24"/>
          <w:vertAlign w:val="subscript"/>
          <w14:textFill>
            <w14:solidFill>
              <w14:schemeClr w14:val="tx1"/>
            </w14:solidFill>
          </w14:textFill>
        </w:rPr>
        <w:t>u</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S</w:t>
      </w:r>
      <w:r>
        <w:rPr>
          <w:color w:val="000000" w:themeColor="text1"/>
          <w:sz w:val="24"/>
          <w:szCs w:val="24"/>
          <w:vertAlign w:val="subscript"/>
          <w14:textFill>
            <w14:solidFill>
              <w14:schemeClr w14:val="tx1"/>
            </w14:solidFill>
          </w14:textFill>
        </w:rPr>
        <w:t>u</w:t>
      </w:r>
      <w:r>
        <w:rPr>
          <w:color w:val="000000" w:themeColor="text1"/>
          <w:sz w:val="24"/>
          <w:szCs w:val="24"/>
          <w14:textFill>
            <w14:solidFill>
              <w14:schemeClr w14:val="tx1"/>
            </w14:solidFill>
          </w14:textFill>
        </w:rPr>
        <w:t>为试样拉断后标距部分缩颈处的最小横截面积；将“</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为规定塑性延伸的力，并将单位“N/mm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”改为“MPa”；将“</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m</w:t>
      </w:r>
      <w:r>
        <w:rPr>
          <w:color w:val="000000" w:themeColor="text1"/>
          <w:sz w:val="24"/>
          <w:szCs w:val="24"/>
          <w14:textFill>
            <w14:solidFill>
              <w14:schemeClr w14:val="tx1"/>
            </w14:solidFill>
          </w14:textFill>
        </w:rPr>
        <w:t>”；将“</w:t>
      </w:r>
      <w:r>
        <w:rPr>
          <w:i/>
          <w:color w:val="000000" w:themeColor="text1"/>
          <w:sz w:val="24"/>
          <w:szCs w:val="24"/>
          <w14:textFill>
            <w14:solidFill>
              <w14:schemeClr w14:val="tx1"/>
            </w14:solidFill>
          </w14:textFill>
        </w:rPr>
        <w:t>σ</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R</w:t>
      </w:r>
      <w:r>
        <w:rPr>
          <w:color w:val="000000" w:themeColor="text1"/>
          <w:sz w:val="24"/>
          <w:szCs w:val="24"/>
          <w14:textFill>
            <w14:solidFill>
              <w14:schemeClr w14:val="tx1"/>
            </w14:solidFill>
          </w14:textFill>
        </w:rPr>
        <w:t>”；将“</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为屈服强度；将“</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为规定塑性延伸强度；将“</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b</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m</w:t>
      </w:r>
      <w:r>
        <w:rPr>
          <w:color w:val="000000" w:themeColor="text1"/>
          <w:sz w:val="24"/>
          <w:szCs w:val="24"/>
          <w14:textFill>
            <w14:solidFill>
              <w14:schemeClr w14:val="tx1"/>
            </w14:solidFill>
          </w14:textFill>
        </w:rPr>
        <w:t>”；将“</w:t>
      </w:r>
      <w:r>
        <w:rPr>
          <w:i/>
          <w:color w:val="000000" w:themeColor="text1"/>
          <w:sz w:val="24"/>
          <w:szCs w:val="24"/>
          <w14:textFill>
            <w14:solidFill>
              <w14:schemeClr w14:val="tx1"/>
            </w14:solidFill>
          </w14:textFill>
        </w:rPr>
        <w:t>δ</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为断后延伸率；将“</w:t>
      </w:r>
      <w:r>
        <w:rPr>
          <w:i/>
          <w:color w:val="000000" w:themeColor="text1"/>
          <w:sz w:val="24"/>
          <w:szCs w:val="24"/>
          <w14:textFill>
            <w14:solidFill>
              <w14:schemeClr w14:val="tx1"/>
            </w14:solidFill>
          </w14:textFill>
        </w:rPr>
        <w:t>ψ</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Z</w:t>
      </w:r>
      <w:r>
        <w:rPr>
          <w:color w:val="000000" w:themeColor="text1"/>
          <w:sz w:val="24"/>
          <w:szCs w:val="24"/>
          <w14:textFill>
            <w14:solidFill>
              <w14:schemeClr w14:val="tx1"/>
            </w14:solidFill>
          </w14:textFill>
        </w:rPr>
        <w:t>”；将“</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”改为“</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为规定塑性伸长率。增加了“</w:t>
      </w:r>
      <w:r>
        <w:rPr>
          <w:i/>
          <w:color w:val="000000" w:themeColor="text1"/>
          <w:szCs w:val="24"/>
          <w14:textFill>
            <w14:solidFill>
              <w14:schemeClr w14:val="tx1"/>
            </w14:solidFill>
          </w14:textFill>
        </w:rPr>
        <w:t>L</w:t>
      </w:r>
      <w:r>
        <w:rPr>
          <w:color w:val="000000" w:themeColor="text1"/>
          <w:szCs w:val="24"/>
          <w:vertAlign w:val="subscript"/>
          <w14:textFill>
            <w14:solidFill>
              <w14:schemeClr w14:val="tx1"/>
            </w14:solidFill>
          </w14:textFill>
        </w:rPr>
        <w:t>c</w:t>
      </w:r>
      <w:r>
        <w:rPr>
          <w:color w:val="000000" w:themeColor="text1"/>
          <w:sz w:val="24"/>
          <w:szCs w:val="24"/>
          <w14:textFill>
            <w14:solidFill>
              <w14:schemeClr w14:val="tx1"/>
            </w14:solidFill>
          </w14:textFill>
        </w:rPr>
        <w:t>”，定义为平行段长度；“</w:t>
      </w:r>
      <m:oMath>
        <m:r>
          <m:rPr>
            <m:sty m:val="p"/>
          </m:rPr>
          <w:rPr>
            <w:rFonts w:ascii="Cambria Math" w:hAnsi="Cambria Math"/>
            <w:color w:val="000000" w:themeColor="text1"/>
            <w:szCs w:val="24"/>
            <w14:textFill>
              <w14:solidFill>
                <w14:schemeClr w14:val="tx1"/>
              </w14:solidFill>
            </w14:textFill>
          </w:rPr>
          <m:t xml:space="preserve"> </m:t>
        </m:r>
        <m:sSub>
          <m:sSubPr>
            <m:ctrlPr>
              <w:rPr>
                <w:rFonts w:ascii="Cambria Math" w:hAnsi="Cambria Math"/>
                <w:color w:val="000000" w:themeColor="text1"/>
                <w:szCs w:val="24"/>
                <w14:textFill>
                  <w14:solidFill>
                    <w14:schemeClr w14:val="tx1"/>
                  </w14:solidFill>
                </w14:textFill>
              </w:rPr>
            </m:ctrlPr>
          </m:sSubPr>
          <m:e>
            <m:acc>
              <m:accPr>
                <m:chr m:val="̇"/>
                <m:ctrlPr>
                  <w:rPr>
                    <w:rFonts w:ascii="Cambria Math" w:hAnsi="Cambria Math"/>
                    <w:i/>
                    <w:color w:val="000000" w:themeColor="text1"/>
                    <w:szCs w:val="24"/>
                    <w14:textFill>
                      <w14:solidFill>
                        <w14:schemeClr w14:val="tx1"/>
                      </w14:solidFill>
                    </w14:textFill>
                  </w:rPr>
                </m:ctrlPr>
              </m:accPr>
              <m:e>
                <m:r>
                  <w:rPr>
                    <w:rFonts w:ascii="Cambria Math" w:hAnsi="Cambria Math"/>
                    <w:color w:val="000000" w:themeColor="text1"/>
                    <w:szCs w:val="24"/>
                    <w14:textFill>
                      <w14:solidFill>
                        <w14:schemeClr w14:val="tx1"/>
                      </w14:solidFill>
                    </w14:textFill>
                  </w:rPr>
                  <m:t>e</m:t>
                </m:r>
                <m:ctrlPr>
                  <w:rPr>
                    <w:rFonts w:ascii="Cambria Math" w:hAnsi="Cambria Math"/>
                    <w:i/>
                    <w:color w:val="000000" w:themeColor="text1"/>
                    <w:szCs w:val="24"/>
                    <w14:textFill>
                      <w14:solidFill>
                        <w14:schemeClr w14:val="tx1"/>
                      </w14:solidFill>
                    </w14:textFill>
                  </w:rPr>
                </m:ctrlPr>
              </m:e>
            </m:acc>
            <m:ctrlPr>
              <w:rPr>
                <w:rFonts w:ascii="Cambria Math" w:hAnsi="Cambria Math"/>
                <w:color w:val="000000" w:themeColor="text1"/>
                <w:szCs w:val="24"/>
                <w14:textFill>
                  <w14:solidFill>
                    <w14:schemeClr w14:val="tx1"/>
                  </w14:solidFill>
                </w14:textFill>
              </w:rPr>
            </m:ctrlPr>
          </m:e>
          <m:sub>
            <m:sSub>
              <m:sSubPr>
                <m:ctrlPr>
                  <w:rPr>
                    <w:rFonts w:ascii="Cambria Math" w:hAnsi="Cambria Math"/>
                    <w:i/>
                    <w:color w:val="000000" w:themeColor="text1"/>
                    <w:szCs w:val="24"/>
                    <w14:textFill>
                      <w14:solidFill>
                        <w14:schemeClr w14:val="tx1"/>
                      </w14:solidFill>
                    </w14:textFill>
                  </w:rPr>
                </m:ctrlPr>
              </m:sSubPr>
              <m:e>
                <m:r>
                  <w:rPr>
                    <w:rFonts w:ascii="Cambria Math" w:hAnsi="Cambria Math"/>
                    <w:color w:val="000000" w:themeColor="text1"/>
                    <w:szCs w:val="24"/>
                    <w14:textFill>
                      <w14:solidFill>
                        <w14:schemeClr w14:val="tx1"/>
                      </w14:solidFill>
                    </w14:textFill>
                  </w:rPr>
                  <m:t>L</m:t>
                </m:r>
                <m:ctrlPr>
                  <w:rPr>
                    <w:rFonts w:ascii="Cambria Math" w:hAnsi="Cambria Math"/>
                    <w:i/>
                    <w:color w:val="000000" w:themeColor="text1"/>
                    <w:szCs w:val="24"/>
                    <w14:textFill>
                      <w14:solidFill>
                        <w14:schemeClr w14:val="tx1"/>
                      </w14:solidFill>
                    </w14:textFill>
                  </w:rPr>
                </m:ctrlPr>
              </m:e>
              <m:sub>
                <m:r>
                  <m:rPr>
                    <m:sty m:val="p"/>
                  </m:rPr>
                  <w:rPr>
                    <w:rFonts w:ascii="Cambria Math" w:hAnsi="Cambria Math"/>
                    <w:color w:val="000000" w:themeColor="text1"/>
                    <w:szCs w:val="24"/>
                    <w14:textFill>
                      <w14:solidFill>
                        <w14:schemeClr w14:val="tx1"/>
                      </w14:solidFill>
                    </w14:textFill>
                  </w:rPr>
                  <m:t>e</m:t>
                </m:r>
                <m:ctrlPr>
                  <w:rPr>
                    <w:rFonts w:ascii="Cambria Math" w:hAnsi="Cambria Math"/>
                    <w:i/>
                    <w:color w:val="000000" w:themeColor="text1"/>
                    <w:szCs w:val="24"/>
                    <w14:textFill>
                      <w14:solidFill>
                        <w14:schemeClr w14:val="tx1"/>
                      </w14:solidFill>
                    </w14:textFill>
                  </w:rPr>
                </m:ctrlPr>
              </m:sub>
            </m:sSub>
            <m:ctrlPr>
              <w:rPr>
                <w:rFonts w:ascii="Cambria Math" w:hAnsi="Cambria Math"/>
                <w:color w:val="000000" w:themeColor="text1"/>
                <w:szCs w:val="24"/>
                <w14:textFill>
                  <w14:solidFill>
                    <w14:schemeClr w14:val="tx1"/>
                  </w14:solidFill>
                </w14:textFill>
              </w:rPr>
            </m:ctrlPr>
          </m:sub>
        </m:sSub>
      </m:oMath>
      <w:r>
        <w:rPr>
          <w:color w:val="000000" w:themeColor="text1"/>
          <w:sz w:val="24"/>
          <w:szCs w:val="24"/>
          <w14:textFill>
            <w14:solidFill>
              <w14:schemeClr w14:val="tx1"/>
            </w14:solidFill>
          </w14:textFill>
        </w:rPr>
        <w:t>”，定义为应变速率；“</w:t>
      </w:r>
      <m:oMath>
        <m:r>
          <m:rPr>
            <m:sty m:val="p"/>
          </m:rPr>
          <w:rPr>
            <w:rFonts w:ascii="Cambria Math" w:hAnsi="Cambria Math"/>
            <w:color w:val="000000" w:themeColor="text1"/>
            <w:szCs w:val="24"/>
            <w14:textFill>
              <w14:solidFill>
                <w14:schemeClr w14:val="tx1"/>
              </w14:solidFill>
            </w14:textFill>
          </w:rPr>
          <m:t xml:space="preserve"> </m:t>
        </m:r>
        <m:sSub>
          <m:sSubPr>
            <m:ctrlPr>
              <w:rPr>
                <w:rFonts w:ascii="Cambria Math" w:hAnsi="Cambria Math"/>
                <w:color w:val="000000" w:themeColor="text1"/>
                <w:szCs w:val="24"/>
                <w14:textFill>
                  <w14:solidFill>
                    <w14:schemeClr w14:val="tx1"/>
                  </w14:solidFill>
                </w14:textFill>
              </w:rPr>
            </m:ctrlPr>
          </m:sSubPr>
          <m:e>
            <m:r>
              <w:rPr>
                <w:rFonts w:ascii="Cambria Math" w:hAnsi="Cambria Math"/>
                <w:color w:val="000000" w:themeColor="text1"/>
                <w:szCs w:val="24"/>
                <w14:textFill>
                  <w14:solidFill>
                    <w14:schemeClr w14:val="tx1"/>
                  </w14:solidFill>
                </w14:textFill>
              </w:rPr>
              <m:t>ν</m:t>
            </m:r>
            <m:ctrlPr>
              <w:rPr>
                <w:rFonts w:ascii="Cambria Math" w:hAnsi="Cambria Math"/>
                <w:color w:val="000000" w:themeColor="text1"/>
                <w:szCs w:val="24"/>
                <w14:textFill>
                  <w14:solidFill>
                    <w14:schemeClr w14:val="tx1"/>
                  </w14:solidFill>
                </w14:textFill>
              </w:rPr>
            </m:ctrlPr>
          </m:e>
          <m:sub>
            <m:r>
              <m:rPr>
                <m:sty m:val="p"/>
              </m:rPr>
              <w:rPr>
                <w:rFonts w:ascii="Cambria Math" w:hAnsi="Cambria Math"/>
                <w:color w:val="000000" w:themeColor="text1"/>
                <w:szCs w:val="24"/>
                <w14:textFill>
                  <w14:solidFill>
                    <w14:schemeClr w14:val="tx1"/>
                  </w14:solidFill>
                </w14:textFill>
              </w:rPr>
              <m:t>c</m:t>
            </m:r>
            <m:ctrlPr>
              <w:rPr>
                <w:rFonts w:ascii="Cambria Math" w:hAnsi="Cambria Math"/>
                <w:color w:val="000000" w:themeColor="text1"/>
                <w:szCs w:val="24"/>
                <w14:textFill>
                  <w14:solidFill>
                    <w14:schemeClr w14:val="tx1"/>
                  </w14:solidFill>
                </w14:textFill>
              </w:rPr>
            </m:ctrlPr>
          </m:sub>
        </m:sSub>
      </m:oMath>
      <w:r>
        <w:rPr>
          <w:color w:val="000000" w:themeColor="text1"/>
          <w:sz w:val="24"/>
          <w:szCs w:val="24"/>
          <w14:textFill>
            <w14:solidFill>
              <w14:schemeClr w14:val="tx1"/>
            </w14:solidFill>
          </w14:textFill>
        </w:rPr>
        <w:t>”，定义为横梁位移速率。</w:t>
      </w:r>
    </w:p>
    <w:p>
      <w:pPr>
        <w:widowControl/>
        <w:snapToGrid w:val="0"/>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4.4试验样品制备要求的调整</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将</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按照GB/T 7963-87 《烧结金属材料（不包括硬质合金）拉伸试样》执行</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修改为</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试样的制备和要求按照GB/T 7963的规定执行</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，见第5章。</w:t>
      </w:r>
    </w:p>
    <w:p>
      <w:pPr>
        <w:widowControl/>
        <w:snapToGrid w:val="0"/>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4.5对试验设备要求的调整</w:t>
      </w:r>
    </w:p>
    <w:p>
      <w:pPr>
        <w:widowControl/>
        <w:snapToGrid w:val="0"/>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试验力的测量与试验机准确度要求息息相关，拉伸强度的测量与引伸计准确度要求息息相关，对试验机和引伸计的准确度要求直接影响了试验结果的准确性。</w:t>
      </w:r>
    </w:p>
    <w:p>
      <w:pPr>
        <w:widowControl/>
        <w:snapToGrid w:val="0"/>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明确试验机和引伸计的准确度要求为1级或优于1级。原GB/T 7964—87标准中对试验机静态加力精度要求为±1%，即为1级试验机。本标准明确“用于拉伸试验的任何系统的试验机，准确度应为1级或优于1级，并应按照GB/T 16825.1进行检验”。原GB/T 7964—87标准中对引伸计没有强制要求，为“应选择适宜级别的引伸计”，现更改为“应选择1级或优于1级准确度的引伸计”。目前国内各单位所使用的试验机大多为电子万能试验机，完全能满足1级试验机的要求。所使用的引伸计也能满足1级准确度的要求。</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为进一步规范试验设备及附件在烧结金属材料室温拉伸试验中的使用，对试验机和引伸计的准确度提出了1级或优于1级的要求。</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对尺寸测量仪器，将“采用合适的测量试样尺寸的仪器，精度0.02mm”修改为“采用合适的测量试样尺寸的仪器，精度0.01mm”。</w:t>
      </w:r>
    </w:p>
    <w:p>
      <w:pPr>
        <w:widowControl/>
        <w:snapToGrid w:val="0"/>
        <w:spacing w:line="360" w:lineRule="auto"/>
        <w:jc w:val="left"/>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4.6对试验速度的调整</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目前国内各厂家生产及用户单位所使用的试验机为液压万能试验机和电子万能试验机，且国际上逐渐推广对静态力学试验进行应变速率控制模式。在影响试验结果的各种因素中，应变速率的大小非常重要，一般来说速率越大，强度越高。本标准对试验速度进行的调整如下：</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测定拉伸屈服强度时，应变速率不超过0.0008/s；</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测定抗拉强度时，应变速率不超过0.0024/s。</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注：对于用横梁位移控制试验机，允许设置一个与以上要求的应变速率相当的速度。</w:t>
      </w:r>
    </w:p>
    <w:p>
      <w:pPr>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用横梁位移时，试验速率计算按公式（3）计算：</w:t>
      </w:r>
    </w:p>
    <w:tbl>
      <w:tblPr>
        <w:tblStyle w:val="19"/>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62"/>
        <w:gridCol w:w="4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62" w:type="dxa"/>
            <w:vAlign w:val="center"/>
          </w:tcPr>
          <w:p>
            <w:pPr>
              <w:ind w:firstLine="1200" w:firstLineChars="500"/>
              <w:rPr>
                <w:color w:val="000000" w:themeColor="text1"/>
                <w:sz w:val="24"/>
                <w:szCs w:val="24"/>
                <w14:textFill>
                  <w14:solidFill>
                    <w14:schemeClr w14:val="tx1"/>
                  </w14:solidFill>
                </w14:textFill>
              </w:rPr>
            </w:pPr>
            <m:oMath>
              <m:sSub>
                <m:sSubPr>
                  <m:ctrlPr>
                    <w:rPr>
                      <w:rFonts w:ascii="Cambria Math" w:hAnsi="Cambria Math"/>
                      <w:color w:val="000000" w:themeColor="text1"/>
                      <w:sz w:val="24"/>
                      <w:szCs w:val="24"/>
                      <w14:textFill>
                        <w14:solidFill>
                          <w14:schemeClr w14:val="tx1"/>
                        </w14:solidFill>
                      </w14:textFill>
                    </w:rPr>
                  </m:ctrlPr>
                </m:sSubPr>
                <m:e>
                  <m:r>
                    <m:rPr>
                      <m:sty m:val="p"/>
                    </m:rPr>
                    <w:rPr>
                      <w:rFonts w:ascii="Cambria Math" w:hAnsi="Cambria Math"/>
                      <w:color w:val="000000" w:themeColor="text1"/>
                      <w:sz w:val="24"/>
                      <w:szCs w:val="24"/>
                      <w14:textFill>
                        <w14:solidFill>
                          <w14:schemeClr w14:val="tx1"/>
                        </w14:solidFill>
                      </w14:textFill>
                    </w:rPr>
                    <m:t xml:space="preserve">                                             </m:t>
                  </m:r>
                  <m:r>
                    <w:rPr>
                      <w:rFonts w:ascii="Cambria Math" w:hAnsi="Cambria Math"/>
                      <w:color w:val="000000" w:themeColor="text1"/>
                      <w:sz w:val="24"/>
                      <w:szCs w:val="24"/>
                      <w14:textFill>
                        <w14:solidFill>
                          <w14:schemeClr w14:val="tx1"/>
                        </w14:solidFill>
                      </w14:textFill>
                    </w:rPr>
                    <m:t>ν</m:t>
                  </m:r>
                  <m:ctrlPr>
                    <w:rPr>
                      <w:rFonts w:ascii="Cambria Math" w:hAnsi="Cambria Math"/>
                      <w:color w:val="000000" w:themeColor="text1"/>
                      <w:sz w:val="24"/>
                      <w:szCs w:val="24"/>
                      <w14:textFill>
                        <w14:solidFill>
                          <w14:schemeClr w14:val="tx1"/>
                        </w14:solidFill>
                      </w14:textFill>
                    </w:rPr>
                  </m:ctrlPr>
                </m:e>
                <m:sub>
                  <m:r>
                    <m:rPr>
                      <m:sty m:val="p"/>
                    </m:rPr>
                    <w:rPr>
                      <w:rFonts w:ascii="Cambria Math" w:hAnsi="Cambria Math"/>
                      <w:color w:val="000000" w:themeColor="text1"/>
                      <w:sz w:val="24"/>
                      <w:szCs w:val="24"/>
                      <w14:textFill>
                        <w14:solidFill>
                          <w14:schemeClr w14:val="tx1"/>
                        </w14:solidFill>
                      </w14:textFill>
                    </w:rPr>
                    <m:t>c</m:t>
                  </m:r>
                  <m:ctrlPr>
                    <w:rPr>
                      <w:rFonts w:ascii="Cambria Math" w:hAnsi="Cambria Math"/>
                      <w:color w:val="000000" w:themeColor="text1"/>
                      <w:sz w:val="24"/>
                      <w:szCs w:val="24"/>
                      <w14:textFill>
                        <w14:solidFill>
                          <w14:schemeClr w14:val="tx1"/>
                        </w14:solidFill>
                      </w14:textFill>
                    </w:rPr>
                  </m:ctrlPr>
                </m:sub>
              </m:sSub>
            </m:oMath>
            <w:r>
              <w:rPr>
                <w:color w:val="000000" w:themeColor="text1"/>
                <w:sz w:val="24"/>
                <w:szCs w:val="24"/>
                <w14:textFill>
                  <w14:solidFill>
                    <w14:schemeClr w14:val="tx1"/>
                  </w14:solidFill>
                </w14:textFill>
              </w:rPr>
              <w:t>=</w:t>
            </w:r>
            <m:oMath>
              <m:sSub>
                <m:sSubPr>
                  <m:ctrlPr>
                    <w:rPr>
                      <w:rFonts w:ascii="Cambria Math" w:hAnsi="Cambria Math"/>
                      <w:color w:val="000000" w:themeColor="text1"/>
                      <w:sz w:val="24"/>
                      <w:szCs w:val="24"/>
                      <w14:textFill>
                        <w14:solidFill>
                          <w14:schemeClr w14:val="tx1"/>
                        </w14:solidFill>
                      </w14:textFill>
                    </w:rPr>
                  </m:ctrlPr>
                </m:sSubPr>
                <m:e>
                  <m:acc>
                    <m:accPr>
                      <m:chr m:val="̇"/>
                      <m:ctrlPr>
                        <w:rPr>
                          <w:rFonts w:ascii="Cambria Math" w:hAnsi="Cambria Math"/>
                          <w:color w:val="000000" w:themeColor="text1"/>
                          <w:sz w:val="24"/>
                          <w:szCs w:val="24"/>
                          <w14:textFill>
                            <w14:solidFill>
                              <w14:schemeClr w14:val="tx1"/>
                            </w14:solidFill>
                          </w14:textFill>
                        </w:rPr>
                      </m:ctrlPr>
                    </m:accPr>
                    <m:e>
                      <m:r>
                        <w:rPr>
                          <w:rFonts w:ascii="Cambria Math" w:hAnsi="Cambria Math"/>
                          <w:color w:val="000000" w:themeColor="text1"/>
                          <w:sz w:val="24"/>
                          <w:szCs w:val="24"/>
                          <w14:textFill>
                            <w14:solidFill>
                              <w14:schemeClr w14:val="tx1"/>
                            </w14:solidFill>
                          </w14:textFill>
                        </w:rPr>
                        <m:t>e</m:t>
                      </m:r>
                      <m:ctrlPr>
                        <w:rPr>
                          <w:rFonts w:ascii="Cambria Math" w:hAnsi="Cambria Math"/>
                          <w:color w:val="000000" w:themeColor="text1"/>
                          <w:sz w:val="24"/>
                          <w:szCs w:val="24"/>
                          <w14:textFill>
                            <w14:solidFill>
                              <w14:schemeClr w14:val="tx1"/>
                            </w14:solidFill>
                          </w14:textFill>
                        </w:rPr>
                      </m:ctrlPr>
                    </m:e>
                  </m:acc>
                  <m:ctrlPr>
                    <w:rPr>
                      <w:rFonts w:ascii="Cambria Math" w:hAnsi="Cambria Math"/>
                      <w:color w:val="000000" w:themeColor="text1"/>
                      <w:sz w:val="24"/>
                      <w:szCs w:val="24"/>
                      <w14:textFill>
                        <w14:solidFill>
                          <w14:schemeClr w14:val="tx1"/>
                        </w14:solidFill>
                      </w14:textFill>
                    </w:rPr>
                  </m:ctrlPr>
                </m:e>
                <m:sub>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m:rPr>
                          <m:sty m:val="p"/>
                        </m:rPr>
                        <w:rPr>
                          <w:rFonts w:ascii="Cambria Math" w:hAnsi="Cambria Math"/>
                          <w:color w:val="000000" w:themeColor="text1"/>
                          <w:sz w:val="24"/>
                          <w:szCs w:val="24"/>
                          <w14:textFill>
                            <w14:solidFill>
                              <w14:schemeClr w14:val="tx1"/>
                            </w14:solidFill>
                          </w14:textFill>
                        </w:rPr>
                        <m:t>e</m:t>
                      </m:r>
                      <m:ctrlPr>
                        <w:rPr>
                          <w:rFonts w:ascii="Cambria Math" w:hAnsi="Cambria Math"/>
                          <w:color w:val="000000" w:themeColor="text1"/>
                          <w:sz w:val="24"/>
                          <w:szCs w:val="24"/>
                          <w14:textFill>
                            <w14:solidFill>
                              <w14:schemeClr w14:val="tx1"/>
                            </w14:solidFill>
                          </w14:textFill>
                        </w:rPr>
                      </m:ctrlPr>
                    </m:sub>
                  </m:sSub>
                  <m:ctrlPr>
                    <w:rPr>
                      <w:rFonts w:ascii="Cambria Math" w:hAnsi="Cambria Math"/>
                      <w:color w:val="000000" w:themeColor="text1"/>
                      <w:sz w:val="24"/>
                      <w:szCs w:val="24"/>
                      <w14:textFill>
                        <w14:solidFill>
                          <w14:schemeClr w14:val="tx1"/>
                        </w14:solidFill>
                      </w14:textFill>
                    </w:rPr>
                  </m:ctrlPr>
                </m:sub>
              </m:sSub>
              <m:r>
                <m:rPr>
                  <m:sty m:val="p"/>
                </m:rPr>
                <w:rPr>
                  <w:rFonts w:ascii="Cambria Math" w:hAnsi="Cambria Math"/>
                  <w:color w:val="000000" w:themeColor="text1"/>
                  <w:sz w:val="24"/>
                  <w:szCs w:val="24"/>
                  <w14:textFill>
                    <w14:solidFill>
                      <w14:schemeClr w14:val="tx1"/>
                    </w14:solidFill>
                  </w14:textFill>
                </w:rPr>
                <m:t>×</m:t>
              </m:r>
              <m:sSub>
                <m:sSubPr>
                  <m:ctrlPr>
                    <w:rPr>
                      <w:rFonts w:ascii="Cambria Math" w:hAnsi="Cambria Math"/>
                      <w:color w:val="000000" w:themeColor="text1"/>
                      <w:sz w:val="24"/>
                      <w:szCs w:val="24"/>
                      <w14:textFill>
                        <w14:solidFill>
                          <w14:schemeClr w14:val="tx1"/>
                        </w14:solidFill>
                      </w14:textFill>
                    </w:rPr>
                  </m:ctrlPr>
                </m:sSub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m:rPr>
                      <m:sty m:val="p"/>
                    </m:rPr>
                    <w:rPr>
                      <w:rFonts w:ascii="Cambria Math" w:hAnsi="Cambria Math"/>
                      <w:color w:val="000000" w:themeColor="text1"/>
                      <w:sz w:val="24"/>
                      <w:szCs w:val="24"/>
                      <w14:textFill>
                        <w14:solidFill>
                          <w14:schemeClr w14:val="tx1"/>
                        </w14:solidFill>
                      </w14:textFill>
                    </w:rPr>
                    <m:t>c</m:t>
                  </m:r>
                  <m:ctrlPr>
                    <w:rPr>
                      <w:rFonts w:ascii="Cambria Math" w:hAnsi="Cambria Math"/>
                      <w:color w:val="000000" w:themeColor="text1"/>
                      <w:sz w:val="24"/>
                      <w:szCs w:val="24"/>
                      <w14:textFill>
                        <w14:solidFill>
                          <w14:schemeClr w14:val="tx1"/>
                        </w14:solidFill>
                      </w14:textFill>
                    </w:rPr>
                  </m:ctrlPr>
                </m:sub>
              </m:sSub>
            </m:oMath>
          </w:p>
        </w:tc>
        <w:tc>
          <w:tcPr>
            <w:tcW w:w="4393" w:type="dxa"/>
            <w:vAlign w:val="center"/>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r>
    </w:tbl>
    <w:p>
      <w:pPr>
        <w:widowControl/>
        <w:snapToGrid w:val="0"/>
        <w:spacing w:line="360" w:lineRule="auto"/>
        <w:ind w:firstLine="480" w:firstLineChars="200"/>
        <w:jc w:val="left"/>
        <w:rPr>
          <w:color w:val="000000" w:themeColor="text1"/>
          <w:sz w:val="24"/>
          <w:szCs w:val="24"/>
          <w14:textFill>
            <w14:solidFill>
              <w14:schemeClr w14:val="tx1"/>
            </w14:solidFill>
          </w14:textFill>
        </w:rPr>
      </w:pP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为验证试验速率对实验结果的影响，选用镍基合金进行了不同试验速率的拉伸试验，实验结果如表1所示。其中1号和2号样的应力—应变曲线如图1所示。</w:t>
      </w:r>
    </w:p>
    <w:p>
      <w:pPr>
        <w:widowControl/>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表1 不同速率拉伸实验结果</w:t>
      </w:r>
    </w:p>
    <w:tbl>
      <w:tblPr>
        <w:tblStyle w:val="19"/>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9"/>
        <w:gridCol w:w="1418"/>
        <w:gridCol w:w="1417"/>
        <w:gridCol w:w="1276"/>
        <w:gridCol w:w="1298"/>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单位</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试样编号</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屈服前拉伸速度/s</w:t>
            </w:r>
            <w:r>
              <w:rPr>
                <w:color w:val="000000" w:themeColor="text1"/>
                <w:vertAlign w:val="superscript"/>
                <w14:textFill>
                  <w14:solidFill>
                    <w14:schemeClr w14:val="tx1"/>
                  </w14:solidFill>
                </w14:textFill>
              </w:rPr>
              <w:t>-1</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屈服后拉伸速度/s</w:t>
            </w:r>
            <w:r>
              <w:rPr>
                <w:color w:val="000000" w:themeColor="text1"/>
                <w:vertAlign w:val="superscript"/>
                <w14:textFill>
                  <w14:solidFill>
                    <w14:schemeClr w14:val="tx1"/>
                  </w14:solidFill>
                </w14:textFill>
              </w:rPr>
              <w:t>-1</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抗拉强度</w:t>
            </w:r>
          </w:p>
          <w:p>
            <w:pPr>
              <w:jc w:val="center"/>
              <w:rPr>
                <w:color w:val="000000" w:themeColor="text1"/>
                <w14:textFill>
                  <w14:solidFill>
                    <w14:schemeClr w14:val="tx1"/>
                  </w14:solidFill>
                </w14:textFill>
              </w:rPr>
            </w:pPr>
            <w:r>
              <w:rPr>
                <w:i/>
                <w:color w:val="000000" w:themeColor="text1"/>
                <w14:textFill>
                  <w14:solidFill>
                    <w14:schemeClr w14:val="tx1"/>
                  </w14:solidFill>
                </w14:textFill>
              </w:rPr>
              <w:t>R</w:t>
            </w:r>
            <w:r>
              <w:rPr>
                <w:color w:val="000000" w:themeColor="text1"/>
                <w:vertAlign w:val="subscript"/>
                <w14:textFill>
                  <w14:solidFill>
                    <w14:schemeClr w14:val="tx1"/>
                  </w14:solidFill>
                </w14:textFill>
              </w:rPr>
              <w:t>m</w:t>
            </w:r>
            <w:r>
              <w:rPr>
                <w:color w:val="000000" w:themeColor="text1"/>
                <w14:textFill>
                  <w14:solidFill>
                    <w14:schemeClr w14:val="tx1"/>
                  </w14:solidFill>
                </w14:textFill>
              </w:rPr>
              <w:t>/MPa</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屈服强度</w:t>
            </w:r>
          </w:p>
          <w:p>
            <w:pPr>
              <w:jc w:val="center"/>
              <w:rPr>
                <w:color w:val="000000" w:themeColor="text1"/>
                <w14:textFill>
                  <w14:solidFill>
                    <w14:schemeClr w14:val="tx1"/>
                  </w14:solidFill>
                </w14:textFill>
              </w:rPr>
            </w:pPr>
            <w:r>
              <w:rPr>
                <w:i/>
                <w:color w:val="000000" w:themeColor="text1"/>
                <w14:textFill>
                  <w14:solidFill>
                    <w14:schemeClr w14:val="tx1"/>
                  </w14:solidFill>
                </w14:textFill>
              </w:rPr>
              <w:t>R</w:t>
            </w:r>
            <w:r>
              <w:rPr>
                <w:color w:val="000000" w:themeColor="text1"/>
                <w:vertAlign w:val="subscript"/>
                <w14:textFill>
                  <w14:solidFill>
                    <w14:schemeClr w14:val="tx1"/>
                  </w14:solidFill>
                </w14:textFill>
              </w:rPr>
              <w:t>p0.2</w:t>
            </w:r>
            <w:r>
              <w:rPr>
                <w:color w:val="000000" w:themeColor="text1"/>
                <w14:textFill>
                  <w14:solidFill>
                    <w14:schemeClr w14:val="tx1"/>
                  </w14:solidFill>
                </w14:textFill>
              </w:rPr>
              <w:t>/MPa</w:t>
            </w:r>
          </w:p>
        </w:tc>
        <w:tc>
          <w:tcPr>
            <w:tcW w:w="1031"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延伸率A/%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钢铁研究总院</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0.0004</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0.0012</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1426</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1180</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color w:val="000000" w:themeColor="text1"/>
                <w14:textFill>
                  <w14:solidFill>
                    <w14:schemeClr w14:val="tx1"/>
                  </w14:solidFill>
                </w14:textFill>
              </w:rPr>
            </w:pP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0.0008</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0.0024</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1335</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1184</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中南大学</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0.0004</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0.0012</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1376</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1147</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color w:val="000000" w:themeColor="text1"/>
                <w14:textFill>
                  <w14:solidFill>
                    <w14:schemeClr w14:val="tx1"/>
                  </w14:solidFill>
                </w14:textFill>
              </w:rPr>
            </w:pP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0.0008</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0.0024</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1348</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1148</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广东省材料与加工研究所</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0.0004</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0.0012</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1306</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1143</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color w:val="000000" w:themeColor="text1"/>
                <w14:textFill>
                  <w14:solidFill>
                    <w14:schemeClr w14:val="tx1"/>
                  </w14:solidFill>
                </w14:textFill>
              </w:rPr>
            </w:pP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0.0008</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0.0024</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1299</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1189</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深圳市注成科技股份有限公司</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0.0004</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0.0012</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1300</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09" w:type="dxa"/>
            <w:vMerge w:val="continue"/>
            <w:vAlign w:val="center"/>
          </w:tcPr>
          <w:p>
            <w:pPr>
              <w:jc w:val="center"/>
              <w:rPr>
                <w:color w:val="000000" w:themeColor="text1"/>
                <w14:textFill>
                  <w14:solidFill>
                    <w14:schemeClr w14:val="tx1"/>
                  </w14:solidFill>
                </w14:textFill>
              </w:rPr>
            </w:pP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141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0.0008</w:t>
            </w:r>
          </w:p>
        </w:tc>
        <w:tc>
          <w:tcPr>
            <w:tcW w:w="141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0.0024</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1350</w:t>
            </w:r>
          </w:p>
        </w:tc>
        <w:tc>
          <w:tcPr>
            <w:tcW w:w="12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03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r>
    </w:tbl>
    <w:p>
      <w:pPr>
        <w:widowControl/>
        <w:snapToGrid w:val="0"/>
        <w:spacing w:line="360" w:lineRule="auto"/>
        <w:jc w:val="center"/>
        <w:rPr>
          <w:color w:val="000000" w:themeColor="text1"/>
          <w:sz w:val="24"/>
          <w:szCs w:val="24"/>
          <w14:textFill>
            <w14:solidFill>
              <w14:schemeClr w14:val="tx1"/>
            </w14:solidFill>
          </w14:textFill>
        </w:rPr>
      </w:pPr>
    </w:p>
    <w:p>
      <w:pPr>
        <w:widowControl/>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0" distR="0">
            <wp:extent cx="2550160" cy="1439545"/>
            <wp:effectExtent l="0" t="0" r="2540" b="8255"/>
            <wp:docPr id="3" name="图片 3" descr="C:\Users\admin\AppData\Local\Temp\WeChat Files\21a298c391db2852e1b468b6770e9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WeChat Files\21a298c391db2852e1b468b6770e91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50349" cy="1440000"/>
                    </a:xfrm>
                    <a:prstGeom prst="rect">
                      <a:avLst/>
                    </a:prstGeom>
                    <a:noFill/>
                    <a:ln>
                      <a:noFill/>
                    </a:ln>
                  </pic:spPr>
                </pic:pic>
              </a:graphicData>
            </a:graphic>
          </wp:inline>
        </w:drawing>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drawing>
          <wp:inline distT="0" distB="0" distL="0" distR="0">
            <wp:extent cx="2548890" cy="1439545"/>
            <wp:effectExtent l="0" t="0" r="3810" b="8255"/>
            <wp:docPr id="2" name="图片 2" descr="C:\Users\admin\AppData\Local\Temp\WeChat Files\305b7d04db97f0d7156c10db4013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WeChat Files\305b7d04db97f0d7156c10db401337e.png"/>
                    <pic:cNvPicPr>
                      <a:picLocks noChangeAspect="1" noChangeArrowheads="1"/>
                    </pic:cNvPicPr>
                  </pic:nvPicPr>
                  <pic:blipFill>
                    <a:blip r:embed="rId10">
                      <a:extLst>
                        <a:ext uri="{28A0092B-C50C-407E-A947-70E740481C1C}">
                          <a14:useLocalDpi xmlns:a14="http://schemas.microsoft.com/office/drawing/2010/main" val="0"/>
                        </a:ext>
                      </a:extLst>
                    </a:blip>
                    <a:srcRect l="681" t="1199"/>
                    <a:stretch>
                      <a:fillRect/>
                    </a:stretch>
                  </pic:blipFill>
                  <pic:spPr>
                    <a:xfrm>
                      <a:off x="0" y="0"/>
                      <a:ext cx="2548994" cy="1440000"/>
                    </a:xfrm>
                    <a:prstGeom prst="rect">
                      <a:avLst/>
                    </a:prstGeom>
                    <a:noFill/>
                    <a:ln>
                      <a:noFill/>
                    </a:ln>
                  </pic:spPr>
                </pic:pic>
              </a:graphicData>
            </a:graphic>
          </wp:inline>
        </w:drawing>
      </w:r>
    </w:p>
    <w:p>
      <w:pPr>
        <w:widowControl/>
        <w:snapToGrid w:val="0"/>
        <w:spacing w:line="360" w:lineRule="auto"/>
        <w:ind w:firstLine="1920" w:firstLineChars="8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（a）1号样                       （b）2号样 </w:t>
      </w:r>
    </w:p>
    <w:p>
      <w:pPr>
        <w:widowControl/>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图 1 应力—应变曲线</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根据上述实验结果，可以得出，在试验标准速率范围内，实验结果值波动不大，所以试验速率在标准范围内对实验结果影响较小。</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4.7试验结果表示的调整</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删除“指针法”，该法应用于表盘式拉伸或压缩试验机，已不适应现代试验设备。</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“屈服点”修改为“屈服强度”，“屈服负荷”修改为“规定塑性延伸强度”。</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抗拉强度的测定把“从拉伸曲线上确定试验过程中的最大力值，或从测力度盘上读出最大力值”修改为“记录试验过程中的最大力值”。</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将“伸长率”改为“断后伸长率”，“对接时尽量使其中心线位于一直线上”改为“尽量使其轴线位于一直线上”。</w:t>
      </w:r>
    </w:p>
    <w:p>
      <w:pPr>
        <w:widowControl/>
        <w:snapToGrid w:val="0"/>
        <w:spacing w:line="360" w:lineRule="auto"/>
        <w:jc w:val="left"/>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4.8试验结果修约的调整</w:t>
      </w:r>
    </w:p>
    <w:p>
      <w:pPr>
        <w:widowControl/>
        <w:snapToGrid w:val="0"/>
        <w:spacing w:line="360" w:lineRule="auto"/>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强度单位由“N/mm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”改为“MPa”，本标准将强度修约到1MPa。</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r>
        <w:rPr>
          <w:b/>
          <w:bCs/>
          <w:color w:val="000000" w:themeColor="text1"/>
          <w:kern w:val="0"/>
          <w:sz w:val="24"/>
          <w:szCs w:val="24"/>
          <w14:textFill>
            <w14:solidFill>
              <w14:schemeClr w14:val="tx1"/>
            </w14:solidFill>
          </w14:textFill>
        </w:rPr>
        <w:t>三、标准水平分析</w:t>
      </w:r>
    </w:p>
    <w:p>
      <w:pPr>
        <w:widowControl/>
        <w:snapToGrid w:val="0"/>
        <w:spacing w:line="360" w:lineRule="auto"/>
        <w:ind w:firstLine="480" w:firstLineChars="200"/>
        <w:jc w:val="left"/>
        <w:rPr>
          <w:rStyle w:val="45"/>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本标准是根据国内外标准变化、行业技术发展和各单位产品试验需求而修订，与原标准相比，本标准部分指标进行了提升，因此本标准达到国内先进水平。</w:t>
      </w:r>
    </w:p>
    <w:p>
      <w:pPr>
        <w:widowControl/>
        <w:snapToGrid w:val="0"/>
        <w:spacing w:after="120" w:afterLines="50" w:line="360" w:lineRule="auto"/>
        <w:jc w:val="left"/>
        <w:rPr>
          <w:color w:val="000000" w:themeColor="text1"/>
          <w14:textFill>
            <w14:solidFill>
              <w14:schemeClr w14:val="tx1"/>
            </w14:solidFill>
          </w14:textFill>
        </w:rPr>
      </w:pPr>
      <w:bookmarkStart w:id="1" w:name="_Toc464224256"/>
      <w:r>
        <w:rPr>
          <w:b/>
          <w:bCs/>
          <w:color w:val="000000" w:themeColor="text1"/>
          <w:kern w:val="0"/>
          <w:sz w:val="24"/>
          <w:szCs w:val="24"/>
          <w14:textFill>
            <w14:solidFill>
              <w14:schemeClr w14:val="tx1"/>
            </w14:solidFill>
          </w14:textFill>
        </w:rPr>
        <w:t>四、与有关的现行法律、法规和强制性国家标准的关系</w:t>
      </w:r>
      <w:bookmarkEnd w:id="1"/>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与有关的现行法律、法规和强制性国家标准没有冲突。</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2" w:name="_Toc459479080"/>
      <w:bookmarkStart w:id="3" w:name="_Toc464224257"/>
      <w:r>
        <w:rPr>
          <w:b/>
          <w:bCs/>
          <w:color w:val="000000" w:themeColor="text1"/>
          <w:kern w:val="0"/>
          <w:sz w:val="24"/>
          <w:szCs w:val="24"/>
          <w14:textFill>
            <w14:solidFill>
              <w14:schemeClr w14:val="tx1"/>
            </w14:solidFill>
          </w14:textFill>
        </w:rPr>
        <w:t>五、标准中涉及的专利或知识产权说明</w:t>
      </w:r>
      <w:bookmarkEnd w:id="2"/>
      <w:bookmarkEnd w:id="3"/>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本标准不涉及任何专利或知识产权。</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4" w:name="_Toc464224258"/>
      <w:bookmarkStart w:id="5" w:name="_Toc459479081"/>
      <w:r>
        <w:rPr>
          <w:b/>
          <w:bCs/>
          <w:color w:val="000000" w:themeColor="text1"/>
          <w:kern w:val="0"/>
          <w:sz w:val="24"/>
          <w:szCs w:val="24"/>
          <w14:textFill>
            <w14:solidFill>
              <w14:schemeClr w14:val="tx1"/>
            </w14:solidFill>
          </w14:textFill>
        </w:rPr>
        <w:t>六、重大分歧意见的处理经过和依据</w:t>
      </w:r>
      <w:bookmarkEnd w:id="4"/>
      <w:bookmarkEnd w:id="5"/>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无。</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6" w:name="_Toc464224259"/>
      <w:bookmarkStart w:id="7" w:name="_Toc459479082"/>
      <w:r>
        <w:rPr>
          <w:b/>
          <w:bCs/>
          <w:color w:val="000000" w:themeColor="text1"/>
          <w:kern w:val="0"/>
          <w:sz w:val="24"/>
          <w:szCs w:val="24"/>
          <w14:textFill>
            <w14:solidFill>
              <w14:schemeClr w14:val="tx1"/>
            </w14:solidFill>
          </w14:textFill>
        </w:rPr>
        <w:t>七、标准作为强制性或推荐性国家标准的建议</w:t>
      </w:r>
      <w:bookmarkEnd w:id="6"/>
      <w:bookmarkEnd w:id="7"/>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本标准建议作为推荐性国家标准。</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8" w:name="_Toc464224260"/>
      <w:r>
        <w:rPr>
          <w:b/>
          <w:bCs/>
          <w:color w:val="000000" w:themeColor="text1"/>
          <w:kern w:val="0"/>
          <w:sz w:val="24"/>
          <w:szCs w:val="24"/>
          <w14:textFill>
            <w14:solidFill>
              <w14:schemeClr w14:val="tx1"/>
            </w14:solidFill>
          </w14:textFill>
        </w:rPr>
        <w:t>八、贯彻国家标准的要求和措施建议</w:t>
      </w:r>
      <w:bookmarkEnd w:id="8"/>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无。</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9" w:name="_Toc464224261"/>
      <w:r>
        <w:rPr>
          <w:b/>
          <w:bCs/>
          <w:color w:val="000000" w:themeColor="text1"/>
          <w:kern w:val="0"/>
          <w:sz w:val="24"/>
          <w:szCs w:val="24"/>
          <w14:textFill>
            <w14:solidFill>
              <w14:schemeClr w14:val="tx1"/>
            </w14:solidFill>
          </w14:textFill>
        </w:rPr>
        <w:t>九、废止现行有关标准的建议</w:t>
      </w:r>
      <w:bookmarkEnd w:id="9"/>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无。</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10" w:name="_Toc464224262"/>
      <w:r>
        <w:rPr>
          <w:b/>
          <w:bCs/>
          <w:color w:val="000000" w:themeColor="text1"/>
          <w:kern w:val="0"/>
          <w:sz w:val="24"/>
          <w:szCs w:val="24"/>
          <w14:textFill>
            <w14:solidFill>
              <w14:schemeClr w14:val="tx1"/>
            </w14:solidFill>
          </w14:textFill>
        </w:rPr>
        <w:t>十、预期效果</w:t>
      </w:r>
      <w:bookmarkEnd w:id="10"/>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烧结金属材料（不包括硬质合金）室温拉伸强度的测定国家标准的修订，使标准更加满足各单位的要求，将为科研、试验、生产、应用、贸易等方面提供最基本的技术标准依据，在该标准的基础之上促使试验、产品与国际接轨。</w:t>
      </w:r>
    </w:p>
    <w:p>
      <w:pPr>
        <w:widowControl/>
        <w:snapToGrid w:val="0"/>
        <w:spacing w:after="120" w:afterLines="50" w:line="360" w:lineRule="auto"/>
        <w:jc w:val="left"/>
        <w:rPr>
          <w:b/>
          <w:bCs/>
          <w:color w:val="000000" w:themeColor="text1"/>
          <w:kern w:val="0"/>
          <w:sz w:val="24"/>
          <w:szCs w:val="24"/>
          <w14:textFill>
            <w14:solidFill>
              <w14:schemeClr w14:val="tx1"/>
            </w14:solidFill>
          </w14:textFill>
        </w:rPr>
      </w:pPr>
      <w:bookmarkStart w:id="11" w:name="_Toc464224263"/>
      <w:r>
        <w:rPr>
          <w:b/>
          <w:bCs/>
          <w:color w:val="000000" w:themeColor="text1"/>
          <w:kern w:val="0"/>
          <w:sz w:val="24"/>
          <w:szCs w:val="24"/>
          <w14:textFill>
            <w14:solidFill>
              <w14:schemeClr w14:val="tx1"/>
            </w14:solidFill>
          </w14:textFill>
        </w:rPr>
        <w:t>十一、其他应予说明的事项</w:t>
      </w:r>
      <w:bookmarkEnd w:id="11"/>
    </w:p>
    <w:p>
      <w:pPr>
        <w:pStyle w:val="6"/>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无。</w:t>
      </w:r>
    </w:p>
    <w:p>
      <w:pPr>
        <w:tabs>
          <w:tab w:val="left" w:pos="5265"/>
        </w:tabs>
        <w:spacing w:line="360" w:lineRule="auto"/>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
      </w:r>
    </w:p>
    <w:p>
      <w:pPr>
        <w:tabs>
          <w:tab w:val="left" w:pos="5265"/>
        </w:tabs>
        <w:wordWrap w:val="0"/>
        <w:spacing w:line="360" w:lineRule="auto"/>
        <w:ind w:right="480"/>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p>
    <w:p>
      <w:pPr>
        <w:tabs>
          <w:tab w:val="left" w:pos="5265"/>
        </w:tabs>
        <w:spacing w:line="360" w:lineRule="auto"/>
        <w:ind w:right="480"/>
        <w:jc w:val="right"/>
        <w:rPr>
          <w:color w:val="000000" w:themeColor="text1"/>
          <w:sz w:val="24"/>
          <w:szCs w:val="24"/>
          <w14:textFill>
            <w14:solidFill>
              <w14:schemeClr w14:val="tx1"/>
            </w14:solidFill>
          </w14:textFill>
        </w:rPr>
      </w:pPr>
    </w:p>
    <w:p>
      <w:pPr>
        <w:tabs>
          <w:tab w:val="left" w:pos="5265"/>
        </w:tabs>
        <w:spacing w:line="360" w:lineRule="auto"/>
        <w:ind w:right="480"/>
        <w:jc w:val="right"/>
        <w:rPr>
          <w:color w:val="000000" w:themeColor="text1"/>
          <w:sz w:val="24"/>
          <w:szCs w:val="24"/>
          <w14:textFill>
            <w14:solidFill>
              <w14:schemeClr w14:val="tx1"/>
            </w14:solidFill>
          </w14:textFill>
        </w:rPr>
      </w:pPr>
    </w:p>
    <w:p>
      <w:pPr>
        <w:tabs>
          <w:tab w:val="left" w:pos="5265"/>
        </w:tabs>
        <w:spacing w:line="360" w:lineRule="auto"/>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钢铁研究总院</w:t>
      </w:r>
    </w:p>
    <w:p>
      <w:pPr>
        <w:tabs>
          <w:tab w:val="left" w:pos="5265"/>
        </w:tabs>
        <w:spacing w:line="360" w:lineRule="auto"/>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2019年04月11日</w:t>
      </w:r>
    </w:p>
    <w:p>
      <w:pPr>
        <w:widowControl/>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p>
      <w:pPr>
        <w:widowControl/>
        <w:jc w:val="left"/>
        <w:rPr>
          <w:color w:val="000000" w:themeColor="text1"/>
          <w:sz w:val="24"/>
          <w:szCs w:val="24"/>
          <w14:textFill>
            <w14:solidFill>
              <w14:schemeClr w14:val="tx1"/>
            </w14:solidFill>
          </w14:textFill>
        </w:rPr>
      </w:pPr>
    </w:p>
    <w:p>
      <w:pPr>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t>标准意见汇总处理表</w:t>
      </w:r>
    </w:p>
    <w:p>
      <w:pPr>
        <w:tabs>
          <w:tab w:val="left" w:pos="4950"/>
        </w:tabs>
        <w:spacing w:line="260" w:lineRule="exact"/>
        <w:ind w:left="-359" w:leftChars="-171" w:right="-693" w:rightChars="-330"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标准项目名称：《烧结金属材料（不包括硬质合金）室温拉伸试验》   承办人：罗志强    共1页</w:t>
      </w:r>
    </w:p>
    <w:p>
      <w:pPr>
        <w:tabs>
          <w:tab w:val="left" w:pos="4950"/>
        </w:tabs>
        <w:spacing w:line="260" w:lineRule="exact"/>
        <w:ind w:left="-359" w:leftChars="-171" w:right="-693" w:rightChars="-330"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标准项目负责起草单位：钢铁研究总院    电话：010-62184234  2019年04月11日填写</w:t>
      </w:r>
      <w:r>
        <w:rPr>
          <w:color w:val="000000" w:themeColor="text1"/>
          <w14:textFill>
            <w14:solidFill>
              <w14:schemeClr w14:val="tx1"/>
            </w14:solidFill>
          </w14:textFill>
        </w:rPr>
        <w:tab/>
      </w:r>
    </w:p>
    <w:tbl>
      <w:tblPr>
        <w:tblStyle w:val="18"/>
        <w:tblpPr w:leftFromText="180" w:rightFromText="180" w:vertAnchor="text" w:horzAnchor="margin" w:tblpY="310"/>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11"/>
        <w:gridCol w:w="2718"/>
        <w:gridCol w:w="2410"/>
        <w:gridCol w:w="709"/>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jc w:val="center"/>
              <w:rPr>
                <w:sz w:val="18"/>
                <w:szCs w:val="18"/>
              </w:rPr>
            </w:pPr>
            <w:r>
              <w:rPr>
                <w:sz w:val="18"/>
                <w:szCs w:val="18"/>
              </w:rPr>
              <w:t>序号</w:t>
            </w:r>
          </w:p>
        </w:tc>
        <w:tc>
          <w:tcPr>
            <w:tcW w:w="811" w:type="dxa"/>
            <w:vAlign w:val="center"/>
          </w:tcPr>
          <w:p>
            <w:pPr>
              <w:jc w:val="center"/>
              <w:rPr>
                <w:sz w:val="18"/>
                <w:szCs w:val="18"/>
              </w:rPr>
            </w:pPr>
            <w:r>
              <w:rPr>
                <w:sz w:val="18"/>
                <w:szCs w:val="18"/>
              </w:rPr>
              <w:t>标准章</w:t>
            </w:r>
          </w:p>
          <w:p>
            <w:pPr>
              <w:jc w:val="center"/>
              <w:rPr>
                <w:sz w:val="18"/>
                <w:szCs w:val="18"/>
              </w:rPr>
            </w:pPr>
            <w:r>
              <w:rPr>
                <w:sz w:val="18"/>
                <w:szCs w:val="18"/>
              </w:rPr>
              <w:t>条编号</w:t>
            </w:r>
          </w:p>
        </w:tc>
        <w:tc>
          <w:tcPr>
            <w:tcW w:w="2718" w:type="dxa"/>
            <w:vAlign w:val="center"/>
          </w:tcPr>
          <w:p>
            <w:pPr>
              <w:jc w:val="center"/>
              <w:rPr>
                <w:sz w:val="18"/>
                <w:szCs w:val="18"/>
              </w:rPr>
            </w:pPr>
            <w:r>
              <w:rPr>
                <w:sz w:val="18"/>
                <w:szCs w:val="18"/>
              </w:rPr>
              <w:t>意见内容</w:t>
            </w:r>
          </w:p>
        </w:tc>
        <w:tc>
          <w:tcPr>
            <w:tcW w:w="2410" w:type="dxa"/>
            <w:vAlign w:val="center"/>
          </w:tcPr>
          <w:p>
            <w:pPr>
              <w:jc w:val="center"/>
              <w:rPr>
                <w:sz w:val="18"/>
                <w:szCs w:val="18"/>
              </w:rPr>
            </w:pPr>
            <w:r>
              <w:rPr>
                <w:sz w:val="18"/>
                <w:szCs w:val="18"/>
              </w:rPr>
              <w:t>提出单位</w:t>
            </w:r>
          </w:p>
        </w:tc>
        <w:tc>
          <w:tcPr>
            <w:tcW w:w="709" w:type="dxa"/>
            <w:vAlign w:val="center"/>
          </w:tcPr>
          <w:p>
            <w:pPr>
              <w:jc w:val="center"/>
              <w:rPr>
                <w:sz w:val="18"/>
                <w:szCs w:val="18"/>
              </w:rPr>
            </w:pPr>
            <w:r>
              <w:rPr>
                <w:sz w:val="18"/>
                <w:szCs w:val="18"/>
              </w:rPr>
              <w:t>处理意见</w:t>
            </w:r>
          </w:p>
        </w:tc>
        <w:tc>
          <w:tcPr>
            <w:tcW w:w="1934" w:type="dxa"/>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w:t>
            </w:r>
          </w:p>
        </w:tc>
        <w:tc>
          <w:tcPr>
            <w:tcW w:w="811" w:type="dxa"/>
            <w:vAlign w:val="center"/>
          </w:tcPr>
          <w:p>
            <w:pPr>
              <w:spacing w:line="300" w:lineRule="exact"/>
              <w:jc w:val="center"/>
              <w:rPr>
                <w:sz w:val="18"/>
                <w:szCs w:val="18"/>
              </w:rPr>
            </w:pPr>
            <w:r>
              <w:rPr>
                <w:sz w:val="18"/>
                <w:szCs w:val="18"/>
              </w:rPr>
              <w:t>2</w:t>
            </w:r>
          </w:p>
        </w:tc>
        <w:tc>
          <w:tcPr>
            <w:tcW w:w="2718" w:type="dxa"/>
            <w:vAlign w:val="center"/>
          </w:tcPr>
          <w:p>
            <w:pPr>
              <w:spacing w:line="300" w:lineRule="exact"/>
              <w:jc w:val="center"/>
              <w:rPr>
                <w:sz w:val="18"/>
                <w:szCs w:val="18"/>
              </w:rPr>
            </w:pPr>
            <w:r>
              <w:rPr>
                <w:sz w:val="18"/>
                <w:szCs w:val="18"/>
              </w:rPr>
              <w:t>删除GB/T 228.1-2010引用文件，将GB/T 7963的时间后缀删除</w:t>
            </w:r>
          </w:p>
        </w:tc>
        <w:tc>
          <w:tcPr>
            <w:tcW w:w="2410" w:type="dxa"/>
            <w:vAlign w:val="center"/>
          </w:tcPr>
          <w:p>
            <w:pPr>
              <w:spacing w:line="300" w:lineRule="exact"/>
              <w:jc w:val="center"/>
              <w:rPr>
                <w:sz w:val="18"/>
                <w:szCs w:val="18"/>
              </w:rPr>
            </w:pPr>
            <w:r>
              <w:rPr>
                <w:sz w:val="18"/>
                <w:szCs w:val="18"/>
              </w:rPr>
              <w:t>有色标准化技术委员会、自贡硬质合金有限责任公司</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2</w:t>
            </w:r>
          </w:p>
        </w:tc>
        <w:tc>
          <w:tcPr>
            <w:tcW w:w="811" w:type="dxa"/>
            <w:vAlign w:val="center"/>
          </w:tcPr>
          <w:p>
            <w:pPr>
              <w:spacing w:line="300" w:lineRule="exact"/>
              <w:jc w:val="center"/>
              <w:rPr>
                <w:sz w:val="18"/>
                <w:szCs w:val="18"/>
              </w:rPr>
            </w:pPr>
            <w:r>
              <w:rPr>
                <w:sz w:val="18"/>
                <w:szCs w:val="18"/>
              </w:rPr>
              <w:t>3</w:t>
            </w:r>
          </w:p>
        </w:tc>
        <w:tc>
          <w:tcPr>
            <w:tcW w:w="2718" w:type="dxa"/>
            <w:vAlign w:val="center"/>
          </w:tcPr>
          <w:p>
            <w:pPr>
              <w:spacing w:line="300" w:lineRule="exact"/>
              <w:jc w:val="center"/>
              <w:rPr>
                <w:sz w:val="18"/>
                <w:szCs w:val="18"/>
              </w:rPr>
            </w:pPr>
            <w:r>
              <w:rPr>
                <w:sz w:val="18"/>
                <w:szCs w:val="18"/>
              </w:rPr>
              <w:t>规范语言</w:t>
            </w:r>
          </w:p>
        </w:tc>
        <w:tc>
          <w:tcPr>
            <w:tcW w:w="2410" w:type="dxa"/>
            <w:vAlign w:val="center"/>
          </w:tcPr>
          <w:p>
            <w:pPr>
              <w:spacing w:line="300" w:lineRule="exact"/>
              <w:jc w:val="center"/>
              <w:rPr>
                <w:sz w:val="18"/>
                <w:szCs w:val="18"/>
              </w:rPr>
            </w:pPr>
            <w:r>
              <w:rPr>
                <w:sz w:val="18"/>
                <w:szCs w:val="18"/>
              </w:rPr>
              <w:t>有色标准化技术委员会</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3</w:t>
            </w:r>
          </w:p>
        </w:tc>
        <w:tc>
          <w:tcPr>
            <w:tcW w:w="811" w:type="dxa"/>
            <w:vAlign w:val="center"/>
          </w:tcPr>
          <w:p>
            <w:pPr>
              <w:spacing w:line="300" w:lineRule="exact"/>
              <w:jc w:val="center"/>
              <w:rPr>
                <w:sz w:val="18"/>
                <w:szCs w:val="18"/>
              </w:rPr>
            </w:pPr>
            <w:r>
              <w:rPr>
                <w:sz w:val="18"/>
                <w:szCs w:val="18"/>
              </w:rPr>
              <w:t>4</w:t>
            </w:r>
          </w:p>
        </w:tc>
        <w:tc>
          <w:tcPr>
            <w:tcW w:w="2718" w:type="dxa"/>
            <w:vAlign w:val="center"/>
          </w:tcPr>
          <w:p>
            <w:pPr>
              <w:spacing w:line="300" w:lineRule="exact"/>
              <w:jc w:val="center"/>
              <w:rPr>
                <w:sz w:val="18"/>
                <w:szCs w:val="18"/>
              </w:rPr>
            </w:pPr>
            <w:r>
              <w:rPr>
                <w:sz w:val="18"/>
                <w:szCs w:val="18"/>
              </w:rPr>
              <w:t>将表格中单位一栏放置最后，“规定塑性伸长”改为“规定塑性伸长率”</w:t>
            </w:r>
          </w:p>
        </w:tc>
        <w:tc>
          <w:tcPr>
            <w:tcW w:w="2410" w:type="dxa"/>
            <w:vAlign w:val="center"/>
          </w:tcPr>
          <w:p>
            <w:pPr>
              <w:spacing w:line="300" w:lineRule="exact"/>
              <w:jc w:val="center"/>
              <w:rPr>
                <w:sz w:val="18"/>
                <w:szCs w:val="18"/>
              </w:rPr>
            </w:pPr>
            <w:r>
              <w:rPr>
                <w:sz w:val="18"/>
                <w:szCs w:val="18"/>
              </w:rPr>
              <w:t>有色标准化技术委员会、北京矿业研究总院</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4</w:t>
            </w:r>
          </w:p>
        </w:tc>
        <w:tc>
          <w:tcPr>
            <w:tcW w:w="811" w:type="dxa"/>
            <w:vAlign w:val="center"/>
          </w:tcPr>
          <w:p>
            <w:pPr>
              <w:spacing w:line="300" w:lineRule="exact"/>
              <w:jc w:val="center"/>
              <w:rPr>
                <w:sz w:val="18"/>
                <w:szCs w:val="18"/>
              </w:rPr>
            </w:pPr>
            <w:r>
              <w:rPr>
                <w:sz w:val="18"/>
                <w:szCs w:val="18"/>
              </w:rPr>
              <w:t>5</w:t>
            </w:r>
          </w:p>
        </w:tc>
        <w:tc>
          <w:tcPr>
            <w:tcW w:w="2718" w:type="dxa"/>
            <w:vAlign w:val="center"/>
          </w:tcPr>
          <w:p>
            <w:pPr>
              <w:spacing w:line="300" w:lineRule="exact"/>
              <w:jc w:val="center"/>
              <w:rPr>
                <w:sz w:val="18"/>
                <w:szCs w:val="18"/>
              </w:rPr>
            </w:pPr>
            <w:r>
              <w:rPr>
                <w:sz w:val="18"/>
                <w:szCs w:val="18"/>
              </w:rPr>
              <w:t>规范语言</w:t>
            </w:r>
          </w:p>
        </w:tc>
        <w:tc>
          <w:tcPr>
            <w:tcW w:w="2410" w:type="dxa"/>
            <w:vAlign w:val="center"/>
          </w:tcPr>
          <w:p>
            <w:pPr>
              <w:spacing w:line="300" w:lineRule="exact"/>
              <w:jc w:val="center"/>
              <w:rPr>
                <w:sz w:val="18"/>
                <w:szCs w:val="18"/>
              </w:rPr>
            </w:pPr>
            <w:r>
              <w:rPr>
                <w:sz w:val="18"/>
                <w:szCs w:val="18"/>
              </w:rPr>
              <w:t>有色标准化技术委员会</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690" w:type="dxa"/>
            <w:vAlign w:val="center"/>
          </w:tcPr>
          <w:p>
            <w:pPr>
              <w:spacing w:line="300" w:lineRule="exact"/>
              <w:jc w:val="center"/>
              <w:rPr>
                <w:sz w:val="18"/>
                <w:szCs w:val="18"/>
              </w:rPr>
            </w:pPr>
            <w:r>
              <w:rPr>
                <w:sz w:val="18"/>
                <w:szCs w:val="18"/>
              </w:rPr>
              <w:t>5</w:t>
            </w:r>
          </w:p>
        </w:tc>
        <w:tc>
          <w:tcPr>
            <w:tcW w:w="811" w:type="dxa"/>
            <w:vAlign w:val="center"/>
          </w:tcPr>
          <w:p>
            <w:pPr>
              <w:jc w:val="center"/>
              <w:rPr>
                <w:sz w:val="18"/>
                <w:szCs w:val="18"/>
              </w:rPr>
            </w:pPr>
            <w:r>
              <w:rPr>
                <w:sz w:val="18"/>
                <w:szCs w:val="18"/>
              </w:rPr>
              <w:t>6</w:t>
            </w:r>
          </w:p>
        </w:tc>
        <w:tc>
          <w:tcPr>
            <w:tcW w:w="2718" w:type="dxa"/>
            <w:vAlign w:val="center"/>
          </w:tcPr>
          <w:p>
            <w:pPr>
              <w:spacing w:line="300" w:lineRule="exact"/>
              <w:jc w:val="center"/>
              <w:rPr>
                <w:sz w:val="18"/>
                <w:szCs w:val="18"/>
              </w:rPr>
            </w:pPr>
            <w:r>
              <w:rPr>
                <w:rFonts w:hint="eastAsia"/>
                <w:sz w:val="18"/>
                <w:szCs w:val="18"/>
              </w:rPr>
              <w:t>删除“并按照G</w:t>
            </w:r>
            <w:r>
              <w:rPr>
                <w:sz w:val="18"/>
                <w:szCs w:val="18"/>
              </w:rPr>
              <w:t>B/T16825.1</w:t>
            </w:r>
            <w:r>
              <w:rPr>
                <w:rFonts w:hint="eastAsia"/>
                <w:sz w:val="18"/>
                <w:szCs w:val="18"/>
              </w:rPr>
              <w:t>进行检验”</w:t>
            </w:r>
          </w:p>
        </w:tc>
        <w:tc>
          <w:tcPr>
            <w:tcW w:w="2410" w:type="dxa"/>
            <w:vAlign w:val="center"/>
          </w:tcPr>
          <w:p>
            <w:pPr>
              <w:spacing w:line="300" w:lineRule="exact"/>
              <w:jc w:val="center"/>
              <w:rPr>
                <w:sz w:val="18"/>
                <w:szCs w:val="18"/>
              </w:rPr>
            </w:pPr>
            <w:r>
              <w:rPr>
                <w:rFonts w:hint="eastAsia"/>
                <w:sz w:val="18"/>
                <w:szCs w:val="18"/>
              </w:rPr>
              <w:t>崇义章源钨业股份有限公司</w:t>
            </w:r>
          </w:p>
        </w:tc>
        <w:tc>
          <w:tcPr>
            <w:tcW w:w="709" w:type="dxa"/>
            <w:vAlign w:val="center"/>
          </w:tcPr>
          <w:p>
            <w:pPr>
              <w:spacing w:line="300" w:lineRule="exact"/>
              <w:jc w:val="center"/>
              <w:rPr>
                <w:sz w:val="18"/>
                <w:szCs w:val="18"/>
              </w:rPr>
            </w:pPr>
            <w:r>
              <w:rPr>
                <w:rFonts w:hint="eastAsia"/>
                <w:sz w:val="18"/>
                <w:szCs w:val="18"/>
              </w:rPr>
              <w:t>未</w:t>
            </w:r>
            <w:r>
              <w:rPr>
                <w:sz w:val="18"/>
                <w:szCs w:val="18"/>
              </w:rPr>
              <w:t>采纳</w:t>
            </w:r>
          </w:p>
        </w:tc>
        <w:tc>
          <w:tcPr>
            <w:tcW w:w="1934" w:type="dxa"/>
            <w:vAlign w:val="center"/>
          </w:tcPr>
          <w:p>
            <w:pPr>
              <w:spacing w:line="300" w:lineRule="exact"/>
              <w:jc w:val="center"/>
              <w:rPr>
                <w:sz w:val="18"/>
                <w:szCs w:val="18"/>
              </w:rPr>
            </w:pPr>
            <w:r>
              <w:rPr>
                <w:rFonts w:hint="eastAsia"/>
                <w:sz w:val="18"/>
                <w:szCs w:val="18"/>
              </w:rPr>
              <w:t>I</w:t>
            </w:r>
            <w:r>
              <w:rPr>
                <w:sz w:val="18"/>
                <w:szCs w:val="18"/>
              </w:rPr>
              <w:t>SO 2740</w:t>
            </w:r>
            <w:r>
              <w:rPr>
                <w:rFonts w:hint="eastAsia"/>
                <w:sz w:val="18"/>
                <w:szCs w:val="18"/>
              </w:rPr>
              <w:t>中对拉力试验机有校准要求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6</w:t>
            </w:r>
          </w:p>
        </w:tc>
        <w:tc>
          <w:tcPr>
            <w:tcW w:w="811" w:type="dxa"/>
            <w:vAlign w:val="center"/>
          </w:tcPr>
          <w:p>
            <w:pPr>
              <w:spacing w:line="300" w:lineRule="exact"/>
              <w:jc w:val="center"/>
              <w:rPr>
                <w:sz w:val="18"/>
                <w:szCs w:val="18"/>
              </w:rPr>
            </w:pPr>
            <w:r>
              <w:rPr>
                <w:sz w:val="18"/>
                <w:szCs w:val="18"/>
              </w:rPr>
              <w:t>7.1.1</w:t>
            </w:r>
          </w:p>
        </w:tc>
        <w:tc>
          <w:tcPr>
            <w:tcW w:w="2718" w:type="dxa"/>
            <w:vAlign w:val="center"/>
          </w:tcPr>
          <w:p>
            <w:pPr>
              <w:spacing w:line="300" w:lineRule="exact"/>
              <w:jc w:val="center"/>
              <w:rPr>
                <w:sz w:val="18"/>
                <w:szCs w:val="18"/>
              </w:rPr>
            </w:pPr>
            <w:r>
              <w:rPr>
                <w:sz w:val="18"/>
                <w:szCs w:val="18"/>
              </w:rPr>
              <w:t>规范公式符号</w:t>
            </w:r>
          </w:p>
        </w:tc>
        <w:tc>
          <w:tcPr>
            <w:tcW w:w="2410" w:type="dxa"/>
            <w:vAlign w:val="center"/>
          </w:tcPr>
          <w:p>
            <w:pPr>
              <w:spacing w:line="300" w:lineRule="exact"/>
              <w:jc w:val="center"/>
              <w:rPr>
                <w:sz w:val="18"/>
                <w:szCs w:val="18"/>
              </w:rPr>
            </w:pPr>
            <w:r>
              <w:rPr>
                <w:sz w:val="18"/>
                <w:szCs w:val="18"/>
              </w:rPr>
              <w:t>北京矿业研究总院</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7</w:t>
            </w:r>
          </w:p>
        </w:tc>
        <w:tc>
          <w:tcPr>
            <w:tcW w:w="811" w:type="dxa"/>
            <w:vAlign w:val="center"/>
          </w:tcPr>
          <w:p>
            <w:pPr>
              <w:spacing w:line="300" w:lineRule="exact"/>
              <w:jc w:val="center"/>
              <w:rPr>
                <w:sz w:val="18"/>
                <w:szCs w:val="18"/>
              </w:rPr>
            </w:pPr>
            <w:r>
              <w:rPr>
                <w:sz w:val="18"/>
                <w:szCs w:val="18"/>
              </w:rPr>
              <w:t>8.1</w:t>
            </w:r>
          </w:p>
        </w:tc>
        <w:tc>
          <w:tcPr>
            <w:tcW w:w="2718" w:type="dxa"/>
            <w:vAlign w:val="center"/>
          </w:tcPr>
          <w:p>
            <w:pPr>
              <w:spacing w:line="300" w:lineRule="exact"/>
              <w:jc w:val="center"/>
              <w:rPr>
                <w:sz w:val="18"/>
                <w:szCs w:val="18"/>
              </w:rPr>
            </w:pPr>
            <w:r>
              <w:rPr>
                <w:sz w:val="18"/>
                <w:szCs w:val="18"/>
              </w:rPr>
              <w:t>规范图题说法</w:t>
            </w:r>
          </w:p>
        </w:tc>
        <w:tc>
          <w:tcPr>
            <w:tcW w:w="2410" w:type="dxa"/>
            <w:vAlign w:val="center"/>
          </w:tcPr>
          <w:p>
            <w:pPr>
              <w:spacing w:line="300" w:lineRule="exact"/>
              <w:jc w:val="center"/>
              <w:rPr>
                <w:sz w:val="18"/>
                <w:szCs w:val="18"/>
              </w:rPr>
            </w:pPr>
            <w:r>
              <w:rPr>
                <w:sz w:val="18"/>
                <w:szCs w:val="18"/>
              </w:rPr>
              <w:t>有色标准化技术委员会</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8</w:t>
            </w:r>
          </w:p>
        </w:tc>
        <w:tc>
          <w:tcPr>
            <w:tcW w:w="811" w:type="dxa"/>
            <w:vAlign w:val="center"/>
          </w:tcPr>
          <w:p>
            <w:pPr>
              <w:spacing w:line="300" w:lineRule="exact"/>
              <w:jc w:val="center"/>
              <w:rPr>
                <w:sz w:val="18"/>
                <w:szCs w:val="18"/>
              </w:rPr>
            </w:pPr>
            <w:r>
              <w:rPr>
                <w:sz w:val="18"/>
                <w:szCs w:val="18"/>
              </w:rPr>
              <w:t>8.2</w:t>
            </w:r>
          </w:p>
        </w:tc>
        <w:tc>
          <w:tcPr>
            <w:tcW w:w="2718" w:type="dxa"/>
            <w:vAlign w:val="center"/>
          </w:tcPr>
          <w:p>
            <w:pPr>
              <w:spacing w:line="300" w:lineRule="exact"/>
              <w:jc w:val="center"/>
              <w:rPr>
                <w:sz w:val="18"/>
                <w:szCs w:val="18"/>
              </w:rPr>
            </w:pPr>
            <w:r>
              <w:rPr>
                <w:sz w:val="18"/>
                <w:szCs w:val="18"/>
              </w:rPr>
              <w:t>“</w:t>
            </w:r>
            <w:r>
              <w:rPr>
                <w:i/>
                <w:sz w:val="18"/>
                <w:szCs w:val="18"/>
              </w:rPr>
              <w:t>l</w:t>
            </w:r>
            <w:r>
              <w:rPr>
                <w:sz w:val="18"/>
                <w:szCs w:val="18"/>
                <w:vertAlign w:val="subscript"/>
              </w:rPr>
              <w:t>o</w:t>
            </w:r>
            <w:r>
              <w:rPr>
                <w:sz w:val="18"/>
                <w:szCs w:val="18"/>
              </w:rPr>
              <w:t>”改为“</w:t>
            </w:r>
            <w:r>
              <w:rPr>
                <w:i/>
                <w:sz w:val="18"/>
                <w:szCs w:val="18"/>
              </w:rPr>
              <w:t>L</w:t>
            </w:r>
            <w:r>
              <w:rPr>
                <w:sz w:val="18"/>
                <w:szCs w:val="18"/>
                <w:vertAlign w:val="subscript"/>
              </w:rPr>
              <w:t>o</w:t>
            </w:r>
            <w:r>
              <w:rPr>
                <w:sz w:val="18"/>
                <w:szCs w:val="18"/>
              </w:rPr>
              <w:t>”</w:t>
            </w:r>
          </w:p>
        </w:tc>
        <w:tc>
          <w:tcPr>
            <w:tcW w:w="2410" w:type="dxa"/>
            <w:vAlign w:val="center"/>
          </w:tcPr>
          <w:p>
            <w:pPr>
              <w:spacing w:line="300" w:lineRule="exact"/>
              <w:jc w:val="center"/>
              <w:rPr>
                <w:sz w:val="18"/>
                <w:szCs w:val="18"/>
              </w:rPr>
            </w:pPr>
            <w:r>
              <w:rPr>
                <w:rFonts w:hint="eastAsia"/>
                <w:sz w:val="18"/>
                <w:szCs w:val="18"/>
              </w:rPr>
              <w:t>江苏博迁新材料有限公司</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9</w:t>
            </w:r>
          </w:p>
        </w:tc>
        <w:tc>
          <w:tcPr>
            <w:tcW w:w="811" w:type="dxa"/>
            <w:vAlign w:val="center"/>
          </w:tcPr>
          <w:p>
            <w:pPr>
              <w:spacing w:line="300" w:lineRule="exact"/>
              <w:jc w:val="center"/>
              <w:rPr>
                <w:sz w:val="18"/>
                <w:szCs w:val="18"/>
              </w:rPr>
            </w:pPr>
            <w:r>
              <w:rPr>
                <w:sz w:val="18"/>
                <w:szCs w:val="18"/>
              </w:rPr>
              <w:t>8.5</w:t>
            </w:r>
          </w:p>
        </w:tc>
        <w:tc>
          <w:tcPr>
            <w:tcW w:w="2718" w:type="dxa"/>
            <w:vAlign w:val="center"/>
          </w:tcPr>
          <w:p>
            <w:pPr>
              <w:jc w:val="center"/>
              <w:rPr>
                <w:sz w:val="18"/>
                <w:szCs w:val="18"/>
              </w:rPr>
            </w:pPr>
            <w:r>
              <w:rPr>
                <w:sz w:val="18"/>
                <w:szCs w:val="18"/>
              </w:rPr>
              <w:t>规范语言及公式符号</w:t>
            </w:r>
          </w:p>
        </w:tc>
        <w:tc>
          <w:tcPr>
            <w:tcW w:w="2410" w:type="dxa"/>
            <w:vAlign w:val="center"/>
          </w:tcPr>
          <w:p>
            <w:pPr>
              <w:spacing w:line="300" w:lineRule="exact"/>
              <w:jc w:val="center"/>
              <w:rPr>
                <w:sz w:val="18"/>
                <w:szCs w:val="18"/>
              </w:rPr>
            </w:pPr>
            <w:r>
              <w:rPr>
                <w:sz w:val="18"/>
                <w:szCs w:val="18"/>
              </w:rPr>
              <w:t>有色标准化技术委员会</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10</w:t>
            </w:r>
          </w:p>
        </w:tc>
        <w:tc>
          <w:tcPr>
            <w:tcW w:w="811" w:type="dxa"/>
            <w:vAlign w:val="center"/>
          </w:tcPr>
          <w:p>
            <w:pPr>
              <w:spacing w:line="300" w:lineRule="exact"/>
              <w:jc w:val="center"/>
              <w:rPr>
                <w:sz w:val="18"/>
                <w:szCs w:val="18"/>
              </w:rPr>
            </w:pPr>
            <w:r>
              <w:rPr>
                <w:sz w:val="18"/>
                <w:szCs w:val="18"/>
              </w:rPr>
              <w:t>9.1</w:t>
            </w:r>
          </w:p>
        </w:tc>
        <w:tc>
          <w:tcPr>
            <w:tcW w:w="2718" w:type="dxa"/>
            <w:vAlign w:val="center"/>
          </w:tcPr>
          <w:p>
            <w:pPr>
              <w:jc w:val="center"/>
              <w:rPr>
                <w:sz w:val="18"/>
                <w:szCs w:val="18"/>
              </w:rPr>
            </w:pPr>
            <w:r>
              <w:rPr>
                <w:sz w:val="18"/>
                <w:szCs w:val="18"/>
              </w:rPr>
              <w:t>将“修约值”改为“修约到”</w:t>
            </w:r>
          </w:p>
        </w:tc>
        <w:tc>
          <w:tcPr>
            <w:tcW w:w="2410" w:type="dxa"/>
            <w:vAlign w:val="center"/>
          </w:tcPr>
          <w:p>
            <w:pPr>
              <w:spacing w:line="300" w:lineRule="exact"/>
              <w:jc w:val="center"/>
              <w:rPr>
                <w:sz w:val="18"/>
                <w:szCs w:val="18"/>
              </w:rPr>
            </w:pPr>
            <w:r>
              <w:rPr>
                <w:rFonts w:hint="eastAsia"/>
                <w:sz w:val="18"/>
                <w:szCs w:val="18"/>
              </w:rPr>
              <w:t>崇义章源钨业股份有限公司、广东省分析检测中心</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11</w:t>
            </w:r>
          </w:p>
        </w:tc>
        <w:tc>
          <w:tcPr>
            <w:tcW w:w="811" w:type="dxa"/>
            <w:vAlign w:val="center"/>
          </w:tcPr>
          <w:p>
            <w:pPr>
              <w:spacing w:line="300" w:lineRule="exact"/>
              <w:jc w:val="center"/>
              <w:rPr>
                <w:sz w:val="18"/>
                <w:szCs w:val="18"/>
              </w:rPr>
            </w:pPr>
            <w:r>
              <w:rPr>
                <w:sz w:val="18"/>
                <w:szCs w:val="18"/>
              </w:rPr>
              <w:t>10.1</w:t>
            </w:r>
          </w:p>
        </w:tc>
        <w:tc>
          <w:tcPr>
            <w:tcW w:w="2718" w:type="dxa"/>
            <w:vAlign w:val="center"/>
          </w:tcPr>
          <w:p>
            <w:pPr>
              <w:jc w:val="center"/>
              <w:rPr>
                <w:color w:val="000000"/>
                <w:sz w:val="18"/>
                <w:szCs w:val="18"/>
              </w:rPr>
            </w:pPr>
            <w:r>
              <w:rPr>
                <w:color w:val="000000"/>
                <w:sz w:val="18"/>
                <w:szCs w:val="18"/>
              </w:rPr>
              <w:t>规范语言</w:t>
            </w:r>
          </w:p>
        </w:tc>
        <w:tc>
          <w:tcPr>
            <w:tcW w:w="2410" w:type="dxa"/>
            <w:vAlign w:val="center"/>
          </w:tcPr>
          <w:p>
            <w:pPr>
              <w:spacing w:line="300" w:lineRule="exact"/>
              <w:jc w:val="center"/>
              <w:rPr>
                <w:sz w:val="18"/>
                <w:szCs w:val="18"/>
              </w:rPr>
            </w:pPr>
            <w:r>
              <w:rPr>
                <w:sz w:val="18"/>
                <w:szCs w:val="18"/>
              </w:rPr>
              <w:t>有色标准化技术委员会、北京矿业研究总院</w:t>
            </w:r>
          </w:p>
        </w:tc>
        <w:tc>
          <w:tcPr>
            <w:tcW w:w="709" w:type="dxa"/>
            <w:vAlign w:val="center"/>
          </w:tcPr>
          <w:p>
            <w:pPr>
              <w:spacing w:line="300" w:lineRule="exact"/>
              <w:jc w:val="center"/>
              <w:rPr>
                <w:sz w:val="18"/>
                <w:szCs w:val="18"/>
              </w:rPr>
            </w:pPr>
            <w:r>
              <w:rPr>
                <w:sz w:val="18"/>
                <w:szCs w:val="18"/>
              </w:rPr>
              <w:t>采纳</w:t>
            </w: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12</w:t>
            </w:r>
          </w:p>
        </w:tc>
        <w:tc>
          <w:tcPr>
            <w:tcW w:w="811" w:type="dxa"/>
            <w:vAlign w:val="center"/>
          </w:tcPr>
          <w:p>
            <w:pPr>
              <w:spacing w:line="300" w:lineRule="exact"/>
              <w:jc w:val="center"/>
              <w:rPr>
                <w:sz w:val="18"/>
                <w:szCs w:val="18"/>
              </w:rPr>
            </w:pPr>
            <w:r>
              <w:rPr>
                <w:sz w:val="18"/>
                <w:szCs w:val="18"/>
              </w:rPr>
              <w:t>10.2</w:t>
            </w:r>
          </w:p>
        </w:tc>
        <w:tc>
          <w:tcPr>
            <w:tcW w:w="2718" w:type="dxa"/>
            <w:vAlign w:val="center"/>
          </w:tcPr>
          <w:p>
            <w:pPr>
              <w:jc w:val="center"/>
              <w:rPr>
                <w:sz w:val="18"/>
                <w:szCs w:val="18"/>
              </w:rPr>
            </w:pPr>
            <w:r>
              <w:rPr>
                <w:sz w:val="18"/>
                <w:szCs w:val="18"/>
              </w:rPr>
              <w:t>试验机规格和类型重复</w:t>
            </w:r>
          </w:p>
        </w:tc>
        <w:tc>
          <w:tcPr>
            <w:tcW w:w="2410" w:type="dxa"/>
            <w:vAlign w:val="center"/>
          </w:tcPr>
          <w:p>
            <w:pPr>
              <w:spacing w:line="300" w:lineRule="exact"/>
              <w:jc w:val="center"/>
              <w:rPr>
                <w:sz w:val="18"/>
                <w:szCs w:val="18"/>
              </w:rPr>
            </w:pPr>
            <w:r>
              <w:rPr>
                <w:sz w:val="18"/>
                <w:szCs w:val="18"/>
              </w:rPr>
              <w:t>有色标准化技术委员会</w:t>
            </w:r>
          </w:p>
        </w:tc>
        <w:tc>
          <w:tcPr>
            <w:tcW w:w="709" w:type="dxa"/>
            <w:vAlign w:val="center"/>
          </w:tcPr>
          <w:p>
            <w:pPr>
              <w:spacing w:line="240" w:lineRule="exact"/>
              <w:jc w:val="center"/>
              <w:rPr>
                <w:sz w:val="18"/>
                <w:szCs w:val="18"/>
              </w:rPr>
            </w:pPr>
            <w:r>
              <w:rPr>
                <w:sz w:val="18"/>
                <w:szCs w:val="18"/>
              </w:rPr>
              <w:t>采纳</w:t>
            </w: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13</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300" w:lineRule="exact"/>
              <w:jc w:val="center"/>
              <w:rPr>
                <w:sz w:val="18"/>
                <w:szCs w:val="18"/>
              </w:rPr>
            </w:pP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14</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300" w:lineRule="exact"/>
              <w:jc w:val="center"/>
              <w:rPr>
                <w:sz w:val="18"/>
                <w:szCs w:val="18"/>
              </w:rPr>
            </w:pPr>
          </w:p>
        </w:tc>
        <w:tc>
          <w:tcPr>
            <w:tcW w:w="1934" w:type="dxa"/>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15</w:t>
            </w:r>
          </w:p>
        </w:tc>
        <w:tc>
          <w:tcPr>
            <w:tcW w:w="811" w:type="dxa"/>
            <w:vAlign w:val="center"/>
          </w:tcPr>
          <w:p>
            <w:pPr>
              <w:spacing w:line="300" w:lineRule="exact"/>
              <w:jc w:val="center"/>
              <w:rPr>
                <w:sz w:val="18"/>
                <w:szCs w:val="18"/>
              </w:rPr>
            </w:pPr>
          </w:p>
        </w:tc>
        <w:tc>
          <w:tcPr>
            <w:tcW w:w="2718" w:type="dxa"/>
            <w:vAlign w:val="center"/>
          </w:tcPr>
          <w:p>
            <w:pPr>
              <w:jc w:val="center"/>
              <w:rPr>
                <w:color w:val="000000"/>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16</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17</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18</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19</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0" w:type="dxa"/>
            <w:vAlign w:val="center"/>
          </w:tcPr>
          <w:p>
            <w:pPr>
              <w:spacing w:line="300" w:lineRule="exact"/>
              <w:jc w:val="center"/>
              <w:rPr>
                <w:sz w:val="18"/>
                <w:szCs w:val="18"/>
              </w:rPr>
            </w:pPr>
            <w:r>
              <w:rPr>
                <w:sz w:val="18"/>
                <w:szCs w:val="18"/>
              </w:rPr>
              <w:t>20</w:t>
            </w:r>
          </w:p>
        </w:tc>
        <w:tc>
          <w:tcPr>
            <w:tcW w:w="811" w:type="dxa"/>
            <w:vAlign w:val="center"/>
          </w:tcPr>
          <w:p>
            <w:pPr>
              <w:spacing w:line="300" w:lineRule="exact"/>
              <w:jc w:val="center"/>
              <w:rPr>
                <w:sz w:val="18"/>
                <w:szCs w:val="18"/>
              </w:rPr>
            </w:pPr>
          </w:p>
        </w:tc>
        <w:tc>
          <w:tcPr>
            <w:tcW w:w="2718" w:type="dxa"/>
            <w:vAlign w:val="center"/>
          </w:tcPr>
          <w:p>
            <w:pPr>
              <w:jc w:val="center"/>
              <w:rPr>
                <w:sz w:val="18"/>
                <w:szCs w:val="18"/>
              </w:rPr>
            </w:pPr>
          </w:p>
        </w:tc>
        <w:tc>
          <w:tcPr>
            <w:tcW w:w="2410" w:type="dxa"/>
            <w:vAlign w:val="center"/>
          </w:tcPr>
          <w:p>
            <w:pPr>
              <w:spacing w:line="300" w:lineRule="exact"/>
              <w:jc w:val="center"/>
              <w:rPr>
                <w:sz w:val="18"/>
                <w:szCs w:val="18"/>
              </w:rPr>
            </w:pPr>
          </w:p>
        </w:tc>
        <w:tc>
          <w:tcPr>
            <w:tcW w:w="709" w:type="dxa"/>
            <w:vAlign w:val="center"/>
          </w:tcPr>
          <w:p>
            <w:pPr>
              <w:spacing w:line="240" w:lineRule="exact"/>
              <w:jc w:val="center"/>
              <w:rPr>
                <w:sz w:val="18"/>
                <w:szCs w:val="18"/>
              </w:rPr>
            </w:pPr>
          </w:p>
        </w:tc>
        <w:tc>
          <w:tcPr>
            <w:tcW w:w="1934" w:type="dxa"/>
            <w:vAlign w:val="center"/>
          </w:tcPr>
          <w:p>
            <w:pPr>
              <w:spacing w:line="240" w:lineRule="exact"/>
              <w:jc w:val="center"/>
              <w:rPr>
                <w:sz w:val="18"/>
                <w:szCs w:val="18"/>
              </w:rPr>
            </w:pPr>
          </w:p>
        </w:tc>
      </w:tr>
    </w:tbl>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r>
        <w:rPr>
          <w:color w:val="000000" w:themeColor="text1"/>
          <w14:textFill>
            <w14:solidFill>
              <w14:schemeClr w14:val="tx1"/>
            </w14:solidFill>
          </w14:textFill>
        </w:rPr>
        <w:t>说明：</w:t>
      </w: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发送《征求意见稿》的单位数：8个；</w:t>
      </w:r>
    </w:p>
    <w:p>
      <w:pPr>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收到《征求意见稿》后，回函的单位数：8个；</w:t>
      </w:r>
    </w:p>
    <w:p>
      <w:pPr>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收到《征求意见稿》后，回函并有建议或意见的单位数：8个</w:t>
      </w:r>
    </w:p>
    <w:p>
      <w:pPr>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④</w:t>
      </w:r>
      <w:r>
        <w:rPr>
          <w:color w:val="000000" w:themeColor="text1"/>
          <w14:textFill>
            <w14:solidFill>
              <w14:schemeClr w14:val="tx1"/>
            </w14:solidFill>
          </w14:textFill>
        </w:rPr>
        <w:t>没有回函的单位数：0个。</w:t>
      </w: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sectPr>
      <w:footerReference r:id="rId7" w:type="first"/>
      <w:footerReference r:id="rId6" w:type="default"/>
      <w:pgSz w:w="11906" w:h="16838"/>
      <w:pgMar w:top="1440" w:right="1440" w:bottom="1440" w:left="1440" w:header="851" w:footer="992" w:gutter="284"/>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10</w:t>
    </w:r>
    <w:r>
      <w:rPr>
        <w:rStyle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1</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1"/>
    <w:rsid w:val="000065FF"/>
    <w:rsid w:val="000069BF"/>
    <w:rsid w:val="000103A7"/>
    <w:rsid w:val="00011673"/>
    <w:rsid w:val="000203B8"/>
    <w:rsid w:val="00020EC9"/>
    <w:rsid w:val="00023F1E"/>
    <w:rsid w:val="000244AF"/>
    <w:rsid w:val="000246B4"/>
    <w:rsid w:val="0002694D"/>
    <w:rsid w:val="00027ACA"/>
    <w:rsid w:val="00031667"/>
    <w:rsid w:val="0003197F"/>
    <w:rsid w:val="00031FB4"/>
    <w:rsid w:val="00035CE1"/>
    <w:rsid w:val="00037036"/>
    <w:rsid w:val="00042AF3"/>
    <w:rsid w:val="00052272"/>
    <w:rsid w:val="000523C2"/>
    <w:rsid w:val="00054CB6"/>
    <w:rsid w:val="00054D4E"/>
    <w:rsid w:val="00060ACB"/>
    <w:rsid w:val="00064F8E"/>
    <w:rsid w:val="000670DD"/>
    <w:rsid w:val="00067E0E"/>
    <w:rsid w:val="00076271"/>
    <w:rsid w:val="0008196F"/>
    <w:rsid w:val="00084237"/>
    <w:rsid w:val="000876D8"/>
    <w:rsid w:val="00090C88"/>
    <w:rsid w:val="000912D2"/>
    <w:rsid w:val="00093C42"/>
    <w:rsid w:val="00095952"/>
    <w:rsid w:val="00097F47"/>
    <w:rsid w:val="000A262A"/>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21675"/>
    <w:rsid w:val="00123138"/>
    <w:rsid w:val="00123FDE"/>
    <w:rsid w:val="00124A0C"/>
    <w:rsid w:val="0012567B"/>
    <w:rsid w:val="00133DAF"/>
    <w:rsid w:val="0013604B"/>
    <w:rsid w:val="00143D9A"/>
    <w:rsid w:val="00146631"/>
    <w:rsid w:val="00146AF4"/>
    <w:rsid w:val="00146C09"/>
    <w:rsid w:val="00152077"/>
    <w:rsid w:val="001664B1"/>
    <w:rsid w:val="00166E44"/>
    <w:rsid w:val="00174744"/>
    <w:rsid w:val="00177A43"/>
    <w:rsid w:val="00177C84"/>
    <w:rsid w:val="00180450"/>
    <w:rsid w:val="001832B1"/>
    <w:rsid w:val="00186215"/>
    <w:rsid w:val="001866F3"/>
    <w:rsid w:val="00191E51"/>
    <w:rsid w:val="00192E18"/>
    <w:rsid w:val="00195AAF"/>
    <w:rsid w:val="001A0051"/>
    <w:rsid w:val="001B742F"/>
    <w:rsid w:val="001C103A"/>
    <w:rsid w:val="001C45BA"/>
    <w:rsid w:val="001C58D9"/>
    <w:rsid w:val="001D0DC0"/>
    <w:rsid w:val="001D25B3"/>
    <w:rsid w:val="001D5F79"/>
    <w:rsid w:val="001E14EA"/>
    <w:rsid w:val="001F0283"/>
    <w:rsid w:val="001F53EB"/>
    <w:rsid w:val="001F54FA"/>
    <w:rsid w:val="001F6EDE"/>
    <w:rsid w:val="002001F6"/>
    <w:rsid w:val="0020325B"/>
    <w:rsid w:val="002057E4"/>
    <w:rsid w:val="00211D7F"/>
    <w:rsid w:val="00211FFE"/>
    <w:rsid w:val="002138BA"/>
    <w:rsid w:val="00214295"/>
    <w:rsid w:val="0021648B"/>
    <w:rsid w:val="002177CA"/>
    <w:rsid w:val="00221001"/>
    <w:rsid w:val="00230A46"/>
    <w:rsid w:val="00232A51"/>
    <w:rsid w:val="00234ED7"/>
    <w:rsid w:val="00240429"/>
    <w:rsid w:val="00241F90"/>
    <w:rsid w:val="00244180"/>
    <w:rsid w:val="0025462A"/>
    <w:rsid w:val="00264B5B"/>
    <w:rsid w:val="00267DB0"/>
    <w:rsid w:val="00273B08"/>
    <w:rsid w:val="00274084"/>
    <w:rsid w:val="00275624"/>
    <w:rsid w:val="00277C4A"/>
    <w:rsid w:val="00280356"/>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075A"/>
    <w:rsid w:val="00325E43"/>
    <w:rsid w:val="00326279"/>
    <w:rsid w:val="00327327"/>
    <w:rsid w:val="00334FAD"/>
    <w:rsid w:val="00340F45"/>
    <w:rsid w:val="003428A0"/>
    <w:rsid w:val="003432A8"/>
    <w:rsid w:val="0034360F"/>
    <w:rsid w:val="00344F1B"/>
    <w:rsid w:val="00350808"/>
    <w:rsid w:val="003622AC"/>
    <w:rsid w:val="00362EA0"/>
    <w:rsid w:val="00364632"/>
    <w:rsid w:val="00370C26"/>
    <w:rsid w:val="00391D56"/>
    <w:rsid w:val="003A19A9"/>
    <w:rsid w:val="003A3394"/>
    <w:rsid w:val="003A4422"/>
    <w:rsid w:val="003A468E"/>
    <w:rsid w:val="003A5C87"/>
    <w:rsid w:val="003A70C6"/>
    <w:rsid w:val="003B36D4"/>
    <w:rsid w:val="003B36E9"/>
    <w:rsid w:val="003B5623"/>
    <w:rsid w:val="003B7156"/>
    <w:rsid w:val="003C0804"/>
    <w:rsid w:val="003C0827"/>
    <w:rsid w:val="003C0FCD"/>
    <w:rsid w:val="003C7467"/>
    <w:rsid w:val="003C777A"/>
    <w:rsid w:val="003D4D85"/>
    <w:rsid w:val="003D66B7"/>
    <w:rsid w:val="003D74CD"/>
    <w:rsid w:val="003D7C65"/>
    <w:rsid w:val="003E1FAD"/>
    <w:rsid w:val="003E2022"/>
    <w:rsid w:val="003E5707"/>
    <w:rsid w:val="003E62CB"/>
    <w:rsid w:val="00401B8F"/>
    <w:rsid w:val="00407FDE"/>
    <w:rsid w:val="004120D0"/>
    <w:rsid w:val="0041375C"/>
    <w:rsid w:val="0042068C"/>
    <w:rsid w:val="00422A79"/>
    <w:rsid w:val="00424C60"/>
    <w:rsid w:val="00430A2C"/>
    <w:rsid w:val="00442F9E"/>
    <w:rsid w:val="004445EC"/>
    <w:rsid w:val="00444963"/>
    <w:rsid w:val="004449C0"/>
    <w:rsid w:val="00453846"/>
    <w:rsid w:val="00460C2D"/>
    <w:rsid w:val="00460CFD"/>
    <w:rsid w:val="00461634"/>
    <w:rsid w:val="004622E1"/>
    <w:rsid w:val="00462E6D"/>
    <w:rsid w:val="00467B1E"/>
    <w:rsid w:val="004715DB"/>
    <w:rsid w:val="00481C51"/>
    <w:rsid w:val="00493D64"/>
    <w:rsid w:val="0049466B"/>
    <w:rsid w:val="00494C81"/>
    <w:rsid w:val="0049723F"/>
    <w:rsid w:val="004A0089"/>
    <w:rsid w:val="004A61AC"/>
    <w:rsid w:val="004A74E6"/>
    <w:rsid w:val="004B31AB"/>
    <w:rsid w:val="004B56DD"/>
    <w:rsid w:val="004C4F10"/>
    <w:rsid w:val="004D7BD4"/>
    <w:rsid w:val="004E23EE"/>
    <w:rsid w:val="004E2C77"/>
    <w:rsid w:val="004E467B"/>
    <w:rsid w:val="004E70D4"/>
    <w:rsid w:val="004F022D"/>
    <w:rsid w:val="00500709"/>
    <w:rsid w:val="0050085A"/>
    <w:rsid w:val="005011D5"/>
    <w:rsid w:val="0050307C"/>
    <w:rsid w:val="00507993"/>
    <w:rsid w:val="005154DC"/>
    <w:rsid w:val="00521244"/>
    <w:rsid w:val="00521A36"/>
    <w:rsid w:val="005224CE"/>
    <w:rsid w:val="005230CF"/>
    <w:rsid w:val="005233DC"/>
    <w:rsid w:val="0052387C"/>
    <w:rsid w:val="0052790E"/>
    <w:rsid w:val="00532C34"/>
    <w:rsid w:val="00533A8F"/>
    <w:rsid w:val="005407FF"/>
    <w:rsid w:val="00541667"/>
    <w:rsid w:val="00543C22"/>
    <w:rsid w:val="00545BEE"/>
    <w:rsid w:val="00547309"/>
    <w:rsid w:val="005479B6"/>
    <w:rsid w:val="00550481"/>
    <w:rsid w:val="00550652"/>
    <w:rsid w:val="005518D5"/>
    <w:rsid w:val="00551A5F"/>
    <w:rsid w:val="0055385D"/>
    <w:rsid w:val="00554184"/>
    <w:rsid w:val="00565254"/>
    <w:rsid w:val="0057026C"/>
    <w:rsid w:val="005709F3"/>
    <w:rsid w:val="00573A8D"/>
    <w:rsid w:val="0057567D"/>
    <w:rsid w:val="00580EF3"/>
    <w:rsid w:val="005848FB"/>
    <w:rsid w:val="005862CD"/>
    <w:rsid w:val="00586BF9"/>
    <w:rsid w:val="0058765B"/>
    <w:rsid w:val="00591351"/>
    <w:rsid w:val="005A1CBB"/>
    <w:rsid w:val="005A5166"/>
    <w:rsid w:val="005A53A3"/>
    <w:rsid w:val="005C1630"/>
    <w:rsid w:val="005C2242"/>
    <w:rsid w:val="005C7852"/>
    <w:rsid w:val="005C78A0"/>
    <w:rsid w:val="005C7FE7"/>
    <w:rsid w:val="005D49AB"/>
    <w:rsid w:val="005E1A13"/>
    <w:rsid w:val="005E2D6D"/>
    <w:rsid w:val="005E329F"/>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604"/>
    <w:rsid w:val="006948C4"/>
    <w:rsid w:val="006A3647"/>
    <w:rsid w:val="006A5836"/>
    <w:rsid w:val="006A741D"/>
    <w:rsid w:val="006A7439"/>
    <w:rsid w:val="006A761C"/>
    <w:rsid w:val="006B4B25"/>
    <w:rsid w:val="006B5486"/>
    <w:rsid w:val="006B7081"/>
    <w:rsid w:val="006B7CF2"/>
    <w:rsid w:val="006C14C6"/>
    <w:rsid w:val="006C34CD"/>
    <w:rsid w:val="006C4A21"/>
    <w:rsid w:val="006C5B81"/>
    <w:rsid w:val="006C6BF0"/>
    <w:rsid w:val="006D67AB"/>
    <w:rsid w:val="006E6972"/>
    <w:rsid w:val="006E7F0C"/>
    <w:rsid w:val="006F1050"/>
    <w:rsid w:val="006F3C84"/>
    <w:rsid w:val="007020AC"/>
    <w:rsid w:val="0070467E"/>
    <w:rsid w:val="007058AC"/>
    <w:rsid w:val="00717801"/>
    <w:rsid w:val="007248C8"/>
    <w:rsid w:val="007261B7"/>
    <w:rsid w:val="00731AF1"/>
    <w:rsid w:val="00741027"/>
    <w:rsid w:val="00743CD9"/>
    <w:rsid w:val="00744471"/>
    <w:rsid w:val="00751BAD"/>
    <w:rsid w:val="00751E5C"/>
    <w:rsid w:val="00774C1B"/>
    <w:rsid w:val="007755EE"/>
    <w:rsid w:val="0078044B"/>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37F2E"/>
    <w:rsid w:val="00846C83"/>
    <w:rsid w:val="00847B3E"/>
    <w:rsid w:val="00852C29"/>
    <w:rsid w:val="008560E3"/>
    <w:rsid w:val="00861A27"/>
    <w:rsid w:val="008632A3"/>
    <w:rsid w:val="0086690A"/>
    <w:rsid w:val="008705AE"/>
    <w:rsid w:val="0087181E"/>
    <w:rsid w:val="0088074B"/>
    <w:rsid w:val="00883CA6"/>
    <w:rsid w:val="00896D6F"/>
    <w:rsid w:val="008A3F66"/>
    <w:rsid w:val="008A6150"/>
    <w:rsid w:val="008A628B"/>
    <w:rsid w:val="008B45CA"/>
    <w:rsid w:val="008B5AD7"/>
    <w:rsid w:val="008C0171"/>
    <w:rsid w:val="008C5F0C"/>
    <w:rsid w:val="008D5FF2"/>
    <w:rsid w:val="008E370E"/>
    <w:rsid w:val="008E382B"/>
    <w:rsid w:val="008F02D8"/>
    <w:rsid w:val="008F47A3"/>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750"/>
    <w:rsid w:val="00971312"/>
    <w:rsid w:val="00972909"/>
    <w:rsid w:val="0098370E"/>
    <w:rsid w:val="009A637A"/>
    <w:rsid w:val="009A64EE"/>
    <w:rsid w:val="009B0464"/>
    <w:rsid w:val="009B0B43"/>
    <w:rsid w:val="009B1367"/>
    <w:rsid w:val="009B3C73"/>
    <w:rsid w:val="009C2BA4"/>
    <w:rsid w:val="009C4431"/>
    <w:rsid w:val="009D14B2"/>
    <w:rsid w:val="009D645F"/>
    <w:rsid w:val="009E0114"/>
    <w:rsid w:val="009E2AE2"/>
    <w:rsid w:val="009F0120"/>
    <w:rsid w:val="009F2B8B"/>
    <w:rsid w:val="00A03584"/>
    <w:rsid w:val="00A10682"/>
    <w:rsid w:val="00A23C2F"/>
    <w:rsid w:val="00A26A03"/>
    <w:rsid w:val="00A30DCA"/>
    <w:rsid w:val="00A335E6"/>
    <w:rsid w:val="00A3409E"/>
    <w:rsid w:val="00A36945"/>
    <w:rsid w:val="00A44D3D"/>
    <w:rsid w:val="00A4592A"/>
    <w:rsid w:val="00A50D11"/>
    <w:rsid w:val="00A52F32"/>
    <w:rsid w:val="00A56FAA"/>
    <w:rsid w:val="00A60832"/>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3A7A"/>
    <w:rsid w:val="00AB4005"/>
    <w:rsid w:val="00AB459D"/>
    <w:rsid w:val="00AC3BD1"/>
    <w:rsid w:val="00AC667B"/>
    <w:rsid w:val="00AC7658"/>
    <w:rsid w:val="00AD1575"/>
    <w:rsid w:val="00AD5B6F"/>
    <w:rsid w:val="00AD6CFB"/>
    <w:rsid w:val="00AE40A0"/>
    <w:rsid w:val="00AF0949"/>
    <w:rsid w:val="00AF1927"/>
    <w:rsid w:val="00AF4872"/>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67B5"/>
    <w:rsid w:val="00B519D9"/>
    <w:rsid w:val="00B55E3E"/>
    <w:rsid w:val="00B6333A"/>
    <w:rsid w:val="00B70817"/>
    <w:rsid w:val="00B70C99"/>
    <w:rsid w:val="00B74FF4"/>
    <w:rsid w:val="00B77406"/>
    <w:rsid w:val="00B77630"/>
    <w:rsid w:val="00B83DB3"/>
    <w:rsid w:val="00B90988"/>
    <w:rsid w:val="00B93D29"/>
    <w:rsid w:val="00B9716D"/>
    <w:rsid w:val="00BA1DCF"/>
    <w:rsid w:val="00BA73F8"/>
    <w:rsid w:val="00BB185A"/>
    <w:rsid w:val="00BB30EB"/>
    <w:rsid w:val="00BB6626"/>
    <w:rsid w:val="00BB6B03"/>
    <w:rsid w:val="00BC3D8A"/>
    <w:rsid w:val="00BC4AFB"/>
    <w:rsid w:val="00BC6527"/>
    <w:rsid w:val="00BD062A"/>
    <w:rsid w:val="00BD1FB5"/>
    <w:rsid w:val="00BD2B7B"/>
    <w:rsid w:val="00BD74E7"/>
    <w:rsid w:val="00BE1ADC"/>
    <w:rsid w:val="00BF25B4"/>
    <w:rsid w:val="00BF6CA9"/>
    <w:rsid w:val="00C134F1"/>
    <w:rsid w:val="00C15A17"/>
    <w:rsid w:val="00C222CF"/>
    <w:rsid w:val="00C22E7F"/>
    <w:rsid w:val="00C24B96"/>
    <w:rsid w:val="00C24D05"/>
    <w:rsid w:val="00C26C6B"/>
    <w:rsid w:val="00C36983"/>
    <w:rsid w:val="00C40B76"/>
    <w:rsid w:val="00C40E26"/>
    <w:rsid w:val="00C41439"/>
    <w:rsid w:val="00C428F6"/>
    <w:rsid w:val="00C472DD"/>
    <w:rsid w:val="00C50F17"/>
    <w:rsid w:val="00C55488"/>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C38FA"/>
    <w:rsid w:val="00CD7E5A"/>
    <w:rsid w:val="00CE0618"/>
    <w:rsid w:val="00CE1A03"/>
    <w:rsid w:val="00CE63CB"/>
    <w:rsid w:val="00CE76C8"/>
    <w:rsid w:val="00CE794E"/>
    <w:rsid w:val="00CF7266"/>
    <w:rsid w:val="00D0032E"/>
    <w:rsid w:val="00D00593"/>
    <w:rsid w:val="00D05F12"/>
    <w:rsid w:val="00D071AC"/>
    <w:rsid w:val="00D11CFF"/>
    <w:rsid w:val="00D25B5F"/>
    <w:rsid w:val="00D40618"/>
    <w:rsid w:val="00D42EA7"/>
    <w:rsid w:val="00D458E7"/>
    <w:rsid w:val="00D47866"/>
    <w:rsid w:val="00D5052E"/>
    <w:rsid w:val="00D534DD"/>
    <w:rsid w:val="00D66410"/>
    <w:rsid w:val="00D70541"/>
    <w:rsid w:val="00D72E96"/>
    <w:rsid w:val="00D75891"/>
    <w:rsid w:val="00D85516"/>
    <w:rsid w:val="00D85EC2"/>
    <w:rsid w:val="00D9038C"/>
    <w:rsid w:val="00D91EF1"/>
    <w:rsid w:val="00D9467B"/>
    <w:rsid w:val="00DA1230"/>
    <w:rsid w:val="00DA5D58"/>
    <w:rsid w:val="00DA78B9"/>
    <w:rsid w:val="00DB51BE"/>
    <w:rsid w:val="00DB54FE"/>
    <w:rsid w:val="00DC78C0"/>
    <w:rsid w:val="00DD00AD"/>
    <w:rsid w:val="00DD2388"/>
    <w:rsid w:val="00DD7BDA"/>
    <w:rsid w:val="00DE2ED9"/>
    <w:rsid w:val="00DF2C7B"/>
    <w:rsid w:val="00E10594"/>
    <w:rsid w:val="00E10637"/>
    <w:rsid w:val="00E106C4"/>
    <w:rsid w:val="00E13F0E"/>
    <w:rsid w:val="00E209E8"/>
    <w:rsid w:val="00E21457"/>
    <w:rsid w:val="00E2586E"/>
    <w:rsid w:val="00E26540"/>
    <w:rsid w:val="00E316EB"/>
    <w:rsid w:val="00E371F3"/>
    <w:rsid w:val="00E37919"/>
    <w:rsid w:val="00E37B57"/>
    <w:rsid w:val="00E4364E"/>
    <w:rsid w:val="00E537C2"/>
    <w:rsid w:val="00E542AF"/>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B0BF8"/>
    <w:rsid w:val="00EC5011"/>
    <w:rsid w:val="00ED7731"/>
    <w:rsid w:val="00EE0B3C"/>
    <w:rsid w:val="00EE0B4B"/>
    <w:rsid w:val="00EE6865"/>
    <w:rsid w:val="00EE727A"/>
    <w:rsid w:val="00EF23B3"/>
    <w:rsid w:val="00EF6303"/>
    <w:rsid w:val="00F00BDE"/>
    <w:rsid w:val="00F03F0F"/>
    <w:rsid w:val="00F0521C"/>
    <w:rsid w:val="00F070C0"/>
    <w:rsid w:val="00F104EF"/>
    <w:rsid w:val="00F14BD9"/>
    <w:rsid w:val="00F1673B"/>
    <w:rsid w:val="00F173CE"/>
    <w:rsid w:val="00F2124D"/>
    <w:rsid w:val="00F216CF"/>
    <w:rsid w:val="00F3043A"/>
    <w:rsid w:val="00F362DD"/>
    <w:rsid w:val="00F4131F"/>
    <w:rsid w:val="00F43532"/>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C6107"/>
    <w:rsid w:val="00FD04D8"/>
    <w:rsid w:val="00FD3CF6"/>
    <w:rsid w:val="00FD7116"/>
    <w:rsid w:val="00FE1571"/>
    <w:rsid w:val="00FE1A2F"/>
    <w:rsid w:val="00FE7FC8"/>
    <w:rsid w:val="00FF2983"/>
    <w:rsid w:val="00FF7255"/>
    <w:rsid w:val="0C2D4CF3"/>
    <w:rsid w:val="1B310B11"/>
    <w:rsid w:val="3D542D7F"/>
    <w:rsid w:val="527E300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21">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48"/>
    <w:semiHidden/>
    <w:uiPriority w:val="99"/>
    <w:pPr>
      <w:jc w:val="left"/>
    </w:pPr>
    <w:rPr>
      <w:sz w:val="24"/>
      <w:szCs w:val="24"/>
    </w:rPr>
  </w:style>
  <w:style w:type="paragraph" w:styleId="6">
    <w:name w:val="Body Text"/>
    <w:basedOn w:val="1"/>
    <w:link w:val="46"/>
    <w:qFormat/>
    <w:uiPriority w:val="99"/>
    <w:pPr>
      <w:spacing w:after="120"/>
    </w:pPr>
    <w:rPr>
      <w:sz w:val="24"/>
      <w:szCs w:val="24"/>
    </w:rPr>
  </w:style>
  <w:style w:type="paragraph" w:styleId="7">
    <w:name w:val="Body Text Indent"/>
    <w:basedOn w:val="1"/>
    <w:link w:val="35"/>
    <w:uiPriority w:val="99"/>
    <w:pPr>
      <w:autoSpaceDE w:val="0"/>
      <w:autoSpaceDN w:val="0"/>
      <w:adjustRightInd w:val="0"/>
      <w:spacing w:line="360" w:lineRule="auto"/>
      <w:ind w:firstLine="640" w:firstLineChars="200"/>
    </w:pPr>
    <w:rPr>
      <w:kern w:val="0"/>
    </w:rPr>
  </w:style>
  <w:style w:type="paragraph" w:styleId="8">
    <w:name w:val="Plain Text"/>
    <w:basedOn w:val="1"/>
    <w:link w:val="31"/>
    <w:uiPriority w:val="99"/>
    <w:rPr>
      <w:rFonts w:ascii="宋体" w:hAnsi="Courier New" w:cs="宋体"/>
      <w:kern w:val="0"/>
    </w:rPr>
  </w:style>
  <w:style w:type="paragraph" w:styleId="9">
    <w:name w:val="Date"/>
    <w:basedOn w:val="1"/>
    <w:next w:val="1"/>
    <w:link w:val="40"/>
    <w:uiPriority w:val="99"/>
    <w:pPr>
      <w:ind w:left="100" w:leftChars="2500"/>
    </w:pPr>
    <w:rPr>
      <w:kern w:val="0"/>
    </w:rPr>
  </w:style>
  <w:style w:type="paragraph" w:styleId="10">
    <w:name w:val="Body Text Indent 2"/>
    <w:basedOn w:val="1"/>
    <w:link w:val="36"/>
    <w:uiPriority w:val="99"/>
    <w:pPr>
      <w:spacing w:after="120" w:line="480" w:lineRule="auto"/>
      <w:ind w:left="420" w:leftChars="200"/>
    </w:pPr>
    <w:rPr>
      <w:kern w:val="0"/>
    </w:rPr>
  </w:style>
  <w:style w:type="paragraph" w:styleId="11">
    <w:name w:val="Balloon Text"/>
    <w:basedOn w:val="1"/>
    <w:link w:val="50"/>
    <w:semiHidden/>
    <w:uiPriority w:val="99"/>
    <w:rPr>
      <w:sz w:val="18"/>
      <w:szCs w:val="18"/>
    </w:rPr>
  </w:style>
  <w:style w:type="paragraph" w:styleId="12">
    <w:name w:val="footer"/>
    <w:basedOn w:val="1"/>
    <w:link w:val="30"/>
    <w:uiPriority w:val="99"/>
    <w:pPr>
      <w:tabs>
        <w:tab w:val="center" w:pos="4153"/>
        <w:tab w:val="right" w:pos="8306"/>
      </w:tabs>
      <w:snapToGrid w:val="0"/>
      <w:jc w:val="left"/>
    </w:pPr>
    <w:rPr>
      <w:kern w:val="0"/>
      <w:sz w:val="18"/>
      <w:szCs w:val="18"/>
    </w:rPr>
  </w:style>
  <w:style w:type="paragraph" w:styleId="13">
    <w:name w:val="header"/>
    <w:basedOn w:val="1"/>
    <w:link w:val="29"/>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5">
    <w:name w:val="HTML Preformatted"/>
    <w:basedOn w:val="1"/>
    <w:link w:val="4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6">
    <w:name w:val="Normal (Web)"/>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7">
    <w:name w:val="annotation subject"/>
    <w:basedOn w:val="5"/>
    <w:next w:val="5"/>
    <w:link w:val="49"/>
    <w:semiHidden/>
    <w:uiPriority w:val="99"/>
    <w:rPr>
      <w:b/>
      <w:bCs/>
    </w:rPr>
  </w:style>
  <w:style w:type="table" w:styleId="19">
    <w:name w:val="Table Grid"/>
    <w:basedOn w:val="1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0">
    <w:name w:val="Table Professional"/>
    <w:basedOn w:val="18"/>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Layout w:type="fixed"/>
      </w:tblPr>
      <w:tcPr>
        <w:tcBorders>
          <w:tl2br w:val="nil"/>
          <w:tr2bl w:val="nil"/>
        </w:tcBorders>
        <w:shd w:val="solid" w:color="000000" w:fill="FFFFFF"/>
      </w:tcPr>
    </w:tblStylePr>
  </w:style>
  <w:style w:type="character" w:styleId="22">
    <w:name w:val="page number"/>
    <w:basedOn w:val="21"/>
    <w:uiPriority w:val="99"/>
  </w:style>
  <w:style w:type="character" w:styleId="23">
    <w:name w:val="Emphasis"/>
    <w:qFormat/>
    <w:uiPriority w:val="99"/>
    <w:rPr>
      <w:i/>
      <w:iCs/>
    </w:rPr>
  </w:style>
  <w:style w:type="character" w:styleId="24">
    <w:name w:val="Hyperlink"/>
    <w:uiPriority w:val="99"/>
    <w:rPr>
      <w:color w:val="0000FF"/>
      <w:u w:val="single"/>
    </w:rPr>
  </w:style>
  <w:style w:type="character" w:styleId="25">
    <w:name w:val="annotation reference"/>
    <w:semiHidden/>
    <w:uiPriority w:val="99"/>
    <w:rPr>
      <w:sz w:val="21"/>
      <w:szCs w:val="21"/>
    </w:rPr>
  </w:style>
  <w:style w:type="character" w:customStyle="1" w:styleId="26">
    <w:name w:val="标题 1 Char"/>
    <w:link w:val="2"/>
    <w:locked/>
    <w:uiPriority w:val="99"/>
    <w:rPr>
      <w:b/>
      <w:bCs/>
      <w:kern w:val="44"/>
      <w:sz w:val="44"/>
      <w:szCs w:val="44"/>
    </w:rPr>
  </w:style>
  <w:style w:type="character" w:customStyle="1" w:styleId="27">
    <w:name w:val="标题 4 Char"/>
    <w:link w:val="3"/>
    <w:semiHidden/>
    <w:locked/>
    <w:uiPriority w:val="99"/>
    <w:rPr>
      <w:rFonts w:ascii="Cambria" w:hAnsi="Cambria" w:eastAsia="宋体" w:cs="Cambria"/>
      <w:b/>
      <w:bCs/>
      <w:sz w:val="28"/>
      <w:szCs w:val="28"/>
    </w:rPr>
  </w:style>
  <w:style w:type="character" w:customStyle="1" w:styleId="28">
    <w:name w:val="标题 5 Char"/>
    <w:link w:val="4"/>
    <w:semiHidden/>
    <w:locked/>
    <w:uiPriority w:val="99"/>
    <w:rPr>
      <w:b/>
      <w:bCs/>
      <w:sz w:val="28"/>
      <w:szCs w:val="28"/>
    </w:rPr>
  </w:style>
  <w:style w:type="character" w:customStyle="1" w:styleId="29">
    <w:name w:val="页眉 Char"/>
    <w:link w:val="13"/>
    <w:semiHidden/>
    <w:locked/>
    <w:uiPriority w:val="99"/>
    <w:rPr>
      <w:sz w:val="18"/>
      <w:szCs w:val="18"/>
    </w:rPr>
  </w:style>
  <w:style w:type="character" w:customStyle="1" w:styleId="30">
    <w:name w:val="页脚 Char"/>
    <w:link w:val="12"/>
    <w:semiHidden/>
    <w:locked/>
    <w:uiPriority w:val="99"/>
    <w:rPr>
      <w:sz w:val="18"/>
      <w:szCs w:val="18"/>
    </w:rPr>
  </w:style>
  <w:style w:type="character" w:customStyle="1" w:styleId="31">
    <w:name w:val="纯文本 Char"/>
    <w:link w:val="8"/>
    <w:semiHidden/>
    <w:locked/>
    <w:uiPriority w:val="99"/>
    <w:rPr>
      <w:rFonts w:ascii="宋体" w:hAnsi="Courier New" w:cs="宋体"/>
      <w:sz w:val="21"/>
      <w:szCs w:val="21"/>
    </w:rPr>
  </w:style>
  <w:style w:type="paragraph" w:customStyle="1" w:styleId="32">
    <w:name w:val="段"/>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uiPriority w:val="99"/>
    <w:pPr>
      <w:widowControl/>
      <w:spacing w:before="100" w:beforeAutospacing="1" w:after="100" w:afterAutospacing="1"/>
      <w:jc w:val="center"/>
      <w:textAlignment w:val="top"/>
    </w:pPr>
    <w:rPr>
      <w:kern w:val="0"/>
    </w:rPr>
  </w:style>
  <w:style w:type="paragraph" w:customStyle="1" w:styleId="34">
    <w:name w:val="xl37"/>
    <w:basedOn w:val="1"/>
    <w:uiPriority w:val="99"/>
    <w:pPr>
      <w:widowControl/>
      <w:spacing w:before="100" w:beforeAutospacing="1" w:after="100" w:afterAutospacing="1"/>
      <w:textAlignment w:val="top"/>
    </w:pPr>
    <w:rPr>
      <w:kern w:val="0"/>
    </w:rPr>
  </w:style>
  <w:style w:type="character" w:customStyle="1" w:styleId="35">
    <w:name w:val="正文文本缩进 Char"/>
    <w:link w:val="7"/>
    <w:semiHidden/>
    <w:locked/>
    <w:uiPriority w:val="99"/>
    <w:rPr>
      <w:sz w:val="21"/>
      <w:szCs w:val="21"/>
    </w:rPr>
  </w:style>
  <w:style w:type="character" w:customStyle="1" w:styleId="36">
    <w:name w:val="正文文本缩进 2 Char"/>
    <w:link w:val="10"/>
    <w:semiHidden/>
    <w:locked/>
    <w:uiPriority w:val="99"/>
    <w:rPr>
      <w:sz w:val="21"/>
      <w:szCs w:val="21"/>
    </w:rPr>
  </w:style>
  <w:style w:type="character" w:customStyle="1" w:styleId="37">
    <w:name w:val="e1 style1 style2 style3 style3 style4 style4"/>
    <w:basedOn w:val="21"/>
    <w:qFormat/>
    <w:uiPriority w:val="99"/>
  </w:style>
  <w:style w:type="character" w:customStyle="1" w:styleId="38">
    <w:name w:val="style81"/>
    <w:uiPriority w:val="99"/>
    <w:rPr>
      <w:color w:val="auto"/>
    </w:rPr>
  </w:style>
  <w:style w:type="paragraph" w:customStyle="1" w:styleId="39">
    <w:name w:val="Char Char Char Char"/>
    <w:basedOn w:val="1"/>
    <w:qFormat/>
    <w:uiPriority w:val="99"/>
    <w:pPr>
      <w:widowControl/>
      <w:spacing w:after="160" w:line="240" w:lineRule="exact"/>
      <w:jc w:val="left"/>
    </w:pPr>
  </w:style>
  <w:style w:type="character" w:customStyle="1" w:styleId="40">
    <w:name w:val="日期 Char"/>
    <w:link w:val="9"/>
    <w:semiHidden/>
    <w:locked/>
    <w:uiPriority w:val="99"/>
    <w:rPr>
      <w:sz w:val="21"/>
      <w:szCs w:val="21"/>
    </w:rPr>
  </w:style>
  <w:style w:type="character" w:customStyle="1" w:styleId="41">
    <w:name w:val="HTML 预设格式 Char"/>
    <w:link w:val="15"/>
    <w:semiHidden/>
    <w:locked/>
    <w:uiPriority w:val="99"/>
    <w:rPr>
      <w:rFonts w:ascii="Courier New" w:hAnsi="Courier New" w:cs="Courier New"/>
      <w:sz w:val="20"/>
      <w:szCs w:val="20"/>
    </w:rPr>
  </w:style>
  <w:style w:type="paragraph" w:customStyle="1" w:styleId="42">
    <w:name w:val="p0"/>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21"/>
    <w:qFormat/>
    <w:uiPriority w:val="99"/>
  </w:style>
  <w:style w:type="character" w:customStyle="1" w:styleId="44">
    <w:name w:val="news1"/>
    <w:qFormat/>
    <w:uiPriority w:val="99"/>
    <w:rPr>
      <w:color w:val="000000"/>
      <w:sz w:val="21"/>
      <w:szCs w:val="21"/>
      <w:u w:val="none"/>
    </w:rPr>
  </w:style>
  <w:style w:type="character" w:customStyle="1" w:styleId="45">
    <w:name w:val="warp"/>
    <w:basedOn w:val="21"/>
    <w:qFormat/>
    <w:uiPriority w:val="99"/>
  </w:style>
  <w:style w:type="character" w:customStyle="1" w:styleId="46">
    <w:name w:val="正文文本 Char"/>
    <w:link w:val="6"/>
    <w:qFormat/>
    <w:locked/>
    <w:uiPriority w:val="99"/>
    <w:rPr>
      <w:kern w:val="2"/>
      <w:sz w:val="24"/>
      <w:szCs w:val="24"/>
    </w:rPr>
  </w:style>
  <w:style w:type="character" w:customStyle="1" w:styleId="47">
    <w:name w:val="副标题 Char"/>
    <w:link w:val="14"/>
    <w:qFormat/>
    <w:locked/>
    <w:uiPriority w:val="99"/>
    <w:rPr>
      <w:rFonts w:ascii="Cambria" w:hAnsi="Cambria" w:eastAsia="黑体" w:cs="Cambria"/>
      <w:b/>
      <w:bCs/>
      <w:kern w:val="28"/>
      <w:sz w:val="32"/>
      <w:szCs w:val="32"/>
    </w:rPr>
  </w:style>
  <w:style w:type="character" w:customStyle="1" w:styleId="48">
    <w:name w:val="批注文字 Char"/>
    <w:link w:val="5"/>
    <w:locked/>
    <w:uiPriority w:val="99"/>
    <w:rPr>
      <w:kern w:val="2"/>
      <w:sz w:val="24"/>
      <w:szCs w:val="24"/>
    </w:rPr>
  </w:style>
  <w:style w:type="character" w:customStyle="1" w:styleId="49">
    <w:name w:val="批注主题 Char"/>
    <w:link w:val="17"/>
    <w:locked/>
    <w:uiPriority w:val="99"/>
    <w:rPr>
      <w:b/>
      <w:bCs/>
      <w:kern w:val="2"/>
      <w:sz w:val="24"/>
      <w:szCs w:val="24"/>
    </w:rPr>
  </w:style>
  <w:style w:type="character" w:customStyle="1" w:styleId="50">
    <w:name w:val="批注框文本 Char"/>
    <w:link w:val="11"/>
    <w:locked/>
    <w:uiPriority w:val="99"/>
    <w:rPr>
      <w:kern w:val="2"/>
      <w:sz w:val="18"/>
      <w:szCs w:val="18"/>
    </w:rPr>
  </w:style>
  <w:style w:type="paragraph" w:styleId="51">
    <w:name w:val="List Paragraph"/>
    <w:basedOn w:val="1"/>
    <w:unhideWhenUsed/>
    <w:uiPriority w:val="99"/>
    <w:pPr>
      <w:ind w:firstLine="420" w:firstLineChars="200"/>
    </w:pPr>
  </w:style>
  <w:style w:type="paragraph" w:customStyle="1" w:styleId="52">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采购部</Company>
  <Pages>12</Pages>
  <Words>1253</Words>
  <Characters>7148</Characters>
  <Lines>59</Lines>
  <Paragraphs>16</Paragraphs>
  <TotalTime>812</TotalTime>
  <ScaleCrop>false</ScaleCrop>
  <LinksUpToDate>false</LinksUpToDate>
  <CharactersWithSpaces>8385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2018-07-19T07:38:00Z</dcterms:created>
  <dc:creator>惠志恭</dc:creator>
  <cp:lastModifiedBy>wuyanhua</cp:lastModifiedBy>
  <cp:lastPrinted>2018-06-19T08:01:00Z</cp:lastPrinted>
  <dcterms:modified xsi:type="dcterms:W3CDTF">2019-04-12T07:32:29Z</dcterms:modified>
  <dc:title>球形氢氧化镍国家标准修订说明</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