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7"/>
      </w:pPr>
      <w:bookmarkStart w:id="0" w:name="SectionMark0"/>
    </w:p>
    <w:p>
      <w:pPr>
        <w:pStyle w:val="117"/>
      </w:pPr>
    </w:p>
    <w:p>
      <w:pPr>
        <w:pStyle w:val="117"/>
      </w:pPr>
    </w:p>
    <w:p>
      <w:pPr>
        <w:pStyle w:val="117"/>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r>
        <w:pict>
          <v:shape id="_x0000_s1026" o:spid="_x0000_s1026" o:spt="32" type="#_x0000_t32" style="position:absolute;left:0pt;margin-left:0pt;margin-top:160.05pt;height:0pt;width:481.9pt;z-index:251662336;mso-width-relative:page;mso-height-relative:page;" o:connectortype="straight" filled="f" coordsize="21600,21600">
            <v:path arrowok="t"/>
            <v:fill on="f" focussize="0,0"/>
            <v:stroke/>
            <v:imagedata o:title=""/>
            <o:lock v:ext="edit"/>
          </v:shape>
        </w:pict>
      </w:r>
      <w:r>
        <w:pict>
          <v:line id="_x0000_s1027" o:spid="_x0000_s1027" o:spt="20" style="position:absolute;left:0pt;margin-left:0pt;margin-top:160.05pt;height:0pt;width:482pt;z-index:251660288;mso-width-relative:page;mso-height-relative:page;" stroked="t" coordsize="21600,21600">
            <v:path arrowok="t"/>
            <v:fill focussize="0,0"/>
            <v:stroke weight="3pt" color="#F2F2F2"/>
            <v:imagedata o:title=""/>
            <o:lock v:ext="edit"/>
          </v:line>
        </w:pict>
      </w:r>
      <w:r>
        <w:pict>
          <v:line id="_x0000_s1028" o:spid="_x0000_s1028" o:spt="20" style="position:absolute;left:0pt;margin-left:0pt;margin-top:700pt;height:0pt;width:482pt;z-index:251661312;mso-width-relative:page;mso-height-relative:page;" coordsize="21600,21600">
            <v:path arrowok="t"/>
            <v:fill focussize="0,0"/>
            <v:stroke weight="1pt"/>
            <v:imagedata o:title=""/>
            <o:lock v:ext="edit"/>
          </v:line>
        </w:pict>
      </w:r>
      <w:r>
        <w:pict>
          <v:shape id="fmFrame7" o:spid="_x0000_s1029" o:spt="202" type="#_x0000_t202" style="position:absolute;left:0pt;margin-left:0pt;margin-top:717.2pt;height:28.6pt;width:481.9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64"/>
                  </w:pPr>
                  <w:r>
                    <w:rPr>
                      <w:rFonts w:hint="eastAsia" w:ascii="黑体" w:eastAsia="黑体"/>
                      <w:b w:val="0"/>
                    </w:rPr>
                    <w:t>中华人民共和国工业和信息化部</w:t>
                  </w:r>
                  <w:r>
                    <w:rPr>
                      <w:rStyle w:val="49"/>
                      <w:rFonts w:hint="eastAsia"/>
                    </w:rPr>
                    <w:t xml:space="preserve"> </w:t>
                  </w:r>
                  <w:r>
                    <w:rPr>
                      <w:rStyle w:val="49"/>
                      <w:rFonts w:hint="eastAsia"/>
                      <w:b w:val="0"/>
                    </w:rPr>
                    <w:t>发布</w:t>
                  </w:r>
                </w:p>
              </w:txbxContent>
            </v:textbox>
            <w10:anchorlock/>
          </v:shape>
        </w:pict>
      </w:r>
      <w:r>
        <w:pict>
          <v:shape id="fmFrame6" o:spid="_x0000_s1030" o:spt="202" type="#_x0000_t202" style="position:absolute;left:0pt;margin-left:322.9pt;margin-top:674.3pt;height:24.6pt;width:15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116"/>
                    <w:rPr>
                      <w:rFonts w:ascii="黑体"/>
                    </w:rPr>
                  </w:pPr>
                  <w:r>
                    <w:rPr>
                      <w:rFonts w:hint="eastAsia" w:ascii="黑体"/>
                    </w:rPr>
                    <w:t>201×-××-××实施</w:t>
                  </w:r>
                </w:p>
              </w:txbxContent>
            </v:textbox>
            <w10:anchorlock/>
          </v:shape>
        </w:pict>
      </w:r>
      <w:r>
        <w:pict>
          <v:shape id="fmFrame5" o:spid="_x0000_s1031" o:spt="202" type="#_x0000_t202" style="position:absolute;left:0pt;margin-left:0pt;margin-top:674.3pt;height:24.6pt;width:15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94"/>
                    <w:rPr>
                      <w:rFonts w:ascii="黑体"/>
                    </w:rPr>
                  </w:pPr>
                  <w:r>
                    <w:rPr>
                      <w:rFonts w:hint="eastAsia" w:ascii="黑体"/>
                    </w:rPr>
                    <w:t>201×-××-××发布</w:t>
                  </w:r>
                </w:p>
              </w:txbxContent>
            </v:textbox>
            <w10:anchorlock/>
          </v:shape>
        </w:pict>
      </w:r>
      <w:r>
        <w:pict>
          <v:shape id="fmFrame4" o:spid="_x0000_s1032" o:spt="202" type="#_x0000_t202" style="position:absolute;left:0pt;margin-left:0pt;margin-top:286.25pt;height:368.6pt;width:470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spacing w:line="720" w:lineRule="auto"/>
                    <w:ind w:left="300"/>
                    <w:jc w:val="center"/>
                    <w:rPr>
                      <w:rFonts w:eastAsia="黑体"/>
                      <w:sz w:val="52"/>
                      <w:szCs w:val="52"/>
                    </w:rPr>
                  </w:pPr>
                  <w:r>
                    <w:rPr>
                      <w:rFonts w:hint="eastAsia" w:eastAsia="黑体"/>
                      <w:sz w:val="52"/>
                      <w:szCs w:val="52"/>
                    </w:rPr>
                    <w:t>冶炼副产品硫酸镍化学分析方法</w:t>
                  </w:r>
                </w:p>
                <w:p>
                  <w:pPr>
                    <w:spacing w:line="720" w:lineRule="auto"/>
                    <w:ind w:left="300"/>
                    <w:jc w:val="center"/>
                    <w:rPr>
                      <w:rFonts w:eastAsia="黑体"/>
                      <w:sz w:val="52"/>
                      <w:szCs w:val="52"/>
                    </w:rPr>
                  </w:pPr>
                  <w:r>
                    <w:rPr>
                      <w:rFonts w:hint="eastAsia" w:eastAsia="黑体"/>
                      <w:sz w:val="52"/>
                      <w:szCs w:val="52"/>
                    </w:rPr>
                    <w:t>第3部分： 砷、铅、锌、钴量的测定</w:t>
                  </w:r>
                </w:p>
                <w:p>
                  <w:pPr>
                    <w:spacing w:line="720" w:lineRule="auto"/>
                    <w:jc w:val="center"/>
                    <w:rPr>
                      <w:rFonts w:eastAsia="黑体"/>
                      <w:sz w:val="52"/>
                      <w:szCs w:val="52"/>
                    </w:rPr>
                  </w:pPr>
                  <w:r>
                    <w:rPr>
                      <w:rFonts w:hint="eastAsia" w:eastAsia="黑体"/>
                      <w:sz w:val="52"/>
                      <w:szCs w:val="52"/>
                    </w:rPr>
                    <w:t>电感耦合等离子体原子发射光谱法</w:t>
                  </w:r>
                </w:p>
                <w:p>
                  <w:pPr>
                    <w:ind w:left="301"/>
                    <w:jc w:val="center"/>
                    <w:rPr>
                      <w:rFonts w:ascii="黑体" w:hAnsi="Arial" w:eastAsia="黑体" w:cs="Arial"/>
                      <w:kern w:val="0"/>
                      <w:sz w:val="28"/>
                      <w:szCs w:val="28"/>
                    </w:rPr>
                  </w:pPr>
                  <w:r>
                    <w:rPr>
                      <w:rFonts w:ascii="黑体" w:eastAsia="黑体"/>
                      <w:kern w:val="0"/>
                      <w:sz w:val="28"/>
                      <w:szCs w:val="28"/>
                    </w:rPr>
                    <w:t xml:space="preserve">Methods for chemical analysis of </w:t>
                  </w:r>
                  <w:r>
                    <w:rPr>
                      <w:rFonts w:hint="eastAsia" w:ascii="黑体" w:eastAsia="黑体"/>
                      <w:kern w:val="0"/>
                      <w:sz w:val="28"/>
                      <w:szCs w:val="28"/>
                    </w:rPr>
                    <w:t>smelting by-products</w:t>
                  </w:r>
                  <w:r>
                    <w:rPr>
                      <w:rFonts w:ascii="黑体" w:eastAsia="黑体"/>
                      <w:kern w:val="0"/>
                      <w:sz w:val="28"/>
                      <w:szCs w:val="28"/>
                    </w:rPr>
                    <w:t xml:space="preserve"> nickel</w:t>
                  </w:r>
                  <w:r>
                    <w:rPr>
                      <w:rFonts w:ascii="黑体" w:hAnsi="Arial" w:eastAsia="黑体" w:cs="Arial"/>
                      <w:kern w:val="0"/>
                      <w:sz w:val="28"/>
                      <w:szCs w:val="28"/>
                    </w:rPr>
                    <w:t xml:space="preserve"> sulfate</w:t>
                  </w:r>
                </w:p>
                <w:p>
                  <w:pPr>
                    <w:ind w:left="301"/>
                    <w:rPr>
                      <w:sz w:val="32"/>
                      <w:szCs w:val="32"/>
                    </w:rPr>
                  </w:pPr>
                  <w:r>
                    <w:rPr>
                      <w:rFonts w:ascii="黑体" w:eastAsia="黑体"/>
                      <w:kern w:val="0"/>
                      <w:sz w:val="28"/>
                      <w:szCs w:val="28"/>
                    </w:rPr>
                    <w:t xml:space="preserve">Part </w:t>
                  </w:r>
                  <w:r>
                    <w:rPr>
                      <w:rFonts w:hint="eastAsia" w:ascii="黑体" w:eastAsia="黑体"/>
                      <w:kern w:val="0"/>
                      <w:sz w:val="28"/>
                      <w:szCs w:val="28"/>
                    </w:rPr>
                    <w:t>3</w:t>
                  </w:r>
                  <w:r>
                    <w:rPr>
                      <w:rFonts w:ascii="黑体" w:eastAsia="黑体"/>
                      <w:kern w:val="0"/>
                      <w:sz w:val="28"/>
                      <w:szCs w:val="28"/>
                    </w:rPr>
                    <w:t xml:space="preserve">: </w:t>
                  </w:r>
                  <w:r>
                    <w:rPr>
                      <w:rFonts w:hint="eastAsia" w:ascii="黑体" w:eastAsia="黑体"/>
                      <w:kern w:val="0"/>
                      <w:sz w:val="28"/>
                      <w:szCs w:val="28"/>
                    </w:rPr>
                    <w:t xml:space="preserve">Determination of arsenic , lead, zinc and cobalt </w:t>
                  </w:r>
                  <w:r>
                    <w:rPr>
                      <w:rFonts w:ascii="黑体" w:eastAsia="黑体"/>
                      <w:kern w:val="0"/>
                      <w:sz w:val="28"/>
                      <w:szCs w:val="28"/>
                    </w:rPr>
                    <w:t>content</w:t>
                  </w:r>
                  <w:r>
                    <w:rPr>
                      <w:rFonts w:ascii="黑体" w:hAnsi="黑体" w:eastAsia="黑体"/>
                      <w:szCs w:val="28"/>
                    </w:rPr>
                    <w:t>—</w:t>
                  </w:r>
                  <w:r>
                    <w:rPr>
                      <w:rFonts w:hint="eastAsia" w:ascii="黑体" w:eastAsia="黑体"/>
                      <w:kern w:val="0"/>
                      <w:sz w:val="28"/>
                      <w:szCs w:val="28"/>
                    </w:rPr>
                    <w:t>Inductively Coupled Plasma Atomic Emission Spectrometry</w:t>
                  </w:r>
                  <w:r>
                    <w:rPr>
                      <w:rFonts w:hint="eastAsia"/>
                      <w:sz w:val="32"/>
                      <w:szCs w:val="32"/>
                    </w:rPr>
                    <w:t xml:space="preserve"> </w:t>
                  </w:r>
                </w:p>
                <w:p>
                  <w:pPr>
                    <w:pStyle w:val="86"/>
                  </w:pPr>
                </w:p>
              </w:txbxContent>
            </v:textbox>
            <w10:anchorlock/>
          </v:shape>
        </w:pict>
      </w:r>
      <w:r>
        <w:pict>
          <v:shape id="fmFrame3" o:spid="_x0000_s1033" o:spt="202" type="#_x0000_t202" style="position:absolute;left:0pt;margin-left:0pt;margin-top:110.35pt;height:45.65pt;width:456.9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jc w:val="right"/>
                    <w:rPr>
                      <w:rFonts w:ascii="黑体" w:hAnsi="宋体" w:eastAsia="黑体"/>
                      <w:sz w:val="28"/>
                      <w:szCs w:val="28"/>
                    </w:rPr>
                  </w:pPr>
                  <w:r>
                    <w:rPr>
                      <w:rFonts w:hint="eastAsia" w:ascii="黑体" w:hAnsi="宋体" w:eastAsia="黑体"/>
                      <w:sz w:val="28"/>
                      <w:szCs w:val="28"/>
                    </w:rPr>
                    <w:t>T/ CNIA XXX-201X</w:t>
                  </w:r>
                </w:p>
                <w:p>
                  <w:pPr>
                    <w:rPr>
                      <w:rFonts w:ascii="宋体" w:hAnsi="宋体"/>
                    </w:rPr>
                  </w:pPr>
                  <w:r>
                    <w:rPr>
                      <w:rFonts w:hint="eastAsia" w:ascii="宋体" w:hAnsi="宋体"/>
                    </w:rPr>
                    <w:t xml:space="preserve">                                                                      </w:t>
                  </w:r>
                </w:p>
              </w:txbxContent>
            </v:textbox>
            <w10:anchorlock/>
          </v:shape>
        </w:pict>
      </w:r>
      <w:r>
        <w:pict>
          <v:shape id="fmFrame8" o:spid="_x0000_s1034" o:spt="202" type="#_x0000_t202" style="position:absolute;left:0pt;margin-left:200.75pt;margin-top:8.45pt;height:56.7pt;width:250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pStyle w:val="99"/>
                  </w:pPr>
                  <w:r>
                    <w:t>T/</w:t>
                  </w:r>
                  <w:r>
                    <w:rPr>
                      <w:rFonts w:ascii="Calibri" w:hAnsi="Calibri" w:cs="Calibri"/>
                    </w:rPr>
                    <w:t xml:space="preserve"> CNIA</w:t>
                  </w:r>
                </w:p>
                <w:p>
                  <w:pPr>
                    <w:pStyle w:val="99"/>
                    <w:rPr>
                      <w:color w:val="FF0000"/>
                    </w:rPr>
                  </w:pPr>
                </w:p>
              </w:txbxContent>
            </v:textbox>
            <w10:anchorlock/>
          </v:shape>
        </w:pict>
      </w:r>
      <w:r>
        <w:pict>
          <v:shape id="fmFrame2" o:spid="_x0000_s1035" o:spt="202" type="#_x0000_t202" style="position:absolute;left:0pt;margin-left:0pt;margin-top:79.6pt;height:30.8pt;width:481.9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pStyle w:val="59"/>
                  </w:pPr>
                  <w:r>
                    <w:rPr>
                      <w:rFonts w:hint="eastAsia"/>
                    </w:rPr>
                    <w:t>中华人民共和国有色金属协会标准</w:t>
                  </w:r>
                </w:p>
              </w:txbxContent>
            </v:textbox>
            <w10:anchorlock/>
          </v:shape>
        </w:pict>
      </w:r>
      <w:r>
        <w:pict>
          <v:shape id="fmFrame1" o:spid="_x0000_s1036" o:spt="202" type="#_x0000_t202" style="position:absolute;left:0pt;margin-left:0pt;margin-top:0pt;height:51.8pt;width:200pt;mso-position-horizontal-relative:margin;mso-position-vertical-relative:margin;z-index:251653120;mso-width-relative:page;mso-height-relative:page;" stroked="f" coordsize="21600,21600">
            <v:path/>
            <v:fill focussize="0,0"/>
            <v:stroke on="f" joinstyle="miter"/>
            <v:imagedata o:title=""/>
            <o:lock v:ext="edit"/>
            <v:textbox inset="0mm,0mm,0mm,0mm">
              <w:txbxContent>
                <w:p>
                  <w:pPr>
                    <w:pStyle w:val="58"/>
                    <w:rPr>
                      <w:rFonts w:ascii="黑体"/>
                    </w:rPr>
                  </w:pPr>
                  <w:r>
                    <w:rPr>
                      <w:rFonts w:hint="eastAsia" w:ascii="黑体"/>
                    </w:rPr>
                    <w:t xml:space="preserve">ICS </w:t>
                  </w:r>
                </w:p>
                <w:p>
                  <w:pPr>
                    <w:pStyle w:val="58"/>
                  </w:pPr>
                  <w:r>
                    <w:rPr>
                      <w:rFonts w:hint="eastAsia" w:ascii="黑体"/>
                    </w:rPr>
                    <w:t xml:space="preserve">H </w:t>
                  </w:r>
                </w:p>
              </w:txbxContent>
            </v:textbox>
            <w10:anchorlock/>
          </v:shape>
        </w:pict>
      </w:r>
    </w:p>
    <w:bookmarkEnd w:id="0"/>
    <w:p>
      <w:pPr>
        <w:spacing w:line="400" w:lineRule="exact"/>
        <w:rPr>
          <w:rFonts w:ascii="黑体" w:eastAsia="黑体"/>
        </w:rPr>
      </w:pPr>
    </w:p>
    <w:p>
      <w:pPr>
        <w:pStyle w:val="57"/>
        <w:spacing w:beforeLines="100" w:afterLines="100"/>
        <w:rPr>
          <w:rFonts w:ascii="Times New Roman"/>
        </w:rPr>
      </w:pPr>
      <w:bookmarkStart w:id="1" w:name="前言1"/>
      <w:bookmarkEnd w:id="1"/>
      <w:bookmarkStart w:id="2" w:name="SectionMark2"/>
      <w:r>
        <w:rPr>
          <w:rFonts w:hint="eastAsia" w:ascii="Times New Roman"/>
        </w:rPr>
        <w:t>前</w:t>
      </w:r>
      <w:r>
        <w:rPr>
          <w:rFonts w:ascii="Times New Roman"/>
        </w:rPr>
        <w:t xml:space="preserve">    </w:t>
      </w:r>
      <w:r>
        <w:rPr>
          <w:rFonts w:hint="eastAsia" w:ascii="Times New Roman"/>
        </w:rPr>
        <w:t>言</w:t>
      </w:r>
    </w:p>
    <w:p>
      <w:pPr>
        <w:ind w:firstLine="411" w:firstLineChars="196"/>
        <w:rPr>
          <w:szCs w:val="21"/>
        </w:rPr>
      </w:pPr>
      <w:r>
        <w:rPr>
          <w:rFonts w:hint="eastAsia"/>
          <w:szCs w:val="21"/>
        </w:rPr>
        <w:t>XX/T XXX《冶炼副产品硫酸镍化学分析方法》分为3 个部分：</w:t>
      </w:r>
    </w:p>
    <w:p>
      <w:pPr>
        <w:ind w:firstLine="435"/>
        <w:rPr>
          <w:szCs w:val="21"/>
        </w:rPr>
      </w:pPr>
      <w:r>
        <w:rPr>
          <w:rFonts w:hint="eastAsia"/>
          <w:szCs w:val="21"/>
        </w:rPr>
        <w:t xml:space="preserve">——第1部分：镍量的测定  </w:t>
      </w:r>
      <w:r>
        <w:rPr>
          <w:rFonts w:hint="eastAsia" w:ascii="宋体" w:hAnsi="宋体"/>
          <w:szCs w:val="21"/>
        </w:rPr>
        <w:t>重量法和</w:t>
      </w:r>
      <w:r>
        <w:rPr>
          <w:rFonts w:hint="eastAsia"/>
          <w:szCs w:val="21"/>
        </w:rPr>
        <w:t>Na</w:t>
      </w:r>
      <w:r>
        <w:rPr>
          <w:rFonts w:hint="eastAsia"/>
          <w:szCs w:val="21"/>
          <w:vertAlign w:val="subscript"/>
        </w:rPr>
        <w:t>2</w:t>
      </w:r>
      <w:r>
        <w:rPr>
          <w:rFonts w:hint="eastAsia"/>
          <w:szCs w:val="21"/>
        </w:rPr>
        <w:t>EDTA</w:t>
      </w:r>
      <w:r>
        <w:rPr>
          <w:rFonts w:hint="eastAsia" w:ascii="宋体" w:hAnsi="宋体"/>
          <w:szCs w:val="21"/>
        </w:rPr>
        <w:t>滴定法</w:t>
      </w:r>
      <w:r>
        <w:rPr>
          <w:rFonts w:hint="eastAsia"/>
          <w:szCs w:val="21"/>
        </w:rPr>
        <w:t>；</w:t>
      </w:r>
    </w:p>
    <w:p>
      <w:pPr>
        <w:ind w:firstLine="435"/>
        <w:rPr>
          <w:szCs w:val="21"/>
        </w:rPr>
      </w:pPr>
      <w:r>
        <w:rPr>
          <w:rFonts w:hint="eastAsia"/>
          <w:szCs w:val="21"/>
        </w:rPr>
        <w:t xml:space="preserve">——第2部分：铜量的测定  </w:t>
      </w:r>
      <w:r>
        <w:rPr>
          <w:rFonts w:hint="eastAsia" w:ascii="宋体" w:hAnsi="宋体"/>
          <w:szCs w:val="21"/>
        </w:rPr>
        <w:t>原子吸收光谱法和碘量法；</w:t>
      </w:r>
    </w:p>
    <w:p>
      <w:pPr>
        <w:ind w:firstLine="435"/>
        <w:rPr>
          <w:szCs w:val="21"/>
        </w:rPr>
      </w:pPr>
      <w:r>
        <w:rPr>
          <w:rFonts w:hint="eastAsia"/>
          <w:szCs w:val="21"/>
        </w:rPr>
        <w:t>——第3部分：砷、铅、锌、钴量的测定  电感耦合等离子体原子发射光谱法。</w:t>
      </w:r>
    </w:p>
    <w:p>
      <w:pPr>
        <w:ind w:firstLine="435"/>
        <w:rPr>
          <w:szCs w:val="21"/>
        </w:rPr>
      </w:pPr>
      <w:r>
        <w:rPr>
          <w:rFonts w:hint="eastAsia"/>
          <w:szCs w:val="21"/>
        </w:rPr>
        <w:t>本部分为T/CNIA XX第3部分。</w:t>
      </w:r>
    </w:p>
    <w:p>
      <w:pPr>
        <w:ind w:firstLine="420" w:firstLineChars="200"/>
        <w:rPr>
          <w:szCs w:val="21"/>
        </w:rPr>
      </w:pPr>
      <w:r>
        <w:rPr>
          <w:rFonts w:hint="eastAsia"/>
          <w:szCs w:val="21"/>
        </w:rPr>
        <w:t>本部分是按照GB/T1.1-2009给出的规则起草的。</w:t>
      </w:r>
    </w:p>
    <w:p>
      <w:pPr>
        <w:ind w:firstLine="420" w:firstLineChars="200"/>
        <w:rPr>
          <w:szCs w:val="21"/>
        </w:rPr>
      </w:pPr>
      <w:r>
        <w:rPr>
          <w:rFonts w:hint="eastAsia"/>
          <w:szCs w:val="21"/>
        </w:rPr>
        <w:t>本部分由全国有色金属标准化技术委员会（SAC/TC243）归口。</w:t>
      </w:r>
    </w:p>
    <w:p>
      <w:pPr>
        <w:ind w:firstLine="420" w:firstLineChars="200"/>
        <w:rPr>
          <w:szCs w:val="21"/>
        </w:rPr>
      </w:pPr>
      <w:r>
        <w:rPr>
          <w:rFonts w:hint="eastAsia"/>
          <w:szCs w:val="21"/>
        </w:rPr>
        <w:t>本部分负责起草单位：北方铜业股份有限公司。</w:t>
      </w:r>
    </w:p>
    <w:p>
      <w:pPr>
        <w:ind w:firstLine="420" w:firstLineChars="200"/>
        <w:rPr>
          <w:szCs w:val="21"/>
        </w:rPr>
      </w:pPr>
      <w:r>
        <w:rPr>
          <w:rFonts w:hint="eastAsia"/>
          <w:szCs w:val="21"/>
        </w:rPr>
        <w:t>本部分起草单位：北方铜业股份有限公司。</w:t>
      </w:r>
    </w:p>
    <w:p>
      <w:pPr>
        <w:ind w:firstLine="420" w:firstLineChars="200"/>
        <w:rPr>
          <w:szCs w:val="21"/>
        </w:rPr>
      </w:pPr>
      <w:r>
        <w:rPr>
          <w:rFonts w:hint="eastAsia"/>
          <w:szCs w:val="21"/>
        </w:rPr>
        <w:t>本部分参加起草单位：</w:t>
      </w:r>
    </w:p>
    <w:p>
      <w:pPr>
        <w:ind w:firstLine="420" w:firstLineChars="200"/>
        <w:rPr>
          <w:szCs w:val="21"/>
        </w:rPr>
      </w:pPr>
      <w:r>
        <w:rPr>
          <w:rFonts w:hint="eastAsia"/>
          <w:szCs w:val="21"/>
        </w:rPr>
        <w:t>本部分主要起草人：</w:t>
      </w:r>
    </w:p>
    <w:p/>
    <w:p/>
    <w:p/>
    <w:p/>
    <w:p/>
    <w:p>
      <w:pPr>
        <w:pStyle w:val="56"/>
        <w:ind w:firstLine="420"/>
        <w:rPr>
          <w:rFonts w:ascii="Times New Roman"/>
          <w:lang w:val="de-DE"/>
        </w:rPr>
        <w:sectPr>
          <w:headerReference r:id="rId7" w:type="default"/>
          <w:footerReference r:id="rId9" w:type="default"/>
          <w:headerReference r:id="rId8" w:type="even"/>
          <w:footerReference r:id="rId10" w:type="even"/>
          <w:pgSz w:w="11907" w:h="16839"/>
          <w:pgMar w:top="1418" w:right="1134" w:bottom="1134" w:left="1418" w:header="1418" w:footer="851" w:gutter="0"/>
          <w:pgNumType w:fmt="upperRoman" w:start="1"/>
          <w:cols w:space="720" w:num="1"/>
          <w:docGrid w:type="lines" w:linePitch="312" w:charSpace="0"/>
        </w:sectPr>
      </w:pPr>
    </w:p>
    <w:bookmarkEnd w:id="2"/>
    <w:p>
      <w:pPr>
        <w:jc w:val="center"/>
        <w:rPr>
          <w:rFonts w:ascii="黑体" w:eastAsia="黑体"/>
          <w:sz w:val="32"/>
          <w:szCs w:val="32"/>
        </w:rPr>
      </w:pPr>
      <w:r>
        <w:rPr>
          <w:rFonts w:hint="eastAsia" w:ascii="黑体" w:eastAsia="黑体"/>
          <w:sz w:val="32"/>
          <w:szCs w:val="32"/>
        </w:rPr>
        <w:t>冶炼副产品硫酸镍化学分析方法</w:t>
      </w:r>
    </w:p>
    <w:p>
      <w:pPr>
        <w:jc w:val="center"/>
        <w:rPr>
          <w:rFonts w:ascii="黑体" w:eastAsia="黑体"/>
          <w:sz w:val="32"/>
          <w:szCs w:val="32"/>
        </w:rPr>
      </w:pPr>
      <w:r>
        <w:rPr>
          <w:rFonts w:hint="eastAsia" w:ascii="黑体" w:eastAsia="黑体"/>
          <w:sz w:val="32"/>
          <w:szCs w:val="32"/>
        </w:rPr>
        <w:t>第3部分：砷、铅、锌、钴量的测定</w:t>
      </w:r>
    </w:p>
    <w:p>
      <w:pPr>
        <w:jc w:val="center"/>
        <w:rPr>
          <w:rFonts w:ascii="黑体" w:eastAsia="黑体"/>
          <w:sz w:val="32"/>
          <w:szCs w:val="32"/>
        </w:rPr>
      </w:pPr>
      <w:r>
        <w:rPr>
          <w:rFonts w:hint="eastAsia" w:ascii="黑体" w:eastAsia="黑体"/>
          <w:sz w:val="32"/>
          <w:szCs w:val="32"/>
        </w:rPr>
        <w:t>电感耦合等离子体原子发射光谱法</w:t>
      </w:r>
    </w:p>
    <w:p>
      <w:pPr>
        <w:spacing w:line="360" w:lineRule="auto"/>
        <w:rPr>
          <w:rFonts w:ascii="黑体" w:eastAsia="黑体"/>
        </w:rPr>
      </w:pPr>
      <w:r>
        <w:rPr>
          <w:rFonts w:hint="eastAsia" w:ascii="黑体" w:eastAsia="黑体"/>
        </w:rPr>
        <w:t>1 范围</w:t>
      </w:r>
    </w:p>
    <w:p>
      <w:pPr>
        <w:ind w:left="360"/>
      </w:pPr>
      <w:r>
        <w:rPr>
          <w:rFonts w:hint="eastAsia"/>
        </w:rPr>
        <w:t>本部分规定了冶炼副产品硫酸镍中</w:t>
      </w:r>
      <w:r>
        <w:rPr>
          <w:rFonts w:hint="eastAsia"/>
          <w:szCs w:val="21"/>
        </w:rPr>
        <w:t>砷、铅、锌、钴</w:t>
      </w:r>
      <w:r>
        <w:rPr>
          <w:rFonts w:hint="eastAsia"/>
        </w:rPr>
        <w:t>含量的测定方法。</w:t>
      </w:r>
    </w:p>
    <w:p>
      <w:pPr>
        <w:ind w:left="360"/>
      </w:pPr>
      <w:r>
        <w:rPr>
          <w:rFonts w:hint="eastAsia"/>
        </w:rPr>
        <w:t>本部分适用于冶炼副产品硫酸镍中</w:t>
      </w:r>
      <w:r>
        <w:rPr>
          <w:rFonts w:hint="eastAsia"/>
          <w:szCs w:val="21"/>
        </w:rPr>
        <w:t>砷、铅、锌、钴</w:t>
      </w:r>
      <w:r>
        <w:rPr>
          <w:rFonts w:hint="eastAsia"/>
        </w:rPr>
        <w:t>含量的测定，测定范围见表1。</w:t>
      </w:r>
    </w:p>
    <w:p>
      <w:pPr>
        <w:ind w:firstLine="420"/>
        <w:jc w:val="center"/>
        <w:rPr>
          <w:rFonts w:ascii="黑体" w:hAnsi="黑体" w:eastAsia="黑体" w:cs="宋体"/>
        </w:rPr>
      </w:pPr>
      <w:r>
        <w:rPr>
          <w:rFonts w:hint="eastAsia" w:ascii="黑体" w:hAnsi="黑体" w:eastAsia="黑体" w:cs="宋体"/>
        </w:rPr>
        <w:t>表1 砷、</w:t>
      </w:r>
      <w:r>
        <w:rPr>
          <w:rFonts w:hint="eastAsia" w:ascii="黑体" w:hAnsi="黑体" w:eastAsia="黑体"/>
          <w:szCs w:val="21"/>
        </w:rPr>
        <w:t>铅、锌、钴</w:t>
      </w:r>
      <w:r>
        <w:rPr>
          <w:rFonts w:hint="eastAsia" w:ascii="黑体" w:hAnsi="黑体" w:eastAsia="黑体"/>
        </w:rPr>
        <w:t>含量</w:t>
      </w:r>
      <w:r>
        <w:rPr>
          <w:rFonts w:hint="eastAsia" w:ascii="黑体" w:hAnsi="黑体" w:eastAsia="黑体"/>
          <w:szCs w:val="21"/>
        </w:rPr>
        <w:t>测定范围</w:t>
      </w:r>
    </w:p>
    <w:tbl>
      <w:tblPr>
        <w:tblStyle w:val="32"/>
        <w:tblW w:w="9363" w:type="dxa"/>
        <w:jc w:val="center"/>
        <w:tblInd w:w="-3544" w:type="dxa"/>
        <w:tblLayout w:type="fixed"/>
        <w:tblCellMar>
          <w:top w:w="0" w:type="dxa"/>
          <w:left w:w="108" w:type="dxa"/>
          <w:bottom w:w="0" w:type="dxa"/>
          <w:right w:w="108" w:type="dxa"/>
        </w:tblCellMar>
      </w:tblPr>
      <w:tblGrid>
        <w:gridCol w:w="1872"/>
        <w:gridCol w:w="1872"/>
        <w:gridCol w:w="1872"/>
        <w:gridCol w:w="1872"/>
        <w:gridCol w:w="1875"/>
      </w:tblGrid>
      <w:tr>
        <w:tblPrEx>
          <w:tblLayout w:type="fixed"/>
          <w:tblCellMar>
            <w:top w:w="0" w:type="dxa"/>
            <w:left w:w="108" w:type="dxa"/>
            <w:bottom w:w="0" w:type="dxa"/>
            <w:right w:w="108" w:type="dxa"/>
          </w:tblCellMar>
        </w:tblPrEx>
        <w:trPr>
          <w:cantSplit/>
          <w:trHeight w:val="324" w:hRule="atLeast"/>
          <w:jc w:val="center"/>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jc w:val="center"/>
              <w:rPr>
                <w:rFonts w:ascii="宋体" w:hAnsi="宋体"/>
                <w:sz w:val="18"/>
                <w:szCs w:val="18"/>
              </w:rPr>
            </w:pPr>
            <w:r>
              <w:rPr>
                <w:rFonts w:hint="eastAsia" w:ascii="宋体" w:hAnsi="宋体"/>
                <w:sz w:val="18"/>
                <w:szCs w:val="18"/>
              </w:rPr>
              <w:t>元素</w:t>
            </w:r>
          </w:p>
        </w:tc>
        <w:tc>
          <w:tcPr>
            <w:tcW w:w="1872" w:type="dxa"/>
            <w:tcBorders>
              <w:top w:val="single" w:color="auto" w:sz="4" w:space="0"/>
              <w:left w:val="nil"/>
              <w:bottom w:val="single" w:color="auto" w:sz="4" w:space="0"/>
              <w:right w:val="single" w:color="auto" w:sz="4" w:space="0"/>
            </w:tcBorders>
            <w:shd w:val="clear" w:color="auto" w:fill="auto"/>
            <w:vAlign w:val="center"/>
          </w:tcPr>
          <w:p>
            <w:pPr>
              <w:tabs>
                <w:tab w:val="left" w:pos="6300"/>
              </w:tabs>
              <w:jc w:val="center"/>
              <w:rPr>
                <w:rFonts w:ascii="宋体" w:hAnsi="宋体"/>
                <w:sz w:val="18"/>
                <w:szCs w:val="18"/>
              </w:rPr>
            </w:pPr>
            <w:r>
              <w:rPr>
                <w:rFonts w:hint="eastAsia"/>
                <w:szCs w:val="20"/>
              </w:rPr>
              <w:t>As</w:t>
            </w:r>
          </w:p>
        </w:tc>
        <w:tc>
          <w:tcPr>
            <w:tcW w:w="1872" w:type="dxa"/>
            <w:tcBorders>
              <w:top w:val="single" w:color="auto" w:sz="4" w:space="0"/>
              <w:left w:val="nil"/>
              <w:bottom w:val="single" w:color="auto" w:sz="4" w:space="0"/>
              <w:right w:val="single" w:color="auto" w:sz="4" w:space="0"/>
            </w:tcBorders>
            <w:shd w:val="clear" w:color="auto" w:fill="auto"/>
            <w:vAlign w:val="center"/>
          </w:tcPr>
          <w:p>
            <w:pPr>
              <w:tabs>
                <w:tab w:val="left" w:pos="6300"/>
              </w:tabs>
              <w:jc w:val="center"/>
              <w:rPr>
                <w:rFonts w:ascii="宋体" w:hAnsi="宋体"/>
                <w:sz w:val="18"/>
                <w:szCs w:val="18"/>
              </w:rPr>
            </w:pPr>
            <w:r>
              <w:rPr>
                <w:rFonts w:hint="eastAsia"/>
                <w:szCs w:val="20"/>
              </w:rPr>
              <w:t>Pb</w:t>
            </w:r>
          </w:p>
        </w:tc>
        <w:tc>
          <w:tcPr>
            <w:tcW w:w="1872" w:type="dxa"/>
            <w:tcBorders>
              <w:top w:val="single" w:color="auto" w:sz="4" w:space="0"/>
              <w:left w:val="nil"/>
              <w:bottom w:val="single" w:color="auto" w:sz="4" w:space="0"/>
              <w:right w:val="single" w:color="auto" w:sz="4" w:space="0"/>
            </w:tcBorders>
            <w:shd w:val="clear" w:color="auto" w:fill="auto"/>
            <w:vAlign w:val="center"/>
          </w:tcPr>
          <w:p>
            <w:pPr>
              <w:tabs>
                <w:tab w:val="left" w:pos="6300"/>
              </w:tabs>
              <w:jc w:val="center"/>
              <w:rPr>
                <w:rFonts w:ascii="宋体" w:hAnsi="宋体"/>
                <w:sz w:val="18"/>
                <w:szCs w:val="18"/>
              </w:rPr>
            </w:pPr>
            <w:r>
              <w:rPr>
                <w:rFonts w:hint="eastAsia"/>
                <w:szCs w:val="20"/>
              </w:rPr>
              <w:t>Zn</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jc w:val="center"/>
              <w:rPr>
                <w:rFonts w:ascii="宋体" w:hAnsi="宋体"/>
                <w:sz w:val="18"/>
                <w:szCs w:val="18"/>
              </w:rPr>
            </w:pPr>
            <w:r>
              <w:rPr>
                <w:rFonts w:hint="eastAsia"/>
                <w:szCs w:val="20"/>
              </w:rPr>
              <w:t>Co</w:t>
            </w:r>
          </w:p>
        </w:tc>
      </w:tr>
      <w:tr>
        <w:tblPrEx>
          <w:tblLayout w:type="fixed"/>
          <w:tblCellMar>
            <w:top w:w="0" w:type="dxa"/>
            <w:left w:w="108" w:type="dxa"/>
            <w:bottom w:w="0" w:type="dxa"/>
            <w:right w:w="108" w:type="dxa"/>
          </w:tblCellMar>
        </w:tblPrEx>
        <w:trPr>
          <w:cantSplit/>
          <w:trHeight w:val="317" w:hRule="atLeast"/>
          <w:jc w:val="center"/>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300"/>
              </w:tabs>
              <w:jc w:val="center"/>
              <w:rPr>
                <w:rFonts w:ascii="宋体" w:hAnsi="宋体"/>
                <w:sz w:val="18"/>
                <w:szCs w:val="18"/>
              </w:rPr>
            </w:pPr>
            <w:r>
              <w:rPr>
                <w:rFonts w:hint="eastAsia" w:ascii="宋体" w:hAnsi="宋体"/>
                <w:sz w:val="18"/>
                <w:szCs w:val="18"/>
              </w:rPr>
              <w:t>测定范围</w:t>
            </w:r>
            <w:r>
              <w:rPr>
                <w:sz w:val="18"/>
                <w:szCs w:val="18"/>
              </w:rPr>
              <w:t>/%</w:t>
            </w:r>
          </w:p>
        </w:tc>
        <w:tc>
          <w:tcPr>
            <w:tcW w:w="1872" w:type="dxa"/>
            <w:tcBorders>
              <w:top w:val="single" w:color="auto" w:sz="4" w:space="0"/>
              <w:left w:val="nil"/>
              <w:bottom w:val="single" w:color="auto" w:sz="4" w:space="0"/>
              <w:right w:val="single" w:color="auto" w:sz="4" w:space="0"/>
            </w:tcBorders>
            <w:shd w:val="clear" w:color="auto" w:fill="auto"/>
            <w:vAlign w:val="center"/>
          </w:tcPr>
          <w:p>
            <w:pPr>
              <w:tabs>
                <w:tab w:val="left" w:pos="6300"/>
              </w:tabs>
              <w:jc w:val="center"/>
              <w:rPr>
                <w:sz w:val="18"/>
                <w:szCs w:val="18"/>
              </w:rPr>
            </w:pPr>
            <w:r>
              <w:rPr>
                <w:sz w:val="18"/>
                <w:szCs w:val="18"/>
              </w:rPr>
              <w:t>0.0</w:t>
            </w:r>
            <w:r>
              <w:rPr>
                <w:rFonts w:hint="eastAsia"/>
                <w:sz w:val="18"/>
                <w:szCs w:val="18"/>
              </w:rPr>
              <w:t>01</w:t>
            </w:r>
            <w:r>
              <w:rPr>
                <w:rFonts w:hAnsi="宋体"/>
                <w:sz w:val="18"/>
                <w:szCs w:val="18"/>
              </w:rPr>
              <w:t>～</w:t>
            </w:r>
            <w:r>
              <w:rPr>
                <w:rFonts w:hint="eastAsia"/>
                <w:sz w:val="18"/>
                <w:szCs w:val="18"/>
              </w:rPr>
              <w:t>0.60</w:t>
            </w:r>
          </w:p>
        </w:tc>
        <w:tc>
          <w:tcPr>
            <w:tcW w:w="1872" w:type="dxa"/>
            <w:tcBorders>
              <w:top w:val="single" w:color="auto" w:sz="4" w:space="0"/>
              <w:left w:val="nil"/>
              <w:bottom w:val="single" w:color="auto" w:sz="4" w:space="0"/>
              <w:right w:val="single" w:color="auto" w:sz="4" w:space="0"/>
            </w:tcBorders>
            <w:shd w:val="clear" w:color="auto" w:fill="auto"/>
            <w:vAlign w:val="center"/>
          </w:tcPr>
          <w:p>
            <w:pPr>
              <w:tabs>
                <w:tab w:val="left" w:pos="6300"/>
              </w:tabs>
              <w:jc w:val="center"/>
              <w:rPr>
                <w:sz w:val="18"/>
                <w:szCs w:val="18"/>
              </w:rPr>
            </w:pPr>
            <w:r>
              <w:rPr>
                <w:sz w:val="18"/>
                <w:szCs w:val="18"/>
              </w:rPr>
              <w:t>0.</w:t>
            </w:r>
            <w:r>
              <w:rPr>
                <w:rFonts w:hint="eastAsia"/>
                <w:sz w:val="18"/>
                <w:szCs w:val="18"/>
              </w:rPr>
              <w:t>001</w:t>
            </w:r>
            <w:r>
              <w:rPr>
                <w:rFonts w:hAnsi="宋体"/>
                <w:sz w:val="18"/>
                <w:szCs w:val="18"/>
              </w:rPr>
              <w:t>～</w:t>
            </w:r>
            <w:r>
              <w:rPr>
                <w:rFonts w:hint="eastAsia" w:hAnsi="宋体"/>
                <w:sz w:val="18"/>
                <w:szCs w:val="18"/>
              </w:rPr>
              <w:t>0.050</w:t>
            </w:r>
          </w:p>
        </w:tc>
        <w:tc>
          <w:tcPr>
            <w:tcW w:w="1872"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sz w:val="18"/>
                <w:szCs w:val="18"/>
              </w:rPr>
              <w:t>0.</w:t>
            </w:r>
            <w:r>
              <w:rPr>
                <w:rFonts w:hint="eastAsia"/>
                <w:sz w:val="18"/>
                <w:szCs w:val="18"/>
              </w:rPr>
              <w:t>001</w:t>
            </w:r>
            <w:r>
              <w:rPr>
                <w:rFonts w:hAnsi="宋体"/>
                <w:sz w:val="18"/>
                <w:szCs w:val="18"/>
              </w:rPr>
              <w:t>～</w:t>
            </w:r>
            <w:r>
              <w:rPr>
                <w:sz w:val="18"/>
                <w:szCs w:val="18"/>
              </w:rPr>
              <w:t>2.00</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sz w:val="18"/>
                <w:szCs w:val="18"/>
              </w:rPr>
              <w:t>0.0</w:t>
            </w:r>
            <w:r>
              <w:rPr>
                <w:rFonts w:hint="eastAsia"/>
                <w:sz w:val="18"/>
                <w:szCs w:val="18"/>
              </w:rPr>
              <w:t>01</w:t>
            </w:r>
            <w:r>
              <w:rPr>
                <w:rFonts w:hAnsi="宋体"/>
                <w:sz w:val="18"/>
                <w:szCs w:val="18"/>
              </w:rPr>
              <w:t>～</w:t>
            </w:r>
            <w:r>
              <w:rPr>
                <w:sz w:val="18"/>
                <w:szCs w:val="18"/>
              </w:rPr>
              <w:t>0.</w:t>
            </w:r>
            <w:r>
              <w:rPr>
                <w:rFonts w:hint="eastAsia"/>
                <w:sz w:val="18"/>
                <w:szCs w:val="18"/>
              </w:rPr>
              <w:t>40</w:t>
            </w:r>
          </w:p>
        </w:tc>
      </w:tr>
    </w:tbl>
    <w:p>
      <w:pPr>
        <w:spacing w:line="360" w:lineRule="auto"/>
        <w:rPr>
          <w:rFonts w:ascii="黑体" w:eastAsia="黑体"/>
        </w:rPr>
      </w:pPr>
      <w:r>
        <w:rPr>
          <w:rFonts w:hint="eastAsia" w:ascii="黑体" w:eastAsia="黑体"/>
        </w:rPr>
        <w:t>2 规范性引用文件</w:t>
      </w:r>
    </w:p>
    <w:p>
      <w:pPr>
        <w:ind w:firstLine="420"/>
        <w:rPr>
          <w:rFonts w:ascii="宋体" w:hAnsi="宋体" w:cs="宋体"/>
        </w:rPr>
      </w:pPr>
      <w:r>
        <w:rPr>
          <w:rFonts w:hint="eastAsia" w:ascii="宋体" w:hAnsi="宋体" w:cs="宋体"/>
        </w:rPr>
        <w:t>下列文件对于本文件的应用是必不可少的。凡是注日期的引用文件，仅注日期的版本适用于本文件。凡是不注日期的引和文件，其最新版本（包括所有的修改单）适用于本文件。</w:t>
      </w:r>
    </w:p>
    <w:p>
      <w:pPr>
        <w:ind w:firstLine="420"/>
        <w:rPr>
          <w:rFonts w:ascii="宋体" w:hAnsi="宋体" w:cs="宋体"/>
        </w:rPr>
      </w:pPr>
      <w:r>
        <w:t>GB/T 8170</w:t>
      </w:r>
      <w:r>
        <w:rPr>
          <w:rFonts w:hint="eastAsia" w:ascii="宋体" w:hAnsi="宋体" w:cs="宋体"/>
        </w:rPr>
        <w:t xml:space="preserve"> 数值修约规则与极限数值的表示和判定</w:t>
      </w:r>
    </w:p>
    <w:p>
      <w:pPr>
        <w:spacing w:line="360" w:lineRule="auto"/>
        <w:rPr>
          <w:rFonts w:ascii="黑体" w:eastAsia="黑体"/>
        </w:rPr>
      </w:pPr>
      <w:r>
        <w:rPr>
          <w:rFonts w:hint="eastAsia" w:ascii="黑体" w:eastAsia="黑体"/>
        </w:rPr>
        <w:t>3 方法提要</w:t>
      </w:r>
    </w:p>
    <w:p>
      <w:pPr>
        <w:pStyle w:val="102"/>
        <w:ind w:firstLine="420" w:firstLineChars="200"/>
        <w:rPr>
          <w:rFonts w:ascii="宋体" w:hAnsi="宋体"/>
          <w:szCs w:val="21"/>
        </w:rPr>
      </w:pPr>
      <w:r>
        <w:rPr>
          <w:rFonts w:hint="eastAsia" w:ascii="宋体" w:hAnsi="宋体"/>
          <w:szCs w:val="21"/>
        </w:rPr>
        <w:t>试料用硝酸、盐酸、氢氟酸、高氯酸溶解，在硝酸介质中，使用电感耦合等离子体原子发射光谱法，于光谱仪选定波长处，测量各被测元素发射强度。按标准曲线法计算各元素的含量。</w:t>
      </w:r>
    </w:p>
    <w:p>
      <w:pPr>
        <w:spacing w:line="360" w:lineRule="auto"/>
        <w:rPr>
          <w:rFonts w:ascii="黑体" w:eastAsia="黑体"/>
        </w:rPr>
      </w:pPr>
      <w:r>
        <w:rPr>
          <w:rFonts w:hint="eastAsia" w:ascii="黑体" w:eastAsia="黑体"/>
        </w:rPr>
        <w:t>4 试剂</w:t>
      </w:r>
    </w:p>
    <w:p>
      <w:pPr>
        <w:ind w:left="360"/>
      </w:pPr>
      <w:r>
        <w:rPr>
          <w:rFonts w:hint="eastAsia"/>
        </w:rPr>
        <w:t>除非另有说明，在分析中仅使用确认为分析纯的试剂和蒸馏水或去离子水或相当纯度的水。</w:t>
      </w:r>
    </w:p>
    <w:p>
      <w:r>
        <w:rPr>
          <w:rFonts w:hint="eastAsia"/>
        </w:rPr>
        <w:t>4.1 盐酸（</w:t>
      </w:r>
      <w:r>
        <w:rPr>
          <w:i/>
        </w:rPr>
        <w:t>ρ</w:t>
      </w:r>
      <w:r>
        <w:rPr>
          <w:rFonts w:hint="eastAsia"/>
          <w:i/>
        </w:rPr>
        <w:t xml:space="preserve"> </w:t>
      </w:r>
      <w:r>
        <w:rPr>
          <w:rFonts w:hint="eastAsia"/>
        </w:rPr>
        <w:t>1.19 g/mL）。</w:t>
      </w:r>
    </w:p>
    <w:p>
      <w:pPr>
        <w:pStyle w:val="56"/>
        <w:ind w:firstLine="0" w:firstLineChars="0"/>
        <w:rPr>
          <w:rFonts w:hAnsi="宋体"/>
          <w:szCs w:val="21"/>
        </w:rPr>
      </w:pPr>
      <w:r>
        <w:rPr>
          <w:rFonts w:hint="eastAsia"/>
          <w:bCs/>
          <w:szCs w:val="21"/>
        </w:rPr>
        <w:t xml:space="preserve">4.2 </w:t>
      </w:r>
      <w:r>
        <w:rPr>
          <w:rFonts w:hint="eastAsia" w:hAnsi="宋体"/>
          <w:szCs w:val="21"/>
        </w:rPr>
        <w:t>硝</w:t>
      </w:r>
      <w:r>
        <w:rPr>
          <w:rFonts w:hint="eastAsia" w:hAnsi="宋体"/>
          <w:kern w:val="2"/>
          <w:szCs w:val="21"/>
        </w:rPr>
        <w:t>酸（</w:t>
      </w:r>
      <w:r>
        <w:rPr>
          <w:i/>
          <w:kern w:val="2"/>
        </w:rPr>
        <w:t>ρ</w:t>
      </w:r>
      <w:r>
        <w:rPr>
          <w:rFonts w:hint="eastAsia"/>
          <w:i/>
          <w:kern w:val="2"/>
        </w:rPr>
        <w:t xml:space="preserve"> </w:t>
      </w:r>
      <w:r>
        <w:rPr>
          <w:rFonts w:hint="eastAsia"/>
          <w:kern w:val="2"/>
          <w:szCs w:val="21"/>
        </w:rPr>
        <w:t xml:space="preserve">1.42 </w:t>
      </w:r>
      <w:r>
        <w:rPr>
          <w:rFonts w:hint="eastAsia"/>
          <w:kern w:val="2"/>
        </w:rPr>
        <w:t>g/mL</w:t>
      </w:r>
      <w:r>
        <w:rPr>
          <w:rFonts w:hint="eastAsia" w:hAnsi="宋体"/>
          <w:kern w:val="2"/>
          <w:szCs w:val="21"/>
        </w:rPr>
        <w:t>）</w:t>
      </w:r>
      <w:r>
        <w:rPr>
          <w:rFonts w:hint="eastAsia" w:hAnsi="宋体"/>
          <w:szCs w:val="21"/>
        </w:rPr>
        <w:t>。</w:t>
      </w:r>
    </w:p>
    <w:p>
      <w:pPr>
        <w:pStyle w:val="56"/>
        <w:ind w:firstLine="0" w:firstLineChars="0"/>
        <w:rPr>
          <w:rFonts w:ascii="Times New Roman"/>
          <w:szCs w:val="21"/>
        </w:rPr>
      </w:pPr>
      <w:r>
        <w:rPr>
          <w:rFonts w:hint="eastAsia" w:ascii="Times New Roman"/>
          <w:szCs w:val="21"/>
        </w:rPr>
        <w:t xml:space="preserve">4.3 </w:t>
      </w:r>
      <w:r>
        <w:rPr>
          <w:rFonts w:hint="eastAsia" w:ascii="Times New Roman" w:hAnsi="宋体"/>
          <w:szCs w:val="21"/>
        </w:rPr>
        <w:t>氢氟酸</w:t>
      </w:r>
      <w:r>
        <w:rPr>
          <w:rFonts w:hint="eastAsia" w:ascii="Times New Roman" w:hAnsi="宋体"/>
          <w:kern w:val="2"/>
          <w:szCs w:val="21"/>
        </w:rPr>
        <w:t>（</w:t>
      </w:r>
      <w:r>
        <w:rPr>
          <w:rFonts w:ascii="Times New Roman"/>
          <w:i/>
          <w:kern w:val="2"/>
        </w:rPr>
        <w:t>ρ</w:t>
      </w:r>
      <w:r>
        <w:rPr>
          <w:rFonts w:hint="eastAsia" w:ascii="Times New Roman"/>
          <w:i/>
          <w:kern w:val="2"/>
        </w:rPr>
        <w:t xml:space="preserve"> </w:t>
      </w:r>
      <w:r>
        <w:rPr>
          <w:rFonts w:hint="eastAsia" w:ascii="Times New Roman"/>
          <w:kern w:val="2"/>
          <w:szCs w:val="21"/>
        </w:rPr>
        <w:t xml:space="preserve">1.15 </w:t>
      </w:r>
      <w:r>
        <w:rPr>
          <w:rFonts w:hint="eastAsia" w:ascii="Times New Roman"/>
          <w:kern w:val="2"/>
        </w:rPr>
        <w:t>g/mL</w:t>
      </w:r>
      <w:r>
        <w:rPr>
          <w:rFonts w:hint="eastAsia" w:ascii="Times New Roman" w:hAnsi="宋体"/>
          <w:kern w:val="2"/>
          <w:szCs w:val="21"/>
        </w:rPr>
        <w:t>）</w:t>
      </w:r>
      <w:r>
        <w:rPr>
          <w:rFonts w:hint="eastAsia" w:ascii="Times New Roman" w:hAnsi="宋体"/>
          <w:szCs w:val="21"/>
        </w:rPr>
        <w:t>。</w:t>
      </w:r>
    </w:p>
    <w:p>
      <w:pPr>
        <w:pStyle w:val="56"/>
        <w:ind w:firstLine="0" w:firstLineChars="0"/>
        <w:rPr>
          <w:rFonts w:ascii="Times New Roman" w:hAnsi="宋体"/>
          <w:szCs w:val="21"/>
        </w:rPr>
      </w:pPr>
      <w:r>
        <w:rPr>
          <w:rFonts w:hint="eastAsia" w:ascii="Times New Roman"/>
          <w:szCs w:val="21"/>
        </w:rPr>
        <w:t xml:space="preserve">4.4 </w:t>
      </w:r>
      <w:r>
        <w:rPr>
          <w:rFonts w:hint="eastAsia" w:ascii="Times New Roman" w:hAnsi="宋体"/>
          <w:szCs w:val="21"/>
        </w:rPr>
        <w:t>高氯酸（</w:t>
      </w:r>
      <w:r>
        <w:rPr>
          <w:rFonts w:ascii="Times New Roman"/>
          <w:i/>
          <w:kern w:val="2"/>
        </w:rPr>
        <w:t>ρ</w:t>
      </w:r>
      <w:r>
        <w:rPr>
          <w:rFonts w:hint="eastAsia" w:ascii="Times New Roman"/>
          <w:i/>
          <w:kern w:val="2"/>
        </w:rPr>
        <w:t xml:space="preserve"> </w:t>
      </w:r>
      <w:r>
        <w:rPr>
          <w:rFonts w:hint="eastAsia" w:ascii="Times New Roman"/>
          <w:kern w:val="2"/>
          <w:szCs w:val="21"/>
        </w:rPr>
        <w:t xml:space="preserve">1.67 </w:t>
      </w:r>
      <w:r>
        <w:rPr>
          <w:rFonts w:hint="eastAsia" w:ascii="Times New Roman"/>
          <w:kern w:val="2"/>
        </w:rPr>
        <w:t>g/mL</w:t>
      </w:r>
      <w:r>
        <w:rPr>
          <w:rFonts w:hint="eastAsia" w:ascii="Times New Roman" w:hAnsi="宋体"/>
          <w:szCs w:val="21"/>
        </w:rPr>
        <w:t>）。</w:t>
      </w:r>
    </w:p>
    <w:p>
      <w:pPr>
        <w:pStyle w:val="56"/>
        <w:ind w:firstLine="0" w:firstLineChars="0"/>
        <w:rPr>
          <w:rFonts w:ascii="Times New Roman" w:hAnsi="宋体"/>
          <w:szCs w:val="21"/>
        </w:rPr>
      </w:pPr>
      <w:r>
        <w:rPr>
          <w:rFonts w:hint="eastAsia" w:ascii="Times New Roman"/>
          <w:szCs w:val="21"/>
        </w:rPr>
        <w:t xml:space="preserve">4.5 </w:t>
      </w:r>
      <w:r>
        <w:rPr>
          <w:rFonts w:hint="eastAsia" w:ascii="Times New Roman" w:hAnsi="宋体"/>
          <w:kern w:val="2"/>
          <w:szCs w:val="21"/>
        </w:rPr>
        <w:t>硝</w:t>
      </w:r>
      <w:r>
        <w:rPr>
          <w:rFonts w:hint="eastAsia" w:ascii="Times New Roman" w:hAnsi="宋体"/>
          <w:szCs w:val="21"/>
        </w:rPr>
        <w:t>酸</w:t>
      </w:r>
      <w:r>
        <w:rPr>
          <w:rFonts w:hint="eastAsia" w:ascii="Times New Roman" w:hAnsi="宋体"/>
          <w:kern w:val="2"/>
          <w:szCs w:val="21"/>
        </w:rPr>
        <w:t>（</w:t>
      </w:r>
      <w:r>
        <w:rPr>
          <w:rFonts w:hint="eastAsia" w:ascii="Times New Roman"/>
          <w:kern w:val="2"/>
          <w:szCs w:val="21"/>
        </w:rPr>
        <w:t>1+1</w:t>
      </w:r>
      <w:r>
        <w:rPr>
          <w:rFonts w:hint="eastAsia" w:ascii="Times New Roman" w:hAnsi="宋体"/>
          <w:kern w:val="2"/>
          <w:szCs w:val="21"/>
        </w:rPr>
        <w:t>）</w:t>
      </w:r>
      <w:r>
        <w:rPr>
          <w:rFonts w:hint="eastAsia" w:ascii="Times New Roman" w:hAnsi="宋体"/>
          <w:szCs w:val="21"/>
        </w:rPr>
        <w:t>。</w:t>
      </w:r>
    </w:p>
    <w:p>
      <w:pPr>
        <w:pStyle w:val="56"/>
        <w:ind w:firstLine="0" w:firstLineChars="0"/>
        <w:rPr>
          <w:rFonts w:ascii="Times New Roman" w:hAnsi="宋体"/>
          <w:szCs w:val="21"/>
        </w:rPr>
      </w:pPr>
      <w:r>
        <w:rPr>
          <w:rFonts w:hint="eastAsia" w:ascii="Times New Roman" w:hAnsi="宋体"/>
          <w:szCs w:val="21"/>
        </w:rPr>
        <w:t>4.6 氢氧化钠溶液（100 g/L）。</w:t>
      </w:r>
    </w:p>
    <w:p>
      <w:pPr>
        <w:pStyle w:val="56"/>
        <w:ind w:firstLine="0" w:firstLineChars="0"/>
        <w:rPr>
          <w:rFonts w:ascii="Times New Roman" w:hAnsi="宋体"/>
          <w:szCs w:val="21"/>
        </w:rPr>
      </w:pPr>
      <w:r>
        <w:rPr>
          <w:rFonts w:hint="eastAsia" w:ascii="Times New Roman" w:hAnsi="宋体"/>
          <w:szCs w:val="21"/>
        </w:rPr>
        <w:t>4.7 酚酞乙醇溶液（1 g/L）。</w:t>
      </w:r>
    </w:p>
    <w:p>
      <w:pPr>
        <w:rPr>
          <w:szCs w:val="21"/>
        </w:rPr>
      </w:pPr>
      <w:r>
        <w:rPr>
          <w:rFonts w:hint="eastAsia"/>
          <w:szCs w:val="21"/>
        </w:rPr>
        <w:t>4</w:t>
      </w:r>
      <w:r>
        <w:rPr>
          <w:szCs w:val="21"/>
        </w:rPr>
        <w:t>.</w:t>
      </w:r>
      <w:r>
        <w:rPr>
          <w:rFonts w:hint="eastAsia"/>
          <w:szCs w:val="21"/>
        </w:rPr>
        <w:t xml:space="preserve">8 </w:t>
      </w:r>
      <w:r>
        <w:rPr>
          <w:rFonts w:hint="eastAsia" w:hAnsi="宋体"/>
          <w:szCs w:val="21"/>
        </w:rPr>
        <w:t xml:space="preserve">砷标准贮存溶液：称取1.3203 </w:t>
      </w:r>
      <w:r>
        <w:rPr>
          <w:rFonts w:hint="eastAsia"/>
          <w:szCs w:val="20"/>
        </w:rPr>
        <w:t xml:space="preserve">g预先经100 </w:t>
      </w:r>
      <w:r>
        <w:rPr>
          <w:rFonts w:hint="eastAsia" w:ascii="宋体" w:hAnsi="宋体" w:cs="宋体"/>
          <w:szCs w:val="20"/>
        </w:rPr>
        <w:t>℃～</w:t>
      </w:r>
      <w:r>
        <w:rPr>
          <w:rFonts w:hint="eastAsia"/>
          <w:szCs w:val="20"/>
        </w:rPr>
        <w:t xml:space="preserve">105 </w:t>
      </w:r>
      <w:r>
        <w:rPr>
          <w:rFonts w:hint="eastAsia" w:ascii="宋体" w:hAnsi="宋体" w:cs="宋体"/>
          <w:szCs w:val="20"/>
        </w:rPr>
        <w:t>℃</w:t>
      </w:r>
      <w:r>
        <w:rPr>
          <w:rFonts w:hint="eastAsia"/>
          <w:szCs w:val="20"/>
        </w:rPr>
        <w:t>烘干2 h于干燥器中冷却至室温的基准三氧化二砷（As</w:t>
      </w:r>
      <w:r>
        <w:rPr>
          <w:rFonts w:hint="eastAsia"/>
          <w:szCs w:val="20"/>
          <w:vertAlign w:val="subscript"/>
        </w:rPr>
        <w:t>2</w:t>
      </w:r>
      <w:r>
        <w:rPr>
          <w:rFonts w:hint="eastAsia"/>
          <w:szCs w:val="20"/>
        </w:rPr>
        <w:t>O</w:t>
      </w:r>
      <w:r>
        <w:rPr>
          <w:rFonts w:hint="eastAsia"/>
          <w:szCs w:val="20"/>
          <w:vertAlign w:val="subscript"/>
        </w:rPr>
        <w:t>3</w:t>
      </w:r>
      <w:r>
        <w:rPr>
          <w:rFonts w:hint="eastAsia"/>
          <w:szCs w:val="20"/>
        </w:rPr>
        <w:t>），置于150 mL聚四氟乙烯烧杯中，加入10 mL氢氧化钠溶液（4.6），加热溶解，冷却，移入100 0 mL容量瓶中，加水至200 mL</w:t>
      </w:r>
      <w:r>
        <w:rPr>
          <w:rFonts w:hint="eastAsia" w:ascii="宋体" w:hAnsi="宋体" w:cs="宋体"/>
          <w:szCs w:val="20"/>
        </w:rPr>
        <w:t>～</w:t>
      </w:r>
      <w:r>
        <w:rPr>
          <w:rFonts w:hint="eastAsia"/>
          <w:szCs w:val="20"/>
        </w:rPr>
        <w:t>300 mL，加入2滴酚酞乙醇溶液（4.7），用硝酸（4.5）中和至溶液由红色变为无色，并过量20 mL，用水稀释至刻度，混匀。</w:t>
      </w:r>
      <w:r>
        <w:rPr>
          <w:rFonts w:hint="eastAsia" w:hAnsi="宋体"/>
          <w:szCs w:val="21"/>
        </w:rPr>
        <w:t>此溶液</w:t>
      </w:r>
      <w:r>
        <w:rPr>
          <w:rFonts w:hint="eastAsia"/>
          <w:szCs w:val="21"/>
        </w:rPr>
        <w:t xml:space="preserve">1 </w:t>
      </w:r>
      <w:r>
        <w:rPr>
          <w:rFonts w:hint="eastAsia"/>
          <w:szCs w:val="20"/>
        </w:rPr>
        <w:t>mL</w:t>
      </w:r>
      <w:r>
        <w:rPr>
          <w:rFonts w:hint="eastAsia" w:hAnsi="宋体"/>
          <w:szCs w:val="21"/>
        </w:rPr>
        <w:t>含</w:t>
      </w:r>
      <w:r>
        <w:rPr>
          <w:rFonts w:hint="eastAsia"/>
          <w:szCs w:val="21"/>
        </w:rPr>
        <w:t xml:space="preserve">1 </w:t>
      </w:r>
      <w:r>
        <w:rPr>
          <w:rFonts w:hint="eastAsia"/>
          <w:szCs w:val="20"/>
        </w:rPr>
        <w:t>mg</w:t>
      </w:r>
      <w:r>
        <w:rPr>
          <w:rFonts w:hint="eastAsia" w:hAnsi="宋体"/>
          <w:szCs w:val="21"/>
        </w:rPr>
        <w:t>砷。</w:t>
      </w:r>
    </w:p>
    <w:p>
      <w:pPr>
        <w:pStyle w:val="61"/>
        <w:rPr>
          <w:rFonts w:eastAsia="宋体"/>
          <w:szCs w:val="21"/>
        </w:rPr>
      </w:pPr>
      <w:r>
        <w:rPr>
          <w:rFonts w:hint="eastAsia" w:eastAsia="宋体"/>
          <w:szCs w:val="21"/>
        </w:rPr>
        <w:t xml:space="preserve">4.9 </w:t>
      </w:r>
      <w:r>
        <w:rPr>
          <w:rFonts w:hint="eastAsia" w:hAnsi="宋体" w:eastAsia="宋体"/>
          <w:szCs w:val="21"/>
        </w:rPr>
        <w:t>铅标准贮存溶液：称取</w:t>
      </w:r>
      <w:r>
        <w:rPr>
          <w:rFonts w:hint="eastAsia" w:eastAsia="宋体"/>
          <w:szCs w:val="21"/>
        </w:rPr>
        <w:t xml:space="preserve">1.000 0 </w:t>
      </w:r>
      <w:r>
        <w:rPr>
          <w:rFonts w:hint="eastAsia" w:eastAsia="宋体"/>
          <w:kern w:val="2"/>
        </w:rPr>
        <w:t>g金属</w:t>
      </w:r>
      <w:r>
        <w:rPr>
          <w:rFonts w:hint="eastAsia" w:hAnsi="宋体" w:eastAsia="宋体"/>
          <w:szCs w:val="21"/>
        </w:rPr>
        <w:t>铅（</w:t>
      </w:r>
      <w:r>
        <w:rPr>
          <w:rFonts w:eastAsia="宋体"/>
          <w:i/>
          <w:szCs w:val="21"/>
        </w:rPr>
        <w:t>w</w:t>
      </w:r>
      <w:r>
        <w:rPr>
          <w:rFonts w:eastAsia="宋体"/>
          <w:szCs w:val="21"/>
          <w:vertAlign w:val="subscript"/>
        </w:rPr>
        <w:t>Pb</w:t>
      </w:r>
      <w:r>
        <w:rPr>
          <w:rFonts w:hint="eastAsia" w:eastAsia="宋体"/>
          <w:szCs w:val="21"/>
        </w:rPr>
        <w:t xml:space="preserve">≥99.99 </w:t>
      </w:r>
      <w:r>
        <w:rPr>
          <w:rFonts w:hint="eastAsia" w:hAnsi="宋体" w:eastAsia="宋体"/>
          <w:szCs w:val="21"/>
        </w:rPr>
        <w:t>％），置于</w:t>
      </w:r>
      <w:r>
        <w:rPr>
          <w:rFonts w:hint="eastAsia" w:eastAsia="宋体"/>
          <w:szCs w:val="21"/>
        </w:rPr>
        <w:t xml:space="preserve">300 </w:t>
      </w:r>
      <w:r>
        <w:rPr>
          <w:rFonts w:hint="eastAsia" w:eastAsia="宋体"/>
          <w:kern w:val="2"/>
        </w:rPr>
        <w:t>mL</w:t>
      </w:r>
      <w:r>
        <w:rPr>
          <w:rFonts w:hint="eastAsia" w:hAnsi="宋体" w:eastAsia="宋体"/>
          <w:szCs w:val="21"/>
        </w:rPr>
        <w:t>烧杯中，加入3</w:t>
      </w:r>
      <w:r>
        <w:rPr>
          <w:rFonts w:hint="eastAsia" w:eastAsia="宋体"/>
          <w:szCs w:val="21"/>
        </w:rPr>
        <w:t xml:space="preserve">0 </w:t>
      </w:r>
      <w:r>
        <w:rPr>
          <w:rFonts w:hint="eastAsia" w:eastAsia="宋体"/>
          <w:kern w:val="2"/>
        </w:rPr>
        <w:t>mL</w:t>
      </w:r>
      <w:r>
        <w:rPr>
          <w:rFonts w:hint="eastAsia" w:hAnsi="宋体" w:eastAsia="宋体"/>
          <w:szCs w:val="21"/>
        </w:rPr>
        <w:t>硝酸（</w:t>
      </w:r>
      <w:r>
        <w:rPr>
          <w:rFonts w:hint="eastAsia" w:eastAsia="宋体"/>
          <w:szCs w:val="21"/>
        </w:rPr>
        <w:t>4.5</w:t>
      </w:r>
      <w:r>
        <w:rPr>
          <w:rFonts w:hint="eastAsia" w:hAnsi="宋体" w:eastAsia="宋体"/>
          <w:szCs w:val="21"/>
        </w:rPr>
        <w:t>）</w:t>
      </w:r>
      <w:r>
        <w:rPr>
          <w:rFonts w:hint="eastAsia" w:hAnsi="宋体"/>
          <w:szCs w:val="21"/>
        </w:rPr>
        <w:t>，</w:t>
      </w:r>
      <w:r>
        <w:rPr>
          <w:rFonts w:hint="eastAsia" w:hAnsi="宋体" w:eastAsia="宋体"/>
          <w:szCs w:val="21"/>
        </w:rPr>
        <w:t>低温加热溶解，加热除去氮的氧化物，冷却，移入</w:t>
      </w:r>
      <w:r>
        <w:rPr>
          <w:rFonts w:hint="eastAsia" w:eastAsia="宋体"/>
          <w:szCs w:val="21"/>
        </w:rPr>
        <w:t xml:space="preserve">100 0 </w:t>
      </w:r>
      <w:r>
        <w:rPr>
          <w:rFonts w:hint="eastAsia" w:eastAsia="宋体"/>
          <w:kern w:val="2"/>
        </w:rPr>
        <w:t>mL</w:t>
      </w:r>
      <w:r>
        <w:rPr>
          <w:rFonts w:hint="eastAsia" w:hAnsi="宋体" w:eastAsia="宋体"/>
          <w:szCs w:val="21"/>
        </w:rPr>
        <w:t>容量瓶中，加入30 mL硝酸（4.2）</w:t>
      </w:r>
      <w:r>
        <w:rPr>
          <w:rFonts w:hint="eastAsia" w:hAnsi="宋体"/>
          <w:szCs w:val="21"/>
        </w:rPr>
        <w:t>，</w:t>
      </w:r>
      <w:r>
        <w:rPr>
          <w:rFonts w:hint="eastAsia" w:hAnsi="宋体" w:eastAsia="宋体"/>
          <w:szCs w:val="21"/>
        </w:rPr>
        <w:t>用水稀释至刻度，混匀。此溶液</w:t>
      </w:r>
      <w:r>
        <w:rPr>
          <w:rFonts w:hint="eastAsia" w:eastAsia="宋体"/>
          <w:szCs w:val="21"/>
        </w:rPr>
        <w:t xml:space="preserve">1 </w:t>
      </w:r>
      <w:r>
        <w:rPr>
          <w:rFonts w:hint="eastAsia" w:eastAsia="宋体"/>
          <w:kern w:val="2"/>
        </w:rPr>
        <w:t>mL</w:t>
      </w:r>
      <w:r>
        <w:rPr>
          <w:rFonts w:hint="eastAsia" w:hAnsi="宋体" w:eastAsia="宋体"/>
          <w:szCs w:val="21"/>
        </w:rPr>
        <w:t>含</w:t>
      </w:r>
      <w:r>
        <w:rPr>
          <w:rFonts w:hint="eastAsia" w:eastAsia="宋体"/>
          <w:szCs w:val="21"/>
        </w:rPr>
        <w:t xml:space="preserve">1 </w:t>
      </w:r>
      <w:r>
        <w:rPr>
          <w:rFonts w:hint="eastAsia" w:eastAsia="宋体"/>
          <w:kern w:val="2"/>
        </w:rPr>
        <w:t>mg</w:t>
      </w:r>
      <w:r>
        <w:rPr>
          <w:rFonts w:hint="eastAsia" w:hAnsi="宋体" w:eastAsia="宋体"/>
          <w:szCs w:val="21"/>
        </w:rPr>
        <w:t>铅。</w:t>
      </w:r>
    </w:p>
    <w:p>
      <w:pPr>
        <w:pStyle w:val="61"/>
        <w:rPr>
          <w:rFonts w:eastAsia="宋体"/>
          <w:szCs w:val="21"/>
        </w:rPr>
      </w:pPr>
      <w:r>
        <w:rPr>
          <w:rFonts w:hint="eastAsia" w:eastAsia="宋体"/>
          <w:szCs w:val="21"/>
        </w:rPr>
        <w:t xml:space="preserve">4.10 </w:t>
      </w:r>
      <w:r>
        <w:rPr>
          <w:rFonts w:hint="eastAsia" w:hAnsi="宋体" w:eastAsia="宋体"/>
          <w:szCs w:val="21"/>
        </w:rPr>
        <w:t>锌标准贮存溶液：称取</w:t>
      </w:r>
      <w:r>
        <w:rPr>
          <w:rFonts w:hint="eastAsia" w:eastAsia="宋体"/>
          <w:szCs w:val="21"/>
        </w:rPr>
        <w:t xml:space="preserve">1.000 0 </w:t>
      </w:r>
      <w:r>
        <w:rPr>
          <w:rFonts w:hint="eastAsia" w:eastAsia="宋体"/>
          <w:kern w:val="2"/>
        </w:rPr>
        <w:t>g</w:t>
      </w:r>
      <w:r>
        <w:rPr>
          <w:rFonts w:hint="eastAsia" w:hAnsi="宋体" w:eastAsia="宋体"/>
          <w:szCs w:val="21"/>
        </w:rPr>
        <w:t>金属锌（</w:t>
      </w:r>
      <w:r>
        <w:rPr>
          <w:rFonts w:eastAsia="宋体"/>
          <w:i/>
          <w:szCs w:val="21"/>
        </w:rPr>
        <w:t>w</w:t>
      </w:r>
      <w:r>
        <w:rPr>
          <w:rFonts w:eastAsia="宋体"/>
          <w:szCs w:val="21"/>
          <w:vertAlign w:val="subscript"/>
        </w:rPr>
        <w:t>Zn</w:t>
      </w:r>
      <w:r>
        <w:rPr>
          <w:rFonts w:hint="eastAsia" w:eastAsia="宋体"/>
          <w:szCs w:val="21"/>
        </w:rPr>
        <w:t xml:space="preserve">≥99.99 </w:t>
      </w:r>
      <w:r>
        <w:rPr>
          <w:rFonts w:hint="eastAsia" w:hAnsi="宋体" w:eastAsia="宋体"/>
          <w:szCs w:val="21"/>
        </w:rPr>
        <w:t>％）置于</w:t>
      </w:r>
      <w:r>
        <w:rPr>
          <w:rFonts w:hint="eastAsia" w:eastAsia="宋体"/>
          <w:szCs w:val="21"/>
        </w:rPr>
        <w:t xml:space="preserve">300 </w:t>
      </w:r>
      <w:r>
        <w:rPr>
          <w:rFonts w:hint="eastAsia" w:eastAsia="宋体"/>
          <w:kern w:val="2"/>
        </w:rPr>
        <w:t>mL</w:t>
      </w:r>
      <w:r>
        <w:rPr>
          <w:rFonts w:hint="eastAsia" w:hAnsi="宋体" w:eastAsia="宋体"/>
          <w:szCs w:val="21"/>
        </w:rPr>
        <w:t>烧杯中，加入</w:t>
      </w:r>
      <w:r>
        <w:rPr>
          <w:rFonts w:hint="eastAsia" w:eastAsia="宋体"/>
          <w:szCs w:val="21"/>
        </w:rPr>
        <w:t xml:space="preserve">20 </w:t>
      </w:r>
      <w:r>
        <w:rPr>
          <w:rFonts w:hint="eastAsia" w:eastAsia="宋体"/>
          <w:kern w:val="2"/>
        </w:rPr>
        <w:t>mL</w:t>
      </w:r>
      <w:r>
        <w:rPr>
          <w:rFonts w:hint="eastAsia" w:hAnsi="宋体" w:eastAsia="宋体"/>
          <w:szCs w:val="21"/>
        </w:rPr>
        <w:t>硝酸（</w:t>
      </w:r>
      <w:r>
        <w:rPr>
          <w:rFonts w:hint="eastAsia" w:eastAsia="宋体"/>
          <w:szCs w:val="21"/>
        </w:rPr>
        <w:t>4.5</w:t>
      </w:r>
      <w:r>
        <w:rPr>
          <w:rFonts w:hint="eastAsia" w:hAnsi="宋体" w:eastAsia="宋体"/>
          <w:szCs w:val="21"/>
        </w:rPr>
        <w:t>），低温溶解，加热除去氮的氧化物，取下冷却。移入</w:t>
      </w:r>
      <w:r>
        <w:rPr>
          <w:rFonts w:hint="eastAsia" w:eastAsia="宋体"/>
          <w:szCs w:val="21"/>
        </w:rPr>
        <w:t xml:space="preserve">100 0 </w:t>
      </w:r>
      <w:r>
        <w:rPr>
          <w:rFonts w:hint="eastAsia" w:eastAsia="宋体"/>
          <w:kern w:val="2"/>
        </w:rPr>
        <w:t>mL</w:t>
      </w:r>
      <w:r>
        <w:rPr>
          <w:rFonts w:hint="eastAsia" w:hAnsi="宋体" w:eastAsia="宋体"/>
          <w:szCs w:val="21"/>
        </w:rPr>
        <w:t>容量瓶中，加入</w:t>
      </w:r>
      <w:r>
        <w:rPr>
          <w:rFonts w:hint="eastAsia" w:eastAsia="宋体"/>
          <w:szCs w:val="21"/>
        </w:rPr>
        <w:t xml:space="preserve">40 </w:t>
      </w:r>
      <w:r>
        <w:rPr>
          <w:rFonts w:hint="eastAsia" w:eastAsia="宋体"/>
          <w:kern w:val="2"/>
        </w:rPr>
        <w:t>mL</w:t>
      </w:r>
      <w:r>
        <w:rPr>
          <w:rFonts w:hint="eastAsia" w:hAnsi="宋体" w:eastAsia="宋体"/>
          <w:szCs w:val="21"/>
        </w:rPr>
        <w:t>硝酸（</w:t>
      </w:r>
      <w:r>
        <w:rPr>
          <w:rFonts w:hint="eastAsia" w:eastAsia="宋体"/>
          <w:szCs w:val="21"/>
        </w:rPr>
        <w:t>4.2</w:t>
      </w:r>
      <w:r>
        <w:rPr>
          <w:rFonts w:hint="eastAsia" w:hAnsi="宋体" w:eastAsia="宋体"/>
          <w:szCs w:val="21"/>
        </w:rPr>
        <w:t>），用水稀释至刻度，混匀。此溶液</w:t>
      </w:r>
      <w:r>
        <w:rPr>
          <w:rFonts w:hint="eastAsia" w:eastAsia="宋体"/>
          <w:szCs w:val="21"/>
        </w:rPr>
        <w:t xml:space="preserve">1 </w:t>
      </w:r>
      <w:r>
        <w:rPr>
          <w:rFonts w:hint="eastAsia" w:eastAsia="宋体"/>
          <w:kern w:val="2"/>
        </w:rPr>
        <w:t>mL</w:t>
      </w:r>
      <w:r>
        <w:rPr>
          <w:rFonts w:hint="eastAsia" w:hAnsi="宋体" w:eastAsia="宋体"/>
          <w:szCs w:val="21"/>
        </w:rPr>
        <w:t>含</w:t>
      </w:r>
      <w:r>
        <w:rPr>
          <w:rFonts w:hint="eastAsia" w:eastAsia="宋体"/>
          <w:szCs w:val="21"/>
        </w:rPr>
        <w:t xml:space="preserve">1 </w:t>
      </w:r>
      <w:r>
        <w:rPr>
          <w:rFonts w:hint="eastAsia" w:eastAsia="宋体"/>
          <w:kern w:val="2"/>
        </w:rPr>
        <w:t>mg</w:t>
      </w:r>
      <w:r>
        <w:rPr>
          <w:rFonts w:hint="eastAsia" w:hAnsi="宋体" w:eastAsia="宋体"/>
          <w:szCs w:val="21"/>
        </w:rPr>
        <w:t>锌。</w:t>
      </w:r>
    </w:p>
    <w:p>
      <w:pPr>
        <w:rPr>
          <w:szCs w:val="21"/>
        </w:rPr>
      </w:pPr>
      <w:r>
        <w:rPr>
          <w:rFonts w:hint="eastAsia"/>
          <w:szCs w:val="21"/>
        </w:rPr>
        <w:t xml:space="preserve">4.11 </w:t>
      </w:r>
      <w:r>
        <w:rPr>
          <w:rFonts w:hint="eastAsia" w:hAnsi="宋体"/>
          <w:szCs w:val="21"/>
        </w:rPr>
        <w:t>钴标准贮存溶液：称取</w:t>
      </w:r>
      <w:r>
        <w:rPr>
          <w:rFonts w:hint="eastAsia"/>
          <w:szCs w:val="21"/>
        </w:rPr>
        <w:t xml:space="preserve">1.000 0 </w:t>
      </w:r>
      <w:r>
        <w:rPr>
          <w:rFonts w:hint="eastAsia"/>
          <w:szCs w:val="20"/>
        </w:rPr>
        <w:t>g</w:t>
      </w:r>
      <w:r>
        <w:rPr>
          <w:rFonts w:hint="eastAsia" w:hAnsi="宋体"/>
          <w:szCs w:val="21"/>
        </w:rPr>
        <w:t>金属钴（</w:t>
      </w:r>
      <w:r>
        <w:rPr>
          <w:i/>
          <w:szCs w:val="21"/>
        </w:rPr>
        <w:t>w</w:t>
      </w:r>
      <w:r>
        <w:rPr>
          <w:szCs w:val="21"/>
          <w:vertAlign w:val="subscript"/>
        </w:rPr>
        <w:t>Co</w:t>
      </w:r>
      <w:r>
        <w:rPr>
          <w:rFonts w:hint="eastAsia"/>
          <w:szCs w:val="21"/>
        </w:rPr>
        <w:t xml:space="preserve">≥99.99 </w:t>
      </w:r>
      <w:r>
        <w:rPr>
          <w:rFonts w:hint="eastAsia" w:hAnsi="宋体"/>
          <w:szCs w:val="21"/>
        </w:rPr>
        <w:t>％）置于</w:t>
      </w:r>
      <w:r>
        <w:rPr>
          <w:rFonts w:hint="eastAsia"/>
          <w:szCs w:val="21"/>
        </w:rPr>
        <w:t xml:space="preserve">300 </w:t>
      </w:r>
      <w:r>
        <w:rPr>
          <w:rFonts w:hint="eastAsia"/>
          <w:szCs w:val="20"/>
        </w:rPr>
        <w:t>mL</w:t>
      </w:r>
      <w:r>
        <w:rPr>
          <w:rFonts w:hint="eastAsia" w:hAnsi="宋体"/>
          <w:szCs w:val="21"/>
        </w:rPr>
        <w:t>烧杯中，加入</w:t>
      </w:r>
      <w:r>
        <w:rPr>
          <w:rFonts w:hint="eastAsia"/>
          <w:szCs w:val="21"/>
        </w:rPr>
        <w:t xml:space="preserve">20 </w:t>
      </w:r>
      <w:r>
        <w:rPr>
          <w:rFonts w:hint="eastAsia"/>
          <w:szCs w:val="20"/>
        </w:rPr>
        <w:t>mL</w:t>
      </w:r>
      <w:r>
        <w:rPr>
          <w:rFonts w:hint="eastAsia" w:hAnsi="宋体"/>
          <w:szCs w:val="21"/>
        </w:rPr>
        <w:t>硝酸（</w:t>
      </w:r>
      <w:r>
        <w:rPr>
          <w:rFonts w:hint="eastAsia"/>
          <w:szCs w:val="21"/>
        </w:rPr>
        <w:t>4.5</w:t>
      </w:r>
      <w:r>
        <w:rPr>
          <w:rFonts w:hint="eastAsia" w:hAnsi="宋体"/>
          <w:szCs w:val="21"/>
        </w:rPr>
        <w:t>），低温溶解，加热除去氮的氧化物，取下冷却。移入</w:t>
      </w:r>
      <w:r>
        <w:rPr>
          <w:rFonts w:hint="eastAsia"/>
          <w:szCs w:val="21"/>
        </w:rPr>
        <w:t xml:space="preserve">100 0 </w:t>
      </w:r>
      <w:r>
        <w:rPr>
          <w:rFonts w:hint="eastAsia"/>
          <w:szCs w:val="20"/>
        </w:rPr>
        <w:t>mL</w:t>
      </w:r>
      <w:r>
        <w:rPr>
          <w:rFonts w:hint="eastAsia" w:hAnsi="宋体"/>
          <w:szCs w:val="21"/>
        </w:rPr>
        <w:t>容量瓶中，加入</w:t>
      </w:r>
      <w:r>
        <w:rPr>
          <w:rFonts w:hint="eastAsia"/>
          <w:szCs w:val="21"/>
        </w:rPr>
        <w:t xml:space="preserve">40 </w:t>
      </w:r>
      <w:r>
        <w:rPr>
          <w:rFonts w:hint="eastAsia"/>
          <w:szCs w:val="20"/>
        </w:rPr>
        <w:t>mL</w:t>
      </w:r>
      <w:r>
        <w:rPr>
          <w:rFonts w:hint="eastAsia" w:hAnsi="宋体"/>
          <w:szCs w:val="21"/>
        </w:rPr>
        <w:t>硝酸（</w:t>
      </w:r>
      <w:r>
        <w:rPr>
          <w:rFonts w:hint="eastAsia"/>
          <w:szCs w:val="21"/>
        </w:rPr>
        <w:t>4.2</w:t>
      </w:r>
      <w:r>
        <w:rPr>
          <w:rFonts w:hint="eastAsia" w:hAnsi="宋体"/>
          <w:szCs w:val="21"/>
        </w:rPr>
        <w:t>），用水稀释至刻度，混匀。此溶液</w:t>
      </w:r>
      <w:r>
        <w:rPr>
          <w:rFonts w:hint="eastAsia"/>
          <w:szCs w:val="21"/>
        </w:rPr>
        <w:t xml:space="preserve">1 </w:t>
      </w:r>
      <w:r>
        <w:rPr>
          <w:rFonts w:hint="eastAsia"/>
          <w:szCs w:val="20"/>
        </w:rPr>
        <w:t>mL</w:t>
      </w:r>
      <w:r>
        <w:rPr>
          <w:rFonts w:hint="eastAsia" w:hAnsi="宋体"/>
          <w:szCs w:val="21"/>
        </w:rPr>
        <w:t>含</w:t>
      </w:r>
      <w:r>
        <w:rPr>
          <w:rFonts w:hint="eastAsia"/>
          <w:szCs w:val="21"/>
        </w:rPr>
        <w:t xml:space="preserve">1 </w:t>
      </w:r>
      <w:r>
        <w:rPr>
          <w:rFonts w:hint="eastAsia"/>
          <w:szCs w:val="20"/>
        </w:rPr>
        <w:t>mg</w:t>
      </w:r>
      <w:r>
        <w:rPr>
          <w:rFonts w:hint="eastAsia" w:hAnsi="宋体"/>
          <w:szCs w:val="21"/>
        </w:rPr>
        <w:t>钴。</w:t>
      </w:r>
    </w:p>
    <w:p>
      <w:pPr>
        <w:rPr>
          <w:rFonts w:hAnsi="宋体"/>
          <w:szCs w:val="21"/>
        </w:rPr>
      </w:pPr>
      <w:r>
        <w:rPr>
          <w:rFonts w:hint="eastAsia"/>
          <w:szCs w:val="21"/>
        </w:rPr>
        <w:t>4</w:t>
      </w:r>
      <w:r>
        <w:rPr>
          <w:szCs w:val="21"/>
        </w:rPr>
        <w:t>.</w:t>
      </w:r>
      <w:r>
        <w:rPr>
          <w:rFonts w:hint="eastAsia"/>
          <w:szCs w:val="21"/>
        </w:rPr>
        <w:t xml:space="preserve">12 </w:t>
      </w:r>
      <w:r>
        <w:rPr>
          <w:rFonts w:hint="eastAsia" w:hAnsi="宋体"/>
          <w:szCs w:val="21"/>
        </w:rPr>
        <w:t>砷、铅、锌、钴</w:t>
      </w:r>
      <w:r>
        <w:rPr>
          <w:rFonts w:hint="eastAsia" w:hAnsi="宋体" w:cs="宋体"/>
          <w:bCs/>
          <w:kern w:val="0"/>
          <w:szCs w:val="21"/>
        </w:rPr>
        <w:t>混合</w:t>
      </w:r>
      <w:r>
        <w:rPr>
          <w:rFonts w:hint="eastAsia" w:hAnsi="宋体"/>
          <w:szCs w:val="21"/>
        </w:rPr>
        <w:t>标准溶液：分别移取</w:t>
      </w:r>
      <w:r>
        <w:rPr>
          <w:szCs w:val="21"/>
        </w:rPr>
        <w:t>10.00</w:t>
      </w:r>
      <w:r>
        <w:rPr>
          <w:rFonts w:hint="eastAsia"/>
          <w:szCs w:val="21"/>
        </w:rPr>
        <w:t xml:space="preserve"> </w:t>
      </w:r>
      <w:r>
        <w:rPr>
          <w:szCs w:val="20"/>
        </w:rPr>
        <w:t>mL</w:t>
      </w:r>
      <w:r>
        <w:rPr>
          <w:rFonts w:hint="eastAsia"/>
          <w:szCs w:val="20"/>
        </w:rPr>
        <w:t>砷、铅、锌、</w:t>
      </w:r>
      <w:r>
        <w:rPr>
          <w:rFonts w:hint="eastAsia" w:hAnsi="宋体" w:cs="宋体"/>
          <w:bCs/>
          <w:kern w:val="0"/>
          <w:szCs w:val="21"/>
        </w:rPr>
        <w:t>钴</w:t>
      </w:r>
      <w:r>
        <w:rPr>
          <w:rFonts w:hint="eastAsia" w:hAnsi="宋体"/>
          <w:szCs w:val="21"/>
        </w:rPr>
        <w:t>标准贮存溶液（</w:t>
      </w:r>
      <w:r>
        <w:rPr>
          <w:rFonts w:hint="eastAsia"/>
          <w:szCs w:val="21"/>
        </w:rPr>
        <w:t>4.8</w:t>
      </w:r>
      <w:r>
        <w:rPr>
          <w:rFonts w:hint="eastAsia" w:hAnsi="宋体"/>
          <w:szCs w:val="21"/>
        </w:rPr>
        <w:t>、</w:t>
      </w:r>
      <w:r>
        <w:rPr>
          <w:rFonts w:hint="eastAsia"/>
          <w:szCs w:val="21"/>
        </w:rPr>
        <w:t>4.9</w:t>
      </w:r>
      <w:r>
        <w:rPr>
          <w:rFonts w:hint="eastAsia" w:hAnsi="宋体"/>
          <w:szCs w:val="21"/>
        </w:rPr>
        <w:t>、</w:t>
      </w:r>
      <w:r>
        <w:rPr>
          <w:rFonts w:hint="eastAsia"/>
          <w:szCs w:val="21"/>
        </w:rPr>
        <w:t>4.10</w:t>
      </w:r>
      <w:r>
        <w:rPr>
          <w:rFonts w:hint="eastAsia" w:hAnsi="宋体"/>
          <w:szCs w:val="21"/>
        </w:rPr>
        <w:t>、</w:t>
      </w:r>
      <w:r>
        <w:rPr>
          <w:rFonts w:hint="eastAsia"/>
          <w:szCs w:val="21"/>
        </w:rPr>
        <w:t>4.11</w:t>
      </w:r>
      <w:r>
        <w:rPr>
          <w:rFonts w:hint="eastAsia" w:hAnsi="宋体"/>
          <w:szCs w:val="21"/>
        </w:rPr>
        <w:t>）于</w:t>
      </w:r>
      <w:r>
        <w:rPr>
          <w:szCs w:val="21"/>
        </w:rPr>
        <w:t>100</w:t>
      </w:r>
      <w:r>
        <w:rPr>
          <w:rFonts w:hint="eastAsia"/>
          <w:szCs w:val="21"/>
        </w:rPr>
        <w:t xml:space="preserve"> </w:t>
      </w:r>
      <w:r>
        <w:rPr>
          <w:szCs w:val="20"/>
        </w:rPr>
        <w:t>mL</w:t>
      </w:r>
      <w:r>
        <w:rPr>
          <w:rFonts w:hint="eastAsia" w:hAnsi="宋体"/>
          <w:szCs w:val="21"/>
        </w:rPr>
        <w:t>容量瓶中，加入</w:t>
      </w:r>
      <w:r>
        <w:rPr>
          <w:szCs w:val="21"/>
        </w:rPr>
        <w:t>10</w:t>
      </w:r>
      <w:r>
        <w:rPr>
          <w:rFonts w:hint="eastAsia"/>
          <w:szCs w:val="21"/>
        </w:rPr>
        <w:t xml:space="preserve"> </w:t>
      </w:r>
      <w:r>
        <w:rPr>
          <w:szCs w:val="20"/>
        </w:rPr>
        <w:t>mL</w:t>
      </w:r>
      <w:r>
        <w:rPr>
          <w:rFonts w:hint="eastAsia" w:hAnsi="宋体"/>
          <w:szCs w:val="21"/>
        </w:rPr>
        <w:t>硝酸（</w:t>
      </w:r>
      <w:r>
        <w:rPr>
          <w:rFonts w:hint="eastAsia"/>
          <w:szCs w:val="21"/>
        </w:rPr>
        <w:t>4.5</w:t>
      </w:r>
      <w:r>
        <w:rPr>
          <w:rFonts w:hint="eastAsia" w:hAnsi="宋体"/>
          <w:szCs w:val="21"/>
        </w:rPr>
        <w:t>）</w:t>
      </w:r>
      <w:r>
        <w:rPr>
          <w:szCs w:val="21"/>
        </w:rPr>
        <w:t>,</w:t>
      </w:r>
      <w:r>
        <w:rPr>
          <w:rFonts w:hint="eastAsia" w:hAnsi="宋体"/>
          <w:szCs w:val="21"/>
        </w:rPr>
        <w:t>以水稀释至刻度，混匀。此溶液</w:t>
      </w:r>
      <w:r>
        <w:rPr>
          <w:szCs w:val="21"/>
        </w:rPr>
        <w:t>1</w:t>
      </w:r>
      <w:r>
        <w:rPr>
          <w:rFonts w:hint="eastAsia"/>
          <w:szCs w:val="21"/>
        </w:rPr>
        <w:t xml:space="preserve"> </w:t>
      </w:r>
      <w:r>
        <w:rPr>
          <w:szCs w:val="20"/>
        </w:rPr>
        <w:t>mL</w:t>
      </w:r>
      <w:r>
        <w:rPr>
          <w:rFonts w:hint="eastAsia" w:hAnsi="宋体"/>
          <w:szCs w:val="21"/>
        </w:rPr>
        <w:t>分别含有</w:t>
      </w:r>
      <w:r>
        <w:rPr>
          <w:szCs w:val="21"/>
        </w:rPr>
        <w:t>100</w:t>
      </w:r>
      <w:r>
        <w:rPr>
          <w:rFonts w:hint="eastAsia"/>
          <w:szCs w:val="21"/>
        </w:rPr>
        <w:t xml:space="preserve"> </w:t>
      </w:r>
      <w:r>
        <w:rPr>
          <w:szCs w:val="20"/>
        </w:rPr>
        <w:sym w:font="Symbol" w:char="006D"/>
      </w:r>
      <w:r>
        <w:rPr>
          <w:szCs w:val="20"/>
        </w:rPr>
        <w:t>g</w:t>
      </w:r>
      <w:r>
        <w:rPr>
          <w:rFonts w:hint="eastAsia" w:hAnsi="宋体"/>
          <w:szCs w:val="21"/>
        </w:rPr>
        <w:t>砷、铅、锌、钴。</w:t>
      </w:r>
    </w:p>
    <w:p>
      <w:pPr>
        <w:spacing w:line="360" w:lineRule="auto"/>
        <w:rPr>
          <w:rFonts w:ascii="黑体" w:eastAsia="黑体"/>
        </w:rPr>
      </w:pPr>
      <w:r>
        <w:rPr>
          <w:rFonts w:hint="eastAsia" w:ascii="黑体" w:eastAsia="黑体"/>
        </w:rPr>
        <w:t>5 仪器</w:t>
      </w:r>
    </w:p>
    <w:p>
      <w:pPr>
        <w:spacing w:line="300" w:lineRule="auto"/>
        <w:rPr>
          <w:szCs w:val="21"/>
        </w:rPr>
      </w:pPr>
      <w:r>
        <w:rPr>
          <w:rFonts w:hint="eastAsia" w:ascii="宋体" w:hAnsi="宋体"/>
          <w:kern w:val="0"/>
          <w:szCs w:val="21"/>
        </w:rPr>
        <w:t>电感耦合等离子体原子发射光谱仪</w:t>
      </w:r>
      <w:r>
        <w:rPr>
          <w:rFonts w:hint="eastAsia"/>
          <w:szCs w:val="21"/>
        </w:rPr>
        <w:t>。</w:t>
      </w:r>
    </w:p>
    <w:p>
      <w:pPr>
        <w:spacing w:line="300" w:lineRule="auto"/>
        <w:rPr>
          <w:szCs w:val="21"/>
        </w:rPr>
      </w:pPr>
      <w:r>
        <w:rPr>
          <w:rFonts w:hint="eastAsia"/>
          <w:szCs w:val="21"/>
        </w:rPr>
        <w:t>在仪器最佳工作条件下凡是能达到下列指标者均可使用：</w:t>
      </w:r>
    </w:p>
    <w:p>
      <w:pPr>
        <w:spacing w:line="300" w:lineRule="auto"/>
        <w:rPr>
          <w:color w:val="FF0000"/>
          <w:szCs w:val="21"/>
        </w:rPr>
      </w:pPr>
      <w:r>
        <w:rPr>
          <w:rFonts w:hint="eastAsia" w:ascii="宋体" w:hAnsi="宋体"/>
          <w:szCs w:val="21"/>
        </w:rPr>
        <w:t>--</w:t>
      </w:r>
      <w:r>
        <w:rPr>
          <w:rFonts w:hint="eastAsia" w:hAnsi="宋体"/>
          <w:szCs w:val="21"/>
        </w:rPr>
        <w:t>分辨率：</w:t>
      </w:r>
      <w:r>
        <w:rPr>
          <w:rFonts w:hint="eastAsia" w:hAnsi="宋体"/>
          <w:color w:val="auto"/>
          <w:szCs w:val="21"/>
        </w:rPr>
        <w:t>200 nm时光学分辨率不大于0.010 nm；400 nm时光学分辨率不大于0.020 nm</w:t>
      </w:r>
      <w:r>
        <w:rPr>
          <w:rFonts w:hint="eastAsia" w:hAnsi="宋体"/>
          <w:color w:val="auto"/>
          <w:szCs w:val="21"/>
          <w:lang w:eastAsia="zh-CN"/>
        </w:rPr>
        <w:t>。</w:t>
      </w:r>
    </w:p>
    <w:p>
      <w:pPr>
        <w:pStyle w:val="26"/>
        <w:spacing w:line="300" w:lineRule="auto"/>
        <w:rPr>
          <w:rFonts w:hAnsi="宋体"/>
          <w:kern w:val="0"/>
          <w:sz w:val="21"/>
          <w:szCs w:val="21"/>
        </w:rPr>
      </w:pPr>
      <w:r>
        <w:rPr>
          <w:rFonts w:hint="eastAsia" w:hAnsi="宋体"/>
          <w:sz w:val="21"/>
          <w:szCs w:val="21"/>
        </w:rPr>
        <w:t xml:space="preserve">--仪器稳定性：用1.0 </w:t>
      </w:r>
      <w:r>
        <w:rPr>
          <w:rFonts w:ascii="Times New Roman"/>
          <w:sz w:val="21"/>
        </w:rPr>
        <w:sym w:font="Symbol" w:char="006D"/>
      </w:r>
      <w:r>
        <w:rPr>
          <w:rFonts w:ascii="Times New Roman"/>
          <w:sz w:val="21"/>
        </w:rPr>
        <w:t>g</w:t>
      </w:r>
      <w:r>
        <w:rPr>
          <w:rFonts w:hint="eastAsia" w:ascii="Times New Roman"/>
          <w:sz w:val="21"/>
        </w:rPr>
        <w:t>/</w:t>
      </w:r>
      <w:r>
        <w:rPr>
          <w:rFonts w:ascii="Times New Roman"/>
          <w:sz w:val="21"/>
        </w:rPr>
        <w:t>mL</w:t>
      </w:r>
      <w:r>
        <w:rPr>
          <w:rFonts w:hint="eastAsia" w:ascii="Times New Roman"/>
          <w:sz w:val="21"/>
        </w:rPr>
        <w:t>的铜</w:t>
      </w:r>
      <w:r>
        <w:rPr>
          <w:rFonts w:hint="eastAsia" w:hAnsi="宋体"/>
          <w:sz w:val="21"/>
          <w:szCs w:val="21"/>
        </w:rPr>
        <w:t>标准溶液测量</w:t>
      </w:r>
      <w:r>
        <w:rPr>
          <w:rFonts w:hint="eastAsia" w:hAnsi="宋体"/>
          <w:kern w:val="0"/>
          <w:sz w:val="21"/>
          <w:szCs w:val="21"/>
        </w:rPr>
        <w:t>11次，其</w:t>
      </w:r>
      <w:r>
        <w:rPr>
          <w:rFonts w:hint="eastAsia" w:hAnsi="宋体"/>
          <w:color w:val="auto"/>
          <w:kern w:val="0"/>
          <w:sz w:val="21"/>
          <w:szCs w:val="21"/>
        </w:rPr>
        <w:t>光强</w:t>
      </w:r>
      <w:r>
        <w:rPr>
          <w:rFonts w:hint="eastAsia" w:hAnsi="宋体"/>
          <w:kern w:val="0"/>
          <w:sz w:val="21"/>
          <w:szCs w:val="21"/>
        </w:rPr>
        <w:t>度的相对标准偏差不超过2.5 %。</w:t>
      </w:r>
    </w:p>
    <w:p>
      <w:pPr>
        <w:pStyle w:val="26"/>
        <w:spacing w:line="300" w:lineRule="auto"/>
        <w:rPr>
          <w:rFonts w:ascii="黑体" w:hAnsi="黑体" w:eastAsia="黑体"/>
          <w:kern w:val="0"/>
          <w:szCs w:val="21"/>
        </w:rPr>
      </w:pPr>
      <w:r>
        <w:rPr>
          <w:rFonts w:hint="eastAsia" w:hAnsi="宋体"/>
          <w:kern w:val="0"/>
          <w:sz w:val="21"/>
          <w:szCs w:val="21"/>
        </w:rPr>
        <w:t>--各元素分析线的选择见表2。</w:t>
      </w:r>
    </w:p>
    <w:p>
      <w:pPr>
        <w:jc w:val="center"/>
        <w:rPr>
          <w:rFonts w:ascii="黑体" w:hAnsi="黑体" w:eastAsia="黑体"/>
          <w:kern w:val="0"/>
          <w:szCs w:val="21"/>
        </w:rPr>
      </w:pPr>
      <w:r>
        <w:rPr>
          <w:rFonts w:hint="eastAsia" w:ascii="黑体" w:hAnsi="黑体" w:eastAsia="黑体"/>
          <w:kern w:val="0"/>
          <w:szCs w:val="21"/>
        </w:rPr>
        <w:t>表2 推荐分析谱线</w:t>
      </w:r>
    </w:p>
    <w:tbl>
      <w:tblPr>
        <w:tblStyle w:val="32"/>
        <w:tblW w:w="9773" w:type="dxa"/>
        <w:jc w:val="center"/>
        <w:tblInd w:w="-2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954"/>
        <w:gridCol w:w="1954"/>
        <w:gridCol w:w="1954"/>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元素</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Cs w:val="20"/>
              </w:rPr>
              <w:t>As</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Cs w:val="20"/>
              </w:rPr>
              <w:t>Pb</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Cs w:val="20"/>
              </w:rPr>
              <w:t>Zn</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Cs w:val="20"/>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波长</w:t>
            </w:r>
            <w:r>
              <w:rPr>
                <w:rFonts w:hint="eastAsia" w:ascii="宋体" w:hAnsi="宋体" w:cs="宋体"/>
                <w:sz w:val="18"/>
                <w:szCs w:val="18"/>
              </w:rPr>
              <w:t>λ</w:t>
            </w:r>
            <w:r>
              <w:rPr>
                <w:rFonts w:hint="eastAsia" w:ascii="宋体" w:hAnsi="宋体"/>
                <w:sz w:val="18"/>
                <w:szCs w:val="18"/>
              </w:rPr>
              <w:t>/</w:t>
            </w:r>
            <w:r>
              <w:rPr>
                <w:rFonts w:hint="eastAsia"/>
                <w:szCs w:val="20"/>
              </w:rPr>
              <w:t>nm</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189.0  193.7</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220.3  283.3</w:t>
            </w:r>
          </w:p>
        </w:tc>
        <w:tc>
          <w:tcPr>
            <w:tcW w:w="1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206.2  334.5</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228.6  237.8</w:t>
            </w:r>
          </w:p>
        </w:tc>
      </w:tr>
    </w:tbl>
    <w:p>
      <w:pPr>
        <w:spacing w:line="360" w:lineRule="auto"/>
        <w:rPr>
          <w:rFonts w:ascii="黑体" w:eastAsia="黑体"/>
        </w:rPr>
      </w:pPr>
      <w:r>
        <w:rPr>
          <w:rFonts w:hint="eastAsia" w:ascii="黑体" w:eastAsia="黑体"/>
        </w:rPr>
        <w:t>6 分析步骤</w:t>
      </w:r>
    </w:p>
    <w:p>
      <w:pPr>
        <w:rPr>
          <w:rFonts w:ascii="宋体" w:hAnsi="宋体"/>
          <w:szCs w:val="21"/>
        </w:rPr>
      </w:pPr>
      <w:r>
        <w:rPr>
          <w:rFonts w:hint="eastAsia"/>
          <w:szCs w:val="21"/>
        </w:rPr>
        <w:t xml:space="preserve">6.1 </w:t>
      </w:r>
      <w:r>
        <w:rPr>
          <w:rFonts w:hint="eastAsia" w:ascii="宋体" w:hAnsi="宋体"/>
          <w:szCs w:val="21"/>
        </w:rPr>
        <w:t>试料</w:t>
      </w:r>
    </w:p>
    <w:p>
      <w:pPr>
        <w:rPr>
          <w:rFonts w:ascii="宋体" w:hAnsi="宋体"/>
          <w:szCs w:val="21"/>
        </w:rPr>
      </w:pPr>
      <w:r>
        <w:rPr>
          <w:rFonts w:hint="eastAsia" w:ascii="宋体" w:hAnsi="宋体"/>
          <w:szCs w:val="21"/>
        </w:rPr>
        <w:t xml:space="preserve">   称取</w:t>
      </w:r>
      <w:r>
        <w:rPr>
          <w:szCs w:val="21"/>
        </w:rPr>
        <w:t>2</w:t>
      </w:r>
      <w:r>
        <w:rPr>
          <w:rFonts w:hint="eastAsia"/>
          <w:szCs w:val="21"/>
        </w:rPr>
        <w:t xml:space="preserve">.0 </w:t>
      </w:r>
      <w:r>
        <w:rPr>
          <w:szCs w:val="21"/>
        </w:rPr>
        <w:t>g</w:t>
      </w:r>
      <w:r>
        <w:rPr>
          <w:rFonts w:hint="eastAsia" w:ascii="宋体" w:hAnsi="宋体"/>
          <w:szCs w:val="21"/>
        </w:rPr>
        <w:t>试样，精确至</w:t>
      </w:r>
      <w:r>
        <w:rPr>
          <w:szCs w:val="21"/>
        </w:rPr>
        <w:t>0.000</w:t>
      </w:r>
      <w:r>
        <w:rPr>
          <w:rFonts w:hint="eastAsia"/>
          <w:szCs w:val="21"/>
        </w:rPr>
        <w:t xml:space="preserve"> </w:t>
      </w:r>
      <w:r>
        <w:rPr>
          <w:szCs w:val="21"/>
        </w:rPr>
        <w:t>1</w:t>
      </w:r>
      <w:r>
        <w:rPr>
          <w:rFonts w:hint="eastAsia"/>
          <w:szCs w:val="21"/>
        </w:rPr>
        <w:t xml:space="preserve"> </w:t>
      </w:r>
      <w:r>
        <w:rPr>
          <w:szCs w:val="21"/>
        </w:rPr>
        <w:t>g</w:t>
      </w:r>
      <w:r>
        <w:rPr>
          <w:rFonts w:hint="eastAsia" w:ascii="宋体" w:hAnsi="宋体"/>
          <w:szCs w:val="21"/>
        </w:rPr>
        <w:t>。</w:t>
      </w:r>
    </w:p>
    <w:p>
      <w:pPr>
        <w:rPr>
          <w:rFonts w:ascii="宋体" w:hAnsi="宋体"/>
          <w:szCs w:val="21"/>
        </w:rPr>
      </w:pPr>
      <w:r>
        <w:rPr>
          <w:rFonts w:hint="eastAsia"/>
          <w:szCs w:val="21"/>
        </w:rPr>
        <w:t xml:space="preserve">6.2 </w:t>
      </w:r>
      <w:r>
        <w:rPr>
          <w:rFonts w:hint="eastAsia" w:ascii="宋体" w:hAnsi="宋体"/>
          <w:szCs w:val="21"/>
        </w:rPr>
        <w:t>平行试验</w:t>
      </w:r>
    </w:p>
    <w:p>
      <w:pPr>
        <w:ind w:firstLine="315" w:firstLineChars="150"/>
        <w:rPr>
          <w:szCs w:val="21"/>
        </w:rPr>
      </w:pPr>
      <w:r>
        <w:rPr>
          <w:rFonts w:hint="eastAsia"/>
          <w:szCs w:val="21"/>
        </w:rPr>
        <w:t>平行做两份试验。</w:t>
      </w:r>
    </w:p>
    <w:p>
      <w:pPr>
        <w:rPr>
          <w:szCs w:val="21"/>
        </w:rPr>
      </w:pPr>
      <w:r>
        <w:rPr>
          <w:rFonts w:hint="eastAsia"/>
          <w:szCs w:val="21"/>
        </w:rPr>
        <w:t>6.3 空白试验</w:t>
      </w:r>
    </w:p>
    <w:p>
      <w:pPr>
        <w:rPr>
          <w:szCs w:val="21"/>
        </w:rPr>
      </w:pPr>
      <w:r>
        <w:rPr>
          <w:rFonts w:hint="eastAsia"/>
          <w:szCs w:val="21"/>
        </w:rPr>
        <w:t xml:space="preserve">   随同试料做空白试验。</w:t>
      </w:r>
    </w:p>
    <w:p>
      <w:pPr>
        <w:rPr>
          <w:szCs w:val="21"/>
        </w:rPr>
      </w:pPr>
      <w:r>
        <w:rPr>
          <w:rFonts w:hint="eastAsia"/>
          <w:szCs w:val="21"/>
        </w:rPr>
        <w:t>6.4 测定</w:t>
      </w:r>
    </w:p>
    <w:p>
      <w:pPr>
        <w:tabs>
          <w:tab w:val="left" w:pos="6300"/>
        </w:tabs>
        <w:snapToGrid w:val="0"/>
        <w:rPr>
          <w:rFonts w:cs="宋体"/>
          <w:kern w:val="0"/>
          <w:szCs w:val="21"/>
        </w:rPr>
      </w:pPr>
      <w:r>
        <w:rPr>
          <w:rFonts w:hint="eastAsia"/>
          <w:szCs w:val="21"/>
        </w:rPr>
        <w:t>6.4.1 用已称量的恒重的带磨口盖的称量瓶（25 mm×40 mm</w:t>
      </w:r>
      <w:r>
        <w:rPr>
          <w:rFonts w:hint="eastAsia" w:ascii="宋体" w:hAnsi="宋体"/>
          <w:szCs w:val="21"/>
        </w:rPr>
        <w:t>）</w:t>
      </w:r>
      <w:r>
        <w:rPr>
          <w:rFonts w:hint="eastAsia"/>
          <w:szCs w:val="21"/>
        </w:rPr>
        <w:t>快速称取试样（6.1），将称量瓶中的试样移入</w:t>
      </w:r>
      <w:r>
        <w:rPr>
          <w:rFonts w:hint="eastAsia" w:hAnsi="宋体" w:cs="宋体"/>
          <w:kern w:val="0"/>
          <w:szCs w:val="21"/>
        </w:rPr>
        <w:t>2</w:t>
      </w:r>
      <w:r>
        <w:rPr>
          <w:rFonts w:hint="eastAsia" w:cs="宋体"/>
          <w:kern w:val="0"/>
          <w:szCs w:val="21"/>
        </w:rPr>
        <w:t xml:space="preserve">50 </w:t>
      </w:r>
      <w:r>
        <w:rPr>
          <w:rFonts w:hint="eastAsia"/>
          <w:szCs w:val="20"/>
        </w:rPr>
        <w:t>mL</w:t>
      </w:r>
      <w:r>
        <w:rPr>
          <w:rFonts w:hint="eastAsia" w:hAnsi="宋体" w:cs="宋体"/>
          <w:kern w:val="0"/>
          <w:szCs w:val="21"/>
        </w:rPr>
        <w:t>聚四氟乙烯烧杯中，加入</w:t>
      </w:r>
      <w:r>
        <w:rPr>
          <w:rFonts w:hint="eastAsia" w:cs="宋体"/>
          <w:kern w:val="0"/>
          <w:szCs w:val="21"/>
        </w:rPr>
        <w:t xml:space="preserve">15 </w:t>
      </w:r>
      <w:r>
        <w:rPr>
          <w:rFonts w:hint="eastAsia"/>
          <w:szCs w:val="20"/>
        </w:rPr>
        <w:t>mL</w:t>
      </w:r>
      <w:r>
        <w:rPr>
          <w:rFonts w:hint="eastAsia" w:hAnsi="宋体" w:cs="宋体"/>
          <w:kern w:val="0"/>
          <w:szCs w:val="21"/>
        </w:rPr>
        <w:t>硝酸（</w:t>
      </w:r>
      <w:r>
        <w:rPr>
          <w:rFonts w:hint="eastAsia"/>
          <w:szCs w:val="21"/>
        </w:rPr>
        <w:t>4</w:t>
      </w:r>
      <w:r>
        <w:rPr>
          <w:szCs w:val="21"/>
        </w:rPr>
        <w:t>.</w:t>
      </w:r>
      <w:r>
        <w:rPr>
          <w:rFonts w:hint="eastAsia"/>
          <w:szCs w:val="21"/>
        </w:rPr>
        <w:t>2</w:t>
      </w:r>
      <w:r>
        <w:rPr>
          <w:rFonts w:hint="eastAsia" w:hAnsi="宋体"/>
          <w:szCs w:val="21"/>
        </w:rPr>
        <w:t>）</w:t>
      </w:r>
      <w:r>
        <w:rPr>
          <w:rFonts w:hint="eastAsia" w:hAnsi="宋体" w:cs="宋体"/>
          <w:kern w:val="0"/>
          <w:szCs w:val="21"/>
        </w:rPr>
        <w:t>，低温加热溶解</w:t>
      </w:r>
      <w:r>
        <w:rPr>
          <w:rFonts w:hint="eastAsia" w:cs="宋体"/>
          <w:kern w:val="0"/>
          <w:szCs w:val="21"/>
        </w:rPr>
        <w:t xml:space="preserve">10 </w:t>
      </w:r>
      <w:r>
        <w:rPr>
          <w:rFonts w:hint="eastAsia"/>
          <w:szCs w:val="20"/>
        </w:rPr>
        <w:t>min</w:t>
      </w:r>
      <w:r>
        <w:rPr>
          <w:rFonts w:hint="eastAsia" w:hAnsi="宋体" w:cs="宋体"/>
          <w:kern w:val="0"/>
          <w:szCs w:val="21"/>
        </w:rPr>
        <w:t>，加</w:t>
      </w:r>
      <w:r>
        <w:rPr>
          <w:rFonts w:hint="eastAsia" w:cs="宋体"/>
          <w:kern w:val="0"/>
          <w:szCs w:val="21"/>
        </w:rPr>
        <w:t xml:space="preserve">5 </w:t>
      </w:r>
      <w:r>
        <w:rPr>
          <w:rFonts w:hint="eastAsia"/>
          <w:szCs w:val="20"/>
        </w:rPr>
        <w:t>mL</w:t>
      </w:r>
      <w:r>
        <w:rPr>
          <w:rFonts w:hint="eastAsia" w:hAnsi="宋体" w:cs="宋体"/>
          <w:kern w:val="0"/>
          <w:szCs w:val="21"/>
        </w:rPr>
        <w:t>盐酸（</w:t>
      </w:r>
      <w:r>
        <w:rPr>
          <w:rFonts w:hint="eastAsia"/>
          <w:szCs w:val="21"/>
        </w:rPr>
        <w:t>4</w:t>
      </w:r>
      <w:r>
        <w:rPr>
          <w:szCs w:val="21"/>
        </w:rPr>
        <w:t>.</w:t>
      </w:r>
      <w:r>
        <w:rPr>
          <w:rFonts w:hint="eastAsia"/>
          <w:szCs w:val="21"/>
        </w:rPr>
        <w:t>1</w:t>
      </w:r>
      <w:r>
        <w:rPr>
          <w:rFonts w:hint="eastAsia" w:hAnsi="宋体"/>
          <w:szCs w:val="21"/>
        </w:rPr>
        <w:t>）</w:t>
      </w:r>
      <w:r>
        <w:rPr>
          <w:rFonts w:hint="eastAsia" w:hAnsi="宋体" w:cs="宋体"/>
          <w:kern w:val="0"/>
          <w:szCs w:val="21"/>
        </w:rPr>
        <w:t>，</w:t>
      </w:r>
      <w:r>
        <w:rPr>
          <w:rFonts w:hint="eastAsia" w:cs="宋体"/>
          <w:kern w:val="0"/>
          <w:szCs w:val="21"/>
        </w:rPr>
        <w:t xml:space="preserve">2 </w:t>
      </w:r>
      <w:r>
        <w:rPr>
          <w:rFonts w:hint="eastAsia"/>
          <w:szCs w:val="20"/>
        </w:rPr>
        <w:t>mL</w:t>
      </w:r>
      <w:r>
        <w:rPr>
          <w:rFonts w:hint="eastAsia" w:hAnsi="宋体" w:cs="宋体"/>
          <w:kern w:val="0"/>
          <w:szCs w:val="21"/>
        </w:rPr>
        <w:t>氢氟酸（</w:t>
      </w:r>
      <w:r>
        <w:rPr>
          <w:rFonts w:hint="eastAsia"/>
          <w:szCs w:val="21"/>
        </w:rPr>
        <w:t>4.3</w:t>
      </w:r>
      <w:r>
        <w:rPr>
          <w:rFonts w:hint="eastAsia" w:hAnsi="宋体"/>
          <w:szCs w:val="21"/>
        </w:rPr>
        <w:t>）</w:t>
      </w:r>
      <w:r>
        <w:rPr>
          <w:rFonts w:hint="eastAsia" w:hAnsi="宋体" w:cs="宋体"/>
          <w:kern w:val="0"/>
          <w:szCs w:val="21"/>
        </w:rPr>
        <w:t>，</w:t>
      </w:r>
      <w:r>
        <w:rPr>
          <w:rFonts w:hint="eastAsia" w:cs="宋体"/>
          <w:kern w:val="0"/>
          <w:szCs w:val="21"/>
        </w:rPr>
        <w:t xml:space="preserve">1 </w:t>
      </w:r>
      <w:r>
        <w:rPr>
          <w:rFonts w:hint="eastAsia"/>
          <w:szCs w:val="20"/>
        </w:rPr>
        <w:t>mL</w:t>
      </w:r>
      <w:r>
        <w:rPr>
          <w:rFonts w:hint="eastAsia" w:hAnsi="宋体" w:cs="宋体"/>
          <w:kern w:val="0"/>
          <w:szCs w:val="21"/>
        </w:rPr>
        <w:t>高氯酸（</w:t>
      </w:r>
      <w:r>
        <w:rPr>
          <w:rFonts w:hint="eastAsia"/>
          <w:szCs w:val="21"/>
        </w:rPr>
        <w:t>4.4</w:t>
      </w:r>
      <w:r>
        <w:rPr>
          <w:rFonts w:hint="eastAsia" w:hAnsi="宋体"/>
          <w:szCs w:val="21"/>
        </w:rPr>
        <w:t>）</w:t>
      </w:r>
      <w:r>
        <w:rPr>
          <w:rFonts w:hint="eastAsia" w:hAnsi="宋体" w:cs="宋体"/>
          <w:kern w:val="0"/>
          <w:szCs w:val="21"/>
        </w:rPr>
        <w:t>，低温加热冒白烟至湿盐状，取下烧杯稍冷，加</w:t>
      </w:r>
      <w:r>
        <w:rPr>
          <w:rFonts w:hint="eastAsia" w:cs="宋体"/>
          <w:kern w:val="0"/>
          <w:szCs w:val="21"/>
        </w:rPr>
        <w:t xml:space="preserve">10 </w:t>
      </w:r>
      <w:r>
        <w:rPr>
          <w:rFonts w:hint="eastAsia"/>
          <w:szCs w:val="20"/>
        </w:rPr>
        <w:t>mL</w:t>
      </w:r>
      <w:r>
        <w:rPr>
          <w:rFonts w:hint="eastAsia" w:hAnsi="宋体" w:cs="宋体"/>
          <w:kern w:val="0"/>
          <w:szCs w:val="21"/>
        </w:rPr>
        <w:t>硝酸</w:t>
      </w:r>
      <w:r>
        <w:rPr>
          <w:rFonts w:hint="eastAsia" w:cs="宋体"/>
          <w:kern w:val="0"/>
          <w:szCs w:val="21"/>
        </w:rPr>
        <w:t>(4.5)</w:t>
      </w:r>
      <w:r>
        <w:rPr>
          <w:rFonts w:hint="eastAsia" w:hAnsi="宋体" w:cs="宋体"/>
          <w:kern w:val="0"/>
          <w:szCs w:val="21"/>
        </w:rPr>
        <w:t>，用</w:t>
      </w:r>
      <w:bookmarkStart w:id="3" w:name="_GoBack"/>
      <w:bookmarkEnd w:id="3"/>
      <w:r>
        <w:rPr>
          <w:rFonts w:hint="eastAsia" w:hAnsi="宋体" w:cs="宋体"/>
          <w:kern w:val="0"/>
          <w:szCs w:val="21"/>
        </w:rPr>
        <w:t>水冲洗杯壁，加热溶解可溶性盐类。取下烧杯，冷却，移入</w:t>
      </w:r>
      <w:r>
        <w:rPr>
          <w:rFonts w:hint="eastAsia" w:cs="宋体"/>
          <w:kern w:val="0"/>
          <w:szCs w:val="21"/>
        </w:rPr>
        <w:t xml:space="preserve">100 </w:t>
      </w:r>
      <w:r>
        <w:rPr>
          <w:rFonts w:hint="eastAsia"/>
          <w:szCs w:val="20"/>
        </w:rPr>
        <w:t>mL</w:t>
      </w:r>
      <w:r>
        <w:rPr>
          <w:rFonts w:hint="eastAsia" w:hAnsi="宋体" w:cs="宋体"/>
          <w:kern w:val="0"/>
          <w:szCs w:val="21"/>
        </w:rPr>
        <w:t>容量瓶中，用水稀释至刻度，混匀。澄清或干过滤。</w:t>
      </w:r>
    </w:p>
    <w:p>
      <w:pPr>
        <w:tabs>
          <w:tab w:val="left" w:pos="6300"/>
        </w:tabs>
        <w:snapToGrid w:val="0"/>
        <w:rPr>
          <w:szCs w:val="21"/>
        </w:rPr>
      </w:pPr>
      <w:r>
        <w:rPr>
          <w:rFonts w:hint="eastAsia"/>
          <w:szCs w:val="21"/>
        </w:rPr>
        <w:t>6.4.2 于电感耦合等离子体发射光谱仪上，在仪器运行稳定后，在选定的仪器工作条件下，用配制好的系列标准溶液进行标准化或校准标准工作曲线，各元素工作曲线相关系数应在0.999以上，否则需重新进行标准化或重新配制系列标准溶液进行标准化。</w:t>
      </w:r>
    </w:p>
    <w:p>
      <w:pPr>
        <w:tabs>
          <w:tab w:val="left" w:pos="6300"/>
        </w:tabs>
        <w:snapToGrid w:val="0"/>
        <w:rPr>
          <w:szCs w:val="20"/>
        </w:rPr>
      </w:pPr>
      <w:r>
        <w:rPr>
          <w:rFonts w:hint="eastAsia"/>
          <w:szCs w:val="21"/>
        </w:rPr>
        <w:t xml:space="preserve">6.4.3 测试分析试样（6.4.1）及空白试液。仪器根据标准工作曲线，自动进行数据处理，计算并输出各元素含量。若待测元素的测定结果超出工作曲线线性范围，则根据计算结果，按表3分取试液（6.4.1）于100 </w:t>
      </w:r>
      <w:r>
        <w:rPr>
          <w:rFonts w:hint="eastAsia"/>
          <w:szCs w:val="20"/>
        </w:rPr>
        <w:t>mL</w:t>
      </w:r>
      <w:r>
        <w:rPr>
          <w:rFonts w:hint="eastAsia" w:hAnsi="宋体" w:cs="宋体"/>
          <w:kern w:val="0"/>
          <w:szCs w:val="21"/>
        </w:rPr>
        <w:t>容量瓶中，并补加</w:t>
      </w:r>
      <w:r>
        <w:rPr>
          <w:rFonts w:hint="eastAsia"/>
          <w:szCs w:val="20"/>
        </w:rPr>
        <w:t>硝酸（4.5），以水稀释至刻度，混匀，再于电感耦合等离子体发射光谱仪上进行测定。</w:t>
      </w:r>
    </w:p>
    <w:p>
      <w:pPr>
        <w:jc w:val="center"/>
        <w:rPr>
          <w:rFonts w:ascii="黑体" w:hAnsi="黑体" w:eastAsia="黑体"/>
          <w:kern w:val="0"/>
          <w:szCs w:val="21"/>
        </w:rPr>
      </w:pPr>
      <w:r>
        <w:rPr>
          <w:rFonts w:hint="eastAsia" w:ascii="黑体" w:hAnsi="黑体" w:eastAsia="黑体"/>
          <w:kern w:val="0"/>
          <w:szCs w:val="21"/>
        </w:rPr>
        <w:t>表3 分取体积表</w:t>
      </w:r>
    </w:p>
    <w:tbl>
      <w:tblPr>
        <w:tblStyle w:val="33"/>
        <w:tblW w:w="9996"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3432"/>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9" w:type="dxa"/>
          </w:tcPr>
          <w:p>
            <w:pPr>
              <w:snapToGrid w:val="0"/>
              <w:jc w:val="center"/>
            </w:pPr>
            <w:r>
              <w:rPr>
                <w:rFonts w:hint="eastAsia"/>
              </w:rPr>
              <w:t>待测元素质量分数/%</w:t>
            </w:r>
          </w:p>
        </w:tc>
        <w:tc>
          <w:tcPr>
            <w:tcW w:w="3432" w:type="dxa"/>
          </w:tcPr>
          <w:p>
            <w:pPr>
              <w:snapToGrid w:val="0"/>
              <w:jc w:val="center"/>
            </w:pPr>
            <w:r>
              <w:rPr>
                <w:rFonts w:hint="eastAsia"/>
              </w:rPr>
              <w:t>分取体积/</w:t>
            </w:r>
            <w:r>
              <w:rPr>
                <w:rFonts w:hint="eastAsia"/>
                <w:szCs w:val="20"/>
              </w:rPr>
              <w:t>mL</w:t>
            </w:r>
          </w:p>
        </w:tc>
        <w:tc>
          <w:tcPr>
            <w:tcW w:w="3305" w:type="dxa"/>
          </w:tcPr>
          <w:p>
            <w:pPr>
              <w:snapToGrid w:val="0"/>
              <w:jc w:val="center"/>
            </w:pPr>
            <w:r>
              <w:rPr>
                <w:rFonts w:hint="eastAsia"/>
              </w:rPr>
              <w:t>补加硝酸（4.5）体积/</w:t>
            </w:r>
            <w:r>
              <w:rPr>
                <w:rFonts w:hint="eastAsia"/>
                <w:szCs w:val="20"/>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9" w:type="dxa"/>
          </w:tcPr>
          <w:p>
            <w:pPr>
              <w:snapToGrid w:val="0"/>
              <w:jc w:val="center"/>
            </w:pPr>
            <w:r>
              <w:rPr>
                <w:rFonts w:hint="eastAsia"/>
              </w:rPr>
              <w:t>0.001～0.10</w:t>
            </w:r>
          </w:p>
        </w:tc>
        <w:tc>
          <w:tcPr>
            <w:tcW w:w="3432" w:type="dxa"/>
          </w:tcPr>
          <w:p>
            <w:pPr>
              <w:snapToGrid w:val="0"/>
              <w:jc w:val="center"/>
            </w:pPr>
            <w:r>
              <w:rPr>
                <w:rFonts w:hint="eastAsia"/>
              </w:rPr>
              <w:t>--</w:t>
            </w:r>
          </w:p>
        </w:tc>
        <w:tc>
          <w:tcPr>
            <w:tcW w:w="3305" w:type="dxa"/>
          </w:tcPr>
          <w:p>
            <w:pPr>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9" w:type="dxa"/>
          </w:tcPr>
          <w:p>
            <w:pPr>
              <w:snapToGrid w:val="0"/>
              <w:jc w:val="center"/>
            </w:pPr>
            <w:r>
              <w:rPr>
                <w:rFonts w:hint="eastAsia"/>
              </w:rPr>
              <w:t>0.10～0.50</w:t>
            </w:r>
          </w:p>
        </w:tc>
        <w:tc>
          <w:tcPr>
            <w:tcW w:w="3432" w:type="dxa"/>
          </w:tcPr>
          <w:p>
            <w:pPr>
              <w:snapToGrid w:val="0"/>
              <w:jc w:val="center"/>
            </w:pPr>
            <w:r>
              <w:rPr>
                <w:rFonts w:hint="eastAsia"/>
              </w:rPr>
              <w:t>10.00</w:t>
            </w:r>
          </w:p>
        </w:tc>
        <w:tc>
          <w:tcPr>
            <w:tcW w:w="3305" w:type="dxa"/>
          </w:tcPr>
          <w:p>
            <w:pPr>
              <w:snapToGrid w:val="0"/>
              <w:jc w:val="center"/>
            </w:pPr>
            <w:r>
              <w:rPr>
                <w:rFonts w:hint="eastAsi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59" w:type="dxa"/>
          </w:tcPr>
          <w:p>
            <w:pPr>
              <w:snapToGrid w:val="0"/>
              <w:jc w:val="center"/>
            </w:pPr>
            <w:r>
              <w:rPr>
                <w:rFonts w:hint="eastAsia"/>
              </w:rPr>
              <w:t>0.50～2.00</w:t>
            </w:r>
          </w:p>
        </w:tc>
        <w:tc>
          <w:tcPr>
            <w:tcW w:w="3432" w:type="dxa"/>
          </w:tcPr>
          <w:p>
            <w:pPr>
              <w:snapToGrid w:val="0"/>
              <w:jc w:val="center"/>
            </w:pPr>
            <w:r>
              <w:rPr>
                <w:rFonts w:hint="eastAsia"/>
              </w:rPr>
              <w:t>5.00</w:t>
            </w:r>
          </w:p>
        </w:tc>
        <w:tc>
          <w:tcPr>
            <w:tcW w:w="3305" w:type="dxa"/>
          </w:tcPr>
          <w:p>
            <w:pPr>
              <w:snapToGrid w:val="0"/>
              <w:jc w:val="center"/>
            </w:pPr>
            <w:r>
              <w:rPr>
                <w:rFonts w:hint="eastAsia"/>
              </w:rPr>
              <w:t>9.00</w:t>
            </w:r>
          </w:p>
        </w:tc>
      </w:tr>
    </w:tbl>
    <w:p>
      <w:pPr>
        <w:rPr>
          <w:szCs w:val="21"/>
        </w:rPr>
      </w:pPr>
      <w:r>
        <w:rPr>
          <w:rFonts w:hint="eastAsia"/>
          <w:szCs w:val="21"/>
        </w:rPr>
        <w:t>6.5 工作曲线的绘制</w:t>
      </w:r>
    </w:p>
    <w:p>
      <w:pPr>
        <w:rPr>
          <w:szCs w:val="21"/>
        </w:rPr>
      </w:pPr>
      <w:r>
        <w:rPr>
          <w:rFonts w:hint="eastAsia"/>
          <w:szCs w:val="21"/>
        </w:rPr>
        <w:t xml:space="preserve">6.5.1 </w:t>
      </w:r>
      <w:r>
        <w:rPr>
          <w:rFonts w:hint="eastAsia" w:hAnsi="宋体"/>
          <w:szCs w:val="21"/>
        </w:rPr>
        <w:t>移取</w:t>
      </w:r>
      <w:r>
        <w:rPr>
          <w:rFonts w:hint="eastAsia"/>
          <w:szCs w:val="21"/>
        </w:rPr>
        <w:t>砷、铅、锌、钴</w:t>
      </w:r>
      <w:r>
        <w:rPr>
          <w:rFonts w:hint="eastAsia" w:hAnsi="宋体" w:cs="宋体"/>
          <w:bCs/>
          <w:kern w:val="0"/>
          <w:szCs w:val="21"/>
        </w:rPr>
        <w:t>混合</w:t>
      </w:r>
      <w:r>
        <w:rPr>
          <w:rFonts w:hint="eastAsia" w:hAnsi="宋体"/>
          <w:szCs w:val="21"/>
        </w:rPr>
        <w:t>标准溶液（</w:t>
      </w:r>
      <w:r>
        <w:rPr>
          <w:rFonts w:hint="eastAsia"/>
          <w:szCs w:val="21"/>
        </w:rPr>
        <w:t>4.12</w:t>
      </w:r>
      <w:r>
        <w:rPr>
          <w:rFonts w:hint="eastAsia" w:hAnsi="宋体"/>
          <w:szCs w:val="21"/>
        </w:rPr>
        <w:t xml:space="preserve">）0 </w:t>
      </w:r>
      <w:r>
        <w:rPr>
          <w:rFonts w:hint="eastAsia"/>
          <w:szCs w:val="20"/>
        </w:rPr>
        <w:t>mL、0.50 mL、1.00 mL、5.00 mL、10.00 mL、20.00 mL</w:t>
      </w:r>
      <w:r>
        <w:rPr>
          <w:rFonts w:hint="eastAsia" w:hAnsi="宋体"/>
          <w:szCs w:val="21"/>
        </w:rPr>
        <w:t>，置于一组</w:t>
      </w:r>
      <w:r>
        <w:rPr>
          <w:rFonts w:hint="eastAsia"/>
          <w:szCs w:val="21"/>
        </w:rPr>
        <w:t xml:space="preserve">100 </w:t>
      </w:r>
      <w:r>
        <w:rPr>
          <w:rFonts w:hint="eastAsia"/>
          <w:szCs w:val="20"/>
        </w:rPr>
        <w:t>mL</w:t>
      </w:r>
      <w:r>
        <w:rPr>
          <w:rFonts w:hint="eastAsia" w:hAnsi="宋体"/>
          <w:szCs w:val="21"/>
        </w:rPr>
        <w:t>的容量瓶中，加入</w:t>
      </w:r>
      <w:r>
        <w:rPr>
          <w:rFonts w:hint="eastAsia" w:cs="宋体"/>
          <w:kern w:val="0"/>
          <w:szCs w:val="21"/>
        </w:rPr>
        <w:t xml:space="preserve">10 </w:t>
      </w:r>
      <w:r>
        <w:rPr>
          <w:rFonts w:hint="eastAsia"/>
          <w:szCs w:val="20"/>
        </w:rPr>
        <w:t>mL</w:t>
      </w:r>
      <w:r>
        <w:rPr>
          <w:rFonts w:hint="eastAsia" w:hAnsi="宋体"/>
          <w:szCs w:val="21"/>
        </w:rPr>
        <w:t>硝酸（</w:t>
      </w:r>
      <w:r>
        <w:rPr>
          <w:rFonts w:hint="eastAsia"/>
          <w:szCs w:val="21"/>
        </w:rPr>
        <w:t>4.5</w:t>
      </w:r>
      <w:r>
        <w:rPr>
          <w:rFonts w:hint="eastAsia" w:hAnsi="宋体"/>
          <w:szCs w:val="21"/>
        </w:rPr>
        <w:t>），用水稀释至刻度，混匀。</w:t>
      </w:r>
    </w:p>
    <w:p>
      <w:pPr>
        <w:pStyle w:val="102"/>
        <w:rPr>
          <w:szCs w:val="21"/>
        </w:rPr>
      </w:pPr>
      <w:r>
        <w:rPr>
          <w:rFonts w:hint="eastAsia"/>
          <w:szCs w:val="21"/>
        </w:rPr>
        <w:t xml:space="preserve">6.5.2 </w:t>
      </w:r>
      <w:r>
        <w:rPr>
          <w:rFonts w:hint="eastAsia" w:hAnsi="宋体"/>
          <w:szCs w:val="21"/>
        </w:rPr>
        <w:t>在与测量试料溶液相同条件下，采用电感耦合等离子体光谱仪在选定的最佳仪器条件下按选定的各元素的波长，测定</w:t>
      </w:r>
      <w:r>
        <w:rPr>
          <w:rFonts w:hint="eastAsia"/>
          <w:szCs w:val="21"/>
        </w:rPr>
        <w:t>砷、铅、锌、钴</w:t>
      </w:r>
      <w:r>
        <w:rPr>
          <w:rFonts w:hint="eastAsia" w:hAnsi="宋体"/>
          <w:szCs w:val="21"/>
        </w:rPr>
        <w:t>各元素的发射强度，减去标准溶液中</w:t>
      </w:r>
      <w:r>
        <w:rPr>
          <w:rFonts w:hint="eastAsia"/>
          <w:szCs w:val="21"/>
        </w:rPr>
        <w:t>“</w:t>
      </w:r>
      <w:r>
        <w:rPr>
          <w:rFonts w:hint="eastAsia" w:hAnsi="宋体"/>
          <w:szCs w:val="21"/>
        </w:rPr>
        <w:t>零</w:t>
      </w:r>
      <w:r>
        <w:rPr>
          <w:rFonts w:hint="eastAsia"/>
          <w:szCs w:val="21"/>
        </w:rPr>
        <w:t>”</w:t>
      </w:r>
      <w:r>
        <w:rPr>
          <w:rFonts w:hint="eastAsia" w:hAnsi="宋体"/>
          <w:szCs w:val="21"/>
        </w:rPr>
        <w:t>浓度溶液的强度，以</w:t>
      </w:r>
      <w:r>
        <w:rPr>
          <w:rFonts w:hint="eastAsia"/>
          <w:szCs w:val="21"/>
        </w:rPr>
        <w:t>砷、铅、锌、钴</w:t>
      </w:r>
      <w:r>
        <w:rPr>
          <w:rFonts w:hint="eastAsia" w:hAnsi="宋体"/>
          <w:szCs w:val="21"/>
        </w:rPr>
        <w:t>各元素的浓度为横坐标，发射强度为纵坐标，绘制工作曲线。</w:t>
      </w:r>
    </w:p>
    <w:p>
      <w:pPr>
        <w:spacing w:line="360" w:lineRule="auto"/>
        <w:rPr>
          <w:rFonts w:ascii="黑体" w:eastAsia="黑体"/>
          <w:szCs w:val="21"/>
        </w:rPr>
      </w:pPr>
      <w:r>
        <w:rPr>
          <w:rFonts w:hint="eastAsia" w:ascii="黑体" w:eastAsia="黑体"/>
          <w:szCs w:val="21"/>
        </w:rPr>
        <w:t>7 分析结果的表述</w:t>
      </w:r>
    </w:p>
    <w:p>
      <w:pPr>
        <w:snapToGrid w:val="0"/>
        <w:spacing w:line="300" w:lineRule="auto"/>
        <w:ind w:firstLine="411" w:firstLineChars="196"/>
        <w:jc w:val="left"/>
        <w:rPr>
          <w:szCs w:val="21"/>
        </w:rPr>
      </w:pPr>
      <w:r>
        <w:rPr>
          <w:rFonts w:hint="eastAsia"/>
          <w:szCs w:val="21"/>
        </w:rPr>
        <w:t>待测元素含量以待测元素</w:t>
      </w:r>
      <w:r>
        <w:rPr>
          <w:rFonts w:hAnsi="宋体"/>
          <w:szCs w:val="21"/>
        </w:rPr>
        <w:t>的质量分数</w:t>
      </w:r>
      <w:r>
        <w:rPr>
          <w:i/>
          <w:szCs w:val="21"/>
        </w:rPr>
        <w:t>w</w:t>
      </w:r>
      <w:r>
        <w:rPr>
          <w:rFonts w:hint="eastAsia"/>
          <w:szCs w:val="21"/>
          <w:vertAlign w:val="subscript"/>
        </w:rPr>
        <w:t>x</w:t>
      </w:r>
      <w:r>
        <w:rPr>
          <w:rFonts w:hint="eastAsia"/>
          <w:szCs w:val="21"/>
        </w:rPr>
        <w:t>计</w:t>
      </w:r>
      <w:r>
        <w:rPr>
          <w:rFonts w:hAnsi="宋体"/>
          <w:szCs w:val="21"/>
        </w:rPr>
        <w:t>，</w:t>
      </w:r>
      <w:r>
        <w:t>按公式（1）计算</w:t>
      </w:r>
      <w:r>
        <w:rPr>
          <w:rFonts w:hAnsi="宋体"/>
          <w:szCs w:val="21"/>
        </w:rPr>
        <w:t>：</w:t>
      </w:r>
    </w:p>
    <w:p>
      <w:pPr>
        <w:jc w:val="center"/>
        <w:rPr>
          <w:szCs w:val="21"/>
        </w:rPr>
      </w:pPr>
      <w:r>
        <w:rPr>
          <w:position w:val="-30"/>
          <w:szCs w:val="21"/>
        </w:rPr>
        <w:object>
          <v:shape id="_x0000_i1025" o:spt="75" type="#_x0000_t75" style="height:36.3pt;width:165.9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t>·······················</w:t>
      </w:r>
      <w:r>
        <w:rPr>
          <w:rFonts w:hint="eastAsia"/>
        </w:rPr>
        <w:t>（1）</w:t>
      </w:r>
    </w:p>
    <w:p>
      <w:pPr>
        <w:adjustRightInd w:val="0"/>
        <w:snapToGrid w:val="0"/>
        <w:spacing w:line="300" w:lineRule="auto"/>
        <w:ind w:firstLine="420" w:firstLineChars="200"/>
        <w:rPr>
          <w:szCs w:val="21"/>
        </w:rPr>
      </w:pPr>
      <w:r>
        <w:rPr>
          <w:rFonts w:hAnsi="宋体"/>
          <w:szCs w:val="21"/>
        </w:rPr>
        <w:t>式中：</w:t>
      </w:r>
    </w:p>
    <w:p>
      <w:pPr>
        <w:adjustRightInd w:val="0"/>
        <w:snapToGrid w:val="0"/>
        <w:spacing w:line="300" w:lineRule="auto"/>
        <w:ind w:firstLine="525" w:firstLineChars="250"/>
        <w:rPr>
          <w:szCs w:val="21"/>
        </w:rPr>
      </w:pPr>
      <w:r>
        <w:rPr>
          <w:i/>
          <w:szCs w:val="21"/>
        </w:rPr>
        <w:t>x</w:t>
      </w:r>
      <w:r>
        <w:rPr>
          <w:szCs w:val="21"/>
        </w:rPr>
        <w:t xml:space="preserve"> ——</w:t>
      </w:r>
      <w:r>
        <w:rPr>
          <w:rFonts w:hint="eastAsia"/>
          <w:szCs w:val="21"/>
        </w:rPr>
        <w:t>待</w:t>
      </w:r>
      <w:r>
        <w:rPr>
          <w:rFonts w:hAnsi="宋体"/>
          <w:szCs w:val="21"/>
        </w:rPr>
        <w:t>测元素（</w:t>
      </w:r>
      <w:r>
        <w:rPr>
          <w:rFonts w:hint="eastAsia"/>
          <w:szCs w:val="21"/>
        </w:rPr>
        <w:t>砷、铅、锌、钴</w:t>
      </w:r>
      <w:r>
        <w:rPr>
          <w:rFonts w:hAnsi="宋体"/>
          <w:szCs w:val="21"/>
        </w:rPr>
        <w:t>）</w:t>
      </w:r>
      <w:r>
        <w:rPr>
          <w:rFonts w:hint="eastAsia" w:hAnsi="宋体"/>
          <w:szCs w:val="21"/>
        </w:rPr>
        <w:t>；</w:t>
      </w:r>
    </w:p>
    <w:p>
      <w:pPr>
        <w:adjustRightInd w:val="0"/>
        <w:snapToGrid w:val="0"/>
        <w:spacing w:line="300" w:lineRule="auto"/>
        <w:ind w:left="1050" w:leftChars="200" w:hanging="630" w:hangingChars="300"/>
        <w:rPr>
          <w:szCs w:val="21"/>
        </w:rPr>
      </w:pPr>
      <w:r>
        <w:rPr>
          <w:position w:val="-10"/>
          <w:szCs w:val="21"/>
        </w:rPr>
        <w:object>
          <v:shape id="_x0000_i1026" o:spt="75" type="#_x0000_t75" style="height:12.5pt;width:12.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szCs w:val="21"/>
        </w:rPr>
        <w:t>——</w:t>
      </w:r>
      <w:r>
        <w:rPr>
          <w:rFonts w:hint="eastAsia"/>
          <w:szCs w:val="21"/>
        </w:rPr>
        <w:t>自工作曲线上查得试液中被测元素的</w:t>
      </w:r>
      <w:r>
        <w:rPr>
          <w:rFonts w:hAnsi="宋体"/>
          <w:szCs w:val="21"/>
        </w:rPr>
        <w:t>质量浓度，单位为微克每毫升</w:t>
      </w:r>
      <w:r>
        <w:rPr>
          <w:szCs w:val="21"/>
        </w:rPr>
        <w:t>(</w:t>
      </w:r>
      <w:r>
        <w:rPr>
          <w:szCs w:val="20"/>
        </w:rPr>
        <w:t>μg/mL</w:t>
      </w:r>
      <w:r>
        <w:rPr>
          <w:szCs w:val="21"/>
        </w:rPr>
        <w:t>)</w:t>
      </w:r>
      <w:r>
        <w:rPr>
          <w:rFonts w:hAnsi="宋体"/>
          <w:szCs w:val="21"/>
        </w:rPr>
        <w:t>；</w:t>
      </w:r>
    </w:p>
    <w:p>
      <w:pPr>
        <w:adjustRightInd w:val="0"/>
        <w:snapToGrid w:val="0"/>
        <w:spacing w:line="300" w:lineRule="auto"/>
        <w:ind w:firstLine="420" w:firstLineChars="200"/>
        <w:rPr>
          <w:szCs w:val="21"/>
        </w:rPr>
      </w:pPr>
      <w:r>
        <w:drawing>
          <wp:inline distT="0" distB="0" distL="114300" distR="114300">
            <wp:extent cx="180975" cy="228600"/>
            <wp:effectExtent l="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6" cstate="print"/>
                    <a:stretch>
                      <a:fillRect/>
                    </a:stretch>
                  </pic:blipFill>
                  <pic:spPr>
                    <a:xfrm>
                      <a:off x="0" y="0"/>
                      <a:ext cx="180975" cy="228600"/>
                    </a:xfrm>
                    <a:prstGeom prst="rect">
                      <a:avLst/>
                    </a:prstGeom>
                    <a:noFill/>
                    <a:ln w="9525">
                      <a:noFill/>
                    </a:ln>
                  </pic:spPr>
                </pic:pic>
              </a:graphicData>
            </a:graphic>
          </wp:inline>
        </w:drawing>
      </w:r>
      <w:r>
        <w:rPr>
          <w:szCs w:val="21"/>
        </w:rPr>
        <w:t>——</w:t>
      </w:r>
      <w:r>
        <w:rPr>
          <w:rFonts w:hint="eastAsia"/>
          <w:szCs w:val="21"/>
        </w:rPr>
        <w:t>自工作曲线上查得</w:t>
      </w:r>
      <w:r>
        <w:rPr>
          <w:rFonts w:hAnsi="宋体"/>
          <w:szCs w:val="21"/>
        </w:rPr>
        <w:t>空白</w:t>
      </w:r>
      <w:r>
        <w:rPr>
          <w:rFonts w:hint="eastAsia" w:hAnsi="宋体"/>
          <w:szCs w:val="21"/>
        </w:rPr>
        <w:t>试液中被测</w:t>
      </w:r>
      <w:r>
        <w:rPr>
          <w:rFonts w:hAnsi="宋体"/>
          <w:szCs w:val="21"/>
        </w:rPr>
        <w:t>元素的</w:t>
      </w:r>
      <w:r>
        <w:rPr>
          <w:rFonts w:hint="eastAsia" w:hAnsi="宋体"/>
          <w:szCs w:val="21"/>
        </w:rPr>
        <w:t>质量</w:t>
      </w:r>
      <w:r>
        <w:rPr>
          <w:rFonts w:hAnsi="宋体"/>
          <w:szCs w:val="21"/>
        </w:rPr>
        <w:t>浓度，单位为微克每毫升</w:t>
      </w:r>
      <w:r>
        <w:rPr>
          <w:szCs w:val="21"/>
        </w:rPr>
        <w:t>(</w:t>
      </w:r>
      <w:r>
        <w:rPr>
          <w:szCs w:val="20"/>
        </w:rPr>
        <w:t>μg/mL</w:t>
      </w:r>
      <w:r>
        <w:rPr>
          <w:szCs w:val="21"/>
        </w:rPr>
        <w:t>)</w:t>
      </w:r>
      <w:r>
        <w:rPr>
          <w:rFonts w:hAnsi="宋体"/>
          <w:szCs w:val="21"/>
        </w:rPr>
        <w:t>；</w:t>
      </w:r>
    </w:p>
    <w:p>
      <w:pPr>
        <w:adjustRightInd w:val="0"/>
        <w:snapToGrid w:val="0"/>
        <w:spacing w:line="300" w:lineRule="auto"/>
        <w:ind w:firstLine="420" w:firstLineChars="200"/>
        <w:rPr>
          <w:rFonts w:hAnsi="宋体"/>
          <w:szCs w:val="21"/>
        </w:rPr>
      </w:pPr>
      <w:r>
        <w:rPr>
          <w:i/>
          <w:szCs w:val="21"/>
        </w:rPr>
        <w:t>V</w:t>
      </w:r>
      <w:r>
        <w:rPr>
          <w:rFonts w:hint="eastAsia"/>
          <w:i/>
          <w:szCs w:val="21"/>
          <w:vertAlign w:val="subscript"/>
        </w:rPr>
        <w:t>1</w:t>
      </w:r>
      <w:r>
        <w:rPr>
          <w:szCs w:val="21"/>
        </w:rPr>
        <w:t>——</w:t>
      </w:r>
      <w:r>
        <w:rPr>
          <w:rFonts w:hAnsi="宋体"/>
          <w:szCs w:val="21"/>
        </w:rPr>
        <w:t>试液</w:t>
      </w:r>
      <w:r>
        <w:rPr>
          <w:rFonts w:hint="eastAsia" w:hAnsi="宋体"/>
          <w:szCs w:val="21"/>
        </w:rPr>
        <w:t>定容</w:t>
      </w:r>
      <w:r>
        <w:rPr>
          <w:rFonts w:hAnsi="宋体"/>
          <w:szCs w:val="21"/>
        </w:rPr>
        <w:t>的体积，单位为毫升</w:t>
      </w:r>
      <w:r>
        <w:rPr>
          <w:szCs w:val="21"/>
        </w:rPr>
        <w:t>(</w:t>
      </w:r>
      <w:r>
        <w:rPr>
          <w:szCs w:val="20"/>
        </w:rPr>
        <w:t>mL</w:t>
      </w:r>
      <w:r>
        <w:rPr>
          <w:szCs w:val="21"/>
        </w:rPr>
        <w:t>)</w:t>
      </w:r>
      <w:r>
        <w:rPr>
          <w:rFonts w:hAnsi="宋体"/>
          <w:szCs w:val="21"/>
        </w:rPr>
        <w:t>；</w:t>
      </w:r>
    </w:p>
    <w:p>
      <w:pPr>
        <w:adjustRightInd w:val="0"/>
        <w:snapToGrid w:val="0"/>
        <w:spacing w:line="300" w:lineRule="auto"/>
        <w:ind w:firstLine="420" w:firstLineChars="200"/>
        <w:rPr>
          <w:rFonts w:hAnsi="宋体"/>
          <w:szCs w:val="21"/>
        </w:rPr>
      </w:pPr>
      <w:r>
        <w:rPr>
          <w:i/>
          <w:szCs w:val="21"/>
        </w:rPr>
        <w:t>V</w:t>
      </w:r>
      <w:r>
        <w:rPr>
          <w:rFonts w:hint="eastAsia"/>
          <w:i/>
          <w:szCs w:val="21"/>
          <w:vertAlign w:val="subscript"/>
        </w:rPr>
        <w:t>2</w:t>
      </w:r>
      <w:r>
        <w:rPr>
          <w:szCs w:val="21"/>
        </w:rPr>
        <w:t>——</w:t>
      </w:r>
      <w:r>
        <w:rPr>
          <w:rFonts w:hint="eastAsia"/>
          <w:szCs w:val="21"/>
        </w:rPr>
        <w:t>分取</w:t>
      </w:r>
      <w:r>
        <w:rPr>
          <w:rFonts w:hAnsi="宋体"/>
          <w:szCs w:val="21"/>
        </w:rPr>
        <w:t>试液</w:t>
      </w:r>
      <w:r>
        <w:rPr>
          <w:rFonts w:hint="eastAsia" w:hAnsi="宋体"/>
          <w:szCs w:val="21"/>
        </w:rPr>
        <w:t>后定容</w:t>
      </w:r>
      <w:r>
        <w:rPr>
          <w:rFonts w:hAnsi="宋体"/>
          <w:szCs w:val="21"/>
        </w:rPr>
        <w:t>的体积，单位为毫升</w:t>
      </w:r>
      <w:r>
        <w:rPr>
          <w:szCs w:val="21"/>
        </w:rPr>
        <w:t>(</w:t>
      </w:r>
      <w:r>
        <w:rPr>
          <w:szCs w:val="20"/>
        </w:rPr>
        <w:t>mL</w:t>
      </w:r>
      <w:r>
        <w:rPr>
          <w:szCs w:val="21"/>
        </w:rPr>
        <w:t>)</w:t>
      </w:r>
      <w:r>
        <w:rPr>
          <w:rFonts w:hAnsi="宋体"/>
          <w:szCs w:val="21"/>
        </w:rPr>
        <w:t>；</w:t>
      </w:r>
    </w:p>
    <w:p>
      <w:pPr>
        <w:adjustRightInd w:val="0"/>
        <w:snapToGrid w:val="0"/>
        <w:spacing w:line="300" w:lineRule="auto"/>
        <w:ind w:firstLine="420" w:firstLineChars="200"/>
        <w:rPr>
          <w:rFonts w:hAnsi="宋体"/>
          <w:szCs w:val="21"/>
        </w:rPr>
      </w:pPr>
      <w:r>
        <w:rPr>
          <w:i/>
          <w:szCs w:val="21"/>
        </w:rPr>
        <w:t>V</w:t>
      </w:r>
      <w:r>
        <w:rPr>
          <w:rFonts w:hint="eastAsia"/>
          <w:i/>
          <w:szCs w:val="21"/>
          <w:vertAlign w:val="subscript"/>
        </w:rPr>
        <w:t>3</w:t>
      </w:r>
      <w:r>
        <w:rPr>
          <w:szCs w:val="21"/>
        </w:rPr>
        <w:t>——</w:t>
      </w:r>
      <w:r>
        <w:rPr>
          <w:rFonts w:hint="eastAsia"/>
          <w:szCs w:val="21"/>
        </w:rPr>
        <w:t>分取</w:t>
      </w:r>
      <w:r>
        <w:rPr>
          <w:rFonts w:hAnsi="宋体"/>
          <w:szCs w:val="21"/>
        </w:rPr>
        <w:t>试液的体积，单位为毫升</w:t>
      </w:r>
      <w:r>
        <w:rPr>
          <w:szCs w:val="21"/>
        </w:rPr>
        <w:t>(</w:t>
      </w:r>
      <w:r>
        <w:rPr>
          <w:szCs w:val="20"/>
        </w:rPr>
        <w:t>mL</w:t>
      </w:r>
      <w:r>
        <w:rPr>
          <w:szCs w:val="21"/>
        </w:rPr>
        <w:t>)</w:t>
      </w:r>
      <w:r>
        <w:rPr>
          <w:rFonts w:hint="eastAsia" w:hAnsi="宋体"/>
          <w:szCs w:val="21"/>
        </w:rPr>
        <w:t>；</w:t>
      </w:r>
    </w:p>
    <w:p>
      <w:pPr>
        <w:adjustRightInd w:val="0"/>
        <w:snapToGrid w:val="0"/>
        <w:spacing w:line="300" w:lineRule="auto"/>
        <w:ind w:firstLine="420" w:firstLineChars="200"/>
        <w:rPr>
          <w:rFonts w:hAnsi="宋体"/>
          <w:szCs w:val="21"/>
        </w:rPr>
      </w:pPr>
      <w:r>
        <w:rPr>
          <w:rFonts w:hint="eastAsia"/>
          <w:i/>
          <w:szCs w:val="20"/>
        </w:rPr>
        <w:t>m</w:t>
      </w:r>
      <w:r>
        <w:rPr>
          <w:i/>
          <w:szCs w:val="21"/>
        </w:rPr>
        <w:t xml:space="preserve"> </w:t>
      </w:r>
      <w:r>
        <w:rPr>
          <w:szCs w:val="21"/>
        </w:rPr>
        <w:t>——</w:t>
      </w:r>
      <w:r>
        <w:rPr>
          <w:rFonts w:hAnsi="宋体"/>
          <w:szCs w:val="21"/>
        </w:rPr>
        <w:t>试料的质量，单位为克（</w:t>
      </w:r>
      <w:r>
        <w:rPr>
          <w:szCs w:val="20"/>
        </w:rPr>
        <w:t>g</w:t>
      </w:r>
      <w:r>
        <w:rPr>
          <w:rFonts w:hAnsi="宋体"/>
          <w:szCs w:val="21"/>
        </w:rPr>
        <w:t>）</w:t>
      </w:r>
      <w:r>
        <w:rPr>
          <w:rFonts w:hint="eastAsia" w:hAnsi="宋体"/>
          <w:szCs w:val="21"/>
        </w:rPr>
        <w:t>。</w:t>
      </w:r>
    </w:p>
    <w:p>
      <w:pPr>
        <w:spacing w:line="300" w:lineRule="auto"/>
        <w:ind w:firstLine="420" w:firstLineChars="200"/>
        <w:rPr>
          <w:color w:val="0000FF"/>
          <w:szCs w:val="21"/>
        </w:rPr>
      </w:pPr>
      <w:r>
        <w:rPr>
          <w:rFonts w:hint="eastAsia" w:hAnsi="宋体"/>
          <w:szCs w:val="21"/>
        </w:rPr>
        <w:t>计算</w:t>
      </w:r>
      <w:r>
        <w:rPr>
          <w:rFonts w:hAnsi="宋体"/>
          <w:szCs w:val="21"/>
        </w:rPr>
        <w:t>结果</w:t>
      </w:r>
      <w:r>
        <w:rPr>
          <w:rFonts w:hint="eastAsia" w:hAnsi="宋体"/>
          <w:szCs w:val="21"/>
        </w:rPr>
        <w:t>表示至小数点后二位，若质量分数小于</w:t>
      </w:r>
      <w:r>
        <w:rPr>
          <w:rFonts w:hint="eastAsia"/>
          <w:szCs w:val="21"/>
        </w:rPr>
        <w:t>0.10 %时</w:t>
      </w:r>
      <w:r>
        <w:rPr>
          <w:rFonts w:hint="eastAsia" w:hAnsi="宋体"/>
          <w:szCs w:val="21"/>
        </w:rPr>
        <w:t>，计算</w:t>
      </w:r>
      <w:r>
        <w:rPr>
          <w:rFonts w:hAnsi="宋体"/>
          <w:szCs w:val="21"/>
        </w:rPr>
        <w:t>结果</w:t>
      </w:r>
      <w:r>
        <w:rPr>
          <w:rFonts w:hint="eastAsia" w:hAnsi="宋体"/>
          <w:szCs w:val="21"/>
        </w:rPr>
        <w:t>保留两位有效数字。</w:t>
      </w:r>
    </w:p>
    <w:p>
      <w:pPr>
        <w:spacing w:line="360" w:lineRule="auto"/>
        <w:rPr>
          <w:rFonts w:ascii="黑体" w:eastAsia="黑体"/>
          <w:lang w:val="pt-BR"/>
        </w:rPr>
      </w:pPr>
      <w:r>
        <w:rPr>
          <w:rFonts w:hint="eastAsia" w:ascii="黑体" w:eastAsia="黑体"/>
        </w:rPr>
        <w:t>8</w:t>
      </w:r>
      <w:r>
        <w:rPr>
          <w:rFonts w:hint="eastAsia" w:ascii="黑体" w:eastAsia="黑体"/>
          <w:lang w:val="pt-BR"/>
        </w:rPr>
        <w:t xml:space="preserve"> 精密度</w:t>
      </w:r>
    </w:p>
    <w:p>
      <w:pPr>
        <w:rPr>
          <w:lang w:val="pt-BR"/>
        </w:rPr>
      </w:pPr>
      <w:r>
        <w:rPr>
          <w:rFonts w:hint="eastAsia"/>
        </w:rPr>
        <w:t>8</w:t>
      </w:r>
      <w:r>
        <w:rPr>
          <w:rFonts w:hint="eastAsia"/>
          <w:lang w:val="pt-BR"/>
        </w:rPr>
        <w:t xml:space="preserve">.1 重复性    </w:t>
      </w:r>
    </w:p>
    <w:p>
      <w:pPr>
        <w:ind w:firstLine="420" w:firstLineChars="200"/>
        <w:rPr>
          <w:sz w:val="24"/>
        </w:rPr>
      </w:pPr>
      <w:r>
        <w:rPr>
          <w:rFonts w:hint="eastAsia" w:hAnsi="宋体"/>
        </w:rPr>
        <w:t>在重复性条件下获得的两次独立测试结果的测定值，在以下给出的平均值范围内，这两个测试结果的绝对差值不超过重复性限（</w:t>
      </w:r>
      <w:r>
        <w:rPr>
          <w:rFonts w:hint="eastAsia"/>
        </w:rPr>
        <w:t>r</w:t>
      </w:r>
      <w:r>
        <w:rPr>
          <w:rFonts w:hint="eastAsia" w:hAnsi="宋体"/>
        </w:rPr>
        <w:t>），超过重复性限（</w:t>
      </w:r>
      <w:r>
        <w:rPr>
          <w:rFonts w:hint="eastAsia"/>
        </w:rPr>
        <w:t>r</w:t>
      </w:r>
      <w:r>
        <w:rPr>
          <w:rFonts w:hint="eastAsia" w:hAnsi="宋体"/>
        </w:rPr>
        <w:t>）的情况不超过</w:t>
      </w:r>
      <w:r>
        <w:rPr>
          <w:rFonts w:hint="eastAsia"/>
        </w:rPr>
        <w:t>5 %</w:t>
      </w:r>
      <w:r>
        <w:rPr>
          <w:rFonts w:hint="eastAsia" w:hAnsi="宋体"/>
        </w:rPr>
        <w:t>，重复性限（</w:t>
      </w:r>
      <w:r>
        <w:rPr>
          <w:rFonts w:hint="eastAsia"/>
        </w:rPr>
        <w:t>r</w:t>
      </w:r>
      <w:r>
        <w:rPr>
          <w:rFonts w:hint="eastAsia" w:hAnsi="宋体"/>
        </w:rPr>
        <w:t>）按表</w:t>
      </w:r>
      <w:r>
        <w:rPr>
          <w:rFonts w:hint="eastAsia"/>
        </w:rPr>
        <w:t>4</w:t>
      </w:r>
      <w:r>
        <w:rPr>
          <w:rFonts w:hint="eastAsia" w:hAnsi="宋体"/>
        </w:rPr>
        <w:t>数据采用线性内插法求得：</w:t>
      </w:r>
    </w:p>
    <w:p>
      <w:pPr>
        <w:jc w:val="center"/>
      </w:pPr>
      <w:r>
        <w:rPr>
          <w:rFonts w:hint="eastAsia" w:ascii="黑体" w:hAnsi="宋体" w:eastAsia="黑体"/>
        </w:rPr>
        <w:t>表4 重复性限</w:t>
      </w:r>
    </w:p>
    <w:tbl>
      <w:tblPr>
        <w:tblStyle w:val="33"/>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Align w:val="center"/>
          </w:tcPr>
          <w:p>
            <w:pPr>
              <w:jc w:val="center"/>
            </w:pPr>
            <w:r>
              <w:rPr>
                <w:rFonts w:hint="eastAsia" w:ascii="宋体" w:hAnsi="宋体"/>
                <w:sz w:val="18"/>
                <w:szCs w:val="18"/>
              </w:rPr>
              <w:t>元素</w:t>
            </w:r>
          </w:p>
        </w:tc>
        <w:tc>
          <w:tcPr>
            <w:tcW w:w="3432" w:type="dxa"/>
            <w:vAlign w:val="center"/>
          </w:tcPr>
          <w:p>
            <w:pPr>
              <w:jc w:val="center"/>
            </w:pPr>
            <w:r>
              <w:rPr>
                <w:rFonts w:hint="eastAsia" w:ascii="宋体" w:hAnsi="宋体"/>
                <w:i/>
                <w:szCs w:val="21"/>
              </w:rPr>
              <w:t>w</w:t>
            </w:r>
            <w:r>
              <w:rPr>
                <w:i/>
                <w:szCs w:val="21"/>
                <w:vertAlign w:val="subscript"/>
              </w:rPr>
              <w:t>x</w:t>
            </w:r>
            <w:r>
              <w:rPr>
                <w:rFonts w:hint="eastAsia" w:ascii="宋体" w:hAnsi="宋体"/>
                <w:szCs w:val="21"/>
                <w:vertAlign w:val="subscript"/>
              </w:rPr>
              <w:t xml:space="preserve"> </w:t>
            </w:r>
            <w:r>
              <w:rPr>
                <w:rFonts w:hint="eastAsia" w:ascii="宋体" w:hAnsi="宋体"/>
                <w:szCs w:val="21"/>
              </w:rPr>
              <w:t>/</w:t>
            </w:r>
            <w:r>
              <w:rPr>
                <w:rFonts w:hint="eastAsia" w:ascii="宋体" w:hAnsi="宋体"/>
                <w:sz w:val="18"/>
                <w:szCs w:val="18"/>
              </w:rPr>
              <w:t xml:space="preserve"> %</w:t>
            </w:r>
          </w:p>
        </w:tc>
        <w:tc>
          <w:tcPr>
            <w:tcW w:w="3432" w:type="dxa"/>
            <w:vAlign w:val="center"/>
          </w:tcPr>
          <w:p>
            <w:pPr>
              <w:jc w:val="center"/>
            </w:pPr>
            <w:r>
              <w:rPr>
                <w:rFonts w:hint="eastAsia" w:ascii="宋体" w:hAnsi="宋体"/>
                <w:sz w:val="18"/>
                <w:szCs w:val="18"/>
              </w:rPr>
              <w:t>重复性限r</w:t>
            </w:r>
            <w:r>
              <w:rPr>
                <w:rFonts w:ascii="宋体" w:hAnsi="宋体"/>
                <w:sz w:val="18"/>
                <w:szCs w:val="18"/>
              </w:rPr>
              <w:t>/</w:t>
            </w:r>
            <w:r>
              <w:rPr>
                <w:rFonts w:hint="eastAsia" w:ascii="宋体" w:hAnsi="宋体"/>
                <w:sz w:val="18"/>
                <w:szCs w:val="18"/>
              </w:rPr>
              <w:t xml:space="preserve"> </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砷</w:t>
            </w:r>
          </w:p>
        </w:tc>
        <w:tc>
          <w:tcPr>
            <w:tcW w:w="3432" w:type="dxa"/>
            <w:vAlign w:val="center"/>
          </w:tcPr>
          <w:p>
            <w:pPr>
              <w:spacing w:line="360" w:lineRule="exact"/>
              <w:jc w:val="center"/>
            </w:pPr>
            <w:r>
              <w:rPr>
                <w:rFonts w:hint="eastAsia"/>
              </w:rPr>
              <w:t>0.001 2</w:t>
            </w:r>
          </w:p>
        </w:tc>
        <w:tc>
          <w:tcPr>
            <w:tcW w:w="3432" w:type="dxa"/>
            <w:vAlign w:val="center"/>
          </w:tcPr>
          <w:p>
            <w:pPr>
              <w:spacing w:line="360" w:lineRule="exact"/>
              <w:jc w:val="center"/>
            </w:pPr>
            <w:r>
              <w:rPr>
                <w:rFonts w:hint="eastAsia"/>
              </w:rPr>
              <w:t>0.000 28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0.026</w:t>
            </w:r>
          </w:p>
        </w:tc>
        <w:tc>
          <w:tcPr>
            <w:tcW w:w="3432" w:type="dxa"/>
            <w:vAlign w:val="center"/>
          </w:tcPr>
          <w:p>
            <w:pPr>
              <w:spacing w:line="360" w:lineRule="exact"/>
              <w:jc w:val="center"/>
            </w:pPr>
            <w:r>
              <w:rPr>
                <w:rFonts w:hint="eastAsia"/>
              </w:rPr>
              <w:t>0.000 27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0.14</w:t>
            </w:r>
          </w:p>
        </w:tc>
        <w:tc>
          <w:tcPr>
            <w:tcW w:w="3432" w:type="dxa"/>
            <w:vAlign w:val="center"/>
          </w:tcPr>
          <w:p>
            <w:pPr>
              <w:spacing w:line="360" w:lineRule="exact"/>
              <w:jc w:val="center"/>
            </w:pPr>
            <w:r>
              <w:rPr>
                <w:rFonts w:hint="eastAsia"/>
              </w:rPr>
              <w:t>0.006 8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0.22</w:t>
            </w:r>
          </w:p>
        </w:tc>
        <w:tc>
          <w:tcPr>
            <w:tcW w:w="3432" w:type="dxa"/>
            <w:vAlign w:val="center"/>
          </w:tcPr>
          <w:p>
            <w:pPr>
              <w:spacing w:line="360" w:lineRule="exact"/>
              <w:jc w:val="center"/>
            </w:pPr>
            <w:r>
              <w:rPr>
                <w:rFonts w:hint="eastAsia"/>
              </w:rPr>
              <w:t>0.011 7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0.55</w:t>
            </w:r>
          </w:p>
        </w:tc>
        <w:tc>
          <w:tcPr>
            <w:tcW w:w="3432" w:type="dxa"/>
            <w:vAlign w:val="center"/>
          </w:tcPr>
          <w:p>
            <w:pPr>
              <w:spacing w:line="360" w:lineRule="exact"/>
              <w:jc w:val="center"/>
            </w:pPr>
            <w:r>
              <w:rPr>
                <w:rFonts w:hint="eastAsia"/>
              </w:rPr>
              <w:t>0.018 6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铅</w:t>
            </w:r>
          </w:p>
        </w:tc>
        <w:tc>
          <w:tcPr>
            <w:tcW w:w="3432" w:type="dxa"/>
            <w:vAlign w:val="center"/>
          </w:tcPr>
          <w:p>
            <w:pPr>
              <w:spacing w:line="360" w:lineRule="exact"/>
              <w:jc w:val="center"/>
            </w:pPr>
            <w:r>
              <w:rPr>
                <w:rFonts w:hint="eastAsia"/>
              </w:rPr>
              <w:t>0.002 6</w:t>
            </w:r>
          </w:p>
        </w:tc>
        <w:tc>
          <w:tcPr>
            <w:tcW w:w="3432" w:type="dxa"/>
            <w:vAlign w:val="center"/>
          </w:tcPr>
          <w:p>
            <w:pPr>
              <w:spacing w:line="360" w:lineRule="exact"/>
              <w:jc w:val="center"/>
            </w:pPr>
            <w:r>
              <w:rPr>
                <w:rFonts w:hint="eastAsia"/>
              </w:rPr>
              <w:t>0.000 51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0.009 9</w:t>
            </w:r>
          </w:p>
        </w:tc>
        <w:tc>
          <w:tcPr>
            <w:tcW w:w="3432" w:type="dxa"/>
            <w:vAlign w:val="center"/>
          </w:tcPr>
          <w:p>
            <w:pPr>
              <w:spacing w:line="360" w:lineRule="exact"/>
              <w:jc w:val="center"/>
            </w:pPr>
            <w:r>
              <w:rPr>
                <w:rFonts w:hint="eastAsia"/>
              </w:rPr>
              <w:t>0.001 13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0.014</w:t>
            </w:r>
          </w:p>
        </w:tc>
        <w:tc>
          <w:tcPr>
            <w:tcW w:w="3432" w:type="dxa"/>
            <w:vAlign w:val="center"/>
          </w:tcPr>
          <w:p>
            <w:pPr>
              <w:spacing w:line="360" w:lineRule="exact"/>
              <w:jc w:val="center"/>
            </w:pPr>
            <w:r>
              <w:rPr>
                <w:rFonts w:hint="eastAsia"/>
              </w:rPr>
              <w:t>0.001 68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0.021</w:t>
            </w:r>
          </w:p>
        </w:tc>
        <w:tc>
          <w:tcPr>
            <w:tcW w:w="3432" w:type="dxa"/>
            <w:vAlign w:val="center"/>
          </w:tcPr>
          <w:p>
            <w:pPr>
              <w:spacing w:line="360" w:lineRule="exact"/>
              <w:jc w:val="center"/>
            </w:pPr>
            <w:r>
              <w:rPr>
                <w:rFonts w:hint="eastAsia"/>
              </w:rPr>
              <w:t>0.002 68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0.036</w:t>
            </w:r>
          </w:p>
        </w:tc>
        <w:tc>
          <w:tcPr>
            <w:tcW w:w="3432" w:type="dxa"/>
            <w:vAlign w:val="center"/>
          </w:tcPr>
          <w:p>
            <w:pPr>
              <w:spacing w:line="360" w:lineRule="exact"/>
              <w:jc w:val="center"/>
            </w:pPr>
            <w:r>
              <w:rPr>
                <w:rFonts w:hint="eastAsia"/>
              </w:rPr>
              <w:t>0.002 83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锌</w:t>
            </w:r>
          </w:p>
        </w:tc>
        <w:tc>
          <w:tcPr>
            <w:tcW w:w="3432" w:type="dxa"/>
            <w:vAlign w:val="center"/>
          </w:tcPr>
          <w:p>
            <w:pPr>
              <w:spacing w:line="360" w:lineRule="exact"/>
              <w:jc w:val="center"/>
            </w:pPr>
            <w:r>
              <w:rPr>
                <w:rFonts w:hint="eastAsia"/>
              </w:rPr>
              <w:t>0.001 2</w:t>
            </w:r>
          </w:p>
        </w:tc>
        <w:tc>
          <w:tcPr>
            <w:tcW w:w="3432" w:type="dxa"/>
            <w:vAlign w:val="center"/>
          </w:tcPr>
          <w:p>
            <w:pPr>
              <w:spacing w:line="360" w:lineRule="exact"/>
              <w:jc w:val="center"/>
            </w:pPr>
            <w:r>
              <w:rPr>
                <w:rFonts w:hint="eastAsia"/>
              </w:rPr>
              <w:t>0.000 27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0.14</w:t>
            </w:r>
          </w:p>
        </w:tc>
        <w:tc>
          <w:tcPr>
            <w:tcW w:w="3432" w:type="dxa"/>
            <w:vAlign w:val="center"/>
          </w:tcPr>
          <w:p>
            <w:pPr>
              <w:spacing w:line="360" w:lineRule="exact"/>
              <w:jc w:val="center"/>
            </w:pPr>
            <w:r>
              <w:rPr>
                <w:rFonts w:hint="eastAsia"/>
              </w:rPr>
              <w:t>0.008 71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0.52</w:t>
            </w:r>
          </w:p>
        </w:tc>
        <w:tc>
          <w:tcPr>
            <w:tcW w:w="3432" w:type="dxa"/>
            <w:vAlign w:val="center"/>
          </w:tcPr>
          <w:p>
            <w:pPr>
              <w:spacing w:line="360" w:lineRule="exact"/>
              <w:jc w:val="center"/>
            </w:pPr>
            <w:r>
              <w:rPr>
                <w:rFonts w:hint="eastAsia"/>
              </w:rPr>
              <w:t>0.030 3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1.18</w:t>
            </w:r>
          </w:p>
        </w:tc>
        <w:tc>
          <w:tcPr>
            <w:tcW w:w="3432" w:type="dxa"/>
            <w:vAlign w:val="center"/>
          </w:tcPr>
          <w:p>
            <w:pPr>
              <w:spacing w:line="360" w:lineRule="exact"/>
              <w:jc w:val="center"/>
            </w:pPr>
            <w:r>
              <w:rPr>
                <w:rFonts w:hint="eastAsia"/>
              </w:rPr>
              <w:t>0.069 2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1.82</w:t>
            </w:r>
          </w:p>
        </w:tc>
        <w:tc>
          <w:tcPr>
            <w:tcW w:w="3432" w:type="dxa"/>
            <w:vAlign w:val="center"/>
          </w:tcPr>
          <w:p>
            <w:pPr>
              <w:spacing w:line="360" w:lineRule="exact"/>
              <w:jc w:val="center"/>
            </w:pPr>
            <w:r>
              <w:rPr>
                <w:rFonts w:hint="eastAsia"/>
              </w:rPr>
              <w:t>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钴</w:t>
            </w:r>
          </w:p>
        </w:tc>
        <w:tc>
          <w:tcPr>
            <w:tcW w:w="3432" w:type="dxa"/>
            <w:vAlign w:val="center"/>
          </w:tcPr>
          <w:p>
            <w:pPr>
              <w:spacing w:line="360" w:lineRule="exact"/>
              <w:jc w:val="center"/>
            </w:pPr>
            <w:r>
              <w:rPr>
                <w:rFonts w:hint="eastAsia"/>
              </w:rPr>
              <w:t>0.004 1</w:t>
            </w:r>
          </w:p>
        </w:tc>
        <w:tc>
          <w:tcPr>
            <w:tcW w:w="3432" w:type="dxa"/>
            <w:vAlign w:val="center"/>
          </w:tcPr>
          <w:p>
            <w:pPr>
              <w:spacing w:line="360" w:lineRule="exact"/>
              <w:jc w:val="center"/>
            </w:pPr>
            <w:r>
              <w:rPr>
                <w:rFonts w:hint="eastAsia"/>
              </w:rPr>
              <w:t>0.000 36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0.015</w:t>
            </w:r>
          </w:p>
        </w:tc>
        <w:tc>
          <w:tcPr>
            <w:tcW w:w="3432" w:type="dxa"/>
            <w:vAlign w:val="center"/>
          </w:tcPr>
          <w:p>
            <w:pPr>
              <w:spacing w:line="360" w:lineRule="exact"/>
              <w:jc w:val="center"/>
            </w:pPr>
            <w:r>
              <w:rPr>
                <w:rFonts w:hint="eastAsia"/>
              </w:rPr>
              <w:t>0.001 18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0.083</w:t>
            </w:r>
          </w:p>
        </w:tc>
        <w:tc>
          <w:tcPr>
            <w:tcW w:w="3432" w:type="dxa"/>
            <w:vAlign w:val="center"/>
          </w:tcPr>
          <w:p>
            <w:pPr>
              <w:spacing w:line="360" w:lineRule="exact"/>
              <w:jc w:val="center"/>
            </w:pPr>
            <w:r>
              <w:rPr>
                <w:rFonts w:hint="eastAsia"/>
              </w:rPr>
              <w:t>0.003 99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0.23</w:t>
            </w:r>
          </w:p>
        </w:tc>
        <w:tc>
          <w:tcPr>
            <w:tcW w:w="3432" w:type="dxa"/>
            <w:vAlign w:val="center"/>
          </w:tcPr>
          <w:p>
            <w:pPr>
              <w:spacing w:line="360" w:lineRule="exact"/>
              <w:jc w:val="center"/>
            </w:pPr>
            <w:r>
              <w:rPr>
                <w:rFonts w:hint="eastAsia"/>
              </w:rPr>
              <w:t>0.014 5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spacing w:line="360" w:lineRule="exact"/>
              <w:jc w:val="center"/>
            </w:pPr>
            <w:r>
              <w:rPr>
                <w:rFonts w:hint="eastAsia"/>
              </w:rPr>
              <w:t>0.36</w:t>
            </w:r>
          </w:p>
        </w:tc>
        <w:tc>
          <w:tcPr>
            <w:tcW w:w="3432" w:type="dxa"/>
            <w:vAlign w:val="center"/>
          </w:tcPr>
          <w:p>
            <w:pPr>
              <w:spacing w:line="360" w:lineRule="exact"/>
              <w:jc w:val="center"/>
            </w:pPr>
            <w:r>
              <w:rPr>
                <w:rFonts w:hint="eastAsia"/>
              </w:rPr>
              <w:t>0.022 4</w:t>
            </w:r>
          </w:p>
        </w:tc>
      </w:tr>
    </w:tbl>
    <w:p/>
    <w:p>
      <w:r>
        <w:rPr>
          <w:rFonts w:hint="eastAsia"/>
        </w:rPr>
        <w:t>8.2 再现性</w:t>
      </w:r>
    </w:p>
    <w:p>
      <w:pPr>
        <w:ind w:firstLine="420" w:firstLineChars="200"/>
        <w:rPr>
          <w:rFonts w:ascii="宋体" w:hAnsi="宋体"/>
        </w:rPr>
      </w:pPr>
      <w:r>
        <w:rPr>
          <w:rFonts w:hint="eastAsia" w:hAnsi="宋体"/>
        </w:rPr>
        <w:t>在再现性条件下获得的两次独立测试结果的测定值，在以下给出的平均值范围内，这两个测试结果的绝对差值不超过再现性限（</w:t>
      </w:r>
      <w:r>
        <w:rPr>
          <w:rFonts w:hint="eastAsia"/>
        </w:rPr>
        <w:t>R</w:t>
      </w:r>
      <w:r>
        <w:rPr>
          <w:rFonts w:hint="eastAsia" w:hAnsi="宋体"/>
        </w:rPr>
        <w:t>），超过再现性（</w:t>
      </w:r>
      <w:r>
        <w:rPr>
          <w:rFonts w:hint="eastAsia"/>
        </w:rPr>
        <w:t>R</w:t>
      </w:r>
      <w:r>
        <w:rPr>
          <w:rFonts w:hint="eastAsia" w:hAnsi="宋体"/>
        </w:rPr>
        <w:t>）的情况不超过</w:t>
      </w:r>
      <w:r>
        <w:rPr>
          <w:rFonts w:hint="eastAsia"/>
        </w:rPr>
        <w:t>5 %</w:t>
      </w:r>
      <w:r>
        <w:rPr>
          <w:rFonts w:hint="eastAsia" w:hAnsi="宋体"/>
        </w:rPr>
        <w:t>，再现性（</w:t>
      </w:r>
      <w:r>
        <w:rPr>
          <w:rFonts w:hint="eastAsia"/>
        </w:rPr>
        <w:t>R</w:t>
      </w:r>
      <w:r>
        <w:rPr>
          <w:rFonts w:hint="eastAsia" w:hAnsi="宋体"/>
        </w:rPr>
        <w:t>）按表</w:t>
      </w:r>
      <w:r>
        <w:rPr>
          <w:rFonts w:hint="eastAsia"/>
        </w:rPr>
        <w:t>5</w:t>
      </w:r>
      <w:r>
        <w:rPr>
          <w:rFonts w:hint="eastAsia" w:hAnsi="宋体"/>
        </w:rPr>
        <w:t>数据采用线性内插法求得</w:t>
      </w:r>
      <w:r>
        <w:rPr>
          <w:rFonts w:hint="eastAsia" w:ascii="宋体" w:hAnsi="宋体"/>
        </w:rPr>
        <w:t>：</w:t>
      </w:r>
    </w:p>
    <w:p>
      <w:pPr>
        <w:jc w:val="center"/>
        <w:rPr>
          <w:rFonts w:ascii="黑体" w:hAnsi="宋体" w:eastAsia="黑体"/>
        </w:rPr>
      </w:pPr>
      <w:r>
        <w:rPr>
          <w:rFonts w:hint="eastAsia" w:ascii="黑体" w:hAnsi="宋体" w:eastAsia="黑体"/>
        </w:rPr>
        <w:t>表5 再现性限</w:t>
      </w:r>
    </w:p>
    <w:tbl>
      <w:tblPr>
        <w:tblStyle w:val="33"/>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Align w:val="center"/>
          </w:tcPr>
          <w:p>
            <w:pPr>
              <w:jc w:val="center"/>
            </w:pPr>
            <w:r>
              <w:rPr>
                <w:rFonts w:hint="eastAsia" w:ascii="宋体" w:hAnsi="宋体"/>
                <w:sz w:val="18"/>
                <w:szCs w:val="18"/>
              </w:rPr>
              <w:t>元素</w:t>
            </w:r>
          </w:p>
        </w:tc>
        <w:tc>
          <w:tcPr>
            <w:tcW w:w="3432" w:type="dxa"/>
            <w:vAlign w:val="center"/>
          </w:tcPr>
          <w:p>
            <w:pPr>
              <w:jc w:val="center"/>
            </w:pPr>
            <w:r>
              <w:rPr>
                <w:rFonts w:hint="eastAsia" w:ascii="宋体" w:hAnsi="宋体"/>
                <w:i/>
                <w:szCs w:val="21"/>
              </w:rPr>
              <w:t>w</w:t>
            </w:r>
            <w:r>
              <w:rPr>
                <w:i/>
                <w:szCs w:val="21"/>
                <w:vertAlign w:val="subscript"/>
              </w:rPr>
              <w:t>x</w:t>
            </w:r>
            <w:r>
              <w:rPr>
                <w:rFonts w:hint="eastAsia" w:ascii="宋体" w:hAnsi="宋体"/>
                <w:szCs w:val="21"/>
                <w:vertAlign w:val="subscript"/>
              </w:rPr>
              <w:t xml:space="preserve"> </w:t>
            </w:r>
            <w:r>
              <w:rPr>
                <w:rFonts w:hint="eastAsia" w:ascii="宋体" w:hAnsi="宋体"/>
                <w:szCs w:val="21"/>
              </w:rPr>
              <w:t>/</w:t>
            </w:r>
            <w:r>
              <w:rPr>
                <w:rFonts w:hint="eastAsia" w:ascii="宋体" w:hAnsi="宋体"/>
                <w:sz w:val="18"/>
                <w:szCs w:val="18"/>
              </w:rPr>
              <w:t xml:space="preserve"> %</w:t>
            </w:r>
          </w:p>
        </w:tc>
        <w:tc>
          <w:tcPr>
            <w:tcW w:w="3432" w:type="dxa"/>
            <w:vAlign w:val="center"/>
          </w:tcPr>
          <w:p>
            <w:pPr>
              <w:jc w:val="center"/>
            </w:pPr>
            <w:r>
              <w:rPr>
                <w:rFonts w:hint="eastAsia" w:ascii="宋体" w:hAnsi="宋体"/>
                <w:sz w:val="18"/>
                <w:szCs w:val="18"/>
              </w:rPr>
              <w:t>再现性限R</w:t>
            </w:r>
            <w:r>
              <w:rPr>
                <w:rFonts w:ascii="宋体" w:hAnsi="宋体"/>
                <w:sz w:val="18"/>
                <w:szCs w:val="18"/>
              </w:rPr>
              <w:t>/</w:t>
            </w:r>
            <w:r>
              <w:rPr>
                <w:rFonts w:hint="eastAsia" w:ascii="宋体" w:hAnsi="宋体"/>
                <w:sz w:val="18"/>
                <w:szCs w:val="18"/>
              </w:rPr>
              <w:t xml:space="preserve"> </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砷</w:t>
            </w:r>
          </w:p>
        </w:tc>
        <w:tc>
          <w:tcPr>
            <w:tcW w:w="3432" w:type="dxa"/>
            <w:vAlign w:val="center"/>
          </w:tcPr>
          <w:p>
            <w:pPr>
              <w:jc w:val="center"/>
            </w:pPr>
            <w:r>
              <w:rPr>
                <w:rFonts w:hint="eastAsia"/>
              </w:rPr>
              <w:t>0.001 2</w:t>
            </w:r>
          </w:p>
        </w:tc>
        <w:tc>
          <w:tcPr>
            <w:tcW w:w="3432" w:type="dxa"/>
            <w:vAlign w:val="center"/>
          </w:tcPr>
          <w:p>
            <w:pPr>
              <w:jc w:val="center"/>
            </w:pPr>
            <w:r>
              <w:rPr>
                <w:rFonts w:hint="eastAsia"/>
              </w:rPr>
              <w:t>0.000 40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0.026</w:t>
            </w:r>
          </w:p>
        </w:tc>
        <w:tc>
          <w:tcPr>
            <w:tcW w:w="3432" w:type="dxa"/>
            <w:vAlign w:val="center"/>
          </w:tcPr>
          <w:p>
            <w:pPr>
              <w:jc w:val="center"/>
            </w:pPr>
            <w:r>
              <w:rPr>
                <w:rFonts w:hint="eastAsia"/>
              </w:rPr>
              <w:t>0.004 17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0.14</w:t>
            </w:r>
          </w:p>
        </w:tc>
        <w:tc>
          <w:tcPr>
            <w:tcW w:w="3432" w:type="dxa"/>
            <w:vAlign w:val="center"/>
          </w:tcPr>
          <w:p>
            <w:pPr>
              <w:jc w:val="center"/>
            </w:pPr>
            <w:r>
              <w:rPr>
                <w:rFonts w:hint="eastAsia"/>
              </w:rPr>
              <w:t>0.009 82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0.22</w:t>
            </w:r>
          </w:p>
        </w:tc>
        <w:tc>
          <w:tcPr>
            <w:tcW w:w="3432" w:type="dxa"/>
            <w:vAlign w:val="center"/>
          </w:tcPr>
          <w:p>
            <w:pPr>
              <w:jc w:val="center"/>
            </w:pPr>
            <w:r>
              <w:rPr>
                <w:rFonts w:hint="eastAsia"/>
              </w:rPr>
              <w:t>0.027 2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0.55</w:t>
            </w:r>
          </w:p>
        </w:tc>
        <w:tc>
          <w:tcPr>
            <w:tcW w:w="3432" w:type="dxa"/>
            <w:vAlign w:val="center"/>
          </w:tcPr>
          <w:p>
            <w:pPr>
              <w:jc w:val="center"/>
            </w:pPr>
            <w:r>
              <w:rPr>
                <w:rFonts w:hint="eastAsia"/>
              </w:rPr>
              <w:t>0.039 4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铅</w:t>
            </w:r>
          </w:p>
        </w:tc>
        <w:tc>
          <w:tcPr>
            <w:tcW w:w="3432" w:type="dxa"/>
            <w:vAlign w:val="center"/>
          </w:tcPr>
          <w:p>
            <w:pPr>
              <w:jc w:val="center"/>
            </w:pPr>
            <w:r>
              <w:rPr>
                <w:rFonts w:hint="eastAsia"/>
              </w:rPr>
              <w:t>0.002 6</w:t>
            </w:r>
          </w:p>
        </w:tc>
        <w:tc>
          <w:tcPr>
            <w:tcW w:w="3432" w:type="dxa"/>
            <w:vAlign w:val="center"/>
          </w:tcPr>
          <w:p>
            <w:pPr>
              <w:jc w:val="center"/>
            </w:pPr>
            <w:r>
              <w:rPr>
                <w:rFonts w:hint="eastAsia"/>
              </w:rPr>
              <w:t>0.005 26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0.009 9</w:t>
            </w:r>
          </w:p>
        </w:tc>
        <w:tc>
          <w:tcPr>
            <w:tcW w:w="3432" w:type="dxa"/>
            <w:vAlign w:val="center"/>
          </w:tcPr>
          <w:p>
            <w:pPr>
              <w:jc w:val="center"/>
            </w:pPr>
            <w:r>
              <w:rPr>
                <w:rFonts w:hint="eastAsia"/>
              </w:rPr>
              <w:t>0.003 25</w:t>
            </w:r>
          </w:p>
        </w:tc>
      </w:tr>
      <w:tr>
        <w:tblPrEx>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0.014</w:t>
            </w:r>
          </w:p>
        </w:tc>
        <w:tc>
          <w:tcPr>
            <w:tcW w:w="3432" w:type="dxa"/>
            <w:vAlign w:val="center"/>
          </w:tcPr>
          <w:p>
            <w:pPr>
              <w:jc w:val="center"/>
            </w:pPr>
            <w:r>
              <w:rPr>
                <w:rFonts w:hint="eastAsia"/>
              </w:rPr>
              <w:t>0.011 5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0.021</w:t>
            </w:r>
          </w:p>
        </w:tc>
        <w:tc>
          <w:tcPr>
            <w:tcW w:w="3432" w:type="dxa"/>
            <w:vAlign w:val="center"/>
          </w:tcPr>
          <w:p>
            <w:pPr>
              <w:jc w:val="center"/>
            </w:pPr>
            <w:r>
              <w:rPr>
                <w:rFonts w:hint="eastAsia"/>
              </w:rPr>
              <w:t>0.021 0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0.036</w:t>
            </w:r>
          </w:p>
        </w:tc>
        <w:tc>
          <w:tcPr>
            <w:tcW w:w="3432" w:type="dxa"/>
            <w:vAlign w:val="center"/>
          </w:tcPr>
          <w:p>
            <w:pPr>
              <w:jc w:val="center"/>
            </w:pPr>
            <w:r>
              <w:rPr>
                <w:rFonts w:hint="eastAsia"/>
              </w:rPr>
              <w:t>0.025 4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锌</w:t>
            </w:r>
          </w:p>
        </w:tc>
        <w:tc>
          <w:tcPr>
            <w:tcW w:w="3432" w:type="dxa"/>
            <w:vAlign w:val="center"/>
          </w:tcPr>
          <w:p>
            <w:pPr>
              <w:jc w:val="center"/>
            </w:pPr>
            <w:r>
              <w:rPr>
                <w:rFonts w:hint="eastAsia"/>
              </w:rPr>
              <w:t>0.001 2</w:t>
            </w:r>
          </w:p>
        </w:tc>
        <w:tc>
          <w:tcPr>
            <w:tcW w:w="3432" w:type="dxa"/>
            <w:vAlign w:val="center"/>
          </w:tcPr>
          <w:p>
            <w:pPr>
              <w:jc w:val="center"/>
            </w:pPr>
            <w:r>
              <w:rPr>
                <w:rFonts w:hint="eastAsia"/>
              </w:rPr>
              <w:t>0.002 38</w:t>
            </w:r>
          </w:p>
        </w:tc>
      </w:tr>
      <w:tr>
        <w:tblPrEx>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0.14</w:t>
            </w:r>
          </w:p>
        </w:tc>
        <w:tc>
          <w:tcPr>
            <w:tcW w:w="3432" w:type="dxa"/>
            <w:vAlign w:val="center"/>
          </w:tcPr>
          <w:p>
            <w:pPr>
              <w:jc w:val="center"/>
            </w:pPr>
            <w:r>
              <w:rPr>
                <w:rFonts w:hint="eastAsia"/>
              </w:rPr>
              <w:t>0.031 7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0.52</w:t>
            </w:r>
          </w:p>
        </w:tc>
        <w:tc>
          <w:tcPr>
            <w:tcW w:w="3432" w:type="dxa"/>
            <w:vAlign w:val="center"/>
          </w:tcPr>
          <w:p>
            <w:pPr>
              <w:jc w:val="center"/>
            </w:pPr>
            <w:r>
              <w:rPr>
                <w:rFonts w:hint="eastAsia"/>
              </w:rPr>
              <w:t>0.061 5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1.18</w:t>
            </w:r>
          </w:p>
        </w:tc>
        <w:tc>
          <w:tcPr>
            <w:tcW w:w="3432" w:type="dxa"/>
            <w:vAlign w:val="center"/>
          </w:tcPr>
          <w:p>
            <w:pPr>
              <w:jc w:val="center"/>
            </w:pPr>
            <w:r>
              <w:rPr>
                <w:rFonts w:hint="eastAsia"/>
              </w:rPr>
              <w:t>0.086 8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1.82</w:t>
            </w:r>
          </w:p>
        </w:tc>
        <w:tc>
          <w:tcPr>
            <w:tcW w:w="3432" w:type="dxa"/>
            <w:vAlign w:val="center"/>
          </w:tcPr>
          <w:p>
            <w:pPr>
              <w:jc w:val="center"/>
            </w:pPr>
            <w:r>
              <w:rPr>
                <w:rFonts w:hint="eastAsia"/>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restart"/>
            <w:vAlign w:val="center"/>
          </w:tcPr>
          <w:p>
            <w:pPr>
              <w:jc w:val="center"/>
            </w:pPr>
            <w:r>
              <w:rPr>
                <w:rFonts w:hint="eastAsia"/>
              </w:rPr>
              <w:t>钴</w:t>
            </w:r>
          </w:p>
        </w:tc>
        <w:tc>
          <w:tcPr>
            <w:tcW w:w="3432" w:type="dxa"/>
            <w:vAlign w:val="center"/>
          </w:tcPr>
          <w:p>
            <w:pPr>
              <w:jc w:val="center"/>
            </w:pPr>
            <w:r>
              <w:rPr>
                <w:rFonts w:hint="eastAsia"/>
              </w:rPr>
              <w:t>0.004 1</w:t>
            </w:r>
          </w:p>
        </w:tc>
        <w:tc>
          <w:tcPr>
            <w:tcW w:w="3432" w:type="dxa"/>
            <w:vAlign w:val="center"/>
          </w:tcPr>
          <w:p>
            <w:pPr>
              <w:jc w:val="center"/>
            </w:pPr>
            <w:r>
              <w:rPr>
                <w:rFonts w:hint="eastAsia"/>
              </w:rPr>
              <w:t>0.004 35</w:t>
            </w:r>
          </w:p>
        </w:tc>
      </w:tr>
      <w:tr>
        <w:tblPrEx>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0.015</w:t>
            </w:r>
          </w:p>
        </w:tc>
        <w:tc>
          <w:tcPr>
            <w:tcW w:w="3432" w:type="dxa"/>
            <w:vAlign w:val="center"/>
          </w:tcPr>
          <w:p>
            <w:pPr>
              <w:jc w:val="center"/>
            </w:pPr>
            <w:r>
              <w:rPr>
                <w:rFonts w:hint="eastAsia"/>
              </w:rPr>
              <w:t>0.003 72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0.083</w:t>
            </w:r>
          </w:p>
        </w:tc>
        <w:tc>
          <w:tcPr>
            <w:tcW w:w="3432" w:type="dxa"/>
            <w:vAlign w:val="center"/>
          </w:tcPr>
          <w:p>
            <w:pPr>
              <w:jc w:val="center"/>
            </w:pPr>
            <w:r>
              <w:rPr>
                <w:rFonts w:hint="eastAsia"/>
              </w:rPr>
              <w:t>0.010 3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0.23</w:t>
            </w:r>
          </w:p>
        </w:tc>
        <w:tc>
          <w:tcPr>
            <w:tcW w:w="3432" w:type="dxa"/>
            <w:vAlign w:val="center"/>
          </w:tcPr>
          <w:p>
            <w:pPr>
              <w:jc w:val="center"/>
            </w:pPr>
            <w:r>
              <w:rPr>
                <w:rFonts w:hint="eastAsia"/>
              </w:rPr>
              <w:t>0.035 0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2" w:type="dxa"/>
            <w:vMerge w:val="continue"/>
            <w:vAlign w:val="center"/>
          </w:tcPr>
          <w:p>
            <w:pPr>
              <w:jc w:val="center"/>
            </w:pPr>
          </w:p>
        </w:tc>
        <w:tc>
          <w:tcPr>
            <w:tcW w:w="3432" w:type="dxa"/>
            <w:vAlign w:val="center"/>
          </w:tcPr>
          <w:p>
            <w:pPr>
              <w:jc w:val="center"/>
            </w:pPr>
            <w:r>
              <w:rPr>
                <w:rFonts w:hint="eastAsia"/>
              </w:rPr>
              <w:t>0.36</w:t>
            </w:r>
          </w:p>
        </w:tc>
        <w:tc>
          <w:tcPr>
            <w:tcW w:w="3432" w:type="dxa"/>
            <w:vAlign w:val="center"/>
          </w:tcPr>
          <w:p>
            <w:pPr>
              <w:jc w:val="center"/>
            </w:pPr>
            <w:r>
              <w:rPr>
                <w:rFonts w:hint="eastAsia"/>
              </w:rPr>
              <w:t>0.043 7</w:t>
            </w:r>
          </w:p>
        </w:tc>
      </w:tr>
    </w:tbl>
    <w:p>
      <w:pPr>
        <w:jc w:val="center"/>
        <w:rPr>
          <w:rFonts w:ascii="黑体" w:hAnsi="宋体" w:eastAsia="黑体"/>
        </w:rPr>
      </w:pPr>
    </w:p>
    <w:p>
      <w:pPr>
        <w:spacing w:line="360" w:lineRule="auto"/>
        <w:rPr>
          <w:rFonts w:ascii="黑体" w:eastAsia="黑体"/>
        </w:rPr>
      </w:pPr>
      <w:r>
        <w:rPr>
          <w:rFonts w:hint="eastAsia" w:ascii="黑体" w:eastAsia="黑体"/>
        </w:rPr>
        <w:t>9 试验报告</w:t>
      </w:r>
    </w:p>
    <w:p>
      <w:pPr>
        <w:ind w:left="147"/>
        <w:rPr>
          <w:rFonts w:ascii="宋体" w:hAnsi="宋体"/>
          <w:szCs w:val="21"/>
        </w:rPr>
      </w:pPr>
      <w:r>
        <w:rPr>
          <w:rFonts w:hint="eastAsia" w:ascii="宋体" w:hAnsi="宋体"/>
          <w:szCs w:val="21"/>
        </w:rPr>
        <w:t>本章规定试验报告所包括的内容。至少应给出以下几个方面的内容：</w:t>
      </w:r>
    </w:p>
    <w:p>
      <w:pPr>
        <w:ind w:left="147"/>
        <w:rPr>
          <w:rFonts w:ascii="宋体" w:hAnsi="宋体"/>
          <w:szCs w:val="21"/>
        </w:rPr>
      </w:pPr>
      <w:r>
        <w:rPr>
          <w:rFonts w:hint="eastAsia" w:ascii="宋体" w:hAnsi="宋体"/>
          <w:i/>
          <w:szCs w:val="21"/>
        </w:rPr>
        <w:t xml:space="preserve">—— </w:t>
      </w:r>
      <w:r>
        <w:rPr>
          <w:rFonts w:hint="eastAsia" w:ascii="宋体" w:hAnsi="宋体"/>
          <w:szCs w:val="21"/>
        </w:rPr>
        <w:t>试样；</w:t>
      </w:r>
    </w:p>
    <w:p>
      <w:pPr>
        <w:ind w:left="147"/>
        <w:rPr>
          <w:rFonts w:ascii="宋体" w:hAnsi="宋体"/>
          <w:szCs w:val="21"/>
        </w:rPr>
      </w:pPr>
      <w:r>
        <w:rPr>
          <w:rFonts w:hint="eastAsia" w:ascii="宋体" w:hAnsi="宋体"/>
          <w:i/>
          <w:szCs w:val="21"/>
        </w:rPr>
        <w:t xml:space="preserve">—— </w:t>
      </w:r>
      <w:r>
        <w:rPr>
          <w:rFonts w:hint="eastAsia" w:ascii="宋体" w:hAnsi="宋体"/>
          <w:szCs w:val="21"/>
        </w:rPr>
        <w:t xml:space="preserve">使用的标准，XX/T XX-201X； </w:t>
      </w:r>
    </w:p>
    <w:p>
      <w:pPr>
        <w:ind w:left="147"/>
        <w:rPr>
          <w:rFonts w:ascii="宋体" w:hAnsi="宋体"/>
          <w:szCs w:val="21"/>
        </w:rPr>
      </w:pPr>
      <w:r>
        <w:rPr>
          <w:rFonts w:hint="eastAsia" w:ascii="宋体" w:hAnsi="宋体"/>
          <w:i/>
          <w:szCs w:val="21"/>
        </w:rPr>
        <w:t xml:space="preserve">—— </w:t>
      </w:r>
      <w:r>
        <w:rPr>
          <w:rFonts w:hint="eastAsia" w:ascii="宋体" w:hAnsi="宋体"/>
          <w:szCs w:val="21"/>
        </w:rPr>
        <w:t>使用的方法；</w:t>
      </w:r>
    </w:p>
    <w:p>
      <w:pPr>
        <w:ind w:left="147"/>
        <w:rPr>
          <w:rFonts w:ascii="宋体" w:hAnsi="宋体"/>
          <w:szCs w:val="21"/>
        </w:rPr>
      </w:pPr>
      <w:r>
        <w:rPr>
          <w:rFonts w:hint="eastAsia" w:ascii="宋体" w:hAnsi="宋体"/>
          <w:i/>
          <w:szCs w:val="21"/>
        </w:rPr>
        <w:t xml:space="preserve">—— </w:t>
      </w:r>
      <w:r>
        <w:rPr>
          <w:rFonts w:hint="eastAsia" w:ascii="宋体" w:hAnsi="宋体"/>
          <w:szCs w:val="21"/>
        </w:rPr>
        <w:t>分析结果及其表示；</w:t>
      </w:r>
    </w:p>
    <w:p>
      <w:pPr>
        <w:ind w:left="147"/>
        <w:rPr>
          <w:rFonts w:ascii="宋体" w:hAnsi="宋体"/>
          <w:szCs w:val="21"/>
        </w:rPr>
      </w:pPr>
      <w:r>
        <w:rPr>
          <w:rFonts w:hint="eastAsia" w:ascii="宋体" w:hAnsi="宋体"/>
          <w:i/>
          <w:szCs w:val="21"/>
        </w:rPr>
        <w:t xml:space="preserve">—— </w:t>
      </w:r>
      <w:r>
        <w:rPr>
          <w:rFonts w:hint="eastAsia" w:ascii="宋体" w:hAnsi="宋体"/>
          <w:szCs w:val="21"/>
        </w:rPr>
        <w:t xml:space="preserve">与基本分析步骤的差异； </w:t>
      </w:r>
    </w:p>
    <w:p>
      <w:pPr>
        <w:ind w:left="147"/>
        <w:rPr>
          <w:rFonts w:ascii="宋体" w:hAnsi="宋体"/>
          <w:szCs w:val="21"/>
        </w:rPr>
      </w:pPr>
      <w:r>
        <w:rPr>
          <w:rFonts w:hint="eastAsia" w:ascii="宋体" w:hAnsi="宋体"/>
          <w:i/>
          <w:szCs w:val="21"/>
        </w:rPr>
        <w:t xml:space="preserve">—— </w:t>
      </w:r>
      <w:r>
        <w:rPr>
          <w:rFonts w:hint="eastAsia" w:ascii="宋体" w:hAnsi="宋体"/>
          <w:szCs w:val="21"/>
        </w:rPr>
        <w:t>测定中观察的异常现象；</w:t>
      </w:r>
    </w:p>
    <w:p>
      <w:pPr>
        <w:ind w:firstLine="105" w:firstLineChars="50"/>
        <w:rPr>
          <w:rFonts w:ascii="宋体" w:hAnsi="宋体"/>
          <w:szCs w:val="21"/>
        </w:rPr>
      </w:pPr>
      <w:r>
        <w:rPr>
          <w:rFonts w:hint="eastAsia" w:ascii="宋体" w:hAnsi="宋体"/>
          <w:i/>
          <w:szCs w:val="21"/>
        </w:rPr>
        <w:t xml:space="preserve">—— </w:t>
      </w:r>
      <w:r>
        <w:rPr>
          <w:rFonts w:hint="eastAsia" w:ascii="宋体" w:hAnsi="宋体"/>
          <w:szCs w:val="21"/>
        </w:rPr>
        <w:t>试验日期。</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pStyle w:val="101"/>
        <w:spacing w:beforeLines="150" w:afterLines="150" w:line="240" w:lineRule="auto"/>
        <w:jc w:val="both"/>
      </w:pPr>
    </w:p>
    <w:sectPr>
      <w:pgSz w:w="11907" w:h="16840"/>
      <w:pgMar w:top="1418" w:right="829" w:bottom="1418" w:left="998" w:header="1134"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rPr>
        <w:rStyle w:val="36"/>
      </w:rPr>
    </w:pPr>
    <w:r>
      <w:fldChar w:fldCharType="begin"/>
    </w:r>
    <w:r>
      <w:rPr>
        <w:rStyle w:val="36"/>
      </w:rPr>
      <w:instrText xml:space="preserve">PAGE  </w:instrText>
    </w:r>
    <w:r>
      <w:fldChar w:fldCharType="separate"/>
    </w:r>
    <w:r>
      <w:rPr>
        <w:rStyle w:val="36"/>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6"/>
      </w:rPr>
    </w:pPr>
    <w:r>
      <w:fldChar w:fldCharType="begin"/>
    </w:r>
    <w:r>
      <w:rPr>
        <w:rStyle w:val="36"/>
      </w:rPr>
      <w:instrText xml:space="preserve">PAGE  </w:instrText>
    </w:r>
    <w:r>
      <w:fldChar w:fldCharType="separate"/>
    </w:r>
    <w:r>
      <w:rPr>
        <w:rStyle w:val="36"/>
      </w:rPr>
      <w:t>7</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rPr>
        <w:rStyle w:val="36"/>
        <w:rFonts w:ascii="宋体" w:hAnsi="宋体"/>
      </w:rPr>
    </w:pPr>
    <w:r>
      <w:rPr>
        <w:rFonts w:ascii="宋体" w:hAnsi="宋体"/>
      </w:rPr>
      <w:fldChar w:fldCharType="begin"/>
    </w:r>
    <w:r>
      <w:rPr>
        <w:rStyle w:val="36"/>
        <w:rFonts w:ascii="宋体" w:hAnsi="宋体"/>
      </w:rPr>
      <w:instrText xml:space="preserve">PAGE  </w:instrText>
    </w:r>
    <w:r>
      <w:rPr>
        <w:rFonts w:ascii="宋体" w:hAnsi="宋体"/>
      </w:rPr>
      <w:fldChar w:fldCharType="separate"/>
    </w:r>
    <w:r>
      <w:rPr>
        <w:rStyle w:val="36"/>
        <w:rFonts w:ascii="宋体" w:hAnsi="宋体"/>
      </w:rPr>
      <w:t>I</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rPr>
        <w:rStyle w:val="36"/>
      </w:rPr>
    </w:pPr>
    <w:r>
      <w:fldChar w:fldCharType="begin"/>
    </w:r>
    <w:r>
      <w:rPr>
        <w:rStyle w:val="36"/>
      </w:rPr>
      <w:instrText xml:space="preserve">PAGE  </w:instrText>
    </w:r>
    <w:r>
      <w:fldChar w:fldCharType="separate"/>
    </w:r>
    <w:r>
      <w:rPr>
        <w:rStyle w:val="36"/>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ascii="黑体" w:eastAsia="黑体"/>
      </w:rPr>
    </w:pPr>
    <w:r>
      <w:rPr>
        <w:rFonts w:hint="eastAsia" w:ascii="黑体" w:eastAsia="黑体"/>
      </w:rPr>
      <w:t>YS/T 40—201×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ascii="黑体" w:eastAsia="黑体"/>
      </w:rPr>
    </w:pPr>
    <w:r>
      <w:rPr>
        <w:rFonts w:hint="eastAsia" w:ascii="黑体" w:eastAsia="黑体"/>
      </w:rPr>
      <w:t>T</w:t>
    </w:r>
    <w:r>
      <w:rPr>
        <w:rFonts w:ascii="黑体" w:eastAsia="黑体"/>
      </w:rPr>
      <w:t>/</w:t>
    </w:r>
    <w:r>
      <w:rPr>
        <w:rFonts w:hint="eastAsia" w:ascii="黑体" w:eastAsia="黑体"/>
      </w:rPr>
      <w:t>CNIAXX</w:t>
    </w:r>
    <w:r>
      <w:rPr>
        <w:rFonts w:ascii="黑体" w:eastAsia="黑体"/>
      </w:rPr>
      <w:t>—201</w:t>
    </w:r>
    <w:r>
      <w:rPr>
        <w:rFonts w:hint="eastAsia" w:ascii="黑体" w:eastAsia="黑体"/>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both"/>
      <w:rPr>
        <w:rFonts w:ascii="黑体" w:eastAsia="黑体"/>
      </w:rPr>
    </w:pPr>
    <w:r>
      <w:rPr>
        <w:rFonts w:ascii="黑体" w:eastAsia="黑体"/>
      </w:rPr>
      <w:t xml:space="preserve">GB/T </w:t>
    </w:r>
    <w:r>
      <w:rPr>
        <w:rFonts w:hint="eastAsia" w:ascii="黑体" w:eastAsia="黑体"/>
      </w:rPr>
      <w:t>××××</w:t>
    </w:r>
    <w:r>
      <w:rPr>
        <w:rFonts w:ascii="黑体" w:eastAsia="黑体"/>
      </w:rPr>
      <w:t>—201</w:t>
    </w:r>
    <w:r>
      <w:rPr>
        <w:rFonts w:hint="eastAsia" w:ascii="黑体" w:eastAsia="黑体"/>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001"/>
    <w:rsid w:val="00020357"/>
    <w:rsid w:val="00027838"/>
    <w:rsid w:val="00076B6A"/>
    <w:rsid w:val="00110C00"/>
    <w:rsid w:val="00115117"/>
    <w:rsid w:val="00124EF3"/>
    <w:rsid w:val="0013247F"/>
    <w:rsid w:val="00172A27"/>
    <w:rsid w:val="001763B1"/>
    <w:rsid w:val="00176C3D"/>
    <w:rsid w:val="001930F9"/>
    <w:rsid w:val="001A5FD9"/>
    <w:rsid w:val="001E1E6A"/>
    <w:rsid w:val="00262D56"/>
    <w:rsid w:val="00270B48"/>
    <w:rsid w:val="002A1499"/>
    <w:rsid w:val="003125DB"/>
    <w:rsid w:val="00315B68"/>
    <w:rsid w:val="00335429"/>
    <w:rsid w:val="00346EA6"/>
    <w:rsid w:val="00364EA6"/>
    <w:rsid w:val="00393688"/>
    <w:rsid w:val="00397C78"/>
    <w:rsid w:val="003E780C"/>
    <w:rsid w:val="00401354"/>
    <w:rsid w:val="00447819"/>
    <w:rsid w:val="0047098A"/>
    <w:rsid w:val="004969EA"/>
    <w:rsid w:val="004A4B7D"/>
    <w:rsid w:val="00506342"/>
    <w:rsid w:val="00540C1B"/>
    <w:rsid w:val="00541CBC"/>
    <w:rsid w:val="005637E2"/>
    <w:rsid w:val="00564292"/>
    <w:rsid w:val="005827B5"/>
    <w:rsid w:val="005A22A8"/>
    <w:rsid w:val="005A39B2"/>
    <w:rsid w:val="005C5DA7"/>
    <w:rsid w:val="005E1904"/>
    <w:rsid w:val="005F017C"/>
    <w:rsid w:val="00600409"/>
    <w:rsid w:val="00604FD4"/>
    <w:rsid w:val="006356D2"/>
    <w:rsid w:val="006451C1"/>
    <w:rsid w:val="0068684E"/>
    <w:rsid w:val="00700E3A"/>
    <w:rsid w:val="007A01C6"/>
    <w:rsid w:val="007B2C0D"/>
    <w:rsid w:val="007E0791"/>
    <w:rsid w:val="007F068B"/>
    <w:rsid w:val="0083212E"/>
    <w:rsid w:val="00835638"/>
    <w:rsid w:val="00862CDE"/>
    <w:rsid w:val="008700F3"/>
    <w:rsid w:val="00897629"/>
    <w:rsid w:val="008A552F"/>
    <w:rsid w:val="008F4142"/>
    <w:rsid w:val="00900603"/>
    <w:rsid w:val="00921CAF"/>
    <w:rsid w:val="0098732A"/>
    <w:rsid w:val="009B5A0E"/>
    <w:rsid w:val="009C4449"/>
    <w:rsid w:val="009D0A58"/>
    <w:rsid w:val="009E5D42"/>
    <w:rsid w:val="00A000E1"/>
    <w:rsid w:val="00A10356"/>
    <w:rsid w:val="00A70A2E"/>
    <w:rsid w:val="00AB3A53"/>
    <w:rsid w:val="00AC6F1A"/>
    <w:rsid w:val="00AE165E"/>
    <w:rsid w:val="00B036A6"/>
    <w:rsid w:val="00B12D3C"/>
    <w:rsid w:val="00B22E89"/>
    <w:rsid w:val="00B3569E"/>
    <w:rsid w:val="00B36EDF"/>
    <w:rsid w:val="00B53BFD"/>
    <w:rsid w:val="00B663F1"/>
    <w:rsid w:val="00BD0641"/>
    <w:rsid w:val="00BD0D8B"/>
    <w:rsid w:val="00C757BA"/>
    <w:rsid w:val="00C85409"/>
    <w:rsid w:val="00C927AE"/>
    <w:rsid w:val="00D30448"/>
    <w:rsid w:val="00DA2386"/>
    <w:rsid w:val="00E078A9"/>
    <w:rsid w:val="00E54C46"/>
    <w:rsid w:val="00E85A56"/>
    <w:rsid w:val="00E93ADC"/>
    <w:rsid w:val="00EB786E"/>
    <w:rsid w:val="00EE108E"/>
    <w:rsid w:val="00F22B0D"/>
    <w:rsid w:val="00F70D0D"/>
    <w:rsid w:val="00F92190"/>
    <w:rsid w:val="00F929DD"/>
    <w:rsid w:val="01735300"/>
    <w:rsid w:val="03B110C5"/>
    <w:rsid w:val="099E6711"/>
    <w:rsid w:val="0DC41DD3"/>
    <w:rsid w:val="0F523A75"/>
    <w:rsid w:val="102C34BF"/>
    <w:rsid w:val="16A34154"/>
    <w:rsid w:val="1B420A1E"/>
    <w:rsid w:val="1C325B8C"/>
    <w:rsid w:val="1EDF4564"/>
    <w:rsid w:val="242F56F1"/>
    <w:rsid w:val="28ED46B4"/>
    <w:rsid w:val="2C3425B2"/>
    <w:rsid w:val="300630D5"/>
    <w:rsid w:val="35055E72"/>
    <w:rsid w:val="377277C0"/>
    <w:rsid w:val="37C85FCC"/>
    <w:rsid w:val="40F85530"/>
    <w:rsid w:val="438E1624"/>
    <w:rsid w:val="52845BEF"/>
    <w:rsid w:val="53BF419C"/>
    <w:rsid w:val="55703408"/>
    <w:rsid w:val="56447950"/>
    <w:rsid w:val="59BF7608"/>
    <w:rsid w:val="59E11B94"/>
    <w:rsid w:val="5E482F99"/>
    <w:rsid w:val="5EFE618E"/>
    <w:rsid w:val="61342ECC"/>
    <w:rsid w:val="69627111"/>
    <w:rsid w:val="6D584A7F"/>
    <w:rsid w:val="6D7624A9"/>
    <w:rsid w:val="6E295926"/>
    <w:rsid w:val="6FE340F6"/>
    <w:rsid w:val="75DC1048"/>
    <w:rsid w:val="7C3E5C89"/>
    <w:rsid w:val="7DA20C0D"/>
    <w:rsid w:val="7FB0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34">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0"/>
  </w:style>
  <w:style w:type="paragraph" w:styleId="16">
    <w:name w:val="toc 2"/>
    <w:basedOn w:val="17"/>
    <w:next w:val="1"/>
    <w:qFormat/>
    <w:uiPriority w:val="0"/>
  </w:style>
  <w:style w:type="paragraph" w:styleId="17">
    <w:name w:val="toc 1"/>
    <w:next w:val="1"/>
    <w:qFormat/>
    <w:uiPriority w:val="0"/>
    <w:pPr>
      <w:jc w:val="both"/>
    </w:pPr>
    <w:rPr>
      <w:rFonts w:ascii="宋体" w:hAnsi="Times New Roman" w:eastAsia="宋体" w:cs="Times New Roman"/>
      <w:sz w:val="21"/>
      <w:lang w:val="en-US" w:eastAsia="zh-CN" w:bidi="ar-SA"/>
    </w:rPr>
  </w:style>
  <w:style w:type="paragraph" w:styleId="18">
    <w:name w:val="annotation text"/>
    <w:basedOn w:val="1"/>
    <w:qFormat/>
    <w:uiPriority w:val="0"/>
    <w:pPr>
      <w:jc w:val="left"/>
    </w:pPr>
  </w:style>
  <w:style w:type="paragraph" w:styleId="19">
    <w:name w:val="Body Text"/>
    <w:basedOn w:val="1"/>
    <w:qFormat/>
    <w:uiPriority w:val="0"/>
    <w:pPr>
      <w:adjustRightInd w:val="0"/>
      <w:spacing w:after="120" w:line="360" w:lineRule="atLeast"/>
      <w:jc w:val="left"/>
      <w:textAlignment w:val="baseline"/>
    </w:pPr>
    <w:rPr>
      <w:kern w:val="0"/>
      <w:sz w:val="24"/>
      <w:szCs w:val="20"/>
    </w:rPr>
  </w:style>
  <w:style w:type="paragraph" w:styleId="20">
    <w:name w:val="HTML Address"/>
    <w:basedOn w:val="1"/>
    <w:qFormat/>
    <w:uiPriority w:val="0"/>
    <w:rPr>
      <w:i/>
      <w:iCs/>
    </w:rPr>
  </w:style>
  <w:style w:type="paragraph" w:styleId="21">
    <w:name w:val="Plain Text"/>
    <w:basedOn w:val="1"/>
    <w:qFormat/>
    <w:uiPriority w:val="0"/>
    <w:rPr>
      <w:rFonts w:ascii="宋体" w:hAnsi="Courier New" w:cs="Courier New"/>
      <w:szCs w:val="21"/>
    </w:rPr>
  </w:style>
  <w:style w:type="paragraph" w:styleId="22">
    <w:name w:val="toc 8"/>
    <w:basedOn w:val="11"/>
    <w:next w:val="1"/>
    <w:qFormat/>
    <w:uiPriority w:val="0"/>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ind w:right="210" w:rightChars="100"/>
      <w:jc w:val="righ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List"/>
    <w:basedOn w:val="1"/>
    <w:unhideWhenUsed/>
    <w:qFormat/>
    <w:uiPriority w:val="0"/>
    <w:pPr>
      <w:ind w:left="420" w:hanging="420"/>
    </w:pPr>
    <w:rPr>
      <w:rFonts w:ascii="宋体"/>
      <w:sz w:val="28"/>
      <w:szCs w:val="20"/>
    </w:rPr>
  </w:style>
  <w:style w:type="paragraph" w:styleId="27">
    <w:name w:val="footnote text"/>
    <w:basedOn w:val="1"/>
    <w:qFormat/>
    <w:uiPriority w:val="0"/>
    <w:pPr>
      <w:snapToGrid w:val="0"/>
      <w:jc w:val="left"/>
    </w:pPr>
    <w:rPr>
      <w:sz w:val="18"/>
      <w:szCs w:val="18"/>
    </w:rPr>
  </w:style>
  <w:style w:type="paragraph" w:styleId="28">
    <w:name w:val="toc 9"/>
    <w:basedOn w:val="22"/>
    <w:next w:val="1"/>
    <w:qFormat/>
    <w:uiPriority w:val="0"/>
  </w:style>
  <w:style w:type="paragraph" w:styleId="29">
    <w:name w:val="HTML Preformatted"/>
    <w:basedOn w:val="1"/>
    <w:link w:val="52"/>
    <w:qFormat/>
    <w:uiPriority w:val="0"/>
    <w:rPr>
      <w:rFonts w:ascii="Courier New" w:hAnsi="Courier New" w:cs="Courier New"/>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Body Text First Indent"/>
    <w:basedOn w:val="19"/>
    <w:qFormat/>
    <w:uiPriority w:val="0"/>
    <w:pPr>
      <w:spacing w:after="0" w:line="240" w:lineRule="auto"/>
      <w:ind w:firstLine="42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TML Definition"/>
    <w:basedOn w:val="34"/>
    <w:qFormat/>
    <w:uiPriority w:val="0"/>
    <w:rPr>
      <w:i/>
      <w:iCs/>
    </w:rPr>
  </w:style>
  <w:style w:type="character" w:styleId="39">
    <w:name w:val="HTML Typewriter"/>
    <w:basedOn w:val="34"/>
    <w:qFormat/>
    <w:uiPriority w:val="0"/>
    <w:rPr>
      <w:rFonts w:ascii="Courier New" w:hAnsi="Courier New"/>
      <w:sz w:val="20"/>
      <w:szCs w:val="20"/>
    </w:rPr>
  </w:style>
  <w:style w:type="character" w:styleId="40">
    <w:name w:val="HTML Acronym"/>
    <w:basedOn w:val="34"/>
    <w:qFormat/>
    <w:uiPriority w:val="0"/>
  </w:style>
  <w:style w:type="character" w:styleId="41">
    <w:name w:val="HTML Variable"/>
    <w:basedOn w:val="34"/>
    <w:qFormat/>
    <w:uiPriority w:val="0"/>
    <w:rPr>
      <w:i/>
      <w:iCs/>
    </w:rPr>
  </w:style>
  <w:style w:type="character" w:styleId="42">
    <w:name w:val="Hyperlink"/>
    <w:qFormat/>
    <w:uiPriority w:val="0"/>
    <w:rPr>
      <w:rFonts w:ascii="Times New Roman" w:hAnsi="Times New Roman" w:eastAsia="宋体"/>
      <w:color w:val="auto"/>
      <w:spacing w:val="0"/>
      <w:w w:val="100"/>
      <w:position w:val="0"/>
      <w:sz w:val="21"/>
      <w:u w:val="none"/>
      <w:vertAlign w:val="baseline"/>
    </w:rPr>
  </w:style>
  <w:style w:type="character" w:styleId="43">
    <w:name w:val="HTML Code"/>
    <w:basedOn w:val="34"/>
    <w:qFormat/>
    <w:uiPriority w:val="0"/>
    <w:rPr>
      <w:rFonts w:ascii="Courier New" w:hAnsi="Courier New"/>
      <w:sz w:val="20"/>
      <w:szCs w:val="20"/>
    </w:rPr>
  </w:style>
  <w:style w:type="character" w:styleId="44">
    <w:name w:val="HTML Cite"/>
    <w:basedOn w:val="34"/>
    <w:qFormat/>
    <w:uiPriority w:val="0"/>
    <w:rPr>
      <w:i/>
      <w:iCs/>
    </w:rPr>
  </w:style>
  <w:style w:type="character" w:styleId="45">
    <w:name w:val="footnote reference"/>
    <w:basedOn w:val="34"/>
    <w:qFormat/>
    <w:uiPriority w:val="0"/>
    <w:rPr>
      <w:vertAlign w:val="superscript"/>
    </w:rPr>
  </w:style>
  <w:style w:type="character" w:styleId="46">
    <w:name w:val="HTML Keyboard"/>
    <w:basedOn w:val="34"/>
    <w:qFormat/>
    <w:uiPriority w:val="0"/>
    <w:rPr>
      <w:rFonts w:ascii="Courier New" w:hAnsi="Courier New"/>
      <w:sz w:val="20"/>
      <w:szCs w:val="20"/>
    </w:rPr>
  </w:style>
  <w:style w:type="character" w:styleId="47">
    <w:name w:val="HTML Sample"/>
    <w:basedOn w:val="34"/>
    <w:qFormat/>
    <w:uiPriority w:val="0"/>
    <w:rPr>
      <w:rFonts w:ascii="Courier New" w:hAnsi="Courier New"/>
    </w:rPr>
  </w:style>
  <w:style w:type="character" w:customStyle="1" w:styleId="48">
    <w:name w:val="个人答复风格"/>
    <w:basedOn w:val="34"/>
    <w:qFormat/>
    <w:uiPriority w:val="0"/>
    <w:rPr>
      <w:rFonts w:ascii="Arial" w:hAnsi="Arial" w:eastAsia="宋体" w:cs="Arial"/>
      <w:color w:val="auto"/>
      <w:sz w:val="20"/>
    </w:rPr>
  </w:style>
  <w:style w:type="character" w:customStyle="1" w:styleId="49">
    <w:name w:val="发布"/>
    <w:basedOn w:val="34"/>
    <w:qFormat/>
    <w:uiPriority w:val="0"/>
    <w:rPr>
      <w:rFonts w:ascii="黑体" w:eastAsia="黑体"/>
      <w:spacing w:val="22"/>
      <w:w w:val="100"/>
      <w:position w:val="3"/>
      <w:sz w:val="28"/>
    </w:rPr>
  </w:style>
  <w:style w:type="character" w:customStyle="1" w:styleId="50">
    <w:name w:val="注释"/>
    <w:basedOn w:val="34"/>
    <w:qFormat/>
    <w:uiPriority w:val="0"/>
    <w:rPr>
      <w:rFonts w:ascii="Times New Roman" w:eastAsia="宋体"/>
      <w:sz w:val="18"/>
    </w:rPr>
  </w:style>
  <w:style w:type="character" w:customStyle="1" w:styleId="51">
    <w:name w:val="图中文字"/>
    <w:basedOn w:val="34"/>
    <w:qFormat/>
    <w:uiPriority w:val="0"/>
    <w:rPr>
      <w:rFonts w:ascii="Times New Roman" w:eastAsia="宋体"/>
      <w:sz w:val="15"/>
    </w:rPr>
  </w:style>
  <w:style w:type="character" w:customStyle="1" w:styleId="52">
    <w:name w:val="HTML 预设格式 Char"/>
    <w:basedOn w:val="34"/>
    <w:link w:val="29"/>
    <w:qFormat/>
    <w:uiPriority w:val="0"/>
    <w:rPr>
      <w:rFonts w:ascii="Courier New" w:hAnsi="Courier New" w:cs="Courier New"/>
      <w:kern w:val="2"/>
    </w:rPr>
  </w:style>
  <w:style w:type="character" w:customStyle="1" w:styleId="53">
    <w:name w:val="个人撰写风格"/>
    <w:basedOn w:val="34"/>
    <w:qFormat/>
    <w:uiPriority w:val="0"/>
    <w:rPr>
      <w:rFonts w:ascii="Arial" w:hAnsi="Arial" w:eastAsia="宋体" w:cs="Arial"/>
      <w:color w:val="auto"/>
      <w:sz w:val="20"/>
    </w:rPr>
  </w:style>
  <w:style w:type="character" w:customStyle="1" w:styleId="54">
    <w:name w:val="注： Char Char"/>
    <w:basedOn w:val="34"/>
    <w:qFormat/>
    <w:uiPriority w:val="0"/>
    <w:rPr>
      <w:rFonts w:ascii="宋体" w:eastAsia="宋体"/>
      <w:kern w:val="2"/>
      <w:sz w:val="18"/>
      <w:szCs w:val="24"/>
      <w:lang w:val="en-US" w:eastAsia="zh-CN" w:bidi="ar-SA"/>
    </w:rPr>
  </w:style>
  <w:style w:type="paragraph" w:customStyle="1" w:styleId="55">
    <w:name w:val="正文表标题"/>
    <w:next w:val="56"/>
    <w:qFormat/>
    <w:uiPriority w:val="0"/>
    <w:pPr>
      <w:jc w:val="center"/>
    </w:pPr>
    <w:rPr>
      <w:rFonts w:ascii="黑体" w:hAnsi="Times New Roman" w:eastAsia="黑体" w:cs="Times New Roman"/>
      <w:sz w:val="21"/>
      <w:lang w:val="en-US" w:eastAsia="zh-CN" w:bidi="ar-SA"/>
    </w:rPr>
  </w:style>
  <w:style w:type="paragraph" w:customStyle="1" w:styleId="56">
    <w:name w:val="段"/>
    <w:link w:val="1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0">
    <w:name w:val="附录表标题"/>
    <w:next w:val="56"/>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1">
    <w:name w:val="一级条标题"/>
    <w:next w:val="56"/>
    <w:qFormat/>
    <w:uiPriority w:val="0"/>
    <w:pPr>
      <w:outlineLvl w:val="2"/>
    </w:pPr>
    <w:rPr>
      <w:rFonts w:ascii="Times New Roman" w:hAnsi="Times New Roman" w:eastAsia="黑体" w:cs="Times New Roman"/>
      <w:sz w:val="21"/>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其他发布部门"/>
    <w:basedOn w:val="64"/>
    <w:qFormat/>
    <w:uiPriority w:val="0"/>
    <w:pPr>
      <w:spacing w:line="0" w:lineRule="atLeast"/>
    </w:pPr>
    <w:rPr>
      <w:rFonts w:ascii="黑体" w:eastAsia="黑体"/>
      <w:b w:val="0"/>
    </w:rPr>
  </w:style>
  <w:style w:type="paragraph" w:customStyle="1" w:styleId="64">
    <w:name w:val="发布部门"/>
    <w:next w:val="56"/>
    <w:qFormat/>
    <w:uiPriority w:val="0"/>
    <w:pPr>
      <w:jc w:val="center"/>
    </w:pPr>
    <w:rPr>
      <w:rFonts w:ascii="宋体" w:hAnsi="Times New Roman" w:eastAsia="宋体" w:cs="Times New Roman"/>
      <w:b/>
      <w:spacing w:val="20"/>
      <w:w w:val="135"/>
      <w:sz w:val="36"/>
      <w:lang w:val="en-US" w:eastAsia="zh-CN" w:bidi="ar-SA"/>
    </w:rPr>
  </w:style>
  <w:style w:type="paragraph" w:customStyle="1" w:styleId="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6">
    <w:name w:val="列项说明"/>
    <w:basedOn w:val="1"/>
    <w:qFormat/>
    <w:uiPriority w:val="0"/>
    <w:pPr>
      <w:adjustRightInd w:val="0"/>
      <w:spacing w:line="320" w:lineRule="atLeast"/>
      <w:ind w:left="200" w:leftChars="200" w:hanging="200" w:hangingChars="200"/>
      <w:jc w:val="left"/>
    </w:pPr>
    <w:rPr>
      <w:rFonts w:ascii="宋体"/>
      <w:kern w:val="0"/>
      <w:szCs w:val="21"/>
    </w:rPr>
  </w:style>
  <w:style w:type="paragraph" w:customStyle="1" w:styleId="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示例"/>
    <w:next w:val="56"/>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69">
    <w:name w:val="一级无标题条"/>
    <w:basedOn w:val="1"/>
    <w:qFormat/>
    <w:uiPriority w:val="0"/>
  </w:style>
  <w:style w:type="paragraph" w:customStyle="1" w:styleId="7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1">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2">
    <w:name w:val="四级无标题条"/>
    <w:basedOn w:val="1"/>
    <w:qFormat/>
    <w:uiPriority w:val="0"/>
  </w:style>
  <w:style w:type="paragraph" w:customStyle="1" w:styleId="73">
    <w:name w:val="Char"/>
    <w:basedOn w:val="1"/>
    <w:qFormat/>
    <w:uiPriority w:val="0"/>
    <w:pPr>
      <w:widowControl/>
      <w:spacing w:after="160" w:line="240" w:lineRule="exact"/>
      <w:jc w:val="left"/>
    </w:pPr>
  </w:style>
  <w:style w:type="paragraph" w:customStyle="1" w:styleId="74">
    <w:name w:val="三级条标题"/>
    <w:basedOn w:val="75"/>
    <w:next w:val="56"/>
    <w:qFormat/>
    <w:uiPriority w:val="0"/>
    <w:pPr>
      <w:outlineLvl w:val="4"/>
    </w:pPr>
  </w:style>
  <w:style w:type="paragraph" w:customStyle="1" w:styleId="75">
    <w:name w:val="二级条标题"/>
    <w:basedOn w:val="61"/>
    <w:next w:val="56"/>
    <w:qFormat/>
    <w:uiPriority w:val="0"/>
    <w:pPr>
      <w:outlineLvl w:val="3"/>
    </w:pPr>
  </w:style>
  <w:style w:type="paragraph" w:customStyle="1" w:styleId="7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7">
    <w:name w:val="条文脚注"/>
    <w:basedOn w:val="27"/>
    <w:qFormat/>
    <w:uiPriority w:val="0"/>
    <w:pPr>
      <w:ind w:left="780" w:leftChars="200" w:hanging="360" w:hangingChars="200"/>
      <w:jc w:val="both"/>
    </w:pPr>
    <w:rPr>
      <w:rFonts w:ascii="宋体"/>
    </w:rPr>
  </w:style>
  <w:style w:type="paragraph" w:customStyle="1" w:styleId="78">
    <w:name w:val="附录三级条标题"/>
    <w:basedOn w:val="79"/>
    <w:next w:val="56"/>
    <w:qFormat/>
    <w:uiPriority w:val="0"/>
    <w:pPr>
      <w:outlineLvl w:val="4"/>
    </w:pPr>
  </w:style>
  <w:style w:type="paragraph" w:customStyle="1" w:styleId="79">
    <w:name w:val="附录二级条标题"/>
    <w:basedOn w:val="80"/>
    <w:next w:val="56"/>
    <w:qFormat/>
    <w:uiPriority w:val="0"/>
    <w:pPr>
      <w:outlineLvl w:val="3"/>
    </w:pPr>
  </w:style>
  <w:style w:type="paragraph" w:customStyle="1" w:styleId="80">
    <w:name w:val="附录一级条标题"/>
    <w:basedOn w:val="81"/>
    <w:next w:val="56"/>
    <w:qFormat/>
    <w:uiPriority w:val="0"/>
    <w:pPr>
      <w:autoSpaceDN w:val="0"/>
      <w:outlineLvl w:val="2"/>
    </w:pPr>
  </w:style>
  <w:style w:type="paragraph" w:customStyle="1" w:styleId="81">
    <w:name w:val="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2">
    <w:name w:val="注："/>
    <w:next w:val="5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83">
    <w:name w:val="附录标识"/>
    <w:basedOn w:val="57"/>
    <w:qFormat/>
    <w:uiPriority w:val="0"/>
    <w:pPr>
      <w:tabs>
        <w:tab w:val="left" w:pos="6405"/>
      </w:tabs>
      <w:spacing w:after="200"/>
    </w:pPr>
    <w:rPr>
      <w:sz w:val="21"/>
    </w:rPr>
  </w:style>
  <w:style w:type="paragraph" w:customStyle="1" w:styleId="84">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85">
    <w:name w:val="参考文献、索引标题"/>
    <w:basedOn w:val="57"/>
    <w:next w:val="1"/>
    <w:qFormat/>
    <w:uiPriority w:val="0"/>
    <w:pPr>
      <w:spacing w:after="200"/>
    </w:pPr>
    <w:rPr>
      <w:sz w:val="21"/>
    </w:r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图表脚注"/>
    <w:next w:val="5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8">
    <w:name w:val="封面标准号2"/>
    <w:basedOn w:val="89"/>
    <w:qFormat/>
    <w:uiPriority w:val="0"/>
    <w:pPr>
      <w:adjustRightInd w:val="0"/>
      <w:spacing w:before="357" w:line="280" w:lineRule="exact"/>
    </w:p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92">
    <w:name w:val="附录五级条标题"/>
    <w:basedOn w:val="93"/>
    <w:next w:val="56"/>
    <w:qFormat/>
    <w:uiPriority w:val="0"/>
    <w:pPr>
      <w:outlineLvl w:val="6"/>
    </w:pPr>
  </w:style>
  <w:style w:type="paragraph" w:customStyle="1" w:styleId="93">
    <w:name w:val="附录四级条标题"/>
    <w:basedOn w:val="78"/>
    <w:next w:val="56"/>
    <w:qFormat/>
    <w:uiPriority w:val="0"/>
    <w:pPr>
      <w:outlineLvl w:val="5"/>
    </w:pPr>
  </w:style>
  <w:style w:type="paragraph" w:customStyle="1" w:styleId="94">
    <w:name w:val="发布日期"/>
    <w:qFormat/>
    <w:uiPriority w:val="0"/>
    <w:rPr>
      <w:rFonts w:ascii="Times New Roman" w:hAnsi="Times New Roman" w:eastAsia="黑体" w:cs="Times New Roman"/>
      <w:sz w:val="28"/>
      <w:lang w:val="en-US" w:eastAsia="zh-CN" w:bidi="ar-SA"/>
    </w:rPr>
  </w:style>
  <w:style w:type="paragraph" w:customStyle="1" w:styleId="95">
    <w:name w:val="五级条标题"/>
    <w:basedOn w:val="96"/>
    <w:next w:val="56"/>
    <w:qFormat/>
    <w:uiPriority w:val="0"/>
    <w:pPr>
      <w:outlineLvl w:val="6"/>
    </w:pPr>
  </w:style>
  <w:style w:type="paragraph" w:customStyle="1" w:styleId="96">
    <w:name w:val="四级条标题"/>
    <w:basedOn w:val="74"/>
    <w:next w:val="56"/>
    <w:qFormat/>
    <w:uiPriority w:val="0"/>
    <w:pPr>
      <w:outlineLvl w:val="5"/>
    </w:pPr>
  </w:style>
  <w:style w:type="paragraph" w:customStyle="1" w:styleId="97">
    <w:name w:val="五级无标题条"/>
    <w:basedOn w:val="1"/>
    <w:qFormat/>
    <w:uiPriority w:val="0"/>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0">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1">
    <w:name w:val="目次、标准名称标题"/>
    <w:basedOn w:val="57"/>
    <w:next w:val="56"/>
    <w:qFormat/>
    <w:uiPriority w:val="0"/>
    <w:pPr>
      <w:spacing w:line="460" w:lineRule="exact"/>
    </w:pPr>
  </w:style>
  <w:style w:type="paragraph" w:customStyle="1" w:styleId="102">
    <w:name w:val="二级无标题条"/>
    <w:basedOn w:val="1"/>
    <w:link w:val="120"/>
    <w:qFormat/>
    <w:uiPriority w:val="0"/>
  </w:style>
  <w:style w:type="paragraph" w:customStyle="1" w:styleId="10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0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5">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6">
    <w:name w:val="章标题"/>
    <w:next w:val="5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9">
    <w:name w:val="三级无标题条"/>
    <w:basedOn w:val="1"/>
    <w:qFormat/>
    <w:uiPriority w:val="0"/>
  </w:style>
  <w:style w:type="paragraph" w:customStyle="1" w:styleId="110">
    <w:name w:val="标准书眉_偶数页"/>
    <w:basedOn w:val="65"/>
    <w:next w:val="1"/>
    <w:qFormat/>
    <w:uiPriority w:val="0"/>
    <w:pPr>
      <w:jc w:val="left"/>
    </w:pPr>
  </w:style>
  <w:style w:type="paragraph" w:customStyle="1" w:styleId="111">
    <w:name w:val="封面标准代替信息"/>
    <w:basedOn w:val="88"/>
    <w:qFormat/>
    <w:uiPriority w:val="0"/>
    <w:pPr>
      <w:spacing w:before="57"/>
    </w:pPr>
    <w:rPr>
      <w:rFonts w:ascii="宋体"/>
      <w:sz w:val="21"/>
    </w:rPr>
  </w:style>
  <w:style w:type="paragraph" w:customStyle="1" w:styleId="112">
    <w:name w:val="附录图标题"/>
    <w:next w:val="56"/>
    <w:qFormat/>
    <w:uiPriority w:val="0"/>
    <w:pPr>
      <w:tabs>
        <w:tab w:val="left" w:pos="360"/>
      </w:tabs>
      <w:jc w:val="center"/>
    </w:pPr>
    <w:rPr>
      <w:rFonts w:ascii="黑体" w:hAnsi="Times New Roman" w:eastAsia="黑体" w:cs="Times New Roman"/>
      <w:sz w:val="21"/>
      <w:lang w:val="en-US" w:eastAsia="zh-CN" w:bidi="ar-SA"/>
    </w:rPr>
  </w:style>
  <w:style w:type="paragraph" w:customStyle="1" w:styleId="11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4">
    <w:name w:val="正文图标题"/>
    <w:next w:val="56"/>
    <w:qFormat/>
    <w:uiPriority w:val="0"/>
    <w:pPr>
      <w:jc w:val="center"/>
    </w:pPr>
    <w:rPr>
      <w:rFonts w:ascii="黑体" w:hAnsi="Times New Roman" w:eastAsia="黑体" w:cs="Times New Roman"/>
      <w:sz w:val="21"/>
      <w:lang w:val="en-US" w:eastAsia="zh-CN" w:bidi="ar-SA"/>
    </w:rPr>
  </w:style>
  <w:style w:type="paragraph" w:customStyle="1" w:styleId="11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6">
    <w:name w:val="实施日期"/>
    <w:basedOn w:val="94"/>
    <w:qFormat/>
    <w:uiPriority w:val="0"/>
    <w:pPr>
      <w:jc w:val="right"/>
    </w:p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ordinary-output target-output"/>
    <w:basedOn w:val="1"/>
    <w:qFormat/>
    <w:uiPriority w:val="0"/>
    <w:pPr>
      <w:widowControl/>
      <w:spacing w:before="100" w:beforeAutospacing="1" w:after="100" w:afterAutospacing="1"/>
      <w:jc w:val="left"/>
    </w:pPr>
    <w:rPr>
      <w:rFonts w:ascii="宋体" w:hAnsi="宋体" w:cs="宋体"/>
      <w:kern w:val="0"/>
      <w:sz w:val="24"/>
    </w:rPr>
  </w:style>
  <w:style w:type="character" w:customStyle="1" w:styleId="119">
    <w:name w:val="high-light-bg4"/>
    <w:basedOn w:val="34"/>
    <w:qFormat/>
    <w:uiPriority w:val="0"/>
  </w:style>
  <w:style w:type="character" w:customStyle="1" w:styleId="120">
    <w:name w:val="二级无标题条 Char"/>
    <w:link w:val="102"/>
    <w:qFormat/>
    <w:locked/>
    <w:uiPriority w:val="0"/>
    <w:rPr>
      <w:kern w:val="2"/>
      <w:sz w:val="21"/>
      <w:szCs w:val="24"/>
    </w:rPr>
  </w:style>
  <w:style w:type="character" w:customStyle="1" w:styleId="121">
    <w:name w:val="段 Char"/>
    <w:link w:val="56"/>
    <w:qFormat/>
    <w:uiPriority w:val="0"/>
    <w:rPr>
      <w:rFonts w:ascii="宋体"/>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wmf"/><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6</Pages>
  <Words>648</Words>
  <Characters>3695</Characters>
  <Lines>30</Lines>
  <Paragraphs>8</Paragraphs>
  <TotalTime>63</TotalTime>
  <ScaleCrop>false</ScaleCrop>
  <LinksUpToDate>false</LinksUpToDate>
  <CharactersWithSpaces>4335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2018-03-09T04:24:00Z</dcterms:created>
  <dc:creator>科技部</dc:creator>
  <cp:lastModifiedBy>风凌</cp:lastModifiedBy>
  <cp:lastPrinted>2018-11-23T07:54:00Z</cp:lastPrinted>
  <dcterms:modified xsi:type="dcterms:W3CDTF">2019-04-10T06:37:29Z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MTWinEqns">
    <vt:bool>true</vt:bool>
  </property>
  <property fmtid="{D5CDD505-2E9C-101B-9397-08002B2CF9AE}" pid="4" name="KSOProductBuildVer">
    <vt:lpwstr>2052-11.1.0.8567</vt:lpwstr>
  </property>
</Properties>
</file>