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28"/>
          <w:szCs w:val="28"/>
        </w:rPr>
      </w:pPr>
      <w:r>
        <w:rPr>
          <w:color w:val="000000"/>
        </w:rPr>
        <w:pict>
          <v:shape id="fmFrame1" o:spid="_x0000_s1141" o:spt="202" type="#_x0000_t202" style="position:absolute;left:0pt;margin-left:-4.45pt;margin-top:-3.95pt;height:51.8pt;width:200pt;mso-position-horizontal-relative:margin;mso-position-vertical-relative:margin;z-index:251742208;mso-width-relative:page;mso-height-relative:page;" stroked="f" coordsize="21600,21600" o:allowincell="f">
            <v:path/>
            <v:fill focussize="0,0"/>
            <v:stroke on="f" joinstyle="miter"/>
            <v:imagedata o:title=""/>
            <o:lock v:ext="edit"/>
            <v:textbox inset="0mm,0mm,0mm,0mm">
              <w:txbxContent>
                <w:p>
                  <w:pPr>
                    <w:pStyle w:val="15"/>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w:t>
                  </w:r>
                </w:p>
                <w:p>
                  <w:pPr>
                    <w:pStyle w:val="15"/>
                    <w:snapToGrid w:val="0"/>
                    <w:rPr>
                      <w:rFonts w:ascii="宋体" w:hAnsi="宋体" w:eastAsia="宋体"/>
                      <w:color w:val="000000"/>
                    </w:rPr>
                  </w:pPr>
                  <w:r>
                    <w:rPr>
                      <w:rFonts w:ascii="宋体" w:hAnsi="宋体" w:eastAsia="宋体"/>
                      <w:b/>
                      <w:color w:val="000000"/>
                    </w:rPr>
                    <w:t>H 01</w:t>
                  </w:r>
                </w:p>
              </w:txbxContent>
            </v:textbox>
            <w10:anchorlock/>
          </v:shape>
        </w:pict>
      </w:r>
    </w:p>
    <w:p>
      <w:pPr>
        <w:rPr>
          <w:color w:val="000000"/>
          <w:sz w:val="28"/>
          <w:szCs w:val="28"/>
        </w:rPr>
      </w:pPr>
      <w:r>
        <w:rPr>
          <w:color w:val="000000"/>
          <w:sz w:val="28"/>
          <w:szCs w:val="28"/>
        </w:rPr>
        <w:t xml:space="preserve">                                          </w:t>
      </w:r>
    </w:p>
    <w:p>
      <w:pPr>
        <w:rPr>
          <w:color w:val="000000"/>
          <w:sz w:val="28"/>
          <w:szCs w:val="28"/>
        </w:rPr>
      </w:pPr>
      <w:r>
        <w:rPr>
          <w:color w:val="000000"/>
        </w:rPr>
        <w:pict>
          <v:shape id="fmFrame2" o:spid="_x0000_s1142" o:spt="202" type="#_x0000_t202" style="position:absolute;left:0pt;margin-left:-21.95pt;margin-top:75.65pt;height:70.95pt;width:481.9pt;mso-position-horizontal-relative:margin;mso-position-vertical-relative:margin;z-index:251743232;mso-width-relative:page;mso-height-relative:page;" stroked="f" coordsize="21600,21600" o:allowincell="f">
            <v:path/>
            <v:fill focussize="0,0"/>
            <v:stroke on="f" joinstyle="miter"/>
            <v:imagedata o:title=""/>
            <o:lock v:ext="edit"/>
            <v:textbox inset="0mm,0mm,0mm,0mm">
              <w:txbxContent>
                <w:p>
                  <w:pPr>
                    <w:pStyle w:val="17"/>
                    <w:jc w:val="center"/>
                    <w:rPr>
                      <w:sz w:val="96"/>
                      <w:szCs w:val="96"/>
                    </w:rPr>
                  </w:pPr>
                  <w:r>
                    <w:rPr>
                      <w:rFonts w:hint="eastAsia"/>
                      <w:sz w:val="96"/>
                      <w:szCs w:val="96"/>
                    </w:rPr>
                    <w:t>团 体 标 准</w:t>
                  </w:r>
                </w:p>
              </w:txbxContent>
            </v:textbox>
            <w10:anchorlock/>
          </v:shape>
        </w:pict>
      </w:r>
    </w:p>
    <w:p>
      <w:pPr>
        <w:rPr>
          <w:color w:val="000000"/>
          <w:sz w:val="28"/>
          <w:szCs w:val="28"/>
        </w:rPr>
      </w:pPr>
      <w:r>
        <w:rPr>
          <w:color w:val="000000"/>
        </w:rPr>
        <w:pict>
          <v:shape id="fmFrame3" o:spid="_x0000_s1143" o:spt="202" type="#_x0000_t202" style="position:absolute;left:0pt;margin-left:-25.5pt;margin-top:158.6pt;height:23.4pt;width:479.1pt;mso-position-horizontal-relative:margin;mso-position-vertical-relative:margin;z-index:251744256;mso-width-relative:page;mso-height-relative:page;" stroked="f" coordsize="21600,21600" o:allowincell="f">
            <v:path/>
            <v:fill focussize="0,0"/>
            <v:stroke on="f" joinstyle="miter"/>
            <v:imagedata o:title=""/>
            <o:lock v:ext="edit"/>
            <v:textbox inset="0mm,0mm,0mm,0mm">
              <w:txbxContent>
                <w:p>
                  <w:pPr>
                    <w:pStyle w:val="18"/>
                    <w:wordWrap w:val="0"/>
                    <w:spacing w:before="0"/>
                  </w:pPr>
                  <w:r>
                    <w:t>T/CNIA</w:t>
                  </w:r>
                  <w:r>
                    <w:rPr>
                      <w:rFonts w:hint="eastAsia"/>
                    </w:rPr>
                    <w:t>0004</w:t>
                  </w:r>
                  <w:r>
                    <w:t>-</w:t>
                  </w:r>
                  <w:r>
                    <w:rPr>
                      <w:rFonts w:hint="eastAsia"/>
                    </w:rPr>
                    <w:t xml:space="preserve">    </w:t>
                  </w:r>
                </w:p>
              </w:txbxContent>
            </v:textbox>
            <w10:anchorlock/>
          </v:shape>
        </w:pict>
      </w:r>
    </w:p>
    <w:p>
      <w:pPr>
        <w:rPr>
          <w:color w:val="000000"/>
          <w:sz w:val="28"/>
          <w:szCs w:val="28"/>
        </w:rPr>
      </w:pPr>
      <w:r>
        <w:rPr>
          <w:color w:val="000000"/>
        </w:rPr>
        <w:pict>
          <v:shape id="自选图形 7" o:spid="_x0000_s1147" o:spt="32" type="#_x0000_t32" style="position:absolute;left:0pt;margin-left:-43.75pt;margin-top:21.8pt;height:0pt;width:488.25pt;z-index:251748352;mso-width-relative:page;mso-height-relative:page;" o:connectortype="straight" filled="f" coordsize="21600,21600">
            <v:path arrowok="t"/>
            <v:fill on="f" focussize="0,0"/>
            <v:stroke/>
            <v:imagedata o:title=""/>
            <o:lock v:ext="edit"/>
          </v:shape>
        </w:pict>
      </w:r>
    </w:p>
    <w:p>
      <w:pPr>
        <w:rPr>
          <w:color w:val="000000"/>
          <w:sz w:val="28"/>
          <w:szCs w:val="28"/>
        </w:rPr>
      </w:pPr>
    </w:p>
    <w:p>
      <w:pPr>
        <w:rPr>
          <w:color w:val="000000"/>
          <w:sz w:val="28"/>
          <w:szCs w:val="28"/>
        </w:rPr>
      </w:pPr>
    </w:p>
    <w:p>
      <w:pPr>
        <w:rPr>
          <w:color w:val="000000"/>
          <w:sz w:val="28"/>
          <w:szCs w:val="28"/>
        </w:rPr>
      </w:pPr>
      <w:r>
        <w:rPr>
          <w:color w:val="000000"/>
        </w:rPr>
        <w:pict>
          <v:shape id="fmFrame4" o:spid="_x0000_s1144" o:spt="202" type="#_x0000_t202" style="position:absolute;left:0pt;margin-left:-25.5pt;margin-top:193.3pt;height:348.3pt;width:470pt;mso-position-horizontal-relative:margin;mso-position-vertical-relative:margin;z-index:251745280;mso-width-relative:page;mso-height-relative:page;" stroked="f" coordsize="21600,21600" o:allowincell="f">
            <v:path/>
            <v:fill focussize="0,0"/>
            <v:stroke on="f" joinstyle="miter"/>
            <v:imagedata o:title=""/>
            <o:lock v:ext="edit"/>
            <v:textbox inset="0mm,0mm,0mm,0mm">
              <w:txbxContent>
                <w:p>
                  <w:pPr>
                    <w:pStyle w:val="19"/>
                  </w:pPr>
                </w:p>
                <w:p>
                  <w:pPr>
                    <w:pStyle w:val="19"/>
                  </w:pPr>
                </w:p>
                <w:p>
                  <w:pPr>
                    <w:jc w:val="center"/>
                    <w:rPr>
                      <w:rFonts w:ascii="黑体" w:hAnsi="黑体" w:eastAsia="黑体"/>
                      <w:b/>
                      <w:bCs/>
                      <w:kern w:val="0"/>
                      <w:sz w:val="52"/>
                    </w:rPr>
                  </w:pPr>
                  <w:r>
                    <w:rPr>
                      <w:rFonts w:hint="eastAsia" w:ascii="黑体" w:hAnsi="黑体" w:eastAsia="黑体"/>
                      <w:b/>
                      <w:bCs/>
                      <w:kern w:val="0"/>
                      <w:sz w:val="52"/>
                    </w:rPr>
                    <w:t>绿色设计产品评价技术规范</w:t>
                  </w:r>
                  <w:r>
                    <w:rPr>
                      <w:rFonts w:ascii="黑体" w:hAnsi="黑体" w:eastAsia="黑体"/>
                      <w:b/>
                      <w:bCs/>
                      <w:kern w:val="0"/>
                      <w:sz w:val="52"/>
                    </w:rPr>
                    <w:t xml:space="preserve">  </w:t>
                  </w:r>
                </w:p>
                <w:p>
                  <w:pPr>
                    <w:jc w:val="center"/>
                    <w:rPr>
                      <w:rFonts w:ascii="黑体" w:hAnsi="黑体" w:eastAsia="黑体"/>
                      <w:b/>
                      <w:bCs/>
                      <w:kern w:val="0"/>
                      <w:sz w:val="52"/>
                    </w:rPr>
                  </w:pPr>
                  <w:r>
                    <w:rPr>
                      <w:rFonts w:hint="eastAsia" w:ascii="黑体" w:hAnsi="黑体" w:eastAsia="黑体"/>
                      <w:b/>
                      <w:bCs/>
                      <w:kern w:val="0"/>
                      <w:sz w:val="52"/>
                    </w:rPr>
                    <w:t>三氧化二锑</w:t>
                  </w:r>
                </w:p>
                <w:p>
                  <w:pPr>
                    <w:jc w:val="center"/>
                    <w:rPr>
                      <w:rFonts w:ascii="黑体" w:hAnsi="黑体" w:eastAsia="黑体"/>
                      <w:sz w:val="28"/>
                      <w:szCs w:val="28"/>
                    </w:rPr>
                  </w:pPr>
                  <w:r>
                    <w:rPr>
                      <w:rFonts w:hint="eastAsia" w:ascii="黑体" w:hAnsi="黑体" w:eastAsia="黑体"/>
                      <w:sz w:val="28"/>
                      <w:szCs w:val="28"/>
                    </w:rPr>
                    <w:t xml:space="preserve">   </w:t>
                  </w:r>
                  <w:r>
                    <w:rPr>
                      <w:rFonts w:ascii="黑体" w:hAnsi="黑体" w:eastAsia="黑体"/>
                      <w:sz w:val="28"/>
                      <w:szCs w:val="28"/>
                    </w:rPr>
                    <w:t>Technical specification for eco-design product assessment –antimony trioxide</w:t>
                  </w:r>
                  <w:r>
                    <w:rPr>
                      <w:rFonts w:hint="eastAsia" w:ascii="黑体" w:hAnsi="黑体" w:eastAsia="黑体"/>
                      <w:sz w:val="28"/>
                      <w:szCs w:val="28"/>
                    </w:rPr>
                    <w:t xml:space="preserve"> </w:t>
                  </w:r>
                </w:p>
                <w:p>
                  <w:pPr>
                    <w:jc w:val="center"/>
                    <w:rPr>
                      <w:rFonts w:ascii="宋体" w:hAnsi="宋体"/>
                      <w:sz w:val="30"/>
                      <w:szCs w:val="30"/>
                    </w:rPr>
                  </w:pPr>
                  <w:r>
                    <w:rPr>
                      <w:rFonts w:hint="eastAsia" w:ascii="宋体" w:hAnsi="宋体"/>
                      <w:sz w:val="30"/>
                      <w:szCs w:val="30"/>
                    </w:rPr>
                    <w:t>（讨论稿）</w:t>
                  </w:r>
                </w:p>
                <w:p>
                  <w:pPr>
                    <w:pStyle w:val="21"/>
                  </w:pPr>
                </w:p>
                <w:p>
                  <w:pPr>
                    <w:pStyle w:val="20"/>
                  </w:pPr>
                </w:p>
              </w:txbxContent>
            </v:textbox>
            <w10:anchorlock/>
          </v:shape>
        </w:pict>
      </w:r>
    </w:p>
    <w:p>
      <w:pPr>
        <w:rPr>
          <w:color w:val="000000"/>
          <w:sz w:val="28"/>
          <w:szCs w:val="28"/>
        </w:rPr>
      </w:pPr>
    </w:p>
    <w:p>
      <w:pPr>
        <w:rPr>
          <w:color w:val="000000"/>
          <w:sz w:val="28"/>
          <w:szCs w:val="28"/>
        </w:rPr>
      </w:pPr>
    </w:p>
    <w:p>
      <w:pPr>
        <w:rPr>
          <w:color w:val="000000"/>
          <w:sz w:val="28"/>
          <w:szCs w:val="28"/>
        </w:rPr>
      </w:pPr>
    </w:p>
    <w:p>
      <w:pPr>
        <w:rPr>
          <w:color w:val="000000"/>
          <w:sz w:val="28"/>
          <w:szCs w:val="28"/>
        </w:rPr>
      </w:pPr>
      <w:r>
        <w:rPr>
          <w:color w:val="000000"/>
        </w:rPr>
        <w:pict>
          <v:shape id="文本框 13" o:spid="_x0000_s1150" o:spt="202" type="#_x0000_t202" style="position:absolute;left:0pt;margin-left:355.6pt;margin-top:310pt;height:31.2pt;width:47.25pt;z-index:251751424;mso-width-relative:page;mso-height-relative:page;" stroked="f" coordsize="21600,21600">
            <v:path/>
            <v:fill focussize="0,0"/>
            <v:stroke on="f" joinstyle="miter"/>
            <v:imagedata o:title=""/>
            <o:lock v:ext="edit"/>
            <v:textbox inset="0.5mm,1.27mm,0.5mm,1.27mm">
              <w:txbxContent>
                <w:p>
                  <w:pPr>
                    <w:rPr>
                      <w:b/>
                      <w:sz w:val="36"/>
                      <w:szCs w:val="36"/>
                    </w:rPr>
                  </w:pPr>
                  <w:r>
                    <w:rPr>
                      <w:rFonts w:hint="eastAsia"/>
                      <w:b/>
                      <w:sz w:val="36"/>
                      <w:szCs w:val="36"/>
                    </w:rPr>
                    <w:t>发布</w:t>
                  </w:r>
                </w:p>
              </w:txbxContent>
            </v:textbox>
          </v:shape>
        </w:pict>
      </w:r>
      <w:r>
        <w:rPr>
          <w:color w:val="000000"/>
        </w:rPr>
        <w:pict>
          <v:shape id="自选图形 11" o:spid="_x0000_s1148" o:spt="32" type="#_x0000_t32" style="position:absolute;left:0pt;margin-left:-34.65pt;margin-top:278.2pt;height:0pt;width:488.25pt;z-index:251749376;mso-width-relative:page;mso-height-relative:page;" o:connectortype="straight" filled="f" coordsize="21600,21600">
            <v:path arrowok="t"/>
            <v:fill on="f" focussize="0,0"/>
            <v:stroke/>
            <v:imagedata o:title=""/>
            <o:lock v:ext="edit"/>
          </v:shape>
        </w:pict>
      </w:r>
      <w:r>
        <w:rPr>
          <w:color w:val="000000"/>
        </w:rPr>
        <w:pict>
          <v:shape id="fmFrame6" o:spid="_x0000_s1145" o:spt="202" type="#_x0000_t202" style="position:absolute;left:0pt;margin-left:302.05pt;margin-top:576.65pt;height:24.6pt;width:121.35pt;mso-position-horizontal-relative:margin;mso-position-vertical-relative:margin;z-index:251746304;mso-width-relative:page;mso-height-relative:page;" stroked="f" coordsize="21600,21600">
            <v:path/>
            <v:fill focussize="0,0"/>
            <v:stroke on="f" joinstyle="miter"/>
            <v:imagedata o:title=""/>
            <o:lock v:ext="edit"/>
            <v:textbox inset="0mm,0mm,0mm,0mm">
              <w:txbxContent>
                <w:p>
                  <w:pPr>
                    <w:pStyle w:val="23"/>
                  </w:pPr>
                  <w:r>
                    <w:rPr>
                      <w:rFonts w:hint="eastAsia"/>
                    </w:rPr>
                    <w:t>实施</w:t>
                  </w:r>
                </w:p>
              </w:txbxContent>
            </v:textbox>
            <w10:anchorlock/>
          </v:shape>
        </w:pict>
      </w:r>
      <w:r>
        <w:rPr>
          <w:color w:val="000000"/>
        </w:rPr>
        <w:pict>
          <v:shape id="fmFrame5" o:spid="_x0000_s1146" o:spt="202" type="#_x0000_t202" style="position:absolute;left:0pt;margin-left:-21.95pt;margin-top:578.75pt;height:24.6pt;width:159pt;mso-position-horizontal-relative:margin;mso-position-vertical-relative:margin;z-index:251747328;mso-width-relative:page;mso-height-relative:page;" stroked="f" coordsize="21600,21600">
            <v:path/>
            <v:fill focussize="0,0"/>
            <v:stroke on="f" joinstyle="miter"/>
            <v:imagedata o:title=""/>
            <o:lock v:ext="edit"/>
            <v:textbox inset="0mm,0mm,0mm,0mm">
              <w:txbxContent>
                <w:p>
                  <w:pPr>
                    <w:pStyle w:val="22"/>
                    <w:ind w:firstLine="1260" w:firstLineChars="450"/>
                  </w:pPr>
                  <w:r>
                    <w:rPr>
                      <w:rFonts w:hint="eastAsia"/>
                    </w:rPr>
                    <w:t>发布</w:t>
                  </w:r>
                </w:p>
              </w:txbxContent>
            </v:textbox>
            <w10:anchorlock/>
          </v:shape>
        </w:pict>
      </w:r>
      <w:r>
        <w:rPr>
          <w:color w:val="000000"/>
        </w:rPr>
        <w:pict>
          <v:shape id="fmFrame7" o:spid="_x0000_s1149" o:spt="202" type="#_x0000_t202" style="position:absolute;left:0pt;margin-left:38.55pt;margin-top:635.55pt;height:61.9pt;width:317.05pt;mso-position-horizontal-relative:margin;mso-position-vertical-relative:margin;z-index:251750400;mso-width-relative:page;mso-height-relative:page;" stroked="f" coordsize="21600,21600">
            <v:path/>
            <v:fill focussize="0,0"/>
            <v:stroke on="f" joinstyle="miter"/>
            <v:imagedata o:title=""/>
            <o:lock v:ext="edit"/>
            <v:textbox inset="0mm,0mm,0mm,0mm">
              <w:txbxContent>
                <w:p>
                  <w:pPr>
                    <w:pStyle w:val="24"/>
                    <w:jc w:val="both"/>
                    <w:rPr>
                      <w:spacing w:val="0"/>
                      <w:sz w:val="44"/>
                      <w:szCs w:val="72"/>
                    </w:rPr>
                  </w:pPr>
                  <w:r>
                    <w:rPr>
                      <w:rFonts w:hint="eastAsia"/>
                      <w:spacing w:val="0"/>
                      <w:sz w:val="44"/>
                      <w:szCs w:val="72"/>
                    </w:rPr>
                    <w:t>中国有色金属工业协会</w:t>
                  </w:r>
                  <w:r>
                    <w:rPr>
                      <w:spacing w:val="0"/>
                      <w:sz w:val="44"/>
                      <w:szCs w:val="72"/>
                    </w:rPr>
                    <w:t xml:space="preserve"> </w:t>
                  </w:r>
                </w:p>
                <w:p>
                  <w:pPr>
                    <w:pStyle w:val="24"/>
                    <w:jc w:val="both"/>
                    <w:rPr>
                      <w:spacing w:val="100"/>
                      <w:sz w:val="22"/>
                    </w:rPr>
                  </w:pPr>
                  <w:r>
                    <w:rPr>
                      <w:rFonts w:hint="eastAsia"/>
                      <w:spacing w:val="100"/>
                      <w:w w:val="130"/>
                      <w:sz w:val="44"/>
                      <w:szCs w:val="72"/>
                    </w:rPr>
                    <w:t>中国有色金属学会</w:t>
                  </w:r>
                </w:p>
              </w:txbxContent>
            </v:textbox>
            <w10:anchorlock/>
          </v:shape>
        </w:pict>
      </w:r>
      <w:r>
        <w:rPr>
          <w:color w:val="000000"/>
          <w:sz w:val="28"/>
        </w:rPr>
        <w:br w:type="page"/>
      </w:r>
    </w:p>
    <w:p>
      <w:pPr>
        <w:pStyle w:val="28"/>
        <w:jc w:val="center"/>
        <w:rPr>
          <w:rFonts w:ascii="黑体" w:hAnsi="黑体" w:eastAsia="黑体" w:cs="黑体"/>
          <w:color w:val="000000"/>
          <w:sz w:val="30"/>
          <w:szCs w:val="30"/>
        </w:rPr>
      </w:pPr>
      <w:r>
        <w:rPr>
          <w:rFonts w:hint="eastAsia" w:ascii="黑体" w:hAnsi="黑体" w:eastAsia="黑体" w:cs="黑体"/>
          <w:color w:val="000000"/>
          <w:sz w:val="30"/>
          <w:szCs w:val="30"/>
          <w:lang w:val="zh-CN"/>
        </w:rPr>
        <w:t xml:space="preserve">目        </w:t>
      </w:r>
      <w:r>
        <w:rPr>
          <w:rFonts w:hint="eastAsia" w:ascii="黑体" w:hAnsi="黑体" w:eastAsia="黑体" w:cs="黑体"/>
          <w:color w:val="000000"/>
          <w:sz w:val="30"/>
          <w:szCs w:val="30"/>
        </w:rPr>
        <w:t>次</w:t>
      </w:r>
    </w:p>
    <w:p>
      <w:pPr>
        <w:pStyle w:val="6"/>
        <w:tabs>
          <w:tab w:val="right" w:leader="dot" w:pos="8296"/>
        </w:tabs>
        <w:rPr>
          <w:rFonts w:ascii="Times New Roman" w:hAnsi="Times New Roman"/>
          <w:color w:val="000000"/>
          <w:szCs w:val="24"/>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"_Toc510989394" </w:instrText>
      </w:r>
      <w:r>
        <w:fldChar w:fldCharType="separate"/>
      </w:r>
      <w:r>
        <w:rPr>
          <w:rStyle w:val="10"/>
          <w:rFonts w:hint="eastAsia"/>
          <w:b/>
          <w:color w:val="000000"/>
        </w:rPr>
        <w:t>前</w:t>
      </w:r>
      <w:r>
        <w:rPr>
          <w:rStyle w:val="10"/>
          <w:b/>
          <w:color w:val="000000"/>
        </w:rPr>
        <w:t xml:space="preserve">    </w:t>
      </w:r>
      <w:r>
        <w:rPr>
          <w:rStyle w:val="10"/>
          <w:rFonts w:hint="eastAsia"/>
          <w:b/>
          <w:color w:val="000000"/>
        </w:rPr>
        <w:t>言</w:t>
      </w:r>
      <w:r>
        <w:rPr>
          <w:color w:val="000000"/>
        </w:rPr>
        <w:tab/>
      </w:r>
      <w:r>
        <w:rPr>
          <w:color w:val="000000"/>
        </w:rPr>
        <w:fldChar w:fldCharType="begin"/>
      </w:r>
      <w:r>
        <w:rPr>
          <w:color w:val="000000"/>
        </w:rPr>
        <w:instrText xml:space="preserve"> PAGEREF _Toc510989394 \h </w:instrText>
      </w:r>
      <w:r>
        <w:rPr>
          <w:color w:val="000000"/>
        </w:rPr>
        <w:fldChar w:fldCharType="separate"/>
      </w:r>
      <w:r>
        <w:rPr>
          <w:color w:val="000000"/>
        </w:rPr>
        <w:t>III</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"_Toc510989395" </w:instrText>
      </w:r>
      <w:r>
        <w:fldChar w:fldCharType="separate"/>
      </w:r>
      <w:r>
        <w:rPr>
          <w:rStyle w:val="10"/>
          <w:rFonts w:ascii="黑体" w:hAnsi="黑体" w:eastAsia="黑体"/>
          <w:color w:val="000000"/>
        </w:rPr>
        <w:t>1</w:t>
      </w:r>
      <w:r>
        <w:rPr>
          <w:rStyle w:val="10"/>
          <w:rFonts w:hint="eastAsia" w:ascii="黑体" w:hAnsi="黑体" w:eastAsia="黑体"/>
          <w:color w:val="000000"/>
        </w:rPr>
        <w:t>范围</w:t>
      </w:r>
      <w:r>
        <w:rPr>
          <w:color w:val="000000"/>
        </w:rPr>
        <w:tab/>
      </w:r>
      <w:r>
        <w:rPr>
          <w:color w:val="000000"/>
        </w:rPr>
        <w:fldChar w:fldCharType="begin"/>
      </w:r>
      <w:r>
        <w:rPr>
          <w:color w:val="000000"/>
        </w:rPr>
        <w:instrText xml:space="preserve"> PAGEREF _Toc510989395 \h </w:instrText>
      </w:r>
      <w:r>
        <w:rPr>
          <w:color w:val="000000"/>
        </w:rPr>
        <w:fldChar w:fldCharType="separate"/>
      </w:r>
      <w:r>
        <w:rPr>
          <w:color w:val="000000"/>
        </w:rPr>
        <w:t>1</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"_Toc510989396" </w:instrText>
      </w:r>
      <w:r>
        <w:fldChar w:fldCharType="separate"/>
      </w:r>
      <w:r>
        <w:rPr>
          <w:rStyle w:val="10"/>
          <w:rFonts w:ascii="黑体" w:hAnsi="黑体" w:eastAsia="黑体"/>
          <w:color w:val="000000"/>
        </w:rPr>
        <w:t xml:space="preserve">2 </w:t>
      </w:r>
      <w:r>
        <w:rPr>
          <w:rStyle w:val="10"/>
          <w:rFonts w:hint="eastAsia" w:ascii="黑体" w:hAnsi="黑体" w:eastAsia="黑体"/>
          <w:color w:val="000000"/>
        </w:rPr>
        <w:t>规范性引用文件</w:t>
      </w:r>
      <w:r>
        <w:rPr>
          <w:color w:val="000000"/>
        </w:rPr>
        <w:tab/>
      </w:r>
      <w:r>
        <w:rPr>
          <w:color w:val="000000"/>
        </w:rPr>
        <w:fldChar w:fldCharType="begin"/>
      </w:r>
      <w:r>
        <w:rPr>
          <w:color w:val="000000"/>
        </w:rPr>
        <w:instrText xml:space="preserve"> PAGEREF _Toc510989396 \h </w:instrText>
      </w:r>
      <w:r>
        <w:rPr>
          <w:color w:val="000000"/>
        </w:rPr>
        <w:fldChar w:fldCharType="separate"/>
      </w:r>
      <w:r>
        <w:rPr>
          <w:color w:val="000000"/>
        </w:rPr>
        <w:t>1</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"_Toc510989397" </w:instrText>
      </w:r>
      <w:r>
        <w:fldChar w:fldCharType="separate"/>
      </w:r>
      <w:r>
        <w:rPr>
          <w:rStyle w:val="10"/>
          <w:rFonts w:ascii="黑体" w:hAnsi="黑体" w:eastAsia="黑体"/>
          <w:color w:val="000000"/>
        </w:rPr>
        <w:t xml:space="preserve">3 </w:t>
      </w:r>
      <w:r>
        <w:rPr>
          <w:rStyle w:val="10"/>
          <w:rFonts w:hint="eastAsia" w:ascii="黑体" w:hAnsi="黑体" w:eastAsia="黑体"/>
          <w:color w:val="000000"/>
        </w:rPr>
        <w:t>术语和定义</w:t>
      </w:r>
      <w:r>
        <w:rPr>
          <w:color w:val="000000"/>
        </w:rPr>
        <w:tab/>
      </w:r>
      <w:r>
        <w:rPr>
          <w:color w:val="000000"/>
        </w:rPr>
        <w:fldChar w:fldCharType="begin"/>
      </w:r>
      <w:r>
        <w:rPr>
          <w:color w:val="000000"/>
        </w:rPr>
        <w:instrText xml:space="preserve"> PAGEREF _Toc510989397 \h </w:instrText>
      </w:r>
      <w:r>
        <w:rPr>
          <w:color w:val="000000"/>
        </w:rPr>
        <w:fldChar w:fldCharType="separate"/>
      </w:r>
      <w:r>
        <w:rPr>
          <w:color w:val="000000"/>
        </w:rPr>
        <w:t>1</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"_Toc510989398" </w:instrText>
      </w:r>
      <w:r>
        <w:fldChar w:fldCharType="separate"/>
      </w:r>
      <w:r>
        <w:rPr>
          <w:rStyle w:val="10"/>
          <w:rFonts w:ascii="黑体" w:hAnsi="黑体" w:eastAsia="黑体"/>
          <w:color w:val="000000"/>
        </w:rPr>
        <w:t xml:space="preserve">4 </w:t>
      </w:r>
      <w:r>
        <w:rPr>
          <w:rStyle w:val="10"/>
          <w:rFonts w:hint="eastAsia" w:ascii="黑体" w:hAnsi="黑体" w:eastAsia="黑体"/>
          <w:color w:val="000000"/>
        </w:rPr>
        <w:t>评价要求</w:t>
      </w:r>
      <w:r>
        <w:rPr>
          <w:color w:val="000000"/>
        </w:rPr>
        <w:tab/>
      </w:r>
      <w:r>
        <w:rPr>
          <w:color w:val="000000"/>
        </w:rPr>
        <w:fldChar w:fldCharType="begin"/>
      </w:r>
      <w:r>
        <w:rPr>
          <w:color w:val="000000"/>
        </w:rPr>
        <w:instrText xml:space="preserve"> PAGEREF _Toc510989398 \h </w:instrText>
      </w:r>
      <w:r>
        <w:rPr>
          <w:color w:val="000000"/>
        </w:rPr>
        <w:fldChar w:fldCharType="separate"/>
      </w:r>
      <w:r>
        <w:rPr>
          <w:color w:val="000000"/>
        </w:rPr>
        <w:t>1</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"_Toc510989399" </w:instrText>
      </w:r>
      <w:r>
        <w:fldChar w:fldCharType="separate"/>
      </w:r>
      <w:r>
        <w:rPr>
          <w:rStyle w:val="10"/>
          <w:rFonts w:ascii="黑体" w:hAnsi="黑体" w:eastAsia="黑体"/>
          <w:color w:val="000000"/>
        </w:rPr>
        <w:t xml:space="preserve">5 </w:t>
      </w:r>
      <w:r>
        <w:rPr>
          <w:rStyle w:val="10"/>
          <w:rFonts w:hint="eastAsia" w:ascii="黑体" w:hAnsi="黑体" w:eastAsia="黑体"/>
          <w:color w:val="000000"/>
        </w:rPr>
        <w:t>生命周期评价报告编制方法</w:t>
      </w:r>
      <w:r>
        <w:rPr>
          <w:color w:val="000000"/>
        </w:rPr>
        <w:tab/>
      </w:r>
      <w:r>
        <w:rPr>
          <w:color w:val="000000"/>
        </w:rPr>
        <w:fldChar w:fldCharType="begin"/>
      </w:r>
      <w:r>
        <w:rPr>
          <w:color w:val="000000"/>
        </w:rPr>
        <w:instrText xml:space="preserve"> PAGEREF _Toc510989399 \h </w:instrText>
      </w:r>
      <w:r>
        <w:rPr>
          <w:color w:val="000000"/>
        </w:rPr>
        <w:fldChar w:fldCharType="separate"/>
      </w:r>
      <w:r>
        <w:rPr>
          <w:color w:val="000000"/>
        </w:rPr>
        <w:t>2</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"_Toc510989400" </w:instrText>
      </w:r>
      <w:r>
        <w:fldChar w:fldCharType="separate"/>
      </w:r>
      <w:r>
        <w:rPr>
          <w:rStyle w:val="10"/>
          <w:rFonts w:ascii="黑体" w:hAnsi="黑体" w:eastAsia="黑体"/>
          <w:color w:val="000000"/>
        </w:rPr>
        <w:t xml:space="preserve">6 </w:t>
      </w:r>
      <w:r>
        <w:rPr>
          <w:rStyle w:val="10"/>
          <w:rFonts w:hint="eastAsia" w:ascii="黑体" w:hAnsi="黑体" w:eastAsia="黑体"/>
          <w:color w:val="000000"/>
        </w:rPr>
        <w:t>评价方法和流程</w:t>
      </w:r>
      <w:r>
        <w:rPr>
          <w:color w:val="000000"/>
        </w:rPr>
        <w:tab/>
      </w:r>
      <w:r>
        <w:rPr>
          <w:color w:val="000000"/>
        </w:rPr>
        <w:fldChar w:fldCharType="begin"/>
      </w:r>
      <w:r>
        <w:rPr>
          <w:color w:val="000000"/>
        </w:rPr>
        <w:instrText xml:space="preserve"> PAGEREF _Toc510989400 \h </w:instrText>
      </w:r>
      <w:r>
        <w:rPr>
          <w:color w:val="000000"/>
        </w:rPr>
        <w:fldChar w:fldCharType="separate"/>
      </w:r>
      <w:r>
        <w:rPr>
          <w:color w:val="000000"/>
        </w:rPr>
        <w:t>3</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"_Toc510989401" </w:instrText>
      </w:r>
      <w:r>
        <w:fldChar w:fldCharType="separate"/>
      </w:r>
      <w:r>
        <w:rPr>
          <w:rStyle w:val="10"/>
          <w:rFonts w:hint="eastAsia" w:ascii="黑体" w:hAnsi="黑体" w:eastAsia="黑体"/>
          <w:color w:val="000000"/>
        </w:rPr>
        <w:t>附录</w:t>
      </w:r>
      <w:r>
        <w:rPr>
          <w:rStyle w:val="10"/>
          <w:rFonts w:ascii="黑体" w:hAnsi="黑体" w:eastAsia="黑体"/>
          <w:color w:val="000000"/>
        </w:rPr>
        <w:t xml:space="preserve">A </w:t>
      </w:r>
      <w:r>
        <w:rPr>
          <w:rStyle w:val="10"/>
          <w:rFonts w:hint="eastAsia" w:ascii="黑体" w:hAnsi="黑体" w:eastAsia="黑体"/>
          <w:color w:val="000000"/>
        </w:rPr>
        <w:t>（规范性附录）</w:t>
      </w:r>
      <w:r>
        <w:rPr>
          <w:rStyle w:val="10"/>
          <w:rFonts w:ascii="黑体" w:hAnsi="黑体" w:eastAsia="黑体"/>
          <w:color w:val="000000"/>
        </w:rPr>
        <w:t xml:space="preserve"> </w:t>
      </w:r>
      <w:r>
        <w:rPr>
          <w:rStyle w:val="10"/>
          <w:rFonts w:hint="eastAsia" w:ascii="黑体" w:hAnsi="黑体" w:eastAsia="黑体"/>
          <w:color w:val="000000"/>
        </w:rPr>
        <w:t>三氧化二锑产品生命周期评价方法</w:t>
      </w:r>
      <w:r>
        <w:rPr>
          <w:color w:val="000000"/>
        </w:rPr>
        <w:tab/>
      </w:r>
      <w:r>
        <w:rPr>
          <w:color w:val="000000"/>
        </w:rPr>
        <w:fldChar w:fldCharType="begin"/>
      </w:r>
      <w:r>
        <w:rPr>
          <w:color w:val="000000"/>
        </w:rPr>
        <w:instrText xml:space="preserve"> PAGEREF _Toc510989401 \h </w:instrText>
      </w:r>
      <w:r>
        <w:rPr>
          <w:color w:val="000000"/>
        </w:rPr>
        <w:fldChar w:fldCharType="separate"/>
      </w:r>
      <w:r>
        <w:rPr>
          <w:color w:val="000000"/>
        </w:rPr>
        <w:t>5</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"_Toc510989402" </w:instrText>
      </w:r>
      <w:r>
        <w:fldChar w:fldCharType="separate"/>
      </w:r>
      <w:r>
        <w:rPr>
          <w:rStyle w:val="10"/>
          <w:rFonts w:hint="eastAsia" w:ascii="黑体" w:hAnsi="黑体" w:eastAsia="黑体"/>
          <w:color w:val="000000"/>
        </w:rPr>
        <w:t>附录</w:t>
      </w:r>
      <w:r>
        <w:rPr>
          <w:rStyle w:val="10"/>
          <w:rFonts w:ascii="黑体" w:hAnsi="黑体" w:eastAsia="黑体"/>
          <w:color w:val="000000"/>
        </w:rPr>
        <w:t xml:space="preserve">B </w:t>
      </w:r>
      <w:r>
        <w:rPr>
          <w:rStyle w:val="10"/>
          <w:rFonts w:hint="eastAsia" w:ascii="黑体" w:hAnsi="黑体" w:eastAsia="黑体"/>
          <w:color w:val="000000"/>
        </w:rPr>
        <w:t>（规范性附录）</w:t>
      </w:r>
      <w:r>
        <w:rPr>
          <w:rStyle w:val="10"/>
          <w:rFonts w:ascii="黑体" w:hAnsi="黑体" w:eastAsia="黑体"/>
          <w:color w:val="000000"/>
        </w:rPr>
        <w:t xml:space="preserve"> </w:t>
      </w:r>
      <w:r>
        <w:rPr>
          <w:rStyle w:val="10"/>
          <w:rFonts w:hint="eastAsia" w:ascii="黑体" w:hAnsi="黑体" w:eastAsia="黑体"/>
          <w:color w:val="000000"/>
        </w:rPr>
        <w:t>数据收集表格示例</w:t>
      </w:r>
      <w:r>
        <w:rPr>
          <w:color w:val="000000"/>
        </w:rPr>
        <w:tab/>
      </w:r>
      <w:r>
        <w:rPr>
          <w:color w:val="000000"/>
        </w:rPr>
        <w:fldChar w:fldCharType="begin"/>
      </w:r>
      <w:r>
        <w:rPr>
          <w:color w:val="000000"/>
        </w:rPr>
        <w:instrText xml:space="preserve"> PAGEREF _Toc510989402 \h </w:instrText>
      </w:r>
      <w:r>
        <w:rPr>
          <w:color w:val="000000"/>
        </w:rPr>
        <w:fldChar w:fldCharType="separate"/>
      </w:r>
      <w:r>
        <w:rPr>
          <w:color w:val="000000"/>
        </w:rPr>
        <w:t>9</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"_Toc510989403" </w:instrText>
      </w:r>
      <w:r>
        <w:fldChar w:fldCharType="separate"/>
      </w:r>
      <w:r>
        <w:rPr>
          <w:rStyle w:val="10"/>
          <w:rFonts w:hint="eastAsia" w:ascii="黑体" w:eastAsia="黑体"/>
          <w:color w:val="000000"/>
        </w:rPr>
        <w:t>附录</w:t>
      </w:r>
      <w:r>
        <w:rPr>
          <w:rStyle w:val="10"/>
          <w:rFonts w:ascii="黑体" w:eastAsia="黑体"/>
          <w:color w:val="000000"/>
        </w:rPr>
        <w:t>C</w:t>
      </w:r>
      <w:r>
        <w:rPr>
          <w:rStyle w:val="10"/>
          <w:rFonts w:hint="eastAsia" w:ascii="黑体" w:eastAsia="黑体"/>
          <w:color w:val="000000"/>
        </w:rPr>
        <w:t>（资料性附录）</w:t>
      </w:r>
      <w:r>
        <w:rPr>
          <w:rStyle w:val="10"/>
          <w:rFonts w:ascii="黑体" w:eastAsia="黑体"/>
          <w:color w:val="000000"/>
        </w:rPr>
        <w:t xml:space="preserve"> </w:t>
      </w:r>
      <w:r>
        <w:rPr>
          <w:rStyle w:val="10"/>
          <w:rFonts w:hint="eastAsia" w:ascii="黑体" w:eastAsia="黑体"/>
          <w:color w:val="000000"/>
        </w:rPr>
        <w:t>产品生态设计改进方案优先排序方法及示例</w:t>
      </w:r>
      <w:r>
        <w:rPr>
          <w:color w:val="000000"/>
        </w:rPr>
        <w:tab/>
      </w:r>
      <w:r>
        <w:rPr>
          <w:color w:val="000000"/>
        </w:rPr>
        <w:fldChar w:fldCharType="begin"/>
      </w:r>
      <w:r>
        <w:rPr>
          <w:color w:val="000000"/>
        </w:rPr>
        <w:instrText xml:space="preserve"> PAGEREF _Toc510989403 \h </w:instrText>
      </w:r>
      <w:r>
        <w:rPr>
          <w:color w:val="000000"/>
        </w:rPr>
        <w:fldChar w:fldCharType="separate"/>
      </w:r>
      <w:r>
        <w:rPr>
          <w:color w:val="000000"/>
        </w:rPr>
        <w:t>11</w:t>
      </w:r>
      <w:r>
        <w:rPr>
          <w:color w:val="000000"/>
        </w:rPr>
        <w:fldChar w:fldCharType="end"/>
      </w:r>
      <w:r>
        <w:rPr>
          <w:color w:val="000000"/>
        </w:rPr>
        <w:fldChar w:fldCharType="end"/>
      </w:r>
    </w:p>
    <w:p>
      <w:pPr>
        <w:pStyle w:val="6"/>
        <w:tabs>
          <w:tab w:val="right" w:leader="dot" w:pos="8296"/>
        </w:tabs>
        <w:rPr>
          <w:rFonts w:ascii="Times New Roman" w:hAnsi="Times New Roman"/>
          <w:color w:val="000000"/>
          <w:szCs w:val="24"/>
        </w:rPr>
      </w:pPr>
      <w:r>
        <w:fldChar w:fldCharType="begin"/>
      </w:r>
      <w:r>
        <w:instrText xml:space="preserve"> HYPERLINK \l "_Toc510989404" </w:instrText>
      </w:r>
      <w:r>
        <w:fldChar w:fldCharType="separate"/>
      </w:r>
      <w:r>
        <w:rPr>
          <w:rStyle w:val="10"/>
          <w:rFonts w:hint="eastAsia" w:ascii="黑体" w:eastAsia="黑体"/>
          <w:color w:val="000000"/>
        </w:rPr>
        <w:t>参考文献</w:t>
      </w:r>
      <w:r>
        <w:rPr>
          <w:color w:val="000000"/>
        </w:rPr>
        <w:tab/>
      </w:r>
      <w:r>
        <w:rPr>
          <w:color w:val="000000"/>
        </w:rPr>
        <w:fldChar w:fldCharType="begin"/>
      </w:r>
      <w:r>
        <w:rPr>
          <w:color w:val="000000"/>
        </w:rPr>
        <w:instrText xml:space="preserve"> PAGEREF _Toc510989404 \h </w:instrText>
      </w:r>
      <w:r>
        <w:rPr>
          <w:color w:val="000000"/>
        </w:rPr>
        <w:fldChar w:fldCharType="separate"/>
      </w:r>
      <w:r>
        <w:rPr>
          <w:color w:val="000000"/>
        </w:rPr>
        <w:t>13</w:t>
      </w:r>
      <w:r>
        <w:rPr>
          <w:color w:val="000000"/>
        </w:rPr>
        <w:fldChar w:fldCharType="end"/>
      </w:r>
      <w:r>
        <w:rPr>
          <w:color w:val="000000"/>
        </w:rPr>
        <w:fldChar w:fldCharType="end"/>
      </w:r>
    </w:p>
    <w:p>
      <w:pPr>
        <w:rPr>
          <w:color w:val="000000"/>
        </w:rPr>
      </w:pPr>
      <w:r>
        <w:rPr>
          <w:color w:val="000000"/>
        </w:rPr>
        <w:fldChar w:fldCharType="end"/>
      </w:r>
    </w:p>
    <w:p>
      <w:pPr>
        <w:widowControl/>
        <w:jc w:val="left"/>
        <w:rPr>
          <w:color w:val="000000"/>
          <w:sz w:val="28"/>
        </w:rPr>
      </w:pPr>
      <w:r>
        <w:rPr>
          <w:color w:val="000000"/>
          <w:sz w:val="28"/>
        </w:rPr>
        <w:br w:type="page"/>
      </w:r>
    </w:p>
    <w:p>
      <w:pPr>
        <w:widowControl/>
        <w:jc w:val="left"/>
        <w:rPr>
          <w:color w:val="000000"/>
          <w:sz w:val="28"/>
        </w:rPr>
      </w:pPr>
    </w:p>
    <w:p>
      <w:pPr>
        <w:jc w:val="center"/>
        <w:outlineLvl w:val="0"/>
        <w:rPr>
          <w:b/>
          <w:color w:val="000000"/>
          <w:sz w:val="28"/>
        </w:rPr>
      </w:pPr>
      <w:bookmarkStart w:id="0" w:name="_Toc510989394"/>
      <w:r>
        <w:rPr>
          <w:rFonts w:hint="eastAsia"/>
          <w:b/>
          <w:color w:val="000000"/>
          <w:sz w:val="28"/>
        </w:rPr>
        <w:t>前</w:t>
      </w:r>
      <w:r>
        <w:rPr>
          <w:b/>
          <w:color w:val="000000"/>
          <w:sz w:val="28"/>
        </w:rPr>
        <w:t xml:space="preserve">    </w:t>
      </w:r>
      <w:r>
        <w:rPr>
          <w:rFonts w:hint="eastAsia"/>
          <w:b/>
          <w:color w:val="000000"/>
          <w:sz w:val="28"/>
        </w:rPr>
        <w:t>言</w:t>
      </w:r>
      <w:bookmarkEnd w:id="0"/>
    </w:p>
    <w:p>
      <w:pPr>
        <w:ind w:firstLine="2730" w:firstLineChars="1300"/>
        <w:rPr>
          <w:rFonts w:eastAsia="黑体"/>
          <w:color w:val="000000"/>
        </w:rPr>
      </w:pPr>
    </w:p>
    <w:p>
      <w:pPr>
        <w:ind w:firstLine="420" w:firstLineChars="200"/>
        <w:rPr>
          <w:rFonts w:ascii="宋体"/>
          <w:color w:val="000000"/>
        </w:rPr>
      </w:pPr>
      <w:r>
        <w:rPr>
          <w:rFonts w:hint="eastAsia" w:ascii="宋体" w:hAnsi="宋体" w:cs="宋体"/>
          <w:color w:val="000000"/>
          <w:kern w:val="0"/>
          <w:szCs w:val="21"/>
        </w:rPr>
        <w:t>本标准按照</w:t>
      </w:r>
      <w:r>
        <w:rPr>
          <w:rFonts w:ascii="宋体" w:hAnsi="宋体" w:cs="宋体"/>
          <w:color w:val="000000"/>
          <w:kern w:val="0"/>
          <w:szCs w:val="21"/>
        </w:rPr>
        <w:t>G</w:t>
      </w:r>
      <w:r>
        <w:rPr>
          <w:rFonts w:hint="eastAsia" w:ascii="宋体" w:hAnsi="宋体" w:cs="宋体"/>
          <w:color w:val="000000"/>
          <w:kern w:val="0"/>
          <w:szCs w:val="21"/>
        </w:rPr>
        <w:t>B</w:t>
      </w:r>
      <w:r>
        <w:rPr>
          <w:rFonts w:ascii="宋体" w:hAnsi="宋体" w:cs="宋体"/>
          <w:color w:val="000000"/>
          <w:kern w:val="0"/>
          <w:szCs w:val="21"/>
        </w:rPr>
        <w:t>/T1.1-2009</w:t>
      </w:r>
      <w:r>
        <w:rPr>
          <w:rFonts w:hint="eastAsia" w:ascii="宋体" w:hAnsi="宋体" w:cs="宋体"/>
          <w:color w:val="000000"/>
          <w:kern w:val="0"/>
          <w:szCs w:val="21"/>
        </w:rPr>
        <w:t>给出的规则起草。</w:t>
      </w:r>
    </w:p>
    <w:p>
      <w:pPr>
        <w:ind w:firstLine="420" w:firstLineChars="200"/>
        <w:rPr>
          <w:rFonts w:ascii="宋体"/>
          <w:color w:val="000000"/>
          <w:szCs w:val="21"/>
        </w:rPr>
      </w:pPr>
      <w:r>
        <w:rPr>
          <w:rFonts w:hint="eastAsia" w:ascii="宋体" w:hAnsi="宋体"/>
          <w:color w:val="000000"/>
          <w:szCs w:val="21"/>
        </w:rPr>
        <w:t>本标准由工业和信息化部节能与综合利用司、中国有色金属工业协会提出。</w:t>
      </w:r>
    </w:p>
    <w:p>
      <w:pPr>
        <w:ind w:firstLine="420" w:firstLineChars="200"/>
        <w:rPr>
          <w:rFonts w:ascii="宋体"/>
          <w:color w:val="000000"/>
          <w:szCs w:val="21"/>
        </w:rPr>
      </w:pPr>
      <w:r>
        <w:rPr>
          <w:rFonts w:hint="eastAsia" w:ascii="宋体" w:hAnsi="宋体"/>
          <w:color w:val="000000"/>
          <w:szCs w:val="21"/>
        </w:rPr>
        <w:t>本标准由全国有色金属标准化技术委员会</w:t>
      </w:r>
      <w:r>
        <w:rPr>
          <w:rFonts w:ascii="宋体" w:hAnsi="宋体"/>
          <w:color w:val="000000"/>
          <w:szCs w:val="21"/>
        </w:rPr>
        <w:t>(SAC/TC243)</w:t>
      </w:r>
      <w:r>
        <w:rPr>
          <w:rFonts w:hint="eastAsia" w:ascii="宋体" w:hAnsi="宋体"/>
          <w:color w:val="000000"/>
          <w:szCs w:val="21"/>
        </w:rPr>
        <w:t>归口。</w:t>
      </w:r>
    </w:p>
    <w:p>
      <w:pPr>
        <w:ind w:firstLine="420" w:firstLineChars="200"/>
        <w:rPr>
          <w:rFonts w:ascii="宋体"/>
          <w:color w:val="000000"/>
        </w:rPr>
      </w:pPr>
      <w:r>
        <w:rPr>
          <w:rFonts w:hint="eastAsia" w:ascii="宋体" w:hAnsi="宋体"/>
          <w:color w:val="000000"/>
          <w:szCs w:val="21"/>
        </w:rPr>
        <w:t>本标准</w:t>
      </w:r>
      <w:r>
        <w:rPr>
          <w:rFonts w:hint="eastAsia" w:ascii="宋体" w:hAnsi="宋体"/>
          <w:color w:val="000000"/>
        </w:rPr>
        <w:t>负责起草</w:t>
      </w:r>
      <w:r>
        <w:rPr>
          <w:rFonts w:hint="eastAsia" w:ascii="宋体" w:hAnsi="宋体"/>
          <w:color w:val="000000"/>
          <w:szCs w:val="21"/>
        </w:rPr>
        <w:t>单位：</w:t>
      </w:r>
      <w:r>
        <w:rPr>
          <w:rFonts w:hint="eastAsia" w:ascii="宋体" w:hAnsi="宋体"/>
          <w:color w:val="000000"/>
        </w:rPr>
        <w:t>锡矿山闪星锑业有限责任公司。</w:t>
      </w:r>
    </w:p>
    <w:p>
      <w:pPr>
        <w:ind w:firstLine="420" w:firstLineChars="200"/>
        <w:rPr>
          <w:rFonts w:ascii="宋体"/>
          <w:color w:val="000000"/>
          <w:szCs w:val="21"/>
        </w:rPr>
      </w:pPr>
      <w:r>
        <w:rPr>
          <w:rFonts w:hint="eastAsia" w:ascii="宋体" w:hAnsi="宋体"/>
          <w:color w:val="000000"/>
          <w:szCs w:val="21"/>
        </w:rPr>
        <w:t>本标准参加起草单位：</w:t>
      </w:r>
      <w:r>
        <w:rPr>
          <w:rFonts w:ascii="Times New Roman" w:hAnsi="Times New Roman"/>
          <w:szCs w:val="21"/>
        </w:rPr>
        <w:t>湖南辰州矿业股份有限公司</w:t>
      </w:r>
      <w:r>
        <w:rPr>
          <w:rFonts w:hint="eastAsia" w:ascii="Times New Roman" w:hAnsi="Times New Roman"/>
          <w:szCs w:val="21"/>
        </w:rPr>
        <w:t>、广西华锑科技有限公司、中国有色金属工业协会锑分会。</w:t>
      </w:r>
    </w:p>
    <w:p>
      <w:pPr>
        <w:ind w:firstLine="420" w:firstLineChars="200"/>
        <w:rPr>
          <w:rFonts w:ascii="宋体"/>
          <w:color w:val="000000"/>
          <w:szCs w:val="21"/>
        </w:rPr>
      </w:pPr>
      <w:r>
        <w:rPr>
          <w:rFonts w:hint="eastAsia" w:ascii="宋体" w:hAnsi="宋体"/>
          <w:color w:val="000000"/>
          <w:szCs w:val="21"/>
        </w:rPr>
        <w:t>本标准主要起草人：</w:t>
      </w:r>
    </w:p>
    <w:p>
      <w:pPr>
        <w:widowControl/>
        <w:jc w:val="left"/>
        <w:rPr>
          <w:color w:val="000000"/>
          <w:sz w:val="28"/>
          <w:szCs w:val="28"/>
        </w:rPr>
      </w:pPr>
    </w:p>
    <w:p>
      <w:pPr>
        <w:widowControl/>
        <w:jc w:val="left"/>
        <w:rPr>
          <w:color w:val="000000"/>
          <w:sz w:val="28"/>
          <w:szCs w:val="28"/>
        </w:rPr>
      </w:pPr>
    </w:p>
    <w:p>
      <w:pPr>
        <w:widowControl/>
        <w:jc w:val="left"/>
        <w:rPr>
          <w:color w:val="000000"/>
          <w:sz w:val="28"/>
          <w:szCs w:val="28"/>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tabs>
          <w:tab w:val="left" w:pos="7164"/>
        </w:tabs>
        <w:rPr>
          <w:rFonts w:asciiTheme="majorEastAsia" w:hAnsiTheme="majorEastAsia" w:eastAsiaTheme="majorEastAsia"/>
          <w:sz w:val="24"/>
          <w:szCs w:val="24"/>
        </w:rPr>
      </w:pP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绿色设计产品评价技术规范  三氧化二锑</w:t>
      </w: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1 </w:t>
      </w:r>
      <w:r>
        <w:rPr>
          <w:rFonts w:hint="eastAsia" w:cs="黑体" w:asciiTheme="majorEastAsia" w:hAnsiTheme="majorEastAsia" w:eastAsiaTheme="majorEastAsia"/>
          <w:b/>
          <w:kern w:val="0"/>
          <w:szCs w:val="21"/>
        </w:rPr>
        <w:t>范围</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本标准规定了三氧化二锑绿色设计产品评价的术语和定义、评价要求、产品生命周期评价报告编制方法，以及评价方法和流程。</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本标准适用于以锑锭为原料，采用火法工艺间接法生产的三氧化二锑的绿色设计产品评价。</w:t>
      </w:r>
    </w:p>
    <w:p>
      <w:pPr>
        <w:autoSpaceDE w:val="0"/>
        <w:autoSpaceDN w:val="0"/>
        <w:adjustRightInd w:val="0"/>
        <w:jc w:val="left"/>
        <w:rPr>
          <w:rFonts w:ascii="宋体" w:eastAsia="宋体" w:cs="宋体"/>
          <w:kern w:val="0"/>
          <w:szCs w:val="21"/>
        </w:rPr>
      </w:pP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2 </w:t>
      </w:r>
      <w:r>
        <w:rPr>
          <w:rFonts w:hint="eastAsia" w:cs="黑体" w:asciiTheme="majorEastAsia" w:hAnsiTheme="majorEastAsia" w:eastAsiaTheme="majorEastAsia"/>
          <w:b/>
          <w:kern w:val="0"/>
          <w:szCs w:val="21"/>
        </w:rPr>
        <w:t>规范性引用文件</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下列文件对于本文件的应用是必不可少的。凡是注日期的引用文件，仅注日期的版本适用于本文件。凡是不注日期的引用文件，其最新版本（包括所有的修改单）适用于本文件。</w:t>
      </w:r>
    </w:p>
    <w:p>
      <w:pPr>
        <w:autoSpaceDE w:val="0"/>
        <w:autoSpaceDN w:val="0"/>
        <w:adjustRightInd w:val="0"/>
        <w:jc w:val="left"/>
        <w:rPr>
          <w:rFonts w:ascii="宋体" w:eastAsia="宋体" w:cs="宋体"/>
          <w:kern w:val="0"/>
          <w:szCs w:val="21"/>
        </w:rPr>
      </w:pPr>
      <w:r>
        <w:rPr>
          <w:rFonts w:hint="eastAsia"/>
          <w:szCs w:val="21"/>
        </w:rPr>
        <w:t>GB 2589                      综合能耗计算通则</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 17167 </w:t>
      </w:r>
      <w:r>
        <w:rPr>
          <w:rFonts w:hint="eastAsia" w:ascii="Calibri" w:hAnsi="Calibri" w:eastAsia="黑体" w:cs="Calibri"/>
          <w:kern w:val="0"/>
          <w:szCs w:val="21"/>
        </w:rPr>
        <w:t xml:space="preserve">                    </w:t>
      </w:r>
      <w:r>
        <w:rPr>
          <w:rFonts w:hint="eastAsia" w:ascii="宋体" w:eastAsia="宋体" w:cs="宋体"/>
          <w:kern w:val="0"/>
          <w:szCs w:val="21"/>
        </w:rPr>
        <w:t>用能单位能源计量器具配备和管理通则</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 18597 </w:t>
      </w:r>
      <w:r>
        <w:rPr>
          <w:rFonts w:hint="eastAsia" w:ascii="Calibri" w:hAnsi="Calibri" w:eastAsia="黑体" w:cs="Calibri"/>
          <w:kern w:val="0"/>
          <w:szCs w:val="21"/>
        </w:rPr>
        <w:t xml:space="preserve">                    </w:t>
      </w:r>
      <w:r>
        <w:rPr>
          <w:rFonts w:hint="eastAsia" w:ascii="宋体" w:eastAsia="宋体" w:cs="宋体"/>
          <w:kern w:val="0"/>
          <w:szCs w:val="21"/>
        </w:rPr>
        <w:t>危险废物贮存污染控制标准</w:t>
      </w:r>
    </w:p>
    <w:p>
      <w:pPr>
        <w:autoSpaceDE w:val="0"/>
        <w:autoSpaceDN w:val="0"/>
        <w:adjustRightInd w:val="0"/>
        <w:jc w:val="left"/>
        <w:rPr>
          <w:rFonts w:ascii="宋体" w:eastAsia="宋体" w:cs="宋体"/>
          <w:kern w:val="0"/>
          <w:szCs w:val="21"/>
        </w:rPr>
      </w:pPr>
      <w:r>
        <w:rPr>
          <w:rFonts w:eastAsia="宋体" w:cstheme="minorHAnsi"/>
          <w:kern w:val="0"/>
          <w:szCs w:val="21"/>
        </w:rPr>
        <w:t xml:space="preserve">GB 30770 </w:t>
      </w:r>
      <w:r>
        <w:rPr>
          <w:rFonts w:hint="eastAsia" w:eastAsia="宋体" w:cstheme="minorHAnsi"/>
          <w:kern w:val="0"/>
          <w:szCs w:val="21"/>
        </w:rPr>
        <w:t xml:space="preserve">                    </w:t>
      </w:r>
      <w:r>
        <w:rPr>
          <w:rFonts w:hint="eastAsia" w:ascii="宋体" w:eastAsia="宋体" w:cs="宋体"/>
          <w:kern w:val="0"/>
          <w:szCs w:val="21"/>
        </w:rPr>
        <w:t>锡、锑、汞工业污染物排放标准</w:t>
      </w:r>
    </w:p>
    <w:p>
      <w:pPr>
        <w:autoSpaceDE w:val="0"/>
        <w:autoSpaceDN w:val="0"/>
        <w:adjustRightInd w:val="0"/>
        <w:jc w:val="left"/>
        <w:rPr>
          <w:rFonts w:ascii="宋体" w:eastAsia="宋体" w:cs="宋体"/>
          <w:kern w:val="0"/>
          <w:szCs w:val="21"/>
        </w:rPr>
      </w:pPr>
      <w:r>
        <w:rPr>
          <w:rFonts w:hint="eastAsia" w:ascii="Calibri" w:hAnsi="Calibri" w:eastAsia="黑体" w:cs="Calibri"/>
          <w:kern w:val="0"/>
          <w:szCs w:val="21"/>
        </w:rPr>
        <w:t>GB</w:t>
      </w:r>
      <w:r>
        <w:rPr>
          <w:rFonts w:ascii="Calibri" w:hAnsi="Calibri" w:eastAsia="黑体" w:cs="Calibri"/>
          <w:kern w:val="0"/>
          <w:szCs w:val="21"/>
        </w:rPr>
        <w:t xml:space="preserve">/T </w:t>
      </w:r>
      <w:r>
        <w:rPr>
          <w:rFonts w:hint="eastAsia" w:ascii="Calibri" w:hAnsi="Calibri" w:eastAsia="黑体" w:cs="Calibri"/>
          <w:kern w:val="0"/>
          <w:szCs w:val="21"/>
        </w:rPr>
        <w:t xml:space="preserve">1599                    </w:t>
      </w:r>
      <w:r>
        <w:rPr>
          <w:rFonts w:hint="eastAsia" w:ascii="宋体" w:eastAsia="宋体" w:cs="宋体"/>
          <w:kern w:val="0"/>
          <w:szCs w:val="21"/>
        </w:rPr>
        <w:t>锑锭</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GB/T 3253</w:t>
      </w:r>
      <w:r>
        <w:rPr>
          <w:rFonts w:hint="eastAsia" w:ascii="Calibri" w:hAnsi="Calibri" w:eastAsia="黑体" w:cs="Calibri"/>
          <w:kern w:val="0"/>
          <w:szCs w:val="21"/>
        </w:rPr>
        <w:t xml:space="preserve">                    </w:t>
      </w:r>
      <w:r>
        <w:rPr>
          <w:rFonts w:hint="eastAsia" w:ascii="宋体" w:eastAsia="宋体" w:cs="宋体"/>
          <w:kern w:val="0"/>
          <w:szCs w:val="21"/>
        </w:rPr>
        <w:t>锑及三氧化二锑化学分析方法</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GB/T 325</w:t>
      </w:r>
      <w:r>
        <w:rPr>
          <w:rFonts w:hint="eastAsia" w:ascii="Calibri" w:hAnsi="Calibri" w:eastAsia="黑体" w:cs="Calibri"/>
          <w:kern w:val="0"/>
          <w:szCs w:val="21"/>
        </w:rPr>
        <w:t xml:space="preserve">4                    </w:t>
      </w:r>
      <w:r>
        <w:rPr>
          <w:rFonts w:hint="eastAsia" w:ascii="宋体" w:eastAsia="宋体" w:cs="宋体"/>
          <w:kern w:val="0"/>
          <w:szCs w:val="21"/>
        </w:rPr>
        <w:t>三氧化二锑化学分析方法</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GB/T </w:t>
      </w:r>
      <w:r>
        <w:rPr>
          <w:rFonts w:hint="eastAsia" w:ascii="Calibri" w:hAnsi="Calibri" w:eastAsia="黑体" w:cs="Calibri"/>
          <w:kern w:val="0"/>
          <w:szCs w:val="21"/>
        </w:rPr>
        <w:t xml:space="preserve">4062                    </w:t>
      </w:r>
      <w:r>
        <w:rPr>
          <w:rFonts w:hint="eastAsia" w:ascii="宋体" w:eastAsia="宋体" w:cs="宋体"/>
          <w:kern w:val="0"/>
          <w:szCs w:val="21"/>
        </w:rPr>
        <w:t>三氧化二锑</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GB/T 19001 </w:t>
      </w:r>
      <w:r>
        <w:rPr>
          <w:rFonts w:hint="eastAsia" w:ascii="Calibri" w:hAnsi="Calibri" w:eastAsia="黑体" w:cs="Calibri"/>
          <w:kern w:val="0"/>
          <w:szCs w:val="21"/>
        </w:rPr>
        <w:t xml:space="preserve">                  </w:t>
      </w:r>
      <w:r>
        <w:rPr>
          <w:rFonts w:hint="eastAsia" w:ascii="宋体" w:eastAsia="宋体" w:cs="宋体"/>
          <w:kern w:val="0"/>
          <w:szCs w:val="21"/>
        </w:rPr>
        <w:t>质量管理体系  要求</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GB/T 24001 </w:t>
      </w:r>
      <w:r>
        <w:rPr>
          <w:rFonts w:hint="eastAsia" w:ascii="Calibri" w:hAnsi="Calibri" w:eastAsia="黑体" w:cs="Calibri"/>
          <w:kern w:val="0"/>
          <w:szCs w:val="21"/>
        </w:rPr>
        <w:t xml:space="preserve">                  </w:t>
      </w:r>
      <w:r>
        <w:rPr>
          <w:rFonts w:hint="eastAsia" w:ascii="宋体" w:eastAsia="宋体" w:cs="宋体"/>
          <w:kern w:val="0"/>
          <w:szCs w:val="21"/>
        </w:rPr>
        <w:t>环境管理体系  要求及使用指南</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GB/T 24040 </w:t>
      </w:r>
      <w:r>
        <w:rPr>
          <w:rFonts w:hint="eastAsia" w:ascii="Calibri" w:hAnsi="Calibri" w:eastAsia="黑体" w:cs="Calibri"/>
          <w:kern w:val="0"/>
          <w:szCs w:val="21"/>
        </w:rPr>
        <w:t xml:space="preserve">                  </w:t>
      </w:r>
      <w:r>
        <w:rPr>
          <w:rFonts w:hint="eastAsia" w:ascii="宋体" w:eastAsia="宋体" w:cs="宋体"/>
          <w:kern w:val="0"/>
          <w:szCs w:val="21"/>
        </w:rPr>
        <w:t>环境管理  生命周期评价  原则与框架</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GB/T 24044 </w:t>
      </w:r>
      <w:r>
        <w:rPr>
          <w:rFonts w:hint="eastAsia" w:ascii="Calibri" w:hAnsi="Calibri" w:eastAsia="黑体" w:cs="Calibri"/>
          <w:kern w:val="0"/>
          <w:szCs w:val="21"/>
        </w:rPr>
        <w:t xml:space="preserve">                  </w:t>
      </w:r>
      <w:r>
        <w:rPr>
          <w:rFonts w:hint="eastAsia" w:ascii="宋体" w:eastAsia="宋体" w:cs="宋体"/>
          <w:kern w:val="0"/>
          <w:szCs w:val="21"/>
        </w:rPr>
        <w:t>环境管理  生命周期评价  要求与指南</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GB/T 28001 </w:t>
      </w:r>
      <w:r>
        <w:rPr>
          <w:rFonts w:hint="eastAsia" w:ascii="Calibri" w:hAnsi="Calibri" w:eastAsia="黑体" w:cs="Calibri"/>
          <w:kern w:val="0"/>
          <w:szCs w:val="21"/>
        </w:rPr>
        <w:t xml:space="preserve">                  </w:t>
      </w:r>
      <w:r>
        <w:rPr>
          <w:rFonts w:hint="eastAsia" w:ascii="宋体" w:eastAsia="宋体" w:cs="宋体"/>
          <w:kern w:val="0"/>
          <w:szCs w:val="21"/>
        </w:rPr>
        <w:t>职业健康安全管理体系  要求</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GB/T 32161 </w:t>
      </w:r>
      <w:r>
        <w:rPr>
          <w:rFonts w:hint="eastAsia" w:ascii="Calibri" w:hAnsi="Calibri" w:eastAsia="黑体" w:cs="Calibri"/>
          <w:kern w:val="0"/>
          <w:szCs w:val="21"/>
        </w:rPr>
        <w:t xml:space="preserve">                  </w:t>
      </w:r>
      <w:r>
        <w:rPr>
          <w:rFonts w:hint="eastAsia" w:ascii="宋体" w:eastAsia="宋体" w:cs="宋体"/>
          <w:kern w:val="0"/>
          <w:szCs w:val="21"/>
        </w:rPr>
        <w:t>生态设计产品评价通则</w:t>
      </w:r>
    </w:p>
    <w:p>
      <w:pPr>
        <w:autoSpaceDE w:val="0"/>
        <w:autoSpaceDN w:val="0"/>
        <w:adjustRightInd w:val="0"/>
        <w:jc w:val="left"/>
        <w:rPr>
          <w:rFonts w:ascii="宋体" w:eastAsia="宋体" w:cs="宋体"/>
          <w:kern w:val="0"/>
          <w:szCs w:val="21"/>
        </w:rPr>
      </w:pPr>
      <w:r>
        <w:rPr>
          <w:rFonts w:ascii="Calibri" w:hAnsi="Calibri" w:eastAsia="黑体" w:cs="Calibri"/>
          <w:kern w:val="0"/>
          <w:szCs w:val="21"/>
        </w:rPr>
        <w:t xml:space="preserve">GB/T 33000 </w:t>
      </w:r>
      <w:r>
        <w:rPr>
          <w:rFonts w:hint="eastAsia" w:ascii="Calibri" w:hAnsi="Calibri" w:eastAsia="黑体" w:cs="Calibri"/>
          <w:kern w:val="0"/>
          <w:szCs w:val="21"/>
        </w:rPr>
        <w:t xml:space="preserve">                  </w:t>
      </w:r>
      <w:r>
        <w:rPr>
          <w:rFonts w:hint="eastAsia" w:ascii="宋体" w:eastAsia="宋体" w:cs="宋体"/>
          <w:kern w:val="0"/>
          <w:szCs w:val="21"/>
        </w:rPr>
        <w:t>企业安全生产标准化基本规范</w:t>
      </w: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b/>
          <w:kern w:val="0"/>
          <w:szCs w:val="21"/>
        </w:rPr>
      </w:pPr>
      <w:r>
        <w:rPr>
          <w:rFonts w:hint="eastAsia" w:ascii="宋体" w:eastAsia="宋体" w:cs="宋体"/>
          <w:b/>
          <w:kern w:val="0"/>
          <w:szCs w:val="21"/>
        </w:rPr>
        <w:t>3 术语和定义</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GB/T 32161 界定的以及下列术语和定义适用于本文件。</w:t>
      </w: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b/>
          <w:kern w:val="0"/>
          <w:szCs w:val="21"/>
        </w:rPr>
      </w:pPr>
      <w:r>
        <w:rPr>
          <w:rFonts w:ascii="宋体" w:eastAsia="宋体" w:cs="宋体"/>
          <w:b/>
          <w:kern w:val="0"/>
          <w:szCs w:val="21"/>
        </w:rPr>
        <w:t>3.1</w:t>
      </w:r>
      <w:r>
        <w:rPr>
          <w:rFonts w:hint="eastAsia" w:ascii="宋体" w:eastAsia="宋体" w:cs="宋体"/>
          <w:b/>
          <w:kern w:val="0"/>
          <w:szCs w:val="21"/>
        </w:rPr>
        <w:t xml:space="preserve"> 三氧化二锑生命周期范围 Antimony t</w:t>
      </w:r>
      <w:r>
        <w:rPr>
          <w:rFonts w:ascii="宋体" w:eastAsia="宋体" w:cs="宋体"/>
          <w:b/>
          <w:kern w:val="0"/>
          <w:szCs w:val="21"/>
        </w:rPr>
        <w:t>rioxide</w:t>
      </w:r>
      <w:r>
        <w:rPr>
          <w:rFonts w:hint="eastAsia" w:ascii="Times New Roman" w:hAnsi="Times New Roman" w:eastAsia="仿宋"/>
          <w:b/>
          <w:szCs w:val="21"/>
        </w:rPr>
        <w:t xml:space="preserve">  </w:t>
      </w:r>
      <w:r>
        <w:rPr>
          <w:rFonts w:hint="eastAsia" w:ascii="宋体" w:eastAsia="宋体" w:cs="宋体"/>
          <w:b/>
          <w:kern w:val="0"/>
          <w:szCs w:val="21"/>
        </w:rPr>
        <w:t>life cycle</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三氧化二锑的生命周期范围包括三氧化二锑生产和包装两个阶段。</w:t>
      </w: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b/>
          <w:kern w:val="0"/>
          <w:szCs w:val="21"/>
        </w:rPr>
      </w:pPr>
      <w:r>
        <w:rPr>
          <w:rFonts w:ascii="宋体" w:eastAsia="宋体" w:cs="宋体"/>
          <w:b/>
          <w:kern w:val="0"/>
          <w:szCs w:val="21"/>
        </w:rPr>
        <w:t>3.2</w:t>
      </w:r>
      <w:r>
        <w:rPr>
          <w:rFonts w:hint="eastAsia" w:ascii="宋体" w:eastAsia="宋体" w:cs="宋体"/>
          <w:b/>
          <w:kern w:val="0"/>
          <w:szCs w:val="21"/>
        </w:rPr>
        <w:t xml:space="preserve"> 绿色供应链管理  green supply chain management</w:t>
      </w:r>
    </w:p>
    <w:p>
      <w:pPr>
        <w:autoSpaceDE w:val="0"/>
        <w:autoSpaceDN w:val="0"/>
        <w:adjustRightInd w:val="0"/>
        <w:ind w:firstLine="420" w:firstLineChars="200"/>
        <w:jc w:val="left"/>
        <w:rPr>
          <w:rFonts w:ascii="宋体" w:eastAsia="宋体" w:cs="宋体"/>
          <w:kern w:val="0"/>
          <w:szCs w:val="21"/>
        </w:rPr>
      </w:pPr>
      <w:r>
        <w:rPr>
          <w:rFonts w:hint="eastAsia" w:ascii="宋体" w:eastAsia="宋体" w:cs="宋体"/>
          <w:kern w:val="0"/>
          <w:szCs w:val="21"/>
        </w:rPr>
        <w:t>绿色供应链管理就是通过与上、下游企业的合作以及企业内各部门的沟通，从产品设计、材料选择、产品制造、产品销售以及回收的全过程中考虑环境整体效益的最优化，同时提高企业的环境绩效和经济绩效，从而实现企业和所在供应链的可持续发展。</w:t>
      </w:r>
    </w:p>
    <w:p>
      <w:pPr>
        <w:autoSpaceDE w:val="0"/>
        <w:autoSpaceDN w:val="0"/>
        <w:adjustRightInd w:val="0"/>
        <w:jc w:val="left"/>
        <w:rPr>
          <w:rFonts w:ascii="宋体" w:eastAsia="宋体" w:cs="宋体"/>
          <w:kern w:val="0"/>
          <w:szCs w:val="21"/>
        </w:rPr>
      </w:pP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4 </w:t>
      </w:r>
      <w:r>
        <w:rPr>
          <w:rFonts w:hint="eastAsia" w:cs="黑体" w:asciiTheme="majorEastAsia" w:hAnsiTheme="majorEastAsia" w:eastAsiaTheme="majorEastAsia"/>
          <w:b/>
          <w:kern w:val="0"/>
          <w:szCs w:val="21"/>
        </w:rPr>
        <w:t>评价要求</w:t>
      </w: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4.1 </w:t>
      </w:r>
      <w:r>
        <w:rPr>
          <w:rFonts w:hint="eastAsia" w:cs="黑体" w:asciiTheme="majorEastAsia" w:hAnsiTheme="majorEastAsia" w:eastAsiaTheme="majorEastAsia"/>
          <w:b/>
          <w:kern w:val="0"/>
          <w:szCs w:val="21"/>
        </w:rPr>
        <w:t>基本要求</w:t>
      </w:r>
    </w:p>
    <w:p>
      <w:pPr>
        <w:autoSpaceDE w:val="0"/>
        <w:autoSpaceDN w:val="0"/>
        <w:adjustRightInd w:val="0"/>
        <w:jc w:val="left"/>
        <w:rPr>
          <w:rFonts w:cs="宋体" w:asciiTheme="majorEastAsia" w:hAnsiTheme="majorEastAsia" w:eastAsiaTheme="majorEastAsia"/>
          <w:kern w:val="0"/>
          <w:szCs w:val="21"/>
        </w:rPr>
      </w:pPr>
      <w:r>
        <w:rPr>
          <w:rFonts w:cs="黑体" w:asciiTheme="majorEastAsia" w:hAnsiTheme="majorEastAsia" w:eastAsiaTheme="majorEastAsia"/>
          <w:b/>
          <w:kern w:val="0"/>
          <w:szCs w:val="21"/>
        </w:rPr>
        <w:t xml:space="preserve">4.1.1 </w:t>
      </w:r>
      <w:r>
        <w:rPr>
          <w:rFonts w:hint="eastAsia" w:cs="宋体" w:asciiTheme="majorEastAsia" w:hAnsiTheme="majorEastAsia" w:eastAsiaTheme="majorEastAsia"/>
          <w:kern w:val="0"/>
          <w:szCs w:val="21"/>
        </w:rPr>
        <w:t>企业达到国家发改委公告的《锑行业准入条件》要求，产品质量应符合</w:t>
      </w:r>
      <w:r>
        <w:rPr>
          <w:rFonts w:cs="Calibri" w:asciiTheme="majorEastAsia" w:hAnsiTheme="majorEastAsia" w:eastAsiaTheme="majorEastAsia"/>
          <w:kern w:val="0"/>
          <w:szCs w:val="21"/>
        </w:rPr>
        <w:t xml:space="preserve">GB/T </w:t>
      </w:r>
      <w:r>
        <w:rPr>
          <w:rFonts w:hint="eastAsia" w:cs="Calibri" w:asciiTheme="majorEastAsia" w:hAnsiTheme="majorEastAsia" w:eastAsiaTheme="majorEastAsia"/>
          <w:kern w:val="0"/>
          <w:szCs w:val="21"/>
        </w:rPr>
        <w:t>4062</w:t>
      </w:r>
      <w:r>
        <w:rPr>
          <w:rFonts w:hint="eastAsia" w:cs="宋体" w:asciiTheme="majorEastAsia" w:hAnsiTheme="majorEastAsia" w:eastAsiaTheme="majorEastAsia"/>
          <w:kern w:val="0"/>
          <w:szCs w:val="21"/>
        </w:rPr>
        <w:t>的要求。</w:t>
      </w:r>
    </w:p>
    <w:p>
      <w:pPr>
        <w:autoSpaceDE w:val="0"/>
        <w:autoSpaceDN w:val="0"/>
        <w:adjustRightInd w:val="0"/>
        <w:jc w:val="left"/>
        <w:rPr>
          <w:rFonts w:cs="黑体" w:asciiTheme="majorEastAsia" w:hAnsiTheme="majorEastAsia" w:eastAsiaTheme="majorEastAsia"/>
          <w:kern w:val="0"/>
          <w:szCs w:val="21"/>
        </w:rPr>
      </w:pPr>
      <w:r>
        <w:rPr>
          <w:rFonts w:hint="eastAsia" w:cs="黑体" w:asciiTheme="majorEastAsia" w:hAnsiTheme="majorEastAsia" w:eastAsiaTheme="majorEastAsia"/>
          <w:b/>
          <w:kern w:val="0"/>
          <w:szCs w:val="21"/>
        </w:rPr>
        <w:t>4.1.2</w:t>
      </w:r>
      <w:r>
        <w:rPr>
          <w:rFonts w:hint="eastAsia" w:cs="黑体" w:asciiTheme="majorEastAsia" w:hAnsiTheme="majorEastAsia" w:eastAsiaTheme="majorEastAsia"/>
          <w:kern w:val="0"/>
          <w:szCs w:val="21"/>
        </w:rPr>
        <w:t xml:space="preserve"> 企业近三年无重大安全、环境污染和质量事故，污染物的排放应达到GB 30770 的要求,污染物排放总量应达到排污许可证的要求；清洁生产水平应达到《锑行业清洁生产评价指标体系》的要求。</w:t>
      </w:r>
    </w:p>
    <w:p>
      <w:pPr>
        <w:autoSpaceDE w:val="0"/>
        <w:autoSpaceDN w:val="0"/>
        <w:adjustRightInd w:val="0"/>
        <w:jc w:val="left"/>
        <w:rPr>
          <w:rFonts w:cs="宋体" w:asciiTheme="majorEastAsia" w:hAnsiTheme="majorEastAsia" w:eastAsiaTheme="majorEastAsia"/>
          <w:kern w:val="0"/>
          <w:szCs w:val="21"/>
        </w:rPr>
      </w:pPr>
      <w:r>
        <w:rPr>
          <w:rFonts w:cs="黑体" w:asciiTheme="majorEastAsia" w:hAnsiTheme="majorEastAsia" w:eastAsiaTheme="majorEastAsia"/>
          <w:b/>
          <w:kern w:val="0"/>
          <w:szCs w:val="21"/>
        </w:rPr>
        <w:t>4.1.3</w:t>
      </w:r>
      <w:r>
        <w:rPr>
          <w:rFonts w:cs="黑体" w:asciiTheme="majorEastAsia" w:hAnsiTheme="majorEastAsia" w:eastAsiaTheme="majorEastAsia"/>
          <w:kern w:val="0"/>
          <w:szCs w:val="21"/>
        </w:rPr>
        <w:t xml:space="preserve"> </w:t>
      </w:r>
      <w:r>
        <w:rPr>
          <w:rFonts w:hint="eastAsia" w:cs="宋体" w:asciiTheme="majorEastAsia" w:hAnsiTheme="majorEastAsia" w:eastAsiaTheme="majorEastAsia"/>
          <w:kern w:val="0"/>
          <w:szCs w:val="21"/>
        </w:rPr>
        <w:t>企业安全管理应达到</w:t>
      </w:r>
      <w:r>
        <w:rPr>
          <w:rFonts w:cs="Calibri" w:asciiTheme="majorEastAsia" w:hAnsiTheme="majorEastAsia" w:eastAsiaTheme="majorEastAsia"/>
          <w:kern w:val="0"/>
          <w:szCs w:val="21"/>
        </w:rPr>
        <w:t xml:space="preserve">GB/T 33000 </w:t>
      </w:r>
      <w:r>
        <w:rPr>
          <w:rFonts w:hint="eastAsia" w:cs="宋体" w:asciiTheme="majorEastAsia" w:hAnsiTheme="majorEastAsia" w:eastAsiaTheme="majorEastAsia"/>
          <w:kern w:val="0"/>
          <w:szCs w:val="21"/>
        </w:rPr>
        <w:t>的要求；应按照</w:t>
      </w:r>
      <w:r>
        <w:rPr>
          <w:rFonts w:cs="Calibri" w:asciiTheme="majorEastAsia" w:hAnsiTheme="majorEastAsia" w:eastAsiaTheme="majorEastAsia"/>
          <w:kern w:val="0"/>
          <w:szCs w:val="21"/>
        </w:rPr>
        <w:t>GB/T</w:t>
      </w:r>
      <w:r>
        <w:rPr>
          <w:rFonts w:hint="eastAsia" w:cs="Calibri" w:asciiTheme="majorEastAsia" w:hAnsiTheme="majorEastAsia" w:eastAsiaTheme="majorEastAsia"/>
          <w:kern w:val="0"/>
          <w:szCs w:val="21"/>
        </w:rPr>
        <w:t xml:space="preserve"> </w:t>
      </w:r>
      <w:r>
        <w:rPr>
          <w:rFonts w:cs="Calibri" w:asciiTheme="majorEastAsia" w:hAnsiTheme="majorEastAsia" w:eastAsiaTheme="majorEastAsia"/>
          <w:kern w:val="0"/>
          <w:szCs w:val="21"/>
        </w:rPr>
        <w:t xml:space="preserve">19001 </w:t>
      </w:r>
      <w:r>
        <w:rPr>
          <w:rFonts w:hint="eastAsia" w:cs="宋体" w:asciiTheme="majorEastAsia" w:hAnsiTheme="majorEastAsia" w:eastAsiaTheme="majorEastAsia"/>
          <w:kern w:val="0"/>
          <w:szCs w:val="21"/>
        </w:rPr>
        <w:t>、</w:t>
      </w:r>
      <w:r>
        <w:rPr>
          <w:rFonts w:cs="Calibri" w:asciiTheme="majorEastAsia" w:hAnsiTheme="majorEastAsia" w:eastAsiaTheme="majorEastAsia"/>
          <w:kern w:val="0"/>
          <w:szCs w:val="21"/>
        </w:rPr>
        <w:t xml:space="preserve">GB/T 24001 </w:t>
      </w:r>
      <w:r>
        <w:rPr>
          <w:rFonts w:hint="eastAsia" w:cs="宋体" w:asciiTheme="majorEastAsia" w:hAnsiTheme="majorEastAsia" w:eastAsiaTheme="majorEastAsia"/>
          <w:kern w:val="0"/>
          <w:szCs w:val="21"/>
        </w:rPr>
        <w:t>和</w:t>
      </w:r>
      <w:r>
        <w:rPr>
          <w:rFonts w:cs="Calibri" w:asciiTheme="majorEastAsia" w:hAnsiTheme="majorEastAsia" w:eastAsiaTheme="majorEastAsia"/>
          <w:kern w:val="0"/>
          <w:szCs w:val="21"/>
        </w:rPr>
        <w:t xml:space="preserve">GB/T 28001 </w:t>
      </w:r>
      <w:r>
        <w:rPr>
          <w:rFonts w:hint="eastAsia" w:cs="宋体" w:asciiTheme="majorEastAsia" w:hAnsiTheme="majorEastAsia" w:eastAsiaTheme="majorEastAsia"/>
          <w:kern w:val="0"/>
          <w:szCs w:val="21"/>
        </w:rPr>
        <w:t>分别建立并运行质量管理体系、环境管理体系和职业健康安全管理体系。</w:t>
      </w:r>
    </w:p>
    <w:p>
      <w:pPr>
        <w:autoSpaceDE w:val="0"/>
        <w:autoSpaceDN w:val="0"/>
        <w:adjustRightInd w:val="0"/>
        <w:jc w:val="left"/>
        <w:rPr>
          <w:rFonts w:cs="宋体" w:asciiTheme="majorEastAsia" w:hAnsiTheme="majorEastAsia" w:eastAsiaTheme="majorEastAsia"/>
          <w:kern w:val="0"/>
          <w:szCs w:val="21"/>
        </w:rPr>
      </w:pPr>
      <w:r>
        <w:rPr>
          <w:rFonts w:cs="黑体" w:asciiTheme="majorEastAsia" w:hAnsiTheme="majorEastAsia" w:eastAsiaTheme="majorEastAsia"/>
          <w:b/>
          <w:kern w:val="0"/>
          <w:szCs w:val="21"/>
        </w:rPr>
        <w:t>4.1.4</w:t>
      </w:r>
      <w:r>
        <w:rPr>
          <w:rFonts w:hint="eastAsia" w:cs="黑体" w:asciiTheme="majorEastAsia" w:hAnsiTheme="majorEastAsia" w:eastAsiaTheme="majorEastAsia"/>
          <w:kern w:val="0"/>
          <w:szCs w:val="21"/>
        </w:rPr>
        <w:t>单位产品能源消耗应达到</w:t>
      </w:r>
      <w:r>
        <w:rPr>
          <w:rFonts w:hint="eastAsia" w:asciiTheme="majorEastAsia" w:hAnsiTheme="majorEastAsia" w:eastAsiaTheme="majorEastAsia"/>
          <w:szCs w:val="21"/>
        </w:rPr>
        <w:t>《锑行业清洁生产评价指标体系</w:t>
      </w:r>
      <w:r>
        <w:rPr>
          <w:rFonts w:hint="eastAsia" w:cs="黑体" w:asciiTheme="majorEastAsia" w:hAnsiTheme="majorEastAsia" w:eastAsiaTheme="majorEastAsia"/>
          <w:kern w:val="0"/>
          <w:szCs w:val="21"/>
        </w:rPr>
        <w:t>》的</w:t>
      </w:r>
      <w:r>
        <w:rPr>
          <w:rFonts w:hint="eastAsia" w:asciiTheme="majorEastAsia" w:hAnsiTheme="majorEastAsia" w:eastAsiaTheme="majorEastAsia"/>
          <w:szCs w:val="21"/>
        </w:rPr>
        <w:t>要求</w:t>
      </w:r>
      <w:r>
        <w:rPr>
          <w:rFonts w:hint="eastAsia" w:cs="黑体" w:asciiTheme="majorEastAsia" w:hAnsiTheme="majorEastAsia" w:eastAsiaTheme="majorEastAsia"/>
          <w:kern w:val="0"/>
          <w:szCs w:val="21"/>
        </w:rPr>
        <w:t>，</w:t>
      </w:r>
      <w:r>
        <w:rPr>
          <w:rFonts w:hint="eastAsia" w:cs="宋体" w:asciiTheme="majorEastAsia" w:hAnsiTheme="majorEastAsia" w:eastAsiaTheme="majorEastAsia"/>
          <w:kern w:val="0"/>
          <w:szCs w:val="21"/>
        </w:rPr>
        <w:t>应按照</w:t>
      </w:r>
      <w:r>
        <w:rPr>
          <w:rFonts w:cs="Calibri" w:asciiTheme="majorEastAsia" w:hAnsiTheme="majorEastAsia" w:eastAsiaTheme="majorEastAsia"/>
          <w:kern w:val="0"/>
          <w:szCs w:val="21"/>
        </w:rPr>
        <w:t xml:space="preserve">GB 17167 </w:t>
      </w:r>
      <w:r>
        <w:rPr>
          <w:rFonts w:hint="eastAsia" w:cs="宋体" w:asciiTheme="majorEastAsia" w:hAnsiTheme="majorEastAsia" w:eastAsiaTheme="majorEastAsia"/>
          <w:kern w:val="0"/>
          <w:szCs w:val="21"/>
        </w:rPr>
        <w:t>配备能源计量器具。</w:t>
      </w:r>
    </w:p>
    <w:p>
      <w:pPr>
        <w:tabs>
          <w:tab w:val="left" w:pos="7164"/>
        </w:tabs>
        <w:rPr>
          <w:rFonts w:cs="宋体" w:asciiTheme="majorEastAsia" w:hAnsiTheme="majorEastAsia" w:eastAsiaTheme="majorEastAsia"/>
          <w:kern w:val="0"/>
          <w:szCs w:val="21"/>
        </w:rPr>
      </w:pPr>
      <w:r>
        <w:rPr>
          <w:rFonts w:cs="黑体" w:asciiTheme="majorEastAsia" w:hAnsiTheme="majorEastAsia" w:eastAsiaTheme="majorEastAsia"/>
          <w:b/>
          <w:kern w:val="0"/>
          <w:szCs w:val="21"/>
        </w:rPr>
        <w:t>4.1.5</w:t>
      </w:r>
      <w:r>
        <w:rPr>
          <w:rFonts w:cs="黑体" w:asciiTheme="majorEastAsia" w:hAnsiTheme="majorEastAsia" w:eastAsiaTheme="majorEastAsia"/>
          <w:kern w:val="0"/>
          <w:szCs w:val="21"/>
        </w:rPr>
        <w:t xml:space="preserve"> </w:t>
      </w:r>
      <w:r>
        <w:rPr>
          <w:rFonts w:hint="eastAsia" w:cs="宋体" w:asciiTheme="majorEastAsia" w:hAnsiTheme="majorEastAsia" w:eastAsiaTheme="majorEastAsia"/>
          <w:kern w:val="0"/>
          <w:szCs w:val="21"/>
        </w:rPr>
        <w:t>企业对产品主要原材料供应方、生产协作方、相关服务方等提出相关质量、环境、能源和安全等方面的管理要求，宜开展绿色供应链管理，并建立绿色供应链管理绩效评价机制、程序，确定评价指标和评价方法。</w:t>
      </w:r>
    </w:p>
    <w:p>
      <w:pPr>
        <w:tabs>
          <w:tab w:val="left" w:pos="7164"/>
        </w:tabs>
        <w:rPr>
          <w:rFonts w:cs="宋体" w:asciiTheme="majorEastAsia" w:hAnsiTheme="majorEastAsia" w:eastAsiaTheme="majorEastAsia"/>
          <w:kern w:val="0"/>
          <w:szCs w:val="21"/>
        </w:rPr>
      </w:pPr>
      <w:r>
        <w:rPr>
          <w:rFonts w:hint="eastAsia" w:cs="宋体" w:asciiTheme="majorEastAsia" w:hAnsiTheme="majorEastAsia" w:eastAsiaTheme="majorEastAsia"/>
          <w:b/>
          <w:kern w:val="0"/>
          <w:szCs w:val="21"/>
        </w:rPr>
        <w:t xml:space="preserve">4.1.6 </w:t>
      </w:r>
      <w:r>
        <w:rPr>
          <w:rFonts w:hint="eastAsia" w:cs="宋体" w:asciiTheme="majorEastAsia" w:hAnsiTheme="majorEastAsia" w:eastAsiaTheme="majorEastAsia"/>
          <w:kern w:val="0"/>
          <w:szCs w:val="21"/>
        </w:rPr>
        <w:t>所产熔渣应进行无害化/资源化处理，其他危险废物应有符合GB 18597要求的专门储存场所或交第三方处置；产品包装材料应采用可再生利用或可降解材料。</w:t>
      </w:r>
    </w:p>
    <w:p>
      <w:pPr>
        <w:tabs>
          <w:tab w:val="left" w:pos="7164"/>
        </w:tabs>
        <w:rPr>
          <w:rFonts w:cs="宋体" w:asciiTheme="majorEastAsia" w:hAnsiTheme="majorEastAsia" w:eastAsiaTheme="majorEastAsia"/>
          <w:kern w:val="0"/>
          <w:szCs w:val="21"/>
        </w:rPr>
      </w:pPr>
      <w:r>
        <w:rPr>
          <w:rFonts w:hint="eastAsia" w:cs="宋体" w:asciiTheme="majorEastAsia" w:hAnsiTheme="majorEastAsia" w:eastAsiaTheme="majorEastAsia"/>
          <w:b/>
          <w:kern w:val="0"/>
          <w:szCs w:val="21"/>
        </w:rPr>
        <w:t>4.1.7</w:t>
      </w:r>
      <w:r>
        <w:rPr>
          <w:rFonts w:hint="eastAsia" w:cs="宋体" w:asciiTheme="majorEastAsia" w:hAnsiTheme="majorEastAsia" w:eastAsiaTheme="majorEastAsia"/>
          <w:kern w:val="0"/>
          <w:szCs w:val="21"/>
        </w:rPr>
        <w:t xml:space="preserve"> 生产过程中宜采用国家鼓励的先进技术和工艺，不能采取国家明令禁止、淘汰的工艺和设备。</w:t>
      </w:r>
    </w:p>
    <w:p>
      <w:pPr>
        <w:tabs>
          <w:tab w:val="left" w:pos="7164"/>
        </w:tabs>
        <w:rPr>
          <w:rFonts w:cs="宋体" w:asciiTheme="majorEastAsia" w:hAnsiTheme="majorEastAsia" w:eastAsiaTheme="majorEastAsia"/>
          <w:color w:val="FF0000"/>
          <w:kern w:val="0"/>
          <w:szCs w:val="21"/>
        </w:rPr>
      </w:pPr>
      <w:r>
        <w:rPr>
          <w:rFonts w:hint="eastAsia" w:cs="宋体" w:asciiTheme="majorEastAsia" w:hAnsiTheme="majorEastAsia" w:eastAsiaTheme="majorEastAsia"/>
          <w:b/>
          <w:color w:val="auto"/>
          <w:kern w:val="0"/>
          <w:szCs w:val="21"/>
        </w:rPr>
        <w:t>4.1.8</w:t>
      </w:r>
      <w:r>
        <w:rPr>
          <w:rFonts w:hint="eastAsia" w:cs="宋体" w:asciiTheme="majorEastAsia" w:hAnsiTheme="majorEastAsia" w:eastAsiaTheme="majorEastAsia"/>
          <w:color w:val="auto"/>
          <w:kern w:val="0"/>
          <w:szCs w:val="21"/>
        </w:rPr>
        <w:t xml:space="preserve"> 包装过程中宜采用自动包装技术和工艺，在易产生废气无组织排放的位置设有废气收集净化装置。</w:t>
      </w:r>
      <w:bookmarkStart w:id="1" w:name="_GoBack"/>
      <w:bookmarkEnd w:id="1"/>
    </w:p>
    <w:p>
      <w:pPr>
        <w:tabs>
          <w:tab w:val="left" w:pos="7164"/>
        </w:tabs>
        <w:rPr>
          <w:rFonts w:ascii="宋体" w:eastAsia="宋体" w:cs="宋体"/>
          <w:kern w:val="0"/>
          <w:szCs w:val="21"/>
        </w:rPr>
      </w:pPr>
    </w:p>
    <w:p>
      <w:pPr>
        <w:tabs>
          <w:tab w:val="left" w:pos="7164"/>
        </w:tabs>
        <w:rPr>
          <w:rFonts w:ascii="宋体" w:eastAsia="宋体" w:cs="宋体"/>
          <w:b/>
          <w:kern w:val="0"/>
          <w:szCs w:val="21"/>
        </w:rPr>
      </w:pPr>
      <w:r>
        <w:rPr>
          <w:rFonts w:hint="eastAsia" w:ascii="宋体" w:eastAsia="宋体" w:cs="宋体"/>
          <w:b/>
          <w:kern w:val="0"/>
          <w:szCs w:val="21"/>
        </w:rPr>
        <w:t>4.2 评价指标要求</w:t>
      </w:r>
    </w:p>
    <w:p>
      <w:pPr>
        <w:tabs>
          <w:tab w:val="left" w:pos="7164"/>
        </w:tabs>
        <w:ind w:firstLine="420" w:firstLineChars="200"/>
        <w:rPr>
          <w:rFonts w:ascii="宋体" w:eastAsia="宋体" w:cs="宋体"/>
          <w:kern w:val="0"/>
          <w:szCs w:val="21"/>
        </w:rPr>
      </w:pPr>
      <w:r>
        <w:rPr>
          <w:rFonts w:hint="eastAsia" w:ascii="宋体" w:eastAsia="宋体" w:cs="宋体"/>
          <w:kern w:val="0"/>
          <w:szCs w:val="21"/>
        </w:rPr>
        <w:t>三氧化二锑产品评价指标由一级指标和二级指标组成。一级指标包括资源属性指标、能源属性指标、环境属性指标和产品属性指标。二级指标是对一级指标的具体化，明确规定所要达到的具体数值。具体见表1。本标准的功能单位为t（三氧化二锑）。</w:t>
      </w:r>
    </w:p>
    <w:p>
      <w:pPr>
        <w:tabs>
          <w:tab w:val="left" w:pos="7164"/>
        </w:tabs>
        <w:jc w:val="center"/>
        <w:rPr>
          <w:rFonts w:ascii="宋体" w:eastAsia="宋体" w:cs="宋体"/>
          <w:b/>
          <w:kern w:val="0"/>
          <w:szCs w:val="21"/>
        </w:rPr>
      </w:pPr>
      <w:r>
        <w:rPr>
          <w:rFonts w:hint="eastAsia" w:ascii="宋体" w:eastAsia="宋体" w:cs="宋体"/>
          <w:b/>
          <w:kern w:val="0"/>
          <w:szCs w:val="21"/>
        </w:rPr>
        <w:t>表1  三氧化二锑产品评价指标要求</w:t>
      </w:r>
    </w:p>
    <w:tbl>
      <w:tblPr>
        <w:tblStyle w:val="8"/>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850"/>
        <w:gridCol w:w="756"/>
        <w:gridCol w:w="1417"/>
        <w:gridCol w:w="275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tcPr>
          <w:p>
            <w:pPr>
              <w:tabs>
                <w:tab w:val="left" w:pos="7164"/>
              </w:tabs>
              <w:rPr>
                <w:rFonts w:asciiTheme="majorEastAsia" w:hAnsiTheme="majorEastAsia" w:eastAsiaTheme="majorEastAsia"/>
                <w:sz w:val="18"/>
                <w:szCs w:val="18"/>
              </w:rPr>
            </w:pPr>
            <w:r>
              <w:rPr>
                <w:rFonts w:hint="eastAsia" w:asciiTheme="majorEastAsia" w:hAnsiTheme="majorEastAsia" w:eastAsiaTheme="majorEastAsia"/>
                <w:sz w:val="18"/>
                <w:szCs w:val="18"/>
              </w:rPr>
              <w:t>一级指标</w:t>
            </w:r>
          </w:p>
        </w:tc>
        <w:tc>
          <w:tcPr>
            <w:tcW w:w="1850" w:type="dxa"/>
          </w:tcPr>
          <w:p>
            <w:pPr>
              <w:tabs>
                <w:tab w:val="left" w:pos="7164"/>
              </w:tabs>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二级指标</w:t>
            </w:r>
          </w:p>
        </w:tc>
        <w:tc>
          <w:tcPr>
            <w:tcW w:w="756" w:type="dxa"/>
          </w:tcPr>
          <w:p>
            <w:pPr>
              <w:tabs>
                <w:tab w:val="left" w:pos="7164"/>
              </w:tabs>
              <w:rPr>
                <w:rFonts w:asciiTheme="majorEastAsia" w:hAnsiTheme="majorEastAsia" w:eastAsiaTheme="majorEastAsia"/>
                <w:sz w:val="18"/>
                <w:szCs w:val="18"/>
              </w:rPr>
            </w:pPr>
            <w:r>
              <w:rPr>
                <w:rFonts w:hint="eastAsia" w:asciiTheme="majorEastAsia" w:hAnsiTheme="majorEastAsia" w:eastAsiaTheme="majorEastAsia"/>
                <w:sz w:val="18"/>
                <w:szCs w:val="18"/>
              </w:rPr>
              <w:t>单位</w:t>
            </w:r>
          </w:p>
        </w:tc>
        <w:tc>
          <w:tcPr>
            <w:tcW w:w="1417" w:type="dxa"/>
          </w:tcPr>
          <w:p>
            <w:pPr>
              <w:tabs>
                <w:tab w:val="left" w:pos="7164"/>
              </w:tabs>
              <w:rPr>
                <w:rFonts w:asciiTheme="majorEastAsia" w:hAnsiTheme="majorEastAsia" w:eastAsiaTheme="majorEastAsia"/>
                <w:sz w:val="18"/>
                <w:szCs w:val="18"/>
              </w:rPr>
            </w:pPr>
            <w:r>
              <w:rPr>
                <w:rFonts w:hint="eastAsia" w:asciiTheme="majorEastAsia" w:hAnsiTheme="majorEastAsia" w:eastAsiaTheme="majorEastAsia"/>
                <w:sz w:val="18"/>
                <w:szCs w:val="18"/>
              </w:rPr>
              <w:t>基准值</w:t>
            </w:r>
          </w:p>
        </w:tc>
        <w:tc>
          <w:tcPr>
            <w:tcW w:w="2756" w:type="dxa"/>
          </w:tcPr>
          <w:p>
            <w:pPr>
              <w:tabs>
                <w:tab w:val="left" w:pos="7164"/>
              </w:tabs>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判定依据</w:t>
            </w:r>
          </w:p>
        </w:tc>
        <w:tc>
          <w:tcPr>
            <w:tcW w:w="963" w:type="dxa"/>
          </w:tcPr>
          <w:p>
            <w:pPr>
              <w:tabs>
                <w:tab w:val="left" w:pos="7164"/>
              </w:tabs>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vMerge w:val="restart"/>
            <w:vAlign w:val="center"/>
          </w:tcPr>
          <w:p>
            <w:pPr>
              <w:tabs>
                <w:tab w:val="left" w:pos="7164"/>
              </w:tabs>
              <w:rPr>
                <w:rFonts w:asciiTheme="majorEastAsia" w:hAnsiTheme="majorEastAsia" w:eastAsiaTheme="majorEastAsia"/>
                <w:sz w:val="18"/>
                <w:szCs w:val="18"/>
              </w:rPr>
            </w:pPr>
            <w:r>
              <w:rPr>
                <w:rFonts w:hint="eastAsia" w:asciiTheme="majorEastAsia" w:hAnsiTheme="majorEastAsia" w:eastAsiaTheme="majorEastAsia"/>
                <w:sz w:val="18"/>
                <w:szCs w:val="18"/>
              </w:rPr>
              <w:t>资源属性</w:t>
            </w:r>
          </w:p>
        </w:tc>
        <w:tc>
          <w:tcPr>
            <w:tcW w:w="1850"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锑金属消耗</w:t>
            </w:r>
          </w:p>
        </w:tc>
        <w:tc>
          <w:tcPr>
            <w:tcW w:w="756"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Kg/t</w:t>
            </w:r>
          </w:p>
        </w:tc>
        <w:tc>
          <w:tcPr>
            <w:tcW w:w="1417"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≤846</w:t>
            </w:r>
            <w:r>
              <w:rPr>
                <w:rFonts w:hint="eastAsia" w:asciiTheme="minorEastAsia" w:hAnsiTheme="minorEastAsia"/>
                <w:sz w:val="24"/>
                <w:szCs w:val="18"/>
                <w:vertAlign w:val="superscript"/>
              </w:rPr>
              <w:t>a</w:t>
            </w:r>
          </w:p>
        </w:tc>
        <w:tc>
          <w:tcPr>
            <w:tcW w:w="2756"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现场数据</w:t>
            </w:r>
          </w:p>
        </w:tc>
        <w:tc>
          <w:tcPr>
            <w:tcW w:w="963"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vMerge w:val="continue"/>
            <w:vAlign w:val="center"/>
          </w:tcPr>
          <w:p>
            <w:pPr>
              <w:tabs>
                <w:tab w:val="left" w:pos="7164"/>
              </w:tabs>
              <w:jc w:val="center"/>
              <w:rPr>
                <w:rFonts w:asciiTheme="majorEastAsia" w:hAnsiTheme="majorEastAsia" w:eastAsiaTheme="majorEastAsia"/>
                <w:sz w:val="18"/>
                <w:szCs w:val="18"/>
              </w:rPr>
            </w:pPr>
          </w:p>
        </w:tc>
        <w:tc>
          <w:tcPr>
            <w:tcW w:w="1850"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锑锭成分</w:t>
            </w:r>
          </w:p>
        </w:tc>
        <w:tc>
          <w:tcPr>
            <w:tcW w:w="756"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w:t>
            </w:r>
          </w:p>
        </w:tc>
        <w:tc>
          <w:tcPr>
            <w:tcW w:w="1417" w:type="dxa"/>
            <w:vAlign w:val="center"/>
          </w:tcPr>
          <w:p>
            <w:pPr>
              <w:autoSpaceDE w:val="0"/>
              <w:autoSpaceDN w:val="0"/>
              <w:adjustRightInd w:val="0"/>
              <w:rPr>
                <w:rFonts w:ascii="Calibri" w:hAnsi="Calibri" w:cs="Calibri"/>
                <w:kern w:val="0"/>
                <w:sz w:val="18"/>
                <w:szCs w:val="18"/>
              </w:rPr>
            </w:pPr>
            <w:r>
              <w:rPr>
                <w:rFonts w:hint="eastAsia" w:ascii="Calibri" w:hAnsi="Calibri" w:cs="Calibri"/>
                <w:kern w:val="0"/>
                <w:sz w:val="18"/>
                <w:szCs w:val="18"/>
              </w:rPr>
              <w:t>GB/T 1599</w:t>
            </w:r>
          </w:p>
          <w:p>
            <w:pPr>
              <w:autoSpaceDE w:val="0"/>
              <w:autoSpaceDN w:val="0"/>
              <w:adjustRightInd w:val="0"/>
              <w:rPr>
                <w:rFonts w:ascii="宋体" w:hAnsi="Calibri" w:eastAsia="宋体" w:cs="宋体"/>
                <w:kern w:val="0"/>
                <w:sz w:val="18"/>
                <w:szCs w:val="18"/>
              </w:rPr>
            </w:pPr>
            <w:r>
              <w:rPr>
                <w:rFonts w:hint="eastAsia" w:ascii="宋体" w:hAnsi="Calibri" w:eastAsia="宋体" w:cs="宋体"/>
                <w:kern w:val="0"/>
                <w:sz w:val="18"/>
                <w:szCs w:val="18"/>
              </w:rPr>
              <w:t>标准的要求</w:t>
            </w:r>
          </w:p>
        </w:tc>
        <w:tc>
          <w:tcPr>
            <w:tcW w:w="2756" w:type="dxa"/>
            <w:vAlign w:val="center"/>
          </w:tcPr>
          <w:p>
            <w:pPr>
              <w:autoSpaceDE w:val="0"/>
              <w:autoSpaceDN w:val="0"/>
              <w:adjustRightInd w:val="0"/>
              <w:rPr>
                <w:rFonts w:ascii="Calibri" w:hAnsi="Calibri" w:cs="Calibri"/>
                <w:kern w:val="0"/>
                <w:sz w:val="18"/>
                <w:szCs w:val="18"/>
              </w:rPr>
            </w:pPr>
            <w:r>
              <w:rPr>
                <w:rFonts w:hint="eastAsia" w:ascii="Calibri" w:hAnsi="Calibri" w:cs="Calibri"/>
                <w:kern w:val="0"/>
                <w:sz w:val="18"/>
                <w:szCs w:val="18"/>
              </w:rPr>
              <w:t>GB/T 3253，分析检验结果</w:t>
            </w:r>
          </w:p>
        </w:tc>
        <w:tc>
          <w:tcPr>
            <w:tcW w:w="963"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vAlign w:val="center"/>
          </w:tcPr>
          <w:p>
            <w:pPr>
              <w:tabs>
                <w:tab w:val="left" w:pos="7164"/>
              </w:tabs>
              <w:rPr>
                <w:rFonts w:asciiTheme="majorEastAsia" w:hAnsiTheme="majorEastAsia" w:eastAsiaTheme="majorEastAsia"/>
                <w:sz w:val="18"/>
                <w:szCs w:val="18"/>
              </w:rPr>
            </w:pPr>
            <w:r>
              <w:rPr>
                <w:rFonts w:hint="eastAsia" w:asciiTheme="majorEastAsia" w:hAnsiTheme="majorEastAsia" w:eastAsiaTheme="majorEastAsia"/>
                <w:sz w:val="18"/>
                <w:szCs w:val="18"/>
              </w:rPr>
              <w:t>能源属性</w:t>
            </w:r>
          </w:p>
        </w:tc>
        <w:tc>
          <w:tcPr>
            <w:tcW w:w="1850"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吨三氧化二锑产品综合能耗</w:t>
            </w:r>
          </w:p>
        </w:tc>
        <w:tc>
          <w:tcPr>
            <w:tcW w:w="756"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Kgce/t</w:t>
            </w:r>
          </w:p>
        </w:tc>
        <w:tc>
          <w:tcPr>
            <w:tcW w:w="1417"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≤15</w:t>
            </w:r>
          </w:p>
        </w:tc>
        <w:tc>
          <w:tcPr>
            <w:tcW w:w="2756"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现场数据</w:t>
            </w:r>
          </w:p>
        </w:tc>
        <w:tc>
          <w:tcPr>
            <w:tcW w:w="963"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047" w:type="dxa"/>
            <w:vMerge w:val="restart"/>
            <w:vAlign w:val="center"/>
          </w:tcPr>
          <w:p>
            <w:pPr>
              <w:tabs>
                <w:tab w:val="left" w:pos="7164"/>
              </w:tabs>
              <w:rPr>
                <w:rFonts w:asciiTheme="majorEastAsia" w:hAnsiTheme="majorEastAsia" w:eastAsiaTheme="majorEastAsia"/>
                <w:sz w:val="18"/>
                <w:szCs w:val="18"/>
              </w:rPr>
            </w:pPr>
            <w:r>
              <w:rPr>
                <w:rFonts w:hint="eastAsia" w:asciiTheme="majorEastAsia" w:hAnsiTheme="majorEastAsia" w:eastAsiaTheme="majorEastAsia"/>
                <w:sz w:val="18"/>
                <w:szCs w:val="18"/>
              </w:rPr>
              <w:t>环境属性</w:t>
            </w:r>
          </w:p>
        </w:tc>
        <w:tc>
          <w:tcPr>
            <w:tcW w:w="1850"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大气污染物排放浓度限值</w:t>
            </w:r>
          </w:p>
        </w:tc>
        <w:tc>
          <w:tcPr>
            <w:tcW w:w="756" w:type="dxa"/>
            <w:vAlign w:val="center"/>
          </w:tcPr>
          <w:p>
            <w:pPr>
              <w:rPr>
                <w:rFonts w:asciiTheme="minorEastAsia" w:hAnsiTheme="minorEastAsia"/>
                <w:sz w:val="18"/>
                <w:szCs w:val="18"/>
              </w:rPr>
            </w:pPr>
            <w:r>
              <w:rPr>
                <w:rFonts w:hint="eastAsia" w:asciiTheme="minorEastAsia" w:hAnsiTheme="minorEastAsia"/>
                <w:sz w:val="18"/>
                <w:szCs w:val="18"/>
              </w:rPr>
              <w:t>mg/m</w:t>
            </w:r>
            <w:r>
              <w:rPr>
                <w:rFonts w:hint="eastAsia" w:asciiTheme="minorEastAsia" w:hAnsiTheme="minorEastAsia"/>
                <w:sz w:val="18"/>
                <w:szCs w:val="18"/>
                <w:vertAlign w:val="superscript"/>
              </w:rPr>
              <w:t>3</w:t>
            </w:r>
          </w:p>
        </w:tc>
        <w:tc>
          <w:tcPr>
            <w:tcW w:w="1417"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新建企业排放限值</w:t>
            </w:r>
          </w:p>
        </w:tc>
        <w:tc>
          <w:tcPr>
            <w:tcW w:w="2756" w:type="dxa"/>
            <w:vAlign w:val="center"/>
          </w:tcPr>
          <w:p>
            <w:pPr>
              <w:autoSpaceDE w:val="0"/>
              <w:autoSpaceDN w:val="0"/>
              <w:adjustRightInd w:val="0"/>
              <w:rPr>
                <w:rFonts w:ascii="宋体" w:hAnsi="Calibri" w:eastAsia="宋体" w:cs="宋体"/>
                <w:kern w:val="0"/>
                <w:sz w:val="18"/>
                <w:szCs w:val="18"/>
              </w:rPr>
            </w:pPr>
            <w:r>
              <w:rPr>
                <w:rFonts w:ascii="Calibri" w:hAnsi="Calibri" w:cs="Calibri"/>
                <w:kern w:val="0"/>
                <w:sz w:val="18"/>
                <w:szCs w:val="18"/>
              </w:rPr>
              <w:t>GB 30770</w:t>
            </w:r>
            <w:r>
              <w:rPr>
                <w:rFonts w:hint="eastAsia" w:ascii="宋体" w:hAnsi="Calibri" w:eastAsia="宋体" w:cs="宋体"/>
                <w:kern w:val="0"/>
                <w:sz w:val="18"/>
                <w:szCs w:val="18"/>
              </w:rPr>
              <w:t>，现场监测数据或分析检验结果</w:t>
            </w:r>
          </w:p>
        </w:tc>
        <w:tc>
          <w:tcPr>
            <w:tcW w:w="963"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047" w:type="dxa"/>
            <w:vMerge w:val="continue"/>
            <w:vAlign w:val="center"/>
          </w:tcPr>
          <w:p>
            <w:pPr>
              <w:tabs>
                <w:tab w:val="left" w:pos="7164"/>
              </w:tabs>
              <w:rPr>
                <w:rFonts w:asciiTheme="majorEastAsia" w:hAnsiTheme="majorEastAsia" w:eastAsiaTheme="majorEastAsia"/>
                <w:sz w:val="18"/>
                <w:szCs w:val="18"/>
              </w:rPr>
            </w:pPr>
          </w:p>
        </w:tc>
        <w:tc>
          <w:tcPr>
            <w:tcW w:w="1850"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水污染排放限值</w:t>
            </w:r>
          </w:p>
        </w:tc>
        <w:tc>
          <w:tcPr>
            <w:tcW w:w="756" w:type="dxa"/>
            <w:vAlign w:val="center"/>
          </w:tcPr>
          <w:p>
            <w:pPr>
              <w:rPr>
                <w:rFonts w:asciiTheme="minorEastAsia" w:hAnsiTheme="minorEastAsia"/>
                <w:sz w:val="18"/>
                <w:szCs w:val="18"/>
              </w:rPr>
            </w:pPr>
            <w:r>
              <w:rPr>
                <w:rFonts w:hint="eastAsia" w:asciiTheme="minorEastAsia" w:hAnsiTheme="minorEastAsia"/>
                <w:sz w:val="18"/>
                <w:szCs w:val="18"/>
              </w:rPr>
              <w:t>mg/L</w:t>
            </w:r>
          </w:p>
        </w:tc>
        <w:tc>
          <w:tcPr>
            <w:tcW w:w="1417"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新建企业排放限值</w:t>
            </w:r>
          </w:p>
        </w:tc>
        <w:tc>
          <w:tcPr>
            <w:tcW w:w="2756" w:type="dxa"/>
            <w:vAlign w:val="center"/>
          </w:tcPr>
          <w:p>
            <w:pPr>
              <w:autoSpaceDE w:val="0"/>
              <w:autoSpaceDN w:val="0"/>
              <w:adjustRightInd w:val="0"/>
              <w:rPr>
                <w:rFonts w:ascii="宋体" w:hAnsi="Calibri" w:eastAsia="宋体" w:cs="宋体"/>
                <w:kern w:val="0"/>
                <w:sz w:val="18"/>
                <w:szCs w:val="18"/>
              </w:rPr>
            </w:pPr>
            <w:r>
              <w:rPr>
                <w:rFonts w:ascii="Calibri" w:hAnsi="Calibri" w:cs="Calibri"/>
                <w:kern w:val="0"/>
                <w:sz w:val="18"/>
                <w:szCs w:val="18"/>
              </w:rPr>
              <w:t>GB 30770</w:t>
            </w:r>
            <w:r>
              <w:rPr>
                <w:rFonts w:hint="eastAsia" w:ascii="宋体" w:hAnsi="Calibri" w:eastAsia="宋体" w:cs="宋体"/>
                <w:kern w:val="0"/>
                <w:sz w:val="18"/>
                <w:szCs w:val="18"/>
              </w:rPr>
              <w:t>，现场监测数据或分析检验结果</w:t>
            </w:r>
          </w:p>
        </w:tc>
        <w:tc>
          <w:tcPr>
            <w:tcW w:w="963"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047" w:type="dxa"/>
            <w:vMerge w:val="continue"/>
            <w:vAlign w:val="center"/>
          </w:tcPr>
          <w:p>
            <w:pPr>
              <w:tabs>
                <w:tab w:val="left" w:pos="7164"/>
              </w:tabs>
              <w:jc w:val="center"/>
              <w:rPr>
                <w:rFonts w:asciiTheme="majorEastAsia" w:hAnsiTheme="majorEastAsia" w:eastAsiaTheme="majorEastAsia"/>
                <w:sz w:val="18"/>
                <w:szCs w:val="18"/>
              </w:rPr>
            </w:pPr>
          </w:p>
        </w:tc>
        <w:tc>
          <w:tcPr>
            <w:tcW w:w="1850"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车间空气允许粉尘浓度</w:t>
            </w:r>
          </w:p>
        </w:tc>
        <w:tc>
          <w:tcPr>
            <w:tcW w:w="756" w:type="dxa"/>
            <w:vAlign w:val="center"/>
          </w:tcPr>
          <w:p>
            <w:pPr>
              <w:rPr>
                <w:rFonts w:asciiTheme="minorEastAsia" w:hAnsiTheme="minorEastAsia"/>
                <w:sz w:val="18"/>
                <w:szCs w:val="18"/>
              </w:rPr>
            </w:pPr>
            <w:r>
              <w:rPr>
                <w:rFonts w:hint="eastAsia" w:asciiTheme="minorEastAsia" w:hAnsiTheme="minorEastAsia"/>
                <w:sz w:val="18"/>
                <w:szCs w:val="18"/>
              </w:rPr>
              <w:t>mg/m</w:t>
            </w:r>
            <w:r>
              <w:rPr>
                <w:rFonts w:hint="eastAsia" w:asciiTheme="minorEastAsia" w:hAnsiTheme="minorEastAsia"/>
                <w:sz w:val="18"/>
                <w:szCs w:val="18"/>
                <w:vertAlign w:val="superscript"/>
              </w:rPr>
              <w:t>3</w:t>
            </w:r>
          </w:p>
        </w:tc>
        <w:tc>
          <w:tcPr>
            <w:tcW w:w="1417"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≤10</w:t>
            </w:r>
          </w:p>
        </w:tc>
        <w:tc>
          <w:tcPr>
            <w:tcW w:w="2756" w:type="dxa"/>
            <w:vAlign w:val="center"/>
          </w:tcPr>
          <w:p>
            <w:pPr>
              <w:autoSpaceDE w:val="0"/>
              <w:autoSpaceDN w:val="0"/>
              <w:adjustRightInd w:val="0"/>
              <w:rPr>
                <w:rFonts w:ascii="宋体" w:hAnsi="Calibri" w:eastAsia="宋体" w:cs="宋体"/>
                <w:kern w:val="0"/>
                <w:sz w:val="18"/>
                <w:szCs w:val="18"/>
              </w:rPr>
            </w:pPr>
            <w:r>
              <w:rPr>
                <w:rFonts w:hint="eastAsia" w:asciiTheme="minorEastAsia" w:hAnsiTheme="minorEastAsia"/>
                <w:sz w:val="18"/>
                <w:szCs w:val="18"/>
              </w:rPr>
              <w:t>现场数据</w:t>
            </w:r>
          </w:p>
        </w:tc>
        <w:tc>
          <w:tcPr>
            <w:tcW w:w="963" w:type="dxa"/>
            <w:vAlign w:val="center"/>
          </w:tcPr>
          <w:p>
            <w:pPr>
              <w:tabs>
                <w:tab w:val="left" w:pos="7164"/>
              </w:tabs>
              <w:rPr>
                <w:rFonts w:asciiTheme="minorEastAsia" w:hAnsiTheme="minorEastAsia"/>
                <w:sz w:val="18"/>
                <w:szCs w:val="18"/>
              </w:rPr>
            </w:pPr>
            <w:r>
              <w:rPr>
                <w:rFonts w:hint="eastAsia" w:asciiTheme="minorEastAsia" w:hAnsiTheme="minorEastAsia"/>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047" w:type="dxa"/>
            <w:vMerge w:val="restart"/>
            <w:vAlign w:val="center"/>
          </w:tcPr>
          <w:p>
            <w:pPr>
              <w:tabs>
                <w:tab w:val="left" w:pos="7164"/>
              </w:tabs>
              <w:rPr>
                <w:rFonts w:asciiTheme="majorEastAsia" w:hAnsiTheme="majorEastAsia" w:eastAsiaTheme="majorEastAsia"/>
                <w:sz w:val="18"/>
                <w:szCs w:val="18"/>
              </w:rPr>
            </w:pPr>
            <w:r>
              <w:rPr>
                <w:rFonts w:hint="eastAsia" w:asciiTheme="majorEastAsia" w:hAnsiTheme="majorEastAsia" w:eastAsiaTheme="majorEastAsia"/>
                <w:sz w:val="18"/>
                <w:szCs w:val="18"/>
              </w:rPr>
              <w:t>产品属性</w:t>
            </w:r>
          </w:p>
        </w:tc>
        <w:tc>
          <w:tcPr>
            <w:tcW w:w="1850" w:type="dxa"/>
          </w:tcPr>
          <w:p>
            <w:pPr>
              <w:tabs>
                <w:tab w:val="left" w:pos="7164"/>
              </w:tabs>
              <w:rPr>
                <w:rFonts w:asciiTheme="minorEastAsia" w:hAnsiTheme="minorEastAsia"/>
                <w:sz w:val="18"/>
                <w:szCs w:val="18"/>
              </w:rPr>
            </w:pPr>
            <w:r>
              <w:rPr>
                <w:rFonts w:hint="eastAsia" w:asciiTheme="minorEastAsia" w:hAnsiTheme="minorEastAsia"/>
                <w:sz w:val="18"/>
                <w:szCs w:val="18"/>
              </w:rPr>
              <w:t>镉</w:t>
            </w:r>
          </w:p>
        </w:tc>
        <w:tc>
          <w:tcPr>
            <w:tcW w:w="756" w:type="dxa"/>
          </w:tcPr>
          <w:p>
            <w:pPr>
              <w:tabs>
                <w:tab w:val="left" w:pos="7164"/>
              </w:tabs>
              <w:rPr>
                <w:rFonts w:asciiTheme="minorEastAsia" w:hAnsiTheme="minorEastAsia"/>
                <w:sz w:val="18"/>
                <w:szCs w:val="18"/>
              </w:rPr>
            </w:pPr>
            <w:r>
              <w:rPr>
                <w:rFonts w:hint="eastAsia" w:asciiTheme="minorEastAsia" w:hAnsiTheme="minorEastAsia"/>
                <w:sz w:val="18"/>
                <w:szCs w:val="18"/>
              </w:rPr>
              <w:t>%</w:t>
            </w:r>
          </w:p>
        </w:tc>
        <w:tc>
          <w:tcPr>
            <w:tcW w:w="1417" w:type="dxa"/>
          </w:tcPr>
          <w:p>
            <w:pPr>
              <w:tabs>
                <w:tab w:val="left" w:pos="7164"/>
              </w:tabs>
              <w:rPr>
                <w:rFonts w:asciiTheme="minorEastAsia" w:hAnsiTheme="minorEastAsia"/>
                <w:sz w:val="18"/>
                <w:szCs w:val="18"/>
              </w:rPr>
            </w:pPr>
            <w:r>
              <w:rPr>
                <w:rFonts w:hint="eastAsia" w:asciiTheme="minorEastAsia" w:hAnsiTheme="minorEastAsia"/>
                <w:sz w:val="18"/>
                <w:szCs w:val="18"/>
              </w:rPr>
              <w:t>≤0.0015</w:t>
            </w:r>
          </w:p>
        </w:tc>
        <w:tc>
          <w:tcPr>
            <w:tcW w:w="2756" w:type="dxa"/>
          </w:tcPr>
          <w:p>
            <w:pPr>
              <w:tabs>
                <w:tab w:val="left" w:pos="7164"/>
              </w:tabs>
              <w:rPr>
                <w:rFonts w:asciiTheme="minorEastAsia" w:hAnsiTheme="minorEastAsia"/>
                <w:sz w:val="18"/>
                <w:szCs w:val="18"/>
              </w:rPr>
            </w:pPr>
            <w:r>
              <w:rPr>
                <w:rFonts w:hint="eastAsia" w:asciiTheme="minorEastAsia" w:hAnsiTheme="minorEastAsia"/>
                <w:sz w:val="18"/>
                <w:szCs w:val="18"/>
              </w:rPr>
              <w:t>GB/T 3253，分析检验结果</w:t>
            </w:r>
          </w:p>
        </w:tc>
        <w:tc>
          <w:tcPr>
            <w:tcW w:w="963" w:type="dxa"/>
          </w:tcPr>
          <w:p>
            <w:pPr>
              <w:tabs>
                <w:tab w:val="left" w:pos="7164"/>
              </w:tabs>
              <w:rPr>
                <w:rFonts w:asciiTheme="minorEastAsia" w:hAnsiTheme="minorEastAsia"/>
                <w:sz w:val="18"/>
                <w:szCs w:val="18"/>
              </w:rPr>
            </w:pPr>
            <w:r>
              <w:rPr>
                <w:rFonts w:hint="eastAsia" w:asciiTheme="minorEastAsia" w:hAnsiTheme="minorEastAsia"/>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vMerge w:val="continue"/>
          </w:tcPr>
          <w:p>
            <w:pPr>
              <w:tabs>
                <w:tab w:val="left" w:pos="7164"/>
              </w:tabs>
              <w:rPr>
                <w:rFonts w:asciiTheme="majorEastAsia" w:hAnsiTheme="majorEastAsia" w:eastAsiaTheme="majorEastAsia"/>
                <w:szCs w:val="21"/>
              </w:rPr>
            </w:pPr>
          </w:p>
        </w:tc>
        <w:tc>
          <w:tcPr>
            <w:tcW w:w="1850" w:type="dxa"/>
          </w:tcPr>
          <w:p>
            <w:pPr>
              <w:tabs>
                <w:tab w:val="left" w:pos="7164"/>
              </w:tabs>
              <w:rPr>
                <w:rFonts w:asciiTheme="minorEastAsia" w:hAnsiTheme="minorEastAsia"/>
                <w:sz w:val="18"/>
                <w:szCs w:val="18"/>
              </w:rPr>
            </w:pPr>
            <w:r>
              <w:rPr>
                <w:rFonts w:hint="eastAsia" w:asciiTheme="minorEastAsia" w:hAnsiTheme="minorEastAsia"/>
                <w:sz w:val="18"/>
                <w:szCs w:val="18"/>
              </w:rPr>
              <w:t>铅</w:t>
            </w:r>
          </w:p>
        </w:tc>
        <w:tc>
          <w:tcPr>
            <w:tcW w:w="756" w:type="dxa"/>
          </w:tcPr>
          <w:p>
            <w:pPr>
              <w:tabs>
                <w:tab w:val="left" w:pos="7164"/>
              </w:tabs>
              <w:rPr>
                <w:rFonts w:asciiTheme="minorEastAsia" w:hAnsiTheme="minorEastAsia"/>
                <w:sz w:val="18"/>
                <w:szCs w:val="18"/>
              </w:rPr>
            </w:pPr>
            <w:r>
              <w:rPr>
                <w:rFonts w:hint="eastAsia" w:asciiTheme="minorEastAsia" w:hAnsiTheme="minorEastAsia"/>
                <w:sz w:val="18"/>
                <w:szCs w:val="18"/>
              </w:rPr>
              <w:t>%</w:t>
            </w:r>
          </w:p>
        </w:tc>
        <w:tc>
          <w:tcPr>
            <w:tcW w:w="1417" w:type="dxa"/>
          </w:tcPr>
          <w:p>
            <w:pPr>
              <w:tabs>
                <w:tab w:val="left" w:pos="7164"/>
              </w:tabs>
              <w:rPr>
                <w:rFonts w:asciiTheme="minorEastAsia" w:hAnsiTheme="minorEastAsia"/>
                <w:sz w:val="18"/>
                <w:szCs w:val="18"/>
              </w:rPr>
            </w:pPr>
            <w:r>
              <w:rPr>
                <w:rFonts w:hint="eastAsia" w:asciiTheme="minorEastAsia" w:hAnsiTheme="minorEastAsia"/>
                <w:sz w:val="18"/>
                <w:szCs w:val="18"/>
              </w:rPr>
              <w:t>≤0.093</w:t>
            </w:r>
          </w:p>
        </w:tc>
        <w:tc>
          <w:tcPr>
            <w:tcW w:w="2756" w:type="dxa"/>
          </w:tcPr>
          <w:p>
            <w:pPr>
              <w:tabs>
                <w:tab w:val="left" w:pos="7164"/>
              </w:tabs>
              <w:rPr>
                <w:rFonts w:asciiTheme="minorEastAsia" w:hAnsiTheme="minorEastAsia"/>
                <w:sz w:val="18"/>
                <w:szCs w:val="18"/>
              </w:rPr>
            </w:pPr>
            <w:r>
              <w:rPr>
                <w:rFonts w:hint="eastAsia" w:asciiTheme="minorEastAsia" w:hAnsiTheme="minorEastAsia"/>
                <w:sz w:val="18"/>
                <w:szCs w:val="18"/>
              </w:rPr>
              <w:t>GB/T 3253，分析检验结果</w:t>
            </w:r>
          </w:p>
        </w:tc>
        <w:tc>
          <w:tcPr>
            <w:tcW w:w="963" w:type="dxa"/>
          </w:tcPr>
          <w:p>
            <w:pPr>
              <w:tabs>
                <w:tab w:val="left" w:pos="7164"/>
              </w:tabs>
              <w:rPr>
                <w:rFonts w:asciiTheme="minorEastAsia" w:hAnsiTheme="minorEastAsia"/>
                <w:sz w:val="18"/>
                <w:szCs w:val="18"/>
              </w:rPr>
            </w:pPr>
            <w:r>
              <w:rPr>
                <w:rFonts w:hint="eastAsia" w:asciiTheme="minorEastAsia" w:hAnsiTheme="minorEastAsia"/>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vMerge w:val="continue"/>
          </w:tcPr>
          <w:p>
            <w:pPr>
              <w:tabs>
                <w:tab w:val="left" w:pos="7164"/>
              </w:tabs>
              <w:rPr>
                <w:rFonts w:asciiTheme="majorEastAsia" w:hAnsiTheme="majorEastAsia" w:eastAsiaTheme="majorEastAsia"/>
                <w:szCs w:val="21"/>
              </w:rPr>
            </w:pPr>
          </w:p>
        </w:tc>
        <w:tc>
          <w:tcPr>
            <w:tcW w:w="1850" w:type="dxa"/>
          </w:tcPr>
          <w:p>
            <w:pPr>
              <w:tabs>
                <w:tab w:val="left" w:pos="7164"/>
              </w:tabs>
              <w:rPr>
                <w:rFonts w:asciiTheme="minorEastAsia" w:hAnsiTheme="minorEastAsia"/>
                <w:sz w:val="18"/>
                <w:szCs w:val="18"/>
              </w:rPr>
            </w:pPr>
            <w:r>
              <w:rPr>
                <w:rFonts w:hint="eastAsia" w:asciiTheme="minorEastAsia" w:hAnsiTheme="minorEastAsia"/>
                <w:sz w:val="18"/>
                <w:szCs w:val="18"/>
              </w:rPr>
              <w:t>砷</w:t>
            </w:r>
          </w:p>
        </w:tc>
        <w:tc>
          <w:tcPr>
            <w:tcW w:w="756" w:type="dxa"/>
          </w:tcPr>
          <w:p>
            <w:pPr>
              <w:tabs>
                <w:tab w:val="left" w:pos="7164"/>
              </w:tabs>
              <w:rPr>
                <w:rFonts w:asciiTheme="minorEastAsia" w:hAnsiTheme="minorEastAsia"/>
                <w:sz w:val="18"/>
                <w:szCs w:val="18"/>
              </w:rPr>
            </w:pPr>
            <w:r>
              <w:rPr>
                <w:rFonts w:hint="eastAsia" w:asciiTheme="minorEastAsia" w:hAnsiTheme="minorEastAsia"/>
                <w:sz w:val="18"/>
                <w:szCs w:val="18"/>
              </w:rPr>
              <w:t>%</w:t>
            </w:r>
          </w:p>
        </w:tc>
        <w:tc>
          <w:tcPr>
            <w:tcW w:w="1417" w:type="dxa"/>
          </w:tcPr>
          <w:p>
            <w:pPr>
              <w:tabs>
                <w:tab w:val="left" w:pos="7164"/>
              </w:tabs>
              <w:rPr>
                <w:rFonts w:asciiTheme="minorEastAsia" w:hAnsiTheme="minorEastAsia"/>
                <w:sz w:val="18"/>
                <w:szCs w:val="18"/>
              </w:rPr>
            </w:pPr>
            <w:r>
              <w:rPr>
                <w:rFonts w:hint="eastAsia" w:asciiTheme="minorEastAsia" w:hAnsiTheme="minorEastAsia"/>
                <w:sz w:val="18"/>
                <w:szCs w:val="18"/>
              </w:rPr>
              <w:t>≤0.045</w:t>
            </w:r>
          </w:p>
        </w:tc>
        <w:tc>
          <w:tcPr>
            <w:tcW w:w="2756" w:type="dxa"/>
          </w:tcPr>
          <w:p>
            <w:pPr>
              <w:tabs>
                <w:tab w:val="left" w:pos="7164"/>
              </w:tabs>
              <w:rPr>
                <w:rFonts w:asciiTheme="minorEastAsia" w:hAnsiTheme="minorEastAsia"/>
                <w:sz w:val="18"/>
                <w:szCs w:val="18"/>
              </w:rPr>
            </w:pPr>
            <w:r>
              <w:rPr>
                <w:rFonts w:hint="eastAsia" w:asciiTheme="minorEastAsia" w:hAnsiTheme="minorEastAsia"/>
                <w:sz w:val="18"/>
                <w:szCs w:val="18"/>
              </w:rPr>
              <w:t>GB/T 3253，分析检验结果</w:t>
            </w:r>
          </w:p>
        </w:tc>
        <w:tc>
          <w:tcPr>
            <w:tcW w:w="963" w:type="dxa"/>
          </w:tcPr>
          <w:p>
            <w:pPr>
              <w:tabs>
                <w:tab w:val="left" w:pos="7164"/>
              </w:tabs>
              <w:rPr>
                <w:rFonts w:asciiTheme="minorEastAsia" w:hAnsiTheme="minorEastAsia"/>
                <w:sz w:val="18"/>
                <w:szCs w:val="18"/>
              </w:rPr>
            </w:pPr>
            <w:r>
              <w:rPr>
                <w:rFonts w:hint="eastAsia" w:asciiTheme="minorEastAsia" w:hAnsiTheme="minorEastAsia"/>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9" w:type="dxa"/>
            <w:gridSpan w:val="6"/>
          </w:tcPr>
          <w:p>
            <w:pPr>
              <w:tabs>
                <w:tab w:val="left" w:pos="7164"/>
              </w:tabs>
              <w:rPr>
                <w:rFonts w:asciiTheme="minorEastAsia" w:hAnsiTheme="minorEastAsia"/>
                <w:szCs w:val="21"/>
              </w:rPr>
            </w:pPr>
            <w:r>
              <w:rPr>
                <w:rFonts w:hint="eastAsia" w:asciiTheme="minorEastAsia" w:hAnsiTheme="minorEastAsia"/>
                <w:sz w:val="24"/>
                <w:szCs w:val="21"/>
                <w:vertAlign w:val="superscript"/>
              </w:rPr>
              <w:t>a</w:t>
            </w:r>
            <w:r>
              <w:rPr>
                <w:rFonts w:hint="eastAsia" w:asciiTheme="minorEastAsia" w:hAnsiTheme="minorEastAsia"/>
                <w:szCs w:val="21"/>
              </w:rPr>
              <w:t xml:space="preserve"> 吨三氧化二锑产品所消耗的锑金属含量。</w:t>
            </w:r>
          </w:p>
        </w:tc>
      </w:tr>
    </w:tbl>
    <w:p>
      <w:pPr>
        <w:tabs>
          <w:tab w:val="left" w:pos="7164"/>
        </w:tabs>
        <w:rPr>
          <w:rFonts w:hint="eastAsia" w:asciiTheme="majorEastAsia" w:hAnsiTheme="majorEastAsia" w:eastAsiaTheme="majorEastAsia"/>
          <w:b/>
          <w:szCs w:val="21"/>
        </w:rPr>
      </w:pP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4.3 数据来源</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4.3.1 统计</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企业的原辅材料及能源使用量、产品产量、废水、废气和固体废物产生量及相关技术经济指标等，以法定月报表或年报表为准。</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4.3.2 实测</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如果统计数据严重短缺，吨三氧化二锑产品综合能耗等指标也可以在一定计量时间内用实测方法取得，一定计量时间一般不少于一个月。</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4.3.3 采样和监测</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污染物排放指标的采样和监测按照相关技术规范执行，并采用国家或行业标准监测分析方法，详见GB30770。</w:t>
      </w:r>
    </w:p>
    <w:p>
      <w:pPr>
        <w:tabs>
          <w:tab w:val="left" w:pos="7164"/>
        </w:tabs>
        <w:ind w:firstLine="420" w:firstLineChars="200"/>
        <w:rPr>
          <w:rFonts w:asciiTheme="majorEastAsia" w:hAnsiTheme="majorEastAsia" w:eastAsiaTheme="majorEastAsia"/>
          <w:szCs w:val="21"/>
        </w:rPr>
      </w:pP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 生命周期评价报告编制方法</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5.1 生命周期评价方法</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应依据附录A 中生命周期评价方法和附录B 中数据收集表格，来对三氧化二锑产品进行生命周期评价。</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 生命周期评价报告框架</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5.2.1 基本信息</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报告应提供报告信息、申请者信息、评估对象信息、采用的标准信息等基本信息；各信息内容应包括：</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a)报告信息：包括报告编号、编制人员、审核人员、发布日期等；</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b)申请者信息：包括公司全称、组织机构代码、地址、联系人、联系方式等；</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c)评估对象信息：包括产品型号或类型、主要技术参数、制造商及厂址等；</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d)采用的标准信息：包括标准名称及标准号等。</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5.2.2 符合性评价</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报告中应提供对基本要求和评价指标要求的符合性情况说明，并提供所有评价指标对比基期改进情况的说明。其中报告期为当前评价的年份，一般是指产品参与评价年份的上一年；基期为一个对照年份，一般比报告期提前一年。</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5.2.3 生命周期评价</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5.2.3.1 评价对象及工具</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报告中应详细描述评估的对象（三氧化二锑）、功能单位和三氧化二锑产品主要功能，提供三氧化二锑产品的原辅材料组成及主要理化性能，绘制并说明三氧化二锑产品的系统边界，披露所使用的基于中国生命周期数据库的软件工具。</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5.2.3.2 生命周期清单分析</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报告中应提供考虑的生命周期阶段，说明每个阶段所考虑的清单因子及收集到的现场数据或背景数据，涉及到数据分配的情况应说明分配方法和结果。</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5.2.3.3 生命周期影响评价</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报告中应提供三氧化二锑产品生命周期各阶段的不同影响类型的特征化值，并对不同影响类型在各个生命周期阶段的分布情况进行比较分析。</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5.2.4 绿色设计改进方案</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在分析指标的符合性评价结果以及生命周期评价结果的基础上，提出三氧化二锑产品绿色设计改进的具体方案。</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5.2.5 评价报告主要结论</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应该说明三氧化二锑产品对评价指标的符合性结论、生命周期评价结果、提出的改进方案，并根据评价结论初步判断该产品是否为绿色设计产品。</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5.2.6 附件</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报告中应在附件中提供：</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a）三氧化二锑产品化学成分分析检测结果；</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b）三氧化二锑产品工艺表（包括工艺名称、工艺过程）；</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c）各单元过程的数据收集表；</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d）其他。</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6 评价方法和流程</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6.1 评价方法</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本标准采用指标评价与生命周期评价相结合的方法，按照“4.1 基本要求”和“4.2 评价指标要求”开展自我评价和第三方评价。在满足评价指标要求的基础上，采用生命周期评价方法，进行生命周期影响评价，编制生命周期评价报告。</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三氧化二锑产品同时满足以下两个条件，即可判断为绿色设计产品：</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a）满足基本要求（见4.1）和评价指标要求（见4.2）；</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b）提供三氧化二锑产品生命周期评价报告（见5.2）。</w:t>
      </w:r>
    </w:p>
    <w:p>
      <w:pPr>
        <w:tabs>
          <w:tab w:val="left" w:pos="7164"/>
        </w:tabs>
        <w:rPr>
          <w:rFonts w:asciiTheme="majorEastAsia" w:hAnsiTheme="majorEastAsia" w:eastAsiaTheme="majorEastAsia"/>
          <w:b/>
          <w:szCs w:val="21"/>
        </w:rPr>
      </w:pPr>
      <w:r>
        <w:rPr>
          <w:rFonts w:hint="eastAsia" w:asciiTheme="majorEastAsia" w:hAnsiTheme="majorEastAsia" w:eastAsiaTheme="majorEastAsia"/>
          <w:b/>
          <w:szCs w:val="21"/>
        </w:rPr>
        <w:t>6.2 评价流程</w:t>
      </w:r>
    </w:p>
    <w:p>
      <w:pPr>
        <w:tabs>
          <w:tab w:val="left" w:pos="7164"/>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根据三氧化二锑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p>
    <w:p>
      <w:pPr>
        <w:autoSpaceDE w:val="0"/>
        <w:autoSpaceDN w:val="0"/>
        <w:adjustRightInd w:val="0"/>
        <w:jc w:val="left"/>
        <w:rPr>
          <w:rFonts w:cs="黑体" w:asciiTheme="majorEastAsia" w:hAnsiTheme="majorEastAsia" w:eastAsiaTheme="majorEastAsia"/>
          <w:b/>
          <w:kern w:val="0"/>
          <w:szCs w:val="21"/>
        </w:rPr>
      </w:pPr>
      <w:r>
        <w:rPr>
          <w:color w:val="000000"/>
          <w:szCs w:val="21"/>
        </w:rPr>
        <w:pict>
          <v:group id="画布 15" o:spid="_x0000_s1101" o:spt="203" style="height:350.6pt;width:395.55pt;" coordorigin="1719,1509" coordsize="7911,7012" editas="canvas">
            <o:lock v:ext="edit"/>
            <v:shape id="画布 15" o:spid="_x0000_s1102" o:spt="75" type="#_x0000_t75" style="position:absolute;left:1719;top:1509;height:7012;width:7911;" filled="f" o:preferrelative="t" stroked="f" coordsize="21600,21600">
              <v:fill on="f" focussize="0,0"/>
              <v:stroke on="f" joinstyle="miter"/>
              <v:imagedata o:title=""/>
              <o:lock v:ext="edit" text="t" aspectratio="t"/>
            </v:shape>
            <v:group id="组合 17" o:spid="_x0000_s1103" o:spt="203" style="position:absolute;left:2551;top:1680;height:6697;width:6693;" coordorigin="2291,1680" coordsize="6693,6697">
              <o:lock v:ext="edit"/>
              <v:rect id="矩形 18" o:spid="_x0000_s1104" o:spt="1" style="position:absolute;left:2291;top:1680;height:476;width:1716;v-text-anchor:middle;" coordsize="21600,21600">
                <v:path/>
                <v:fill focussize="0,0"/>
                <v:stroke/>
                <v:imagedata o:title=""/>
                <o:lock v:ext="edit"/>
                <v:textbox>
                  <w:txbxContent>
                    <w:p>
                      <w:pPr>
                        <w:jc w:val="center"/>
                        <w:rPr>
                          <w:sz w:val="18"/>
                          <w:szCs w:val="18"/>
                        </w:rPr>
                      </w:pPr>
                      <w:r>
                        <w:rPr>
                          <w:rFonts w:hint="eastAsia"/>
                          <w:sz w:val="18"/>
                          <w:szCs w:val="18"/>
                        </w:rPr>
                        <w:t>范围确定</w:t>
                      </w:r>
                    </w:p>
                  </w:txbxContent>
                </v:textbox>
              </v:rect>
              <v:rect id="矩形 19" o:spid="_x0000_s1105" o:spt="1" style="position:absolute;left:7037;top:1680;height:476;width:1941;v-text-anchor:middle;" coordsize="21600,21600">
                <v:path/>
                <v:fill focussize="0,0"/>
                <v:stroke/>
                <v:imagedata o:title=""/>
                <o:lock v:ext="edit"/>
                <v:textbox>
                  <w:txbxContent>
                    <w:p>
                      <w:pPr>
                        <w:jc w:val="center"/>
                        <w:rPr>
                          <w:sz w:val="18"/>
                          <w:szCs w:val="18"/>
                        </w:rPr>
                      </w:pPr>
                      <w:r>
                        <w:rPr>
                          <w:rFonts w:hint="eastAsia"/>
                          <w:sz w:val="18"/>
                          <w:szCs w:val="18"/>
                        </w:rPr>
                        <w:t>生命周期清单分析</w:t>
                      </w:r>
                    </w:p>
                  </w:txbxContent>
                </v:textbox>
              </v:rect>
              <v:shape id="自选图形 20" o:spid="_x0000_s1106" o:spt="32" type="#_x0000_t32" style="position:absolute;left:4007;top:1918;height:1;width:3030;" filled="f" coordsize="21600,21600">
                <v:path arrowok="t"/>
                <v:fill on="f" focussize="0,0"/>
                <v:stroke endarrow="block"/>
                <v:imagedata o:title=""/>
                <o:lock v:ext="edit"/>
              </v:shape>
              <v:rect id="矩形 21" o:spid="_x0000_s1107" o:spt="1" style="position:absolute;left:2297;top:2726;height:476;width:1716;v-text-anchor:middle;" coordsize="21600,21600">
                <v:path/>
                <v:fill focussize="0,0"/>
                <v:stroke/>
                <v:imagedata o:title=""/>
                <o:lock v:ext="edit"/>
                <v:textbox>
                  <w:txbxContent>
                    <w:p>
                      <w:pPr>
                        <w:jc w:val="center"/>
                        <w:rPr>
                          <w:sz w:val="18"/>
                          <w:szCs w:val="18"/>
                        </w:rPr>
                      </w:pPr>
                      <w:r>
                        <w:rPr>
                          <w:rFonts w:hint="eastAsia"/>
                          <w:sz w:val="18"/>
                          <w:szCs w:val="18"/>
                        </w:rPr>
                        <w:t>基本要求</w:t>
                      </w:r>
                    </w:p>
                  </w:txbxContent>
                </v:textbox>
              </v:rect>
              <v:rect id="矩形 22" o:spid="_x0000_s1108" o:spt="1" style="position:absolute;left:7043;top:2726;height:476;width:1941;v-text-anchor:middle;" coordsize="21600,21600">
                <v:path/>
                <v:fill focussize="0,0"/>
                <v:stroke/>
                <v:imagedata o:title=""/>
                <o:lock v:ext="edit"/>
                <v:textbox>
                  <w:txbxContent>
                    <w:p>
                      <w:pPr>
                        <w:jc w:val="center"/>
                        <w:rPr>
                          <w:sz w:val="18"/>
                          <w:szCs w:val="18"/>
                        </w:rPr>
                      </w:pPr>
                      <w:r>
                        <w:rPr>
                          <w:rFonts w:hint="eastAsia"/>
                          <w:sz w:val="18"/>
                          <w:szCs w:val="18"/>
                        </w:rPr>
                        <w:t>生命周期影响评价</w:t>
                      </w:r>
                    </w:p>
                  </w:txbxContent>
                </v:textbox>
              </v:rect>
              <v:shape id="自选图形 23" o:spid="_x0000_s1109" o:spt="32" type="#_x0000_t32" style="position:absolute;left:3149;top:2156;height:570;width:6;" filled="f" coordsize="21600,21600">
                <v:path arrowok="t"/>
                <v:fill on="f" focussize="0,0"/>
                <v:stroke endarrow="block"/>
                <v:imagedata o:title=""/>
                <o:lock v:ext="edit"/>
              </v:shape>
              <v:shape id="自选图形 24" o:spid="_x0000_s1110" o:spt="32" type="#_x0000_t32" style="position:absolute;left:8008;top:2156;height:570;width:6;" filled="f" coordsize="21600,21600">
                <v:path arrowok="t"/>
                <v:fill on="f" focussize="0,0"/>
                <v:stroke endarrow="block"/>
                <v:imagedata o:title=""/>
                <o:lock v:ext="edit"/>
              </v:shape>
              <v:rect id="矩形 25" o:spid="_x0000_s1111" o:spt="1" style="position:absolute;left:2291;top:4737;height:476;width:1716;v-text-anchor:middle;" coordsize="21600,21600">
                <v:path/>
                <v:fill focussize="0,0"/>
                <v:stroke/>
                <v:imagedata o:title=""/>
                <o:lock v:ext="edit"/>
                <v:textbox>
                  <w:txbxContent>
                    <w:p>
                      <w:pPr>
                        <w:jc w:val="center"/>
                        <w:rPr>
                          <w:sz w:val="18"/>
                          <w:szCs w:val="18"/>
                        </w:rPr>
                      </w:pPr>
                      <w:r>
                        <w:rPr>
                          <w:rFonts w:hint="eastAsia"/>
                          <w:sz w:val="18"/>
                          <w:szCs w:val="18"/>
                        </w:rPr>
                        <w:t>评价指标要求</w:t>
                      </w:r>
                    </w:p>
                  </w:txbxContent>
                </v:textbox>
              </v:rect>
              <v:rect id="矩形 26" o:spid="_x0000_s1112" o:spt="1" style="position:absolute;left:7037;top:4737;height:476;width:1941;v-text-anchor:middle;" coordsize="21600,21600">
                <v:path/>
                <v:fill focussize="0,0"/>
                <v:stroke/>
                <v:imagedata o:title=""/>
                <o:lock v:ext="edit"/>
                <v:textbox>
                  <w:txbxContent>
                    <w:p>
                      <w:pPr>
                        <w:jc w:val="center"/>
                        <w:rPr>
                          <w:sz w:val="18"/>
                          <w:szCs w:val="18"/>
                        </w:rPr>
                      </w:pPr>
                      <w:r>
                        <w:rPr>
                          <w:rFonts w:hint="eastAsia"/>
                          <w:sz w:val="18"/>
                          <w:szCs w:val="18"/>
                        </w:rPr>
                        <w:t>生命周期评价报告</w:t>
                      </w:r>
                    </w:p>
                  </w:txbxContent>
                </v:textbox>
              </v:rect>
              <v:shape id="自选图形 27" o:spid="_x0000_s1113" o:spt="32" type="#_x0000_t32" style="position:absolute;left:3149;top:3202;flip:x;height:1535;width:6;" filled="f" coordsize="21600,21600">
                <v:path arrowok="t"/>
                <v:fill on="f" focussize="0,0"/>
                <v:stroke endarrow="block"/>
                <v:imagedata o:title=""/>
                <o:lock v:ext="edit"/>
              </v:shape>
              <v:shape id="文本框 28" o:spid="_x0000_s1114" o:spt="202" type="#_x0000_t202" style="position:absolute;left:3247;top:3497;height:915;width:394;v-text-anchor:middle;" stroked="f" coordsize="21600,21600">
                <v:path/>
                <v:fill focussize="0,0"/>
                <v:stroke on="f" joinstyle="miter"/>
                <v:imagedata o:title=""/>
                <o:lock v:ext="edit"/>
                <v:textbox inset="0.5mm,0.3mm,0.5mm,0.3mm" style="layout-flow:vertical-ideographic;">
                  <w:txbxContent>
                    <w:p>
                      <w:pPr>
                        <w:rPr>
                          <w:sz w:val="18"/>
                          <w:szCs w:val="18"/>
                        </w:rPr>
                      </w:pPr>
                      <w:r>
                        <w:rPr>
                          <w:rFonts w:hint="eastAsia"/>
                          <w:sz w:val="18"/>
                          <w:szCs w:val="18"/>
                        </w:rPr>
                        <w:t>符合要求</w:t>
                      </w:r>
                    </w:p>
                  </w:txbxContent>
                </v:textbox>
              </v:shape>
              <v:shape id="椭圆 29" o:spid="_x0000_s1115" o:spt="3" type="#_x0000_t3" style="position:absolute;left:4458;top:3501;height:850;width:1515;" coordsize="21600,21600">
                <v:path/>
                <v:fill focussize="0,0"/>
                <v:stroke/>
                <v:imagedata o:title=""/>
                <o:lock v:ext="edit"/>
                <v:textbox inset="0.5mm,0.3mm,0.5mm,0.3mm">
                  <w:txbxContent>
                    <w:p>
                      <w:pPr>
                        <w:rPr>
                          <w:sz w:val="18"/>
                          <w:szCs w:val="18"/>
                        </w:rPr>
                      </w:pPr>
                      <w:r>
                        <w:rPr>
                          <w:rFonts w:hint="eastAsia"/>
                          <w:sz w:val="18"/>
                          <w:szCs w:val="18"/>
                        </w:rPr>
                        <w:t>非绿色设计产品</w:t>
                      </w:r>
                    </w:p>
                  </w:txbxContent>
                </v:textbox>
              </v:shape>
              <v:shape id="自选图形 30" o:spid="_x0000_s1116" o:spt="33" type="#_x0000_t33" style="position:absolute;left:4013;top:2964;height:537;width:1203;" filled="f" coordsize="21600,21600">
                <v:path arrowok="t"/>
                <v:fill on="f" focussize="0,0"/>
                <v:stroke endarrow="block"/>
                <v:imagedata o:title=""/>
                <o:lock v:ext="edit"/>
              </v:shape>
              <v:shape id="自选图形 31" o:spid="_x0000_s1117" o:spt="33" type="#_x0000_t33" style="position:absolute;left:4007;top:4351;flip:y;height:624;width:1209;" filled="f" coordsize="21600,21600">
                <v:path arrowok="t"/>
                <v:fill on="f" focussize="0,0"/>
                <v:stroke endarrow="block"/>
                <v:imagedata o:title=""/>
                <o:lock v:ext="edit"/>
              </v:shape>
              <v:shape id="自选图形 32" o:spid="_x0000_s1118" o:spt="32" type="#_x0000_t32" style="position:absolute;left:8008;top:3202;flip:x;height:1535;width:6;" filled="f" coordsize="21600,21600">
                <v:path arrowok="t"/>
                <v:fill on="f" focussize="0,0"/>
                <v:stroke endarrow="block"/>
                <v:imagedata o:title=""/>
                <o:lock v:ext="edit"/>
              </v:shape>
              <v:shape id="自选图形 33" o:spid="_x0000_s1119" o:spt="34" type="#_x0000_t34" style="position:absolute;left:5960;top:3926;height:1049;width:1064;rotation:11796480f;" filled="f" coordsize="21600,21600" adj="5460">
                <v:path arrowok="t"/>
                <v:fill on="f" focussize="0,0"/>
                <v:stroke endarrow="block"/>
                <v:imagedata o:title=""/>
                <o:lock v:ext="edit"/>
              </v:shape>
              <v:shape id="文本框 34" o:spid="_x0000_s1120" o:spt="202" type="#_x0000_t202" style="position:absolute;left:4132;top:2647;height:279;width:1084;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文本框 35" o:spid="_x0000_s1121" o:spt="202" type="#_x0000_t202" style="position:absolute;left:4093;top:4657;height:279;width:1084;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文本框 36" o:spid="_x0000_s1122" o:spt="202" type="#_x0000_t202" style="position:absolute;left:6277;top:4021;height:1049;width:394;v-text-anchor:middle;" stroked="f" coordsize="21600,21600">
                <v:path/>
                <v:fill focussize="0,0"/>
                <v:stroke on="f" joinstyle="miter"/>
                <v:imagedata o:title=""/>
                <o:lock v:ext="edit"/>
                <v:textbox inset="0.5mm,0.3mm,0.5mm,0.3mm" style="layout-flow:vertical-ideographic;">
                  <w:txbxContent>
                    <w:p>
                      <w:pPr>
                        <w:rPr>
                          <w:sz w:val="18"/>
                          <w:szCs w:val="18"/>
                        </w:rPr>
                      </w:pPr>
                      <w:r>
                        <w:rPr>
                          <w:rFonts w:hint="eastAsia"/>
                          <w:sz w:val="18"/>
                          <w:szCs w:val="18"/>
                        </w:rPr>
                        <w:t>未通过审核</w:t>
                      </w:r>
                    </w:p>
                  </w:txbxContent>
                </v:textbox>
              </v:shape>
              <v:shape id="自选图形 37" o:spid="_x0000_s1123" o:spt="4" type="#_x0000_t4" style="position:absolute;left:4067;top:5781;height:903;width:2343;" coordsize="21600,21600">
                <v:path/>
                <v:fill focussize="0,0"/>
                <v:stroke joinstyle="miter"/>
                <v:imagedata o:title=""/>
                <o:lock v:ext="edit"/>
                <v:textbox inset="0.5mm,0.3mm,0.5mm,0.3mm">
                  <w:txbxContent>
                    <w:p>
                      <w:pPr>
                        <w:spacing w:before="93" w:beforeLines="30"/>
                        <w:jc w:val="center"/>
                      </w:pPr>
                      <w:r>
                        <w:rPr>
                          <w:rFonts w:hint="eastAsia"/>
                        </w:rPr>
                        <w:t>同时满足</w:t>
                      </w:r>
                    </w:p>
                  </w:txbxContent>
                </v:textbox>
              </v:shape>
              <v:shape id="自选图形 38" o:spid="_x0000_s1124" o:spt="33" type="#_x0000_t33" style="position:absolute;left:3098;top:5264;flip:x;height:918;width:1020;rotation:5898240f;" filled="f" coordsize="21600,21600">
                <v:path arrowok="t"/>
                <v:fill on="f" focussize="0,0"/>
                <v:stroke endarrow="block"/>
                <v:imagedata o:title=""/>
                <o:lock v:ext="edit"/>
              </v:shape>
              <v:shape id="自选图形 39" o:spid="_x0000_s1125" o:spt="33" type="#_x0000_t33" style="position:absolute;left:6699;top:4924;height:1598;width:1020;rotation:5898240f;" filled="f" coordsize="21600,21600">
                <v:path arrowok="t"/>
                <v:fill on="f" focussize="0,0"/>
                <v:stroke endarrow="block"/>
                <v:imagedata o:title=""/>
                <o:lock v:ext="edit"/>
              </v:shape>
              <v:shape id="文本框 40" o:spid="_x0000_s1126" o:spt="202" type="#_x0000_t202" style="position:absolute;left:3199;top:5868;height:279;width:823;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符合要求</w:t>
                      </w:r>
                    </w:p>
                  </w:txbxContent>
                </v:textbox>
              </v:shape>
              <v:shape id="文本框 41" o:spid="_x0000_s1127" o:spt="202" type="#_x0000_t202" style="position:absolute;left:6868;top:5868;height:279;width:823;v-text-anchor:middle;" stroked="f" coordsize="21600,21600">
                <v:path/>
                <v:fill focussize="0,0"/>
                <v:stroke on="f" joinstyle="miter"/>
                <v:imagedata o:title=""/>
                <o:lock v:ext="edit"/>
                <v:textbox inset="0.5mm,0.3mm,0.5mm,0.3mm">
                  <w:txbxContent>
                    <w:p>
                      <w:pPr>
                        <w:jc w:val="center"/>
                        <w:rPr>
                          <w:sz w:val="18"/>
                          <w:szCs w:val="18"/>
                        </w:rPr>
                      </w:pPr>
                      <w:r>
                        <w:rPr>
                          <w:rFonts w:hint="eastAsia"/>
                          <w:sz w:val="18"/>
                          <w:szCs w:val="18"/>
                        </w:rPr>
                        <w:t>提供</w:t>
                      </w:r>
                    </w:p>
                  </w:txbxContent>
                </v:textbox>
              </v:shape>
              <v:shape id="椭圆 42" o:spid="_x0000_s1128" o:spt="3" type="#_x0000_t3" style="position:absolute;left:4320;top:7527;height:850;width:1865;v-text-anchor:middle;" coordsize="21600,21600">
                <v:path/>
                <v:fill focussize="0,0"/>
                <v:stroke/>
                <v:imagedata o:title=""/>
                <o:lock v:ext="edit"/>
                <v:textbox inset="0.5mm,0.3mm,0.5mm,0.3mm">
                  <w:txbxContent>
                    <w:p>
                      <w:pPr>
                        <w:spacing w:before="156" w:beforeLines="50"/>
                        <w:jc w:val="center"/>
                        <w:rPr>
                          <w:sz w:val="18"/>
                          <w:szCs w:val="18"/>
                        </w:rPr>
                      </w:pPr>
                      <w:r>
                        <w:rPr>
                          <w:rFonts w:hint="eastAsia"/>
                          <w:sz w:val="18"/>
                          <w:szCs w:val="18"/>
                        </w:rPr>
                        <w:t>绿色设计产品</w:t>
                      </w:r>
                    </w:p>
                  </w:txbxContent>
                </v:textbox>
              </v:shape>
              <v:shape id="自选图形 43" o:spid="_x0000_s1129" o:spt="32" type="#_x0000_t32" style="position:absolute;left:5239;top:6684;height:843;width:14;" filled="f" coordsize="21600,21600">
                <v:path arrowok="t"/>
                <v:fill on="f" focussize="0,0"/>
                <v:stroke endarrow="block"/>
                <v:imagedata o:title=""/>
                <o:lock v:ext="edit"/>
              </v:shape>
              <v:shape id="文本框 44" o:spid="_x0000_s1130" o:spt="202" type="#_x0000_t202" style="position:absolute;left:5285;top:6905;height:385;width:394;v-text-anchor:middle;" stroked="f" coordsize="21600,21600">
                <v:path/>
                <v:fill focussize="0,0"/>
                <v:stroke on="f" joinstyle="miter"/>
                <v:imagedata o:title=""/>
                <o:lock v:ext="edit"/>
                <v:textbox inset="0.5mm,0.3mm,0.5mm,0.3mm" style="layout-flow:vertical-ideographic;">
                  <w:txbxContent>
                    <w:p/>
                  </w:txbxContent>
                </v:textbox>
              </v:shape>
            </v:group>
            <w10:wrap type="none"/>
            <w10:anchorlock/>
          </v:group>
        </w:pict>
      </w:r>
    </w:p>
    <w:p>
      <w:pPr>
        <w:autoSpaceDE w:val="0"/>
        <w:autoSpaceDN w:val="0"/>
        <w:adjustRightInd w:val="0"/>
        <w:ind w:firstLine="3795" w:firstLineChars="1800"/>
        <w:jc w:val="left"/>
        <w:rPr>
          <w:rFonts w:cs="黑体" w:asciiTheme="majorEastAsia" w:hAnsiTheme="majorEastAsia" w:eastAsiaTheme="majorEastAsia"/>
          <w:b/>
          <w:kern w:val="0"/>
          <w:szCs w:val="21"/>
        </w:rPr>
      </w:pPr>
    </w:p>
    <w:p>
      <w:pPr>
        <w:autoSpaceDE w:val="0"/>
        <w:autoSpaceDN w:val="0"/>
        <w:adjustRightInd w:val="0"/>
        <w:ind w:firstLine="3795" w:firstLineChars="1800"/>
        <w:jc w:val="left"/>
        <w:rPr>
          <w:rFonts w:cs="黑体" w:asciiTheme="majorEastAsia" w:hAnsiTheme="majorEastAsia" w:eastAsiaTheme="majorEastAsia"/>
          <w:b/>
          <w:kern w:val="0"/>
          <w:szCs w:val="21"/>
        </w:rPr>
      </w:pPr>
    </w:p>
    <w:p>
      <w:pPr>
        <w:autoSpaceDE w:val="0"/>
        <w:autoSpaceDN w:val="0"/>
        <w:adjustRightInd w:val="0"/>
        <w:ind w:firstLine="3795" w:firstLineChars="1800"/>
        <w:jc w:val="left"/>
        <w:rPr>
          <w:rFonts w:cs="黑体" w:asciiTheme="majorEastAsia" w:hAnsiTheme="majorEastAsia" w:eastAsiaTheme="majorEastAsia"/>
          <w:b/>
          <w:kern w:val="0"/>
          <w:szCs w:val="21"/>
        </w:rPr>
      </w:pPr>
    </w:p>
    <w:p>
      <w:pPr>
        <w:autoSpaceDE w:val="0"/>
        <w:autoSpaceDN w:val="0"/>
        <w:adjustRightInd w:val="0"/>
        <w:ind w:firstLine="3795" w:firstLineChars="1800"/>
        <w:jc w:val="left"/>
        <w:rPr>
          <w:rFonts w:cs="黑体" w:asciiTheme="majorEastAsia" w:hAnsiTheme="majorEastAsia" w:eastAsiaTheme="majorEastAsia"/>
          <w:b/>
          <w:kern w:val="0"/>
          <w:szCs w:val="21"/>
        </w:rPr>
      </w:pPr>
    </w:p>
    <w:p>
      <w:pPr>
        <w:autoSpaceDE w:val="0"/>
        <w:autoSpaceDN w:val="0"/>
        <w:adjustRightInd w:val="0"/>
        <w:ind w:firstLine="3795" w:firstLineChars="1800"/>
        <w:jc w:val="left"/>
        <w:rPr>
          <w:rFonts w:cs="黑体" w:asciiTheme="majorEastAsia" w:hAnsiTheme="majorEastAsia" w:eastAsiaTheme="majorEastAsia"/>
          <w:b/>
          <w:kern w:val="0"/>
          <w:szCs w:val="21"/>
        </w:rPr>
      </w:pPr>
    </w:p>
    <w:p>
      <w:pPr>
        <w:autoSpaceDE w:val="0"/>
        <w:autoSpaceDN w:val="0"/>
        <w:adjustRightInd w:val="0"/>
        <w:ind w:firstLine="3795" w:firstLineChars="1800"/>
        <w:jc w:val="left"/>
        <w:rPr>
          <w:rFonts w:cs="黑体" w:asciiTheme="majorEastAsia" w:hAnsiTheme="majorEastAsia" w:eastAsiaTheme="majorEastAsia"/>
          <w:b/>
          <w:kern w:val="0"/>
          <w:szCs w:val="21"/>
        </w:rPr>
      </w:pPr>
    </w:p>
    <w:p>
      <w:pPr>
        <w:autoSpaceDE w:val="0"/>
        <w:autoSpaceDN w:val="0"/>
        <w:adjustRightInd w:val="0"/>
        <w:ind w:firstLine="3795" w:firstLineChars="1800"/>
        <w:jc w:val="left"/>
        <w:rPr>
          <w:rFonts w:cs="黑体" w:asciiTheme="majorEastAsia" w:hAnsiTheme="majorEastAsia" w:eastAsiaTheme="majorEastAsia"/>
          <w:b/>
          <w:kern w:val="0"/>
          <w:szCs w:val="21"/>
        </w:rPr>
      </w:pPr>
    </w:p>
    <w:p>
      <w:pPr>
        <w:autoSpaceDE w:val="0"/>
        <w:autoSpaceDN w:val="0"/>
        <w:adjustRightInd w:val="0"/>
        <w:ind w:firstLine="3795" w:firstLineChars="1800"/>
        <w:jc w:val="left"/>
        <w:rPr>
          <w:rFonts w:cs="黑体" w:asciiTheme="majorEastAsia" w:hAnsiTheme="majorEastAsia" w:eastAsiaTheme="majorEastAsia"/>
          <w:b/>
          <w:kern w:val="0"/>
          <w:szCs w:val="21"/>
        </w:rPr>
      </w:pPr>
    </w:p>
    <w:p>
      <w:pPr>
        <w:autoSpaceDE w:val="0"/>
        <w:autoSpaceDN w:val="0"/>
        <w:adjustRightInd w:val="0"/>
        <w:ind w:firstLine="3795" w:firstLineChars="1800"/>
        <w:jc w:val="left"/>
        <w:rPr>
          <w:rFonts w:cs="黑体" w:asciiTheme="majorEastAsia" w:hAnsiTheme="majorEastAsia" w:eastAsiaTheme="majorEastAsia"/>
          <w:b/>
          <w:kern w:val="0"/>
          <w:szCs w:val="21"/>
        </w:rPr>
      </w:pPr>
      <w:r>
        <w:rPr>
          <w:rFonts w:hint="eastAsia" w:cs="黑体" w:asciiTheme="majorEastAsia" w:hAnsiTheme="majorEastAsia" w:eastAsiaTheme="majorEastAsia"/>
          <w:b/>
          <w:kern w:val="0"/>
          <w:szCs w:val="21"/>
        </w:rPr>
        <w:t>附录</w:t>
      </w:r>
      <w:r>
        <w:rPr>
          <w:rFonts w:cs="黑体" w:asciiTheme="majorEastAsia" w:hAnsiTheme="majorEastAsia" w:eastAsiaTheme="majorEastAsia"/>
          <w:b/>
          <w:kern w:val="0"/>
          <w:szCs w:val="21"/>
        </w:rPr>
        <w:t>A</w:t>
      </w:r>
    </w:p>
    <w:p>
      <w:pPr>
        <w:autoSpaceDE w:val="0"/>
        <w:autoSpaceDN w:val="0"/>
        <w:adjustRightInd w:val="0"/>
        <w:jc w:val="center"/>
        <w:rPr>
          <w:rFonts w:cs="黑体" w:asciiTheme="majorEastAsia" w:hAnsiTheme="majorEastAsia" w:eastAsiaTheme="majorEastAsia"/>
          <w:b/>
          <w:kern w:val="0"/>
          <w:szCs w:val="21"/>
        </w:rPr>
      </w:pPr>
      <w:r>
        <w:rPr>
          <w:rFonts w:hint="eastAsia" w:cs="黑体" w:asciiTheme="majorEastAsia" w:hAnsiTheme="majorEastAsia" w:eastAsiaTheme="majorEastAsia"/>
          <w:b/>
          <w:kern w:val="0"/>
          <w:szCs w:val="21"/>
        </w:rPr>
        <w:t>（规范性附录）</w:t>
      </w:r>
    </w:p>
    <w:p>
      <w:pPr>
        <w:autoSpaceDE w:val="0"/>
        <w:autoSpaceDN w:val="0"/>
        <w:adjustRightInd w:val="0"/>
        <w:jc w:val="center"/>
        <w:rPr>
          <w:rFonts w:cs="黑体" w:asciiTheme="majorEastAsia" w:hAnsiTheme="majorEastAsia" w:eastAsiaTheme="majorEastAsia"/>
          <w:b/>
          <w:kern w:val="0"/>
          <w:szCs w:val="21"/>
        </w:rPr>
      </w:pPr>
      <w:r>
        <w:rPr>
          <w:rFonts w:hint="eastAsia" w:cs="黑体" w:asciiTheme="majorEastAsia" w:hAnsiTheme="majorEastAsia" w:eastAsiaTheme="majorEastAsia"/>
          <w:b/>
          <w:kern w:val="0"/>
          <w:szCs w:val="21"/>
        </w:rPr>
        <w:t>三氧化二锑产品生命周期评价方法</w:t>
      </w: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A.1 </w:t>
      </w:r>
      <w:r>
        <w:rPr>
          <w:rFonts w:hint="eastAsia" w:cs="黑体" w:asciiTheme="majorEastAsia" w:hAnsiTheme="majorEastAsia" w:eastAsiaTheme="majorEastAsia"/>
          <w:b/>
          <w:kern w:val="0"/>
          <w:szCs w:val="21"/>
        </w:rPr>
        <w:t>概况</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依据</w:t>
      </w:r>
      <w:r>
        <w:rPr>
          <w:rFonts w:cs="Calibri" w:asciiTheme="majorEastAsia" w:hAnsiTheme="majorEastAsia" w:eastAsiaTheme="majorEastAsia"/>
          <w:kern w:val="0"/>
          <w:szCs w:val="21"/>
        </w:rPr>
        <w:t xml:space="preserve">GB/T 24040 </w:t>
      </w:r>
      <w:r>
        <w:rPr>
          <w:rFonts w:hint="eastAsia" w:cs="宋体" w:asciiTheme="majorEastAsia" w:hAnsiTheme="majorEastAsia" w:eastAsiaTheme="majorEastAsia"/>
          <w:kern w:val="0"/>
          <w:szCs w:val="21"/>
        </w:rPr>
        <w:t>和</w:t>
      </w:r>
      <w:r>
        <w:rPr>
          <w:rFonts w:cs="Calibri" w:asciiTheme="majorEastAsia" w:hAnsiTheme="majorEastAsia" w:eastAsiaTheme="majorEastAsia"/>
          <w:kern w:val="0"/>
          <w:szCs w:val="21"/>
        </w:rPr>
        <w:t>GB/T 24044</w:t>
      </w:r>
      <w:r>
        <w:rPr>
          <w:rFonts w:hint="eastAsia" w:cs="宋体" w:asciiTheme="majorEastAsia" w:hAnsiTheme="majorEastAsia" w:eastAsiaTheme="majorEastAsia"/>
          <w:kern w:val="0"/>
          <w:szCs w:val="21"/>
        </w:rPr>
        <w:t>，建立三氧化二锑产品的生命周期评价方法。生命周期评价的过程应包括目的和范围的确定、清单分析、解释和报告等。具体如下：</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cs="Calibri" w:asciiTheme="majorEastAsia" w:hAnsiTheme="majorEastAsia" w:eastAsiaTheme="majorEastAsia"/>
          <w:kern w:val="0"/>
          <w:szCs w:val="21"/>
        </w:rPr>
        <w:t>a</w:t>
      </w:r>
      <w:r>
        <w:rPr>
          <w:rFonts w:hint="eastAsia" w:cs="宋体" w:asciiTheme="majorEastAsia" w:hAnsiTheme="majorEastAsia" w:eastAsiaTheme="majorEastAsia"/>
          <w:kern w:val="0"/>
          <w:szCs w:val="21"/>
        </w:rPr>
        <w:t>）目的和范围确定：研究确定评价的目的，确定评价对象及功能单位，界定系统边界和时间边界，明确影响类型、必备要素和可选要素，提出数据及其质量要求，给出评价报告的形式。</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cs="Calibri" w:asciiTheme="majorEastAsia" w:hAnsiTheme="majorEastAsia" w:eastAsiaTheme="majorEastAsia"/>
          <w:kern w:val="0"/>
          <w:szCs w:val="21"/>
        </w:rPr>
        <w:t>b</w:t>
      </w:r>
      <w:r>
        <w:rPr>
          <w:rFonts w:hint="eastAsia" w:cs="宋体" w:asciiTheme="majorEastAsia" w:hAnsiTheme="majorEastAsia" w:eastAsiaTheme="majorEastAsia"/>
          <w:kern w:val="0"/>
          <w:szCs w:val="21"/>
        </w:rPr>
        <w:t>）清单分析：主要包括数据收集准备、数据的收集、数据的确认、数据与单元过程的关联、数据与功能单位的关联、清单计算方法、数据合并和数据分配等。</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cs="Calibri" w:asciiTheme="majorEastAsia" w:hAnsiTheme="majorEastAsia" w:eastAsiaTheme="majorEastAsia"/>
          <w:kern w:val="0"/>
          <w:szCs w:val="21"/>
        </w:rPr>
        <w:t>c</w:t>
      </w:r>
      <w:r>
        <w:rPr>
          <w:rFonts w:hint="eastAsia" w:cs="宋体" w:asciiTheme="majorEastAsia" w:hAnsiTheme="majorEastAsia" w:eastAsiaTheme="majorEastAsia"/>
          <w:kern w:val="0"/>
          <w:szCs w:val="21"/>
        </w:rPr>
        <w:t>）影响评价：选取影响类型、类型参数和特征化模型，将生命周期清单数据划分到所选的影响类型，计算类型特征化值。</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cs="Calibri" w:asciiTheme="majorEastAsia" w:hAnsiTheme="majorEastAsia" w:eastAsiaTheme="majorEastAsia"/>
          <w:kern w:val="0"/>
          <w:szCs w:val="21"/>
        </w:rPr>
        <w:t>d</w:t>
      </w:r>
      <w:r>
        <w:rPr>
          <w:rFonts w:hint="eastAsia" w:cs="宋体" w:asciiTheme="majorEastAsia" w:hAnsiTheme="majorEastAsia" w:eastAsiaTheme="majorEastAsia"/>
          <w:kern w:val="0"/>
          <w:szCs w:val="21"/>
        </w:rPr>
        <w:t>）解释和报告：综合考虑清单分析和影响评价，对评价结果进行完整性、敏感性、一致性和不确定性检查，并对结论、建议和局限性进行说明，编制产品生命周期评价报告。</w:t>
      </w:r>
    </w:p>
    <w:p>
      <w:pPr>
        <w:autoSpaceDE w:val="0"/>
        <w:autoSpaceDN w:val="0"/>
        <w:adjustRightInd w:val="0"/>
        <w:jc w:val="left"/>
        <w:rPr>
          <w:rFonts w:cs="黑体" w:asciiTheme="majorEastAsia" w:hAnsiTheme="majorEastAsia" w:eastAsiaTheme="majorEastAsia"/>
          <w:kern w:val="0"/>
          <w:szCs w:val="21"/>
        </w:rPr>
      </w:pP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A.2 </w:t>
      </w:r>
      <w:r>
        <w:rPr>
          <w:rFonts w:hint="eastAsia" w:cs="黑体" w:asciiTheme="majorEastAsia" w:hAnsiTheme="majorEastAsia" w:eastAsiaTheme="majorEastAsia"/>
          <w:b/>
          <w:kern w:val="0"/>
          <w:szCs w:val="21"/>
        </w:rPr>
        <w:t>范围确定</w:t>
      </w: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A.2.1 </w:t>
      </w:r>
      <w:r>
        <w:rPr>
          <w:rFonts w:hint="eastAsia" w:cs="黑体" w:asciiTheme="majorEastAsia" w:hAnsiTheme="majorEastAsia" w:eastAsiaTheme="majorEastAsia"/>
          <w:b/>
          <w:kern w:val="0"/>
          <w:szCs w:val="21"/>
        </w:rPr>
        <w:t>总则</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三氧化二锑产品生命周期评价的目的在于汇总和评估在三氧化二锑生产和包装生命周期内的所有投入及产出对环境造成的和潜在的影响；通过评估资源和能源利用，以及废物排放对环境的影响，提出改进方案。</w:t>
      </w: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A.2.2 </w:t>
      </w:r>
      <w:r>
        <w:rPr>
          <w:rFonts w:hint="eastAsia" w:cs="黑体" w:asciiTheme="majorEastAsia" w:hAnsiTheme="majorEastAsia" w:eastAsiaTheme="majorEastAsia"/>
          <w:b/>
          <w:kern w:val="0"/>
          <w:szCs w:val="21"/>
        </w:rPr>
        <w:t>功能单位和基准流</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功能单位和基准流是对产品功能的量化描述，是数据收集、评价和方案对比的基础。功能单位定义包括产品名称、主要规格型号、产品数量与功能描述等信息。功能单位和基准流的定义与产品种类和用途有关。三氧化二锑产品一般是作为其他产品生产的原材料，其功能单位和基准流一般定义为“生产单位数量的产品”，本标准以“生产</w:t>
      </w:r>
      <w:r>
        <w:rPr>
          <w:rFonts w:cs="Calibri" w:asciiTheme="majorEastAsia" w:hAnsiTheme="majorEastAsia" w:eastAsiaTheme="majorEastAsia"/>
          <w:kern w:val="0"/>
          <w:szCs w:val="21"/>
        </w:rPr>
        <w:t xml:space="preserve">1 </w:t>
      </w:r>
      <w:r>
        <w:rPr>
          <w:rFonts w:hint="eastAsia" w:cs="宋体" w:asciiTheme="majorEastAsia" w:hAnsiTheme="majorEastAsia" w:eastAsiaTheme="majorEastAsia"/>
          <w:kern w:val="0"/>
          <w:szCs w:val="21"/>
        </w:rPr>
        <w:t>吨三氧化二锑产品”来表示。</w:t>
      </w: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A.2.3 </w:t>
      </w:r>
      <w:r>
        <w:rPr>
          <w:rFonts w:hint="eastAsia" w:cs="黑体" w:asciiTheme="majorEastAsia" w:hAnsiTheme="majorEastAsia" w:eastAsiaTheme="majorEastAsia"/>
          <w:b/>
          <w:kern w:val="0"/>
          <w:szCs w:val="21"/>
        </w:rPr>
        <w:t>系统边界</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三氧化二锑产品的系统边界包括三氧化二锑生产和三氧化二锑包装阶段。三氧化二锑生产为锑锭间接法生产三氧化二锑的过程。功能单位为</w:t>
      </w:r>
      <w:r>
        <w:rPr>
          <w:rFonts w:cs="Calibri" w:asciiTheme="majorEastAsia" w:hAnsiTheme="majorEastAsia" w:eastAsiaTheme="majorEastAsia"/>
          <w:kern w:val="0"/>
          <w:szCs w:val="21"/>
        </w:rPr>
        <w:t>1t</w:t>
      </w:r>
      <w:r>
        <w:rPr>
          <w:rFonts w:hint="eastAsia" w:cs="宋体" w:asciiTheme="majorEastAsia" w:hAnsiTheme="majorEastAsia" w:eastAsiaTheme="majorEastAsia"/>
          <w:kern w:val="0"/>
          <w:szCs w:val="21"/>
        </w:rPr>
        <w:t>（三氧化二锑）。根据三氧化二锑产品生产的实际情况，产品评价的系统边界如图</w:t>
      </w:r>
      <w:r>
        <w:rPr>
          <w:rFonts w:cs="Calibri" w:asciiTheme="majorEastAsia" w:hAnsiTheme="majorEastAsia" w:eastAsiaTheme="majorEastAsia"/>
          <w:kern w:val="0"/>
          <w:szCs w:val="21"/>
        </w:rPr>
        <w:t xml:space="preserve">A.1 </w:t>
      </w:r>
      <w:r>
        <w:rPr>
          <w:rFonts w:hint="eastAsia" w:cs="宋体" w:asciiTheme="majorEastAsia" w:hAnsiTheme="majorEastAsia" w:eastAsiaTheme="majorEastAsia"/>
          <w:kern w:val="0"/>
          <w:szCs w:val="21"/>
        </w:rPr>
        <w:t>所示：废物排放点为产品生产系统与外界（环境）的接口。</w:t>
      </w:r>
    </w:p>
    <w:p>
      <w:pPr>
        <w:autoSpaceDE w:val="0"/>
        <w:autoSpaceDN w:val="0"/>
        <w:adjustRightInd w:val="0"/>
        <w:jc w:val="left"/>
        <w:rPr>
          <w:rFonts w:ascii="宋体" w:eastAsia="宋体" w:cs="宋体"/>
          <w:kern w:val="0"/>
          <w:szCs w:val="21"/>
        </w:rPr>
      </w:pPr>
      <w:r>
        <w:pict>
          <v:shape id="_x0000_s1057" o:spid="_x0000_s1057" o:spt="202" type="#_x0000_t202" style="position:absolute;left:0pt;margin-left:163.4pt;margin-top:9.85pt;height:38.25pt;width:110.2pt;z-index:251699200;mso-width-relative:page;mso-height-relative:page;" coordsize="21600,21600">
            <v:path/>
            <v:fill focussize="0,0"/>
            <v:stroke joinstyle="miter"/>
            <v:imagedata o:title=""/>
            <o:lock v:ext="edit"/>
            <v:textbox>
              <w:txbxContent>
                <w:p>
                  <w:pPr>
                    <w:ind w:firstLine="315" w:firstLineChars="150"/>
                  </w:pPr>
                  <w:r>
                    <w:rPr>
                      <w:rFonts w:hint="eastAsia"/>
                    </w:rPr>
                    <w:t>锑锭间接法生产</w:t>
                  </w:r>
                </w:p>
                <w:p>
                  <w:pPr>
                    <w:ind w:firstLine="525" w:firstLineChars="250"/>
                  </w:pPr>
                  <w:r>
                    <w:rPr>
                      <w:rFonts w:hint="eastAsia"/>
                    </w:rPr>
                    <w:t>三氧化二锑</w:t>
                  </w:r>
                </w:p>
              </w:txbxContent>
            </v:textbox>
          </v:shape>
        </w:pict>
      </w:r>
      <w:r>
        <w:pict>
          <v:shape id="_x0000_s1064" o:spid="_x0000_s1064" o:spt="202" type="#_x0000_t202" style="position:absolute;left:0pt;margin-left:0pt;margin-top:-0.3pt;height:150.75pt;width:396.75pt;z-index:-251613184;mso-width-relative:page;mso-height-relative:page;" coordsize="21600,21600">
            <v:path/>
            <v:fill focussize="0,0"/>
            <v:stroke dashstyle="dash"/>
            <v:imagedata o:title=""/>
            <o:lock v:ext="edit"/>
            <v:textbox>
              <w:txbxContent>
                <w:p/>
              </w:txbxContent>
            </v:textbox>
          </v:shape>
        </w:pict>
      </w:r>
      <w:r>
        <w:pict>
          <v:shape id="_x0000_s1059" o:spid="_x0000_s1059" o:spt="88" type="#_x0000_t88" style="position:absolute;left:0pt;margin-left:281.25pt;margin-top:10.6pt;height:123.75pt;width:12pt;z-index:251701248;mso-width-relative:page;mso-height-relative:page;" filled="t" coordsize="21600,21600">
            <v:path arrowok="t"/>
            <v:fill on="t" focussize="0,0"/>
            <v:stroke/>
            <v:imagedata o:title=""/>
            <o:lock v:ext="edit"/>
          </v:shape>
        </w:pict>
      </w:r>
      <w:r>
        <w:pict>
          <v:shape id="_x0000_s1056" o:spid="_x0000_s1056" o:spt="87" type="#_x0000_t87" style="position:absolute;left:0pt;margin-left:142.4pt;margin-top:9.85pt;height:130.45pt;width:13.5pt;z-index:251698176;mso-width-relative:page;mso-height-relative:page;" filled="t" coordsize="21600,21600">
            <v:path arrowok="t"/>
            <v:fill on="t" focussize="0,0"/>
            <v:stroke/>
            <v:imagedata o:title=""/>
            <o:lock v:ext="edit"/>
          </v:shape>
        </w:pict>
      </w:r>
    </w:p>
    <w:p>
      <w:pPr>
        <w:autoSpaceDE w:val="0"/>
        <w:autoSpaceDN w:val="0"/>
        <w:adjustRightInd w:val="0"/>
        <w:jc w:val="left"/>
        <w:rPr>
          <w:rFonts w:ascii="宋体" w:eastAsia="宋体" w:cs="宋体"/>
          <w:kern w:val="0"/>
          <w:szCs w:val="21"/>
        </w:rPr>
      </w:pPr>
      <w:r>
        <w:pict>
          <v:line id="_x0000_s1054" o:spid="_x0000_s1054" o:spt="20" style="position:absolute;left:0pt;margin-left:97.4pt;margin-top:13.8pt;height:0.05pt;width:43.5pt;z-index:251696128;mso-width-relative:page;mso-height-relative:page;" filled="t" coordsize="21600,21600">
            <v:path arrowok="t"/>
            <v:fill on="t" focussize="0,0"/>
            <v:stroke endarrow="open"/>
            <v:imagedata o:title=""/>
            <o:lock v:ext="edit"/>
          </v:line>
        </w:pict>
      </w:r>
      <w:r>
        <w:pict>
          <v:shape id="_x0000_s1052" o:spid="_x0000_s1052" o:spt="202" type="#_x0000_t202" style="position:absolute;left:0pt;margin-left:35.9pt;margin-top:4.75pt;height:21.4pt;width:61.5pt;z-index:251694080;mso-width-relative:page;mso-height-relative:page;" coordsize="21600,21600">
            <v:path/>
            <v:fill focussize="0,0"/>
            <v:stroke joinstyle="miter"/>
            <v:imagedata o:title=""/>
            <o:lock v:ext="edit"/>
            <v:textbox>
              <w:txbxContent>
                <w:p>
                  <w:pPr>
                    <w:jc w:val="center"/>
                  </w:pPr>
                  <w:r>
                    <w:rPr>
                      <w:rFonts w:hint="eastAsia"/>
                    </w:rPr>
                    <w:t>原材料</w:t>
                  </w:r>
                </w:p>
              </w:txbxContent>
            </v:textbox>
          </v:shape>
        </w:pict>
      </w: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r>
        <w:pict>
          <v:line id="_x0000_s1058" o:spid="_x0000_s1058" o:spt="20" style="position:absolute;left:0pt;margin-left:218.05pt;margin-top:1.3pt;height:23.45pt;width:0pt;z-index:251700224;mso-width-relative:page;mso-height-relative:page;" filled="t" coordsize="21600,21600">
            <v:path arrowok="t"/>
            <v:fill on="t" focussize="0,0"/>
            <v:stroke endarrow="open"/>
            <v:imagedata o:title=""/>
            <o:lock v:ext="edit"/>
          </v:line>
        </w:pict>
      </w:r>
      <w:r>
        <w:pict>
          <v:shape id="_x0000_s1053" o:spid="_x0000_s1053" o:spt="202" type="#_x0000_t202" style="position:absolute;left:0pt;margin-left:35.9pt;margin-top:12.95pt;height:24.2pt;width:61.5pt;z-index:251695104;mso-width-relative:page;mso-height-relative:page;" coordsize="21600,21600">
            <v:path/>
            <v:fill focussize="0,0"/>
            <v:stroke joinstyle="miter"/>
            <v:imagedata o:title=""/>
            <o:lock v:ext="edit"/>
            <v:textbox>
              <w:txbxContent>
                <w:p>
                  <w:pPr>
                    <w:jc w:val="center"/>
                  </w:pPr>
                  <w:r>
                    <w:rPr>
                      <w:rFonts w:hint="eastAsia"/>
                    </w:rPr>
                    <w:t>能源</w:t>
                  </w:r>
                </w:p>
              </w:txbxContent>
            </v:textbox>
          </v:shape>
        </w:pict>
      </w:r>
      <w:r>
        <w:pict>
          <v:shape id="_x0000_s1060" o:spid="_x0000_s1060" o:spt="202" type="#_x0000_t202" style="position:absolute;left:0pt;margin-left:300.35pt;margin-top:12.95pt;height:29.3pt;width:73.55pt;z-index:251702272;mso-width-relative:page;mso-height-relative:page;" coordsize="21600,21600">
            <v:path/>
            <v:fill focussize="0,0"/>
            <v:stroke joinstyle="miter"/>
            <v:imagedata o:title=""/>
            <o:lock v:ext="edit"/>
            <v:textbox>
              <w:txbxContent>
                <w:p>
                  <w:pPr>
                    <w:jc w:val="center"/>
                  </w:pPr>
                  <w:r>
                    <w:rPr>
                      <w:rFonts w:hint="eastAsia"/>
                    </w:rPr>
                    <w:t>废物排放</w:t>
                  </w:r>
                </w:p>
              </w:txbxContent>
            </v:textbox>
          </v:shape>
        </w:pict>
      </w:r>
    </w:p>
    <w:p>
      <w:pPr>
        <w:autoSpaceDE w:val="0"/>
        <w:autoSpaceDN w:val="0"/>
        <w:adjustRightInd w:val="0"/>
        <w:jc w:val="left"/>
        <w:rPr>
          <w:rFonts w:ascii="宋体" w:eastAsia="宋体" w:cs="宋体"/>
          <w:kern w:val="0"/>
          <w:szCs w:val="21"/>
        </w:rPr>
      </w:pPr>
      <w:r>
        <w:pict>
          <v:shape id="_x0000_s1132" o:spid="_x0000_s1132" o:spt="202" type="#_x0000_t202" style="position:absolute;left:0pt;margin-left:170.75pt;margin-top:9.05pt;height:26.5pt;width:90.15pt;z-index:-251582464;mso-width-relative:page;mso-height-relative:page;" stroked="t" coordsize="21600,21600">
            <v:path/>
            <v:fill focussize="0,0"/>
            <v:stroke color="#000000" joinstyle="miter"/>
            <v:imagedata o:title=""/>
            <o:lock v:ext="edit"/>
            <v:textbox>
              <w:txbxContent>
                <w:p>
                  <w:r>
                    <w:rPr>
                      <w:rFonts w:hint="eastAsia" w:ascii="宋体" w:eastAsia="宋体" w:cs="宋体"/>
                      <w:kern w:val="0"/>
                      <w:szCs w:val="21"/>
                    </w:rPr>
                    <w:t>三氧化二锑包装</w:t>
                  </w:r>
                </w:p>
              </w:txbxContent>
            </v:textbox>
          </v:shape>
        </w:pict>
      </w:r>
      <w:r>
        <w:pict>
          <v:line id="_x0000_s1055" o:spid="_x0000_s1055" o:spt="20" style="position:absolute;left:0pt;margin-left:97.4pt;margin-top:9.15pt;height:0.05pt;width:45pt;z-index:251697152;mso-width-relative:page;mso-height-relative:page;" filled="t" stroked="t" coordsize="21600,21600">
            <v:path arrowok="t"/>
            <v:fill on="t" focussize="0,0"/>
            <v:stroke color="#000000" endarrow="open"/>
            <v:imagedata o:title=""/>
            <o:lock v:ext="edit"/>
          </v:line>
        </w:pict>
      </w:r>
    </w:p>
    <w:p>
      <w:pPr>
        <w:autoSpaceDE w:val="0"/>
        <w:autoSpaceDN w:val="0"/>
        <w:adjustRightInd w:val="0"/>
        <w:jc w:val="left"/>
        <w:rPr>
          <w:rFonts w:ascii="宋体" w:eastAsia="宋体" w:cs="宋体"/>
          <w:kern w:val="0"/>
          <w:szCs w:val="21"/>
        </w:rPr>
      </w:pPr>
    </w:p>
    <w:p>
      <w:pPr>
        <w:autoSpaceDE w:val="0"/>
        <w:autoSpaceDN w:val="0"/>
        <w:adjustRightInd w:val="0"/>
        <w:jc w:val="left"/>
        <w:rPr>
          <w:rFonts w:ascii="宋体" w:eastAsia="宋体" w:cs="宋体"/>
          <w:kern w:val="0"/>
          <w:szCs w:val="21"/>
        </w:rPr>
      </w:pPr>
      <w:r>
        <w:pict>
          <v:shape id="_x0000_s1152" o:spid="_x0000_s1152" o:spt="32" type="#_x0000_t32" style="position:absolute;left:0pt;margin-left:218.05pt;margin-top:4.35pt;height:19.05pt;width:0pt;z-index:251752448;mso-width-relative:page;mso-height-relative:page;" o:connectortype="straight" filled="f" coordsize="21600,21600">
            <v:path arrowok="t"/>
            <v:fill on="f" focussize="0,0"/>
            <v:stroke endarrow="open"/>
            <v:imagedata o:title=""/>
            <o:lock v:ext="edit"/>
          </v:shape>
        </w:pict>
      </w:r>
      <w:r>
        <w:pict>
          <v:shape id="自选图形 50" o:spid="_x0000_s1134" o:spt="109" type="#_x0000_t109" style="position:absolute;left:0pt;margin-left:35.9pt;margin-top:7.65pt;height:22.6pt;width:61.5pt;z-index:251735040;mso-width-relative:page;mso-height-relative:page;" coordsize="21600,21600">
            <v:path/>
            <v:fill focussize="0,0"/>
            <v:stroke joinstyle="miter"/>
            <v:imagedata o:title=""/>
            <o:lock v:ext="edit"/>
            <v:textbox>
              <w:txbxContent>
                <w:p>
                  <w:pPr>
                    <w:jc w:val="center"/>
                  </w:pPr>
                  <w:r>
                    <w:rPr>
                      <w:rFonts w:hint="eastAsia"/>
                    </w:rPr>
                    <w:t>水</w:t>
                  </w:r>
                </w:p>
              </w:txbxContent>
            </v:textbox>
          </v:shape>
        </w:pict>
      </w:r>
    </w:p>
    <w:p>
      <w:pPr>
        <w:autoSpaceDE w:val="0"/>
        <w:autoSpaceDN w:val="0"/>
        <w:adjustRightInd w:val="0"/>
        <w:jc w:val="left"/>
        <w:rPr>
          <w:rFonts w:ascii="宋体" w:eastAsia="宋体" w:cs="宋体"/>
          <w:kern w:val="0"/>
          <w:szCs w:val="21"/>
        </w:rPr>
      </w:pPr>
      <w:r>
        <w:rPr>
          <w:rFonts w:ascii="宋体" w:eastAsia="宋体" w:cs="宋体"/>
          <w:kern w:val="0"/>
          <w:szCs w:val="21"/>
        </w:rPr>
        <w:pict>
          <v:shape id="_x0000_s1153" o:spid="_x0000_s1153" o:spt="202" type="#_x0000_t202" style="position:absolute;left:0pt;margin-left:170.75pt;margin-top:7.95pt;height:23.3pt;width:96pt;z-index:251753472;mso-width-relative:page;mso-height-relative:page;" stroked="t" coordsize="21600,21600">
            <v:path/>
            <v:fill focussize="0,0"/>
            <v:stroke color="#FFFFFF" joinstyle="miter"/>
            <v:imagedata o:title=""/>
            <o:lock v:ext="edit"/>
            <v:textbox>
              <w:txbxContent>
                <w:p>
                  <w:pPr>
                    <w:rPr>
                      <w:u w:val="double"/>
                    </w:rPr>
                  </w:pPr>
                  <w:r>
                    <w:rPr>
                      <w:rFonts w:hint="eastAsia"/>
                      <w:u w:val="double"/>
                    </w:rPr>
                    <w:t>三氧化二锑产品</w:t>
                  </w:r>
                </w:p>
              </w:txbxContent>
            </v:textbox>
          </v:shape>
        </w:pict>
      </w:r>
      <w:r>
        <w:rPr>
          <w:rFonts w:ascii="宋体" w:eastAsia="宋体" w:cs="宋体"/>
          <w:kern w:val="0"/>
          <w:szCs w:val="21"/>
        </w:rPr>
        <w:pict>
          <v:shape id="_x0000_s1135" o:spid="_x0000_s1135" o:spt="32" type="#_x0000_t32" style="position:absolute;left:0pt;margin-left:97.4pt;margin-top:4.55pt;height:0pt;width:45pt;z-index:251736064;mso-width-relative:page;mso-height-relative:page;" o:connectortype="straight" filled="f" coordsize="21600,21600">
            <v:path arrowok="t"/>
            <v:fill on="f" focussize="0,0"/>
            <v:stroke endarrow="open"/>
            <v:imagedata o:title=""/>
            <o:lock v:ext="edit"/>
          </v:shape>
        </w:pict>
      </w:r>
    </w:p>
    <w:p>
      <w:pPr>
        <w:tabs>
          <w:tab w:val="left" w:pos="3300"/>
        </w:tabs>
        <w:autoSpaceDE w:val="0"/>
        <w:autoSpaceDN w:val="0"/>
        <w:adjustRightInd w:val="0"/>
        <w:jc w:val="left"/>
        <w:rPr>
          <w:rFonts w:ascii="宋体" w:eastAsia="宋体" w:cs="宋体"/>
          <w:kern w:val="0"/>
          <w:szCs w:val="21"/>
        </w:rPr>
      </w:pPr>
      <w:r>
        <w:rPr>
          <w:rFonts w:hint="eastAsia" w:ascii="宋体" w:eastAsia="宋体" w:cs="宋体"/>
          <w:kern w:val="0"/>
          <w:szCs w:val="21"/>
        </w:rPr>
        <w:tab/>
      </w:r>
    </w:p>
    <w:p>
      <w:pPr>
        <w:autoSpaceDE w:val="0"/>
        <w:autoSpaceDN w:val="0"/>
        <w:adjustRightInd w:val="0"/>
        <w:jc w:val="left"/>
        <w:rPr>
          <w:rFonts w:ascii="宋体" w:eastAsia="宋体" w:cs="宋体"/>
          <w:kern w:val="0"/>
          <w:szCs w:val="21"/>
        </w:rPr>
      </w:pPr>
    </w:p>
    <w:p>
      <w:pPr>
        <w:autoSpaceDE w:val="0"/>
        <w:autoSpaceDN w:val="0"/>
        <w:adjustRightInd w:val="0"/>
        <w:jc w:val="center"/>
        <w:rPr>
          <w:rFonts w:ascii="宋体" w:eastAsia="宋体" w:cs="宋体"/>
          <w:kern w:val="0"/>
          <w:szCs w:val="21"/>
        </w:rPr>
      </w:pPr>
      <w:r>
        <w:rPr>
          <w:rFonts w:hint="eastAsia" w:ascii="宋体" w:eastAsia="宋体" w:cs="宋体"/>
          <w:kern w:val="0"/>
          <w:szCs w:val="21"/>
        </w:rPr>
        <w:t>图</w:t>
      </w:r>
      <w:r>
        <w:rPr>
          <w:rFonts w:ascii="Calibri,Bold" w:eastAsia="Calibri,Bold" w:cs="Calibri,Bold"/>
          <w:b/>
          <w:bCs/>
          <w:kern w:val="0"/>
          <w:szCs w:val="21"/>
        </w:rPr>
        <w:t xml:space="preserve">A.1 </w:t>
      </w:r>
      <w:r>
        <w:rPr>
          <w:rFonts w:hint="eastAsia" w:ascii="宋体" w:eastAsia="宋体" w:cs="宋体"/>
          <w:kern w:val="0"/>
          <w:szCs w:val="21"/>
        </w:rPr>
        <w:t>三氧化二锑产品生命周期评价的系统边界</w:t>
      </w:r>
    </w:p>
    <w:p>
      <w:pPr>
        <w:autoSpaceDE w:val="0"/>
        <w:autoSpaceDN w:val="0"/>
        <w:adjustRightInd w:val="0"/>
        <w:jc w:val="left"/>
        <w:rPr>
          <w:rFonts w:cs="黑体" w:asciiTheme="majorEastAsia" w:hAnsiTheme="majorEastAsia" w:eastAsiaTheme="majorEastAsia"/>
          <w:b/>
          <w:kern w:val="0"/>
          <w:szCs w:val="21"/>
        </w:rPr>
      </w:pPr>
    </w:p>
    <w:p>
      <w:pPr>
        <w:autoSpaceDE w:val="0"/>
        <w:autoSpaceDN w:val="0"/>
        <w:adjustRightInd w:val="0"/>
        <w:jc w:val="left"/>
        <w:rPr>
          <w:rFonts w:cs="黑体" w:asciiTheme="majorEastAsia" w:hAnsiTheme="majorEastAsia" w:eastAsiaTheme="majorEastAsia"/>
          <w:b/>
          <w:kern w:val="0"/>
          <w:szCs w:val="21"/>
        </w:rPr>
      </w:pPr>
      <w:r>
        <w:rPr>
          <w:rFonts w:cs="黑体" w:asciiTheme="majorEastAsia" w:hAnsiTheme="majorEastAsia" w:eastAsiaTheme="majorEastAsia"/>
          <w:b/>
          <w:kern w:val="0"/>
          <w:szCs w:val="21"/>
        </w:rPr>
        <w:t xml:space="preserve">A.2.4 </w:t>
      </w:r>
      <w:r>
        <w:rPr>
          <w:rFonts w:hint="eastAsia" w:cs="黑体" w:asciiTheme="majorEastAsia" w:hAnsiTheme="majorEastAsia" w:eastAsiaTheme="majorEastAsia"/>
          <w:b/>
          <w:kern w:val="0"/>
          <w:szCs w:val="21"/>
        </w:rPr>
        <w:t>数据取舍原则</w:t>
      </w:r>
    </w:p>
    <w:p>
      <w:pPr>
        <w:autoSpaceDE w:val="0"/>
        <w:autoSpaceDN w:val="0"/>
        <w:adjustRightInd w:val="0"/>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a）能源的所有输入均列出；</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b）原料的所有输入均列出；</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c）辅助材料质量小于原料总耗0.1%的项目输入可以忽略；</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d）大气、水体、固体废物的各种排放均列出；</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e）厂房的基础设施、各工序的设备、厂区内人员及生活设施的消耗和排放，均忽略；</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f）取舍原则不适用于有毒有害物质，任何有毒有害的材料和物质均应包含于清单中。</w:t>
      </w:r>
    </w:p>
    <w:p>
      <w:pPr>
        <w:tabs>
          <w:tab w:val="left" w:pos="1620"/>
        </w:tabs>
        <w:rPr>
          <w:rFonts w:asciiTheme="majorEastAsia" w:hAnsiTheme="majorEastAsia" w:eastAsiaTheme="majorEastAsia"/>
          <w:b/>
          <w:szCs w:val="21"/>
        </w:rPr>
      </w:pP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 生命周期清单分析</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A.3.1 总则</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应编制三氧化二锑产品系统边界内的所有材料/能源输入和排放到空气、水及土壤的排放物清单，作为产品生命周期评价的依据。</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应书面给出所有的计算程序和计算公式，所做的假设应给予明确说明。当数据收集完毕后，应对收集的数据进行审定。然后确定每个单元过程的定量输入和输出，将各个单元过程的输入输出数据除以三氧化二锑产品的产量，得到功能单位的资源、能源消耗和环境排放。最后将三氧化二锑产品各单元过程中相同影响因素的数据求和，以获取该影响因素的总量，为产品及影响评价提高必要的数据。</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A.3.2 数据收集</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A.3.2.1 概况</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应将以下阶段的数据纳入数据清单：</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a）三氧化二锑生产</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b）三氧化二锑包装</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A.3.2.2 现场数据采集</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通过直接测量、采访或问卷调查，从企业直接获得的数据为现场数据。数据宜包括过程所有已知输入和输出。输入指消耗的能量、材料等。输出指产品、副产品和排放物。可将排放物分为：排至空气、水、土壤的排放物以及作为固体废弃物的排放物。数据收集表参见附录B。</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典型现场数据来源包括：</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a）单元过程消耗数据；</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b）耗材清单以及库存变化；</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c）排放测量值（气体和废水排放物的数量和浓度）；</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d）产品和废物成分；</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e）采购和销售部门。</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A.3.2.3.背景数据采集</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背景数据不是直接测量或计算得到的数据。背景数据可以为行业平均数据。所使用数据的来源应有清楚的文件记载并应载入产品生命周期评价报告。</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A.3.2.4 生命周期各阶段数据采集</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A.3.2.4.1 生产阶段</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该阶段起源于原材料进入生产场址，结束于成品离开生产单位。生产活动包括锑锭间接法生产三氧化二锑的过程。</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A.3.2.4.2 包装阶段</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该阶段为生产的三氧化二锑进入包装库，三氧化二锑包装后进入产品库房为止。</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A.3.3 数据计算</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数据收集后，应对所收集数据的有效性进行检查，确保数据符合质量要求。将收集的数据与单元过程进行关联，同时与功能单位的基准流进行关联。</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合并来自相同数据类型（比如大气排放）、相同物质（如CO2）、不同单元过程的数据，以得到这个产品系统的能源消耗、原材料消耗以及空气排放、水体排放和土壤排放数据。</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A.3.4 数据分配</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若三氧化二锑产品生产过程还得到了其他副产品（例如，次锑氧等），需要按照一定的原则和程序，将资源输入和环境排放数据分配到各个产品或过程中。</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数据分配一般按照以下程序进行：</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a）尽量减少或避免出现分配，可将原来收集数据时划分的单元过程再进一步分解，以便将那些与系统功能无关的单元排除在外；或者扩展产品系统边界，把原来排除在系统之外的一些单元过程包括进来。</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b）基于物理关系的分配，如产品重量、数量、热值等。</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A.3.5 数据质量要求</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数据质量应遵循以下原则和要求：</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a）完整性：充足的样本、合适的期间；</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b）可信度：数据根据测量、检验得到；</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c）时间相关：与评价目标时间差别小于3 年；</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d）地理相关：来自研究区域的数据；</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e）技术相关：从研究的企业工艺过程和材料得到数据。</w:t>
      </w:r>
    </w:p>
    <w:p>
      <w:pPr>
        <w:tabs>
          <w:tab w:val="left" w:pos="1620"/>
        </w:tabs>
        <w:ind w:firstLine="420" w:firstLineChars="200"/>
        <w:rPr>
          <w:rFonts w:asciiTheme="majorEastAsia" w:hAnsiTheme="majorEastAsia" w:eastAsiaTheme="majorEastAsia"/>
          <w:szCs w:val="21"/>
        </w:rPr>
      </w:pP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A.4 生命周期影响评价</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A.4.1 概述</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根据清单分析所提供的资源消耗数据以及各种排放数据，对产品系统潜在的环境影响进行评价，为生命周期解释提供必要的信息。其要素包括影响类型，将清单分析结果分类并划分到相应影响类型，对类型参数结果进行计算（特征化）。本标准不需要对类型参数结果进行归一化和加权计算。</w:t>
      </w:r>
    </w:p>
    <w:p>
      <w:pPr>
        <w:tabs>
          <w:tab w:val="left" w:pos="1620"/>
        </w:tabs>
        <w:rPr>
          <w:rFonts w:asciiTheme="majorEastAsia" w:hAnsiTheme="majorEastAsia" w:eastAsiaTheme="majorEastAsia"/>
          <w:b/>
          <w:szCs w:val="21"/>
        </w:rPr>
      </w:pPr>
      <w:r>
        <w:rPr>
          <w:rFonts w:hint="eastAsia" w:asciiTheme="majorEastAsia" w:hAnsiTheme="majorEastAsia" w:eastAsiaTheme="majorEastAsia"/>
          <w:b/>
          <w:szCs w:val="21"/>
        </w:rPr>
        <w:t>A.4.2 环境影响类型</w:t>
      </w:r>
    </w:p>
    <w:p>
      <w:pPr>
        <w:tabs>
          <w:tab w:val="left" w:pos="1620"/>
        </w:tabs>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环境影响类型可分为资源消耗、气候变化、酸化、富营养化、光化学烟雾、固体废弃物以及可吸入颗粒物等7 种，其影响区域见表A.1</w:t>
      </w:r>
    </w:p>
    <w:p>
      <w:pPr>
        <w:tabs>
          <w:tab w:val="left" w:pos="1620"/>
        </w:tabs>
        <w:jc w:val="center"/>
        <w:rPr>
          <w:rFonts w:asciiTheme="majorEastAsia" w:hAnsiTheme="majorEastAsia" w:eastAsiaTheme="majorEastAsia"/>
          <w:b/>
          <w:szCs w:val="21"/>
        </w:rPr>
      </w:pPr>
      <w:r>
        <w:rPr>
          <w:rFonts w:hint="eastAsia" w:asciiTheme="majorEastAsia" w:hAnsiTheme="majorEastAsia" w:eastAsiaTheme="majorEastAsia"/>
          <w:b/>
          <w:szCs w:val="21"/>
        </w:rPr>
        <w:t>表A.1   三氧化二锑产品的环境影响类型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8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序号</w:t>
            </w:r>
          </w:p>
        </w:tc>
        <w:tc>
          <w:tcPr>
            <w:tcW w:w="3872"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环境影响类型</w:t>
            </w:r>
          </w:p>
        </w:tc>
        <w:tc>
          <w:tcPr>
            <w:tcW w:w="2841"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影响区域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3872"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资源消耗</w:t>
            </w:r>
          </w:p>
        </w:tc>
        <w:tc>
          <w:tcPr>
            <w:tcW w:w="2841"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3872"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气候变化</w:t>
            </w:r>
          </w:p>
        </w:tc>
        <w:tc>
          <w:tcPr>
            <w:tcW w:w="2841"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3</w:t>
            </w:r>
          </w:p>
        </w:tc>
        <w:tc>
          <w:tcPr>
            <w:tcW w:w="3872"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酸化</w:t>
            </w:r>
          </w:p>
        </w:tc>
        <w:tc>
          <w:tcPr>
            <w:tcW w:w="2841"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3872"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富营养化</w:t>
            </w:r>
          </w:p>
        </w:tc>
        <w:tc>
          <w:tcPr>
            <w:tcW w:w="2841"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3872"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光化学烟雾</w:t>
            </w:r>
          </w:p>
        </w:tc>
        <w:tc>
          <w:tcPr>
            <w:tcW w:w="2841"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区域性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6</w:t>
            </w:r>
          </w:p>
        </w:tc>
        <w:tc>
          <w:tcPr>
            <w:tcW w:w="3872"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固体废弃物</w:t>
            </w:r>
          </w:p>
        </w:tc>
        <w:tc>
          <w:tcPr>
            <w:tcW w:w="2841"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局地性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7</w:t>
            </w:r>
          </w:p>
        </w:tc>
        <w:tc>
          <w:tcPr>
            <w:tcW w:w="3872"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可吸入颗粒物</w:t>
            </w:r>
          </w:p>
        </w:tc>
        <w:tc>
          <w:tcPr>
            <w:tcW w:w="2841" w:type="dxa"/>
          </w:tcPr>
          <w:p>
            <w:pPr>
              <w:tabs>
                <w:tab w:val="left" w:pos="1620"/>
              </w:tabs>
              <w:jc w:val="center"/>
              <w:rPr>
                <w:rFonts w:asciiTheme="majorEastAsia" w:hAnsiTheme="majorEastAsia" w:eastAsiaTheme="majorEastAsia"/>
                <w:szCs w:val="21"/>
              </w:rPr>
            </w:pPr>
            <w:r>
              <w:rPr>
                <w:rFonts w:hint="eastAsia" w:asciiTheme="majorEastAsia" w:hAnsiTheme="majorEastAsia" w:eastAsiaTheme="majorEastAsia"/>
                <w:szCs w:val="21"/>
              </w:rPr>
              <w:t>局地性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tabs>
                <w:tab w:val="left" w:pos="1620"/>
              </w:tabs>
              <w:jc w:val="center"/>
              <w:rPr>
                <w:rFonts w:asciiTheme="majorEastAsia" w:hAnsiTheme="majorEastAsia" w:eastAsiaTheme="majorEastAsia"/>
                <w:szCs w:val="21"/>
              </w:rPr>
            </w:pPr>
            <w:r>
              <w:rPr>
                <w:rFonts w:asciiTheme="majorEastAsia" w:hAnsiTheme="majorEastAsia" w:eastAsiaTheme="majorEastAsia"/>
                <w:szCs w:val="21"/>
              </w:rPr>
              <w:t>……</w:t>
            </w:r>
          </w:p>
        </w:tc>
      </w:tr>
    </w:tbl>
    <w:p>
      <w:pPr>
        <w:tabs>
          <w:tab w:val="left" w:pos="1620"/>
        </w:tabs>
        <w:ind w:firstLine="420" w:firstLineChars="200"/>
        <w:rPr>
          <w:rFonts w:asciiTheme="majorEastAsia" w:hAnsiTheme="majorEastAsia" w:eastAsiaTheme="majorEastAsia"/>
          <w:szCs w:val="21"/>
        </w:rPr>
      </w:pPr>
    </w:p>
    <w:p>
      <w:pPr>
        <w:tabs>
          <w:tab w:val="left" w:pos="1620"/>
        </w:tabs>
        <w:ind w:firstLine="420" w:firstLineChars="200"/>
        <w:rPr>
          <w:rFonts w:asciiTheme="majorEastAsia" w:hAnsiTheme="majorEastAsia" w:eastAsiaTheme="majorEastAsia"/>
          <w:szCs w:val="21"/>
        </w:rPr>
      </w:pPr>
    </w:p>
    <w:p>
      <w:pPr>
        <w:tabs>
          <w:tab w:val="left" w:pos="1620"/>
        </w:tabs>
        <w:ind w:firstLine="420" w:firstLineChars="200"/>
        <w:rPr>
          <w:rFonts w:asciiTheme="majorEastAsia" w:hAnsiTheme="majorEastAsia" w:eastAsiaTheme="majorEastAsia"/>
          <w:szCs w:val="21"/>
        </w:rPr>
      </w:pPr>
    </w:p>
    <w:p>
      <w:pPr>
        <w:jc w:val="left"/>
        <w:rPr>
          <w:rFonts w:asciiTheme="majorEastAsia" w:hAnsiTheme="majorEastAsia" w:eastAsiaTheme="majorEastAsia"/>
          <w:b/>
        </w:rPr>
      </w:pPr>
      <w:r>
        <w:rPr>
          <w:rFonts w:hint="eastAsia" w:asciiTheme="majorEastAsia" w:hAnsiTheme="majorEastAsia" w:eastAsiaTheme="majorEastAsia"/>
          <w:b/>
        </w:rPr>
        <w:t>A.4.3 数据归类</w:t>
      </w:r>
    </w:p>
    <w:p>
      <w:pPr>
        <w:ind w:firstLine="420" w:firstLineChars="200"/>
        <w:jc w:val="left"/>
        <w:rPr>
          <w:rFonts w:ascii="宋体" w:hAnsi="宋体" w:eastAsia="宋体"/>
        </w:rPr>
      </w:pPr>
      <w:r>
        <w:rPr>
          <w:rFonts w:hint="eastAsia" w:ascii="宋体" w:hAnsi="宋体" w:eastAsia="宋体"/>
        </w:rPr>
        <w:t>根据清单因子的物理化学性质，将对某影响类型有贡献的因子归到一起。例如，将对气候变化有贡献的二氧化碳、甲烷、一氧化二氮等清单因子归到气候变化影响类型里面。列表归类，见表</w:t>
      </w:r>
      <w:r>
        <w:rPr>
          <w:rFonts w:hint="eastAsia" w:ascii="Calibri" w:hAnsi="Calibri" w:eastAsia="Calibri"/>
        </w:rPr>
        <w:t>A.2</w:t>
      </w:r>
      <w:r>
        <w:rPr>
          <w:rFonts w:hint="eastAsia" w:ascii="宋体" w:hAnsi="宋体" w:eastAsia="宋体"/>
        </w:rPr>
        <w:t>。</w:t>
      </w:r>
    </w:p>
    <w:p>
      <w:pPr>
        <w:jc w:val="center"/>
        <w:rPr>
          <w:rFonts w:ascii="宋体" w:hAnsi="宋体" w:eastAsia="宋体"/>
          <w:b/>
        </w:rPr>
      </w:pPr>
      <w:r>
        <w:rPr>
          <w:rFonts w:hint="eastAsia" w:ascii="宋体" w:hAnsi="宋体" w:eastAsia="宋体"/>
          <w:b/>
        </w:rPr>
        <w:t>表A.2   数据归类示例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835"/>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宋体" w:hAnsi="宋体" w:eastAsia="宋体"/>
              </w:rPr>
            </w:pPr>
            <w:r>
              <w:rPr>
                <w:rFonts w:hint="eastAsia" w:ascii="宋体" w:hAnsi="宋体" w:eastAsia="宋体"/>
              </w:rPr>
              <w:t>序号</w:t>
            </w:r>
          </w:p>
        </w:tc>
        <w:tc>
          <w:tcPr>
            <w:tcW w:w="2835" w:type="dxa"/>
          </w:tcPr>
          <w:p>
            <w:pPr>
              <w:jc w:val="center"/>
              <w:rPr>
                <w:rFonts w:ascii="宋体" w:hAnsi="宋体" w:eastAsia="宋体"/>
              </w:rPr>
            </w:pPr>
            <w:r>
              <w:rPr>
                <w:rFonts w:hint="eastAsia" w:ascii="宋体" w:hAnsi="宋体" w:eastAsia="宋体"/>
              </w:rPr>
              <w:t>环境影响类型</w:t>
            </w:r>
          </w:p>
        </w:tc>
        <w:tc>
          <w:tcPr>
            <w:tcW w:w="4161" w:type="dxa"/>
          </w:tcPr>
          <w:p>
            <w:pPr>
              <w:jc w:val="center"/>
              <w:rPr>
                <w:rFonts w:ascii="宋体" w:hAnsi="宋体" w:eastAsia="宋体"/>
              </w:rPr>
            </w:pPr>
            <w:r>
              <w:rPr>
                <w:rFonts w:hint="eastAsia" w:ascii="宋体" w:hAnsi="宋体" w:eastAsia="宋体"/>
              </w:rPr>
              <w:t>清单因子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宋体" w:hAnsi="宋体" w:eastAsia="宋体"/>
              </w:rPr>
            </w:pPr>
            <w:r>
              <w:rPr>
                <w:rFonts w:hint="eastAsia" w:ascii="宋体" w:hAnsi="宋体" w:eastAsia="宋体"/>
              </w:rPr>
              <w:t>1</w:t>
            </w:r>
          </w:p>
        </w:tc>
        <w:tc>
          <w:tcPr>
            <w:tcW w:w="2835" w:type="dxa"/>
          </w:tcPr>
          <w:p>
            <w:pPr>
              <w:jc w:val="center"/>
              <w:rPr>
                <w:rFonts w:ascii="宋体" w:hAnsi="宋体" w:eastAsia="宋体"/>
              </w:rPr>
            </w:pPr>
            <w:r>
              <w:rPr>
                <w:rFonts w:hint="eastAsia" w:ascii="宋体" w:hAnsi="宋体" w:eastAsia="宋体"/>
              </w:rPr>
              <w:t>资源消耗</w:t>
            </w:r>
          </w:p>
        </w:tc>
        <w:tc>
          <w:tcPr>
            <w:tcW w:w="4161" w:type="dxa"/>
          </w:tcPr>
          <w:p>
            <w:pPr>
              <w:jc w:val="center"/>
              <w:rPr>
                <w:rFonts w:ascii="宋体" w:hAnsi="宋体" w:eastAsia="宋体"/>
              </w:rPr>
            </w:pPr>
            <w:r>
              <w:rPr>
                <w:rFonts w:hint="eastAsia" w:ascii="宋体" w:hAnsi="宋体" w:eastAsia="宋体"/>
              </w:rPr>
              <w:t>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宋体" w:hAnsi="宋体" w:eastAsia="宋体"/>
              </w:rPr>
            </w:pPr>
            <w:r>
              <w:rPr>
                <w:rFonts w:hint="eastAsia" w:ascii="宋体" w:hAnsi="宋体" w:eastAsia="宋体"/>
              </w:rPr>
              <w:t>2</w:t>
            </w:r>
          </w:p>
        </w:tc>
        <w:tc>
          <w:tcPr>
            <w:tcW w:w="2835" w:type="dxa"/>
          </w:tcPr>
          <w:p>
            <w:pPr>
              <w:jc w:val="center"/>
              <w:rPr>
                <w:rFonts w:ascii="宋体" w:hAnsi="宋体" w:eastAsia="宋体"/>
              </w:rPr>
            </w:pPr>
            <w:r>
              <w:rPr>
                <w:rFonts w:hint="eastAsia" w:ascii="宋体" w:hAnsi="宋体" w:eastAsia="宋体"/>
              </w:rPr>
              <w:t>气候变化</w:t>
            </w:r>
          </w:p>
        </w:tc>
        <w:tc>
          <w:tcPr>
            <w:tcW w:w="4161" w:type="dxa"/>
          </w:tcPr>
          <w:p>
            <w:pPr>
              <w:jc w:val="center"/>
              <w:rPr>
                <w:rFonts w:ascii="宋体" w:hAnsi="宋体" w:eastAsia="宋体"/>
              </w:rPr>
            </w:pPr>
            <w:r>
              <w:rPr>
                <w:rFonts w:hint="eastAsia" w:ascii="宋体" w:hAnsi="宋体" w:eastAsia="宋体"/>
              </w:rPr>
              <w:t>CO</w:t>
            </w:r>
            <w:r>
              <w:rPr>
                <w:rFonts w:hint="eastAsia" w:ascii="宋体" w:hAnsi="宋体" w:eastAsia="宋体"/>
                <w:vertAlign w:val="subscript"/>
              </w:rPr>
              <w:t>2</w:t>
            </w:r>
            <w:r>
              <w:rPr>
                <w:rFonts w:hint="eastAsia" w:ascii="宋体" w:hAnsi="宋体" w:eastAsia="宋体"/>
              </w:rPr>
              <w:t>、CO、CH</w:t>
            </w:r>
            <w:r>
              <w:rPr>
                <w:rFonts w:hint="eastAsia" w:ascii="宋体" w:hAnsi="宋体" w:eastAsia="宋体"/>
                <w:vertAlign w:val="subscript"/>
              </w:rPr>
              <w:t>4</w:t>
            </w:r>
            <w:r>
              <w:rPr>
                <w:rFonts w:hint="eastAsia" w:ascii="宋体" w:hAnsi="宋体" w:eastAsia="宋体"/>
              </w:rPr>
              <w:t>、NO</w:t>
            </w:r>
            <w:r>
              <w:rPr>
                <w:rFonts w:hint="eastAsia" w:ascii="宋体" w:hAnsi="宋体" w:eastAsia="宋体"/>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jc w:val="center"/>
              <w:rPr>
                <w:rFonts w:ascii="宋体" w:hAnsi="宋体" w:eastAsia="宋体"/>
              </w:rPr>
            </w:pPr>
            <w:r>
              <w:rPr>
                <w:rFonts w:hint="eastAsia" w:ascii="宋体" w:hAnsi="宋体" w:eastAsia="宋体"/>
              </w:rPr>
              <w:t>3</w:t>
            </w:r>
          </w:p>
        </w:tc>
        <w:tc>
          <w:tcPr>
            <w:tcW w:w="2835" w:type="dxa"/>
          </w:tcPr>
          <w:p>
            <w:pPr>
              <w:jc w:val="center"/>
              <w:rPr>
                <w:rFonts w:ascii="宋体" w:hAnsi="宋体" w:eastAsia="宋体"/>
              </w:rPr>
            </w:pPr>
            <w:r>
              <w:rPr>
                <w:rFonts w:hint="eastAsia" w:ascii="宋体" w:hAnsi="宋体" w:eastAsia="宋体"/>
              </w:rPr>
              <w:t>酸化</w:t>
            </w:r>
          </w:p>
        </w:tc>
        <w:tc>
          <w:tcPr>
            <w:tcW w:w="4161" w:type="dxa"/>
          </w:tcPr>
          <w:p>
            <w:pPr>
              <w:jc w:val="center"/>
              <w:rPr>
                <w:rFonts w:ascii="宋体" w:hAnsi="宋体" w:eastAsia="宋体"/>
              </w:rPr>
            </w:pPr>
            <w:r>
              <w:rPr>
                <w:rFonts w:hint="eastAsia" w:ascii="宋体" w:hAnsi="宋体" w:eastAsia="宋体"/>
              </w:rPr>
              <w:t>SO</w:t>
            </w:r>
            <w:r>
              <w:rPr>
                <w:rFonts w:hint="eastAsia" w:ascii="宋体" w:hAnsi="宋体" w:eastAsia="宋体"/>
                <w:vertAlign w:val="subscript"/>
              </w:rPr>
              <w:t>2</w:t>
            </w:r>
            <w:r>
              <w:rPr>
                <w:rFonts w:hint="eastAsia" w:ascii="宋体" w:hAnsi="宋体" w:eastAsia="宋体"/>
              </w:rPr>
              <w:t>、NO</w:t>
            </w:r>
            <w:r>
              <w:rPr>
                <w:rFonts w:hint="eastAsia" w:ascii="宋体" w:hAnsi="宋体" w:eastAsia="宋体"/>
                <w:vertAlign w:val="subscript"/>
              </w:rPr>
              <w:t>X</w:t>
            </w:r>
            <w:r>
              <w:rPr>
                <w:rFonts w:hint="eastAsia" w:ascii="宋体" w:hAnsi="宋体" w:eastAsia="宋体"/>
              </w:rPr>
              <w:t>、NH</w:t>
            </w:r>
            <w:r>
              <w:rPr>
                <w:rFonts w:hint="eastAsia" w:ascii="宋体" w:hAnsi="宋体" w:eastAsia="宋体"/>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宋体" w:hAnsi="宋体" w:eastAsia="宋体"/>
              </w:rPr>
            </w:pPr>
            <w:r>
              <w:rPr>
                <w:rFonts w:hint="eastAsia" w:ascii="宋体" w:hAnsi="宋体" w:eastAsia="宋体"/>
              </w:rPr>
              <w:t>4</w:t>
            </w:r>
          </w:p>
        </w:tc>
        <w:tc>
          <w:tcPr>
            <w:tcW w:w="2835" w:type="dxa"/>
          </w:tcPr>
          <w:p>
            <w:pPr>
              <w:jc w:val="center"/>
              <w:rPr>
                <w:rFonts w:ascii="宋体" w:hAnsi="宋体" w:eastAsia="宋体"/>
              </w:rPr>
            </w:pPr>
            <w:r>
              <w:rPr>
                <w:rFonts w:hint="eastAsia" w:ascii="宋体" w:hAnsi="宋体" w:eastAsia="宋体"/>
              </w:rPr>
              <w:t>富营养化</w:t>
            </w:r>
          </w:p>
        </w:tc>
        <w:tc>
          <w:tcPr>
            <w:tcW w:w="4161" w:type="dxa"/>
          </w:tcPr>
          <w:p>
            <w:pPr>
              <w:jc w:val="center"/>
              <w:rPr>
                <w:rFonts w:ascii="宋体" w:hAnsi="宋体" w:eastAsia="宋体"/>
              </w:rPr>
            </w:pPr>
            <w:r>
              <w:rPr>
                <w:rFonts w:hint="eastAsia" w:ascii="宋体" w:hAnsi="宋体" w:eastAsia="宋体"/>
              </w:rPr>
              <w:t>PO</w:t>
            </w:r>
            <w:r>
              <w:rPr>
                <w:rFonts w:hint="eastAsia" w:ascii="宋体" w:hAnsi="宋体" w:eastAsia="宋体"/>
                <w:vertAlign w:val="subscript"/>
              </w:rPr>
              <w:t>4</w:t>
            </w:r>
            <w:r>
              <w:rPr>
                <w:rFonts w:hint="eastAsia" w:ascii="宋体" w:hAnsi="宋体" w:eastAsia="宋体"/>
                <w:vertAlign w:val="superscript"/>
              </w:rPr>
              <w:t>3-</w:t>
            </w:r>
            <w:r>
              <w:rPr>
                <w:rFonts w:hint="eastAsia" w:ascii="宋体" w:hAnsi="宋体" w:eastAsia="宋体"/>
              </w:rPr>
              <w:t>、NO</w:t>
            </w:r>
            <w:r>
              <w:rPr>
                <w:rFonts w:hint="eastAsia" w:ascii="宋体" w:hAnsi="宋体" w:eastAsia="宋体"/>
                <w:vertAlign w:val="subscript"/>
              </w:rPr>
              <w:t>X</w:t>
            </w:r>
            <w:r>
              <w:rPr>
                <w:rFonts w:hint="eastAsia" w:ascii="宋体" w:hAnsi="宋体" w:eastAsia="宋体"/>
              </w:rPr>
              <w:t>、N、COD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宋体" w:hAnsi="宋体" w:eastAsia="宋体"/>
              </w:rPr>
            </w:pPr>
            <w:r>
              <w:rPr>
                <w:rFonts w:hint="eastAsia" w:ascii="宋体" w:hAnsi="宋体" w:eastAsia="宋体"/>
              </w:rPr>
              <w:t>5</w:t>
            </w:r>
          </w:p>
        </w:tc>
        <w:tc>
          <w:tcPr>
            <w:tcW w:w="2835" w:type="dxa"/>
          </w:tcPr>
          <w:p>
            <w:pPr>
              <w:jc w:val="center"/>
              <w:rPr>
                <w:rFonts w:ascii="宋体" w:hAnsi="宋体" w:eastAsia="宋体"/>
              </w:rPr>
            </w:pPr>
            <w:r>
              <w:rPr>
                <w:rFonts w:hint="eastAsia" w:ascii="宋体" w:hAnsi="宋体" w:eastAsia="宋体"/>
              </w:rPr>
              <w:t>光化学烟雾</w:t>
            </w:r>
          </w:p>
        </w:tc>
        <w:tc>
          <w:tcPr>
            <w:tcW w:w="4161" w:type="dxa"/>
          </w:tcPr>
          <w:p>
            <w:pPr>
              <w:jc w:val="center"/>
              <w:rPr>
                <w:rFonts w:ascii="宋体" w:hAnsi="宋体" w:eastAsia="宋体"/>
              </w:rPr>
            </w:pPr>
            <w:r>
              <w:rPr>
                <w:rFonts w:hint="eastAsia" w:ascii="宋体" w:hAnsi="宋体" w:eastAsia="宋体"/>
              </w:rPr>
              <w:t>CO、NO</w:t>
            </w:r>
            <w:r>
              <w:rPr>
                <w:rFonts w:hint="eastAsia" w:ascii="宋体" w:hAnsi="宋体" w:eastAsia="宋体"/>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宋体" w:hAnsi="宋体" w:eastAsia="宋体"/>
              </w:rPr>
            </w:pPr>
            <w:r>
              <w:rPr>
                <w:rFonts w:hint="eastAsia" w:ascii="宋体" w:hAnsi="宋体" w:eastAsia="宋体"/>
              </w:rPr>
              <w:t>6</w:t>
            </w:r>
          </w:p>
        </w:tc>
        <w:tc>
          <w:tcPr>
            <w:tcW w:w="2835" w:type="dxa"/>
          </w:tcPr>
          <w:p>
            <w:pPr>
              <w:jc w:val="center"/>
              <w:rPr>
                <w:rFonts w:ascii="宋体" w:hAnsi="宋体" w:eastAsia="宋体"/>
              </w:rPr>
            </w:pPr>
            <w:r>
              <w:rPr>
                <w:rFonts w:hint="eastAsia" w:ascii="宋体" w:hAnsi="宋体" w:eastAsia="宋体"/>
              </w:rPr>
              <w:t>固体废弃物</w:t>
            </w:r>
          </w:p>
        </w:tc>
        <w:tc>
          <w:tcPr>
            <w:tcW w:w="4161" w:type="dxa"/>
          </w:tcPr>
          <w:p>
            <w:pPr>
              <w:jc w:val="center"/>
              <w:rPr>
                <w:rFonts w:ascii="宋体" w:hAnsi="宋体" w:eastAsia="宋体"/>
              </w:rPr>
            </w:pPr>
            <w:r>
              <w:rPr>
                <w:rFonts w:hint="eastAsia" w:ascii="宋体" w:hAnsi="宋体" w:eastAsia="宋体"/>
              </w:rPr>
              <w:t>熔渣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3"/>
          </w:tcPr>
          <w:p>
            <w:pPr>
              <w:jc w:val="center"/>
              <w:rPr>
                <w:rFonts w:ascii="宋体" w:hAnsi="宋体" w:eastAsia="宋体"/>
              </w:rPr>
            </w:pPr>
            <w:r>
              <w:rPr>
                <w:rFonts w:ascii="宋体" w:hAnsi="宋体" w:eastAsia="宋体"/>
              </w:rPr>
              <w:t>…</w:t>
            </w:r>
          </w:p>
        </w:tc>
      </w:tr>
    </w:tbl>
    <w:p>
      <w:pPr>
        <w:rPr>
          <w:rFonts w:ascii="宋体" w:hAnsi="宋体" w:eastAsia="宋体"/>
          <w:b/>
        </w:rPr>
      </w:pPr>
    </w:p>
    <w:p>
      <w:pPr>
        <w:jc w:val="left"/>
        <w:rPr>
          <w:rFonts w:asciiTheme="majorEastAsia" w:hAnsiTheme="majorEastAsia" w:eastAsiaTheme="majorEastAsia"/>
          <w:b/>
        </w:rPr>
      </w:pPr>
      <w:r>
        <w:rPr>
          <w:rFonts w:hint="eastAsia" w:asciiTheme="majorEastAsia" w:hAnsiTheme="majorEastAsia" w:eastAsiaTheme="majorEastAsia"/>
          <w:b/>
        </w:rPr>
        <w:t>A.4.4 分类评价</w:t>
      </w:r>
    </w:p>
    <w:p>
      <w:pPr>
        <w:ind w:firstLine="420" w:firstLineChars="200"/>
        <w:jc w:val="left"/>
        <w:rPr>
          <w:rFonts w:ascii="宋体" w:hAnsi="宋体" w:eastAsia="宋体"/>
        </w:rPr>
      </w:pPr>
      <w:r>
        <w:rPr>
          <w:rFonts w:hint="eastAsia" w:ascii="宋体" w:hAnsi="宋体" w:eastAsia="宋体"/>
        </w:rPr>
        <w:t>计算出不同影响类型的特征化值，采用公式（</w:t>
      </w:r>
      <w:r>
        <w:rPr>
          <w:rFonts w:hint="eastAsia" w:ascii="Calibri" w:hAnsi="Calibri" w:eastAsia="Calibri"/>
        </w:rPr>
        <w:t>A.1</w:t>
      </w:r>
      <w:r>
        <w:rPr>
          <w:rFonts w:hint="eastAsia" w:ascii="宋体" w:hAnsi="宋体" w:eastAsia="宋体"/>
        </w:rPr>
        <w:t>）进行计算。分类评价的结果采用表</w:t>
      </w:r>
      <w:r>
        <w:rPr>
          <w:rFonts w:hint="eastAsia" w:ascii="Calibri" w:hAnsi="Calibri" w:eastAsia="Calibri"/>
        </w:rPr>
        <w:t xml:space="preserve">A.3 </w:t>
      </w:r>
      <w:r>
        <w:rPr>
          <w:rFonts w:hint="eastAsia" w:ascii="宋体" w:hAnsi="宋体" w:eastAsia="宋体"/>
        </w:rPr>
        <w:t>中的当量物质表示。固体废弃物、可吸入颗粒物的环境影响因子较单一，无需进行特征化处理。</w:t>
      </w:r>
    </w:p>
    <w:p>
      <w:pPr>
        <w:ind w:firstLine="422" w:firstLineChars="200"/>
        <w:jc w:val="center"/>
        <w:rPr>
          <w:rFonts w:ascii="宋体" w:hAnsi="宋体" w:eastAsia="宋体"/>
          <w:b/>
        </w:rPr>
      </w:pPr>
      <w:r>
        <w:rPr>
          <w:rFonts w:hint="eastAsia" w:ascii="宋体" w:hAnsi="宋体" w:eastAsia="宋体"/>
          <w:b/>
        </w:rPr>
        <w:t>表A.3   特征化因子</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268"/>
        <w:gridCol w:w="226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jc w:val="center"/>
              <w:rPr>
                <w:rFonts w:ascii="宋体" w:hAnsi="宋体" w:eastAsia="宋体"/>
              </w:rPr>
            </w:pPr>
            <w:r>
              <w:rPr>
                <w:rFonts w:hint="eastAsia" w:ascii="宋体" w:hAnsi="宋体" w:eastAsia="宋体"/>
              </w:rPr>
              <w:t>影响类型</w:t>
            </w:r>
          </w:p>
        </w:tc>
        <w:tc>
          <w:tcPr>
            <w:tcW w:w="2268" w:type="dxa"/>
          </w:tcPr>
          <w:p>
            <w:pPr>
              <w:jc w:val="center"/>
              <w:rPr>
                <w:rFonts w:ascii="宋体" w:hAnsi="宋体" w:eastAsia="宋体"/>
              </w:rPr>
            </w:pPr>
            <w:r>
              <w:rPr>
                <w:rFonts w:hint="eastAsia" w:ascii="宋体" w:hAnsi="宋体" w:eastAsia="宋体"/>
              </w:rPr>
              <w:t>单位</w:t>
            </w:r>
          </w:p>
        </w:tc>
        <w:tc>
          <w:tcPr>
            <w:tcW w:w="2268" w:type="dxa"/>
          </w:tcPr>
          <w:p>
            <w:pPr>
              <w:jc w:val="center"/>
              <w:rPr>
                <w:rFonts w:ascii="宋体" w:hAnsi="宋体" w:eastAsia="宋体"/>
              </w:rPr>
            </w:pPr>
            <w:r>
              <w:rPr>
                <w:rFonts w:hint="eastAsia" w:ascii="宋体" w:hAnsi="宋体" w:eastAsia="宋体"/>
              </w:rPr>
              <w:t>指标参数</w:t>
            </w:r>
          </w:p>
        </w:tc>
        <w:tc>
          <w:tcPr>
            <w:tcW w:w="2177" w:type="dxa"/>
          </w:tcPr>
          <w:p>
            <w:pPr>
              <w:jc w:val="center"/>
              <w:rPr>
                <w:rFonts w:ascii="宋体" w:hAnsi="宋体" w:eastAsia="宋体"/>
              </w:rPr>
            </w:pPr>
            <w:r>
              <w:rPr>
                <w:rFonts w:hint="eastAsia" w:ascii="宋体" w:hAnsi="宋体" w:eastAsia="宋体"/>
              </w:rPr>
              <w:t>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jc w:val="center"/>
              <w:rPr>
                <w:rFonts w:ascii="宋体" w:hAnsi="宋体" w:eastAsia="宋体"/>
              </w:rPr>
            </w:pPr>
            <w:r>
              <w:rPr>
                <w:rFonts w:hint="eastAsia" w:ascii="宋体" w:hAnsi="宋体" w:eastAsia="宋体"/>
              </w:rPr>
              <w:t>资源消耗</w:t>
            </w:r>
          </w:p>
        </w:tc>
        <w:tc>
          <w:tcPr>
            <w:tcW w:w="2268" w:type="dxa"/>
          </w:tcPr>
          <w:p>
            <w:pPr>
              <w:jc w:val="center"/>
              <w:rPr>
                <w:rFonts w:ascii="宋体" w:hAnsi="宋体" w:eastAsia="宋体"/>
              </w:rPr>
            </w:pPr>
            <w:r>
              <w:rPr>
                <w:rFonts w:hint="eastAsia" w:ascii="宋体" w:hAnsi="宋体" w:eastAsia="宋体"/>
              </w:rPr>
              <w:t xml:space="preserve">Kg，Sb </w:t>
            </w:r>
            <w:r>
              <w:rPr>
                <w:rFonts w:hint="eastAsia" w:ascii="宋体" w:hAnsi="宋体" w:eastAsia="宋体"/>
                <w:vertAlign w:val="subscript"/>
              </w:rPr>
              <w:t>eq</w:t>
            </w:r>
            <w:r>
              <w:rPr>
                <w:rFonts w:hint="eastAsia" w:ascii="宋体" w:hAnsi="宋体" w:eastAsia="宋体"/>
              </w:rPr>
              <w:t>./Kg</w:t>
            </w:r>
          </w:p>
        </w:tc>
        <w:tc>
          <w:tcPr>
            <w:tcW w:w="2268" w:type="dxa"/>
          </w:tcPr>
          <w:p>
            <w:pPr>
              <w:jc w:val="center"/>
              <w:rPr>
                <w:rFonts w:ascii="宋体" w:hAnsi="宋体" w:eastAsia="宋体"/>
              </w:rPr>
            </w:pPr>
            <w:r>
              <w:rPr>
                <w:rFonts w:hint="eastAsia" w:ascii="宋体" w:hAnsi="宋体" w:eastAsia="宋体"/>
              </w:rPr>
              <w:t>Sb</w:t>
            </w:r>
          </w:p>
        </w:tc>
        <w:tc>
          <w:tcPr>
            <w:tcW w:w="2177" w:type="dxa"/>
          </w:tcPr>
          <w:p>
            <w:pPr>
              <w:jc w:val="center"/>
              <w:rPr>
                <w:rFonts w:ascii="宋体" w:hAnsi="宋体" w:eastAsia="宋体"/>
              </w:rPr>
            </w:pPr>
            <w:r>
              <w:rPr>
                <w:rFonts w:hint="eastAsia" w:ascii="宋体" w:hAnsi="宋体"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jc w:val="center"/>
              <w:rPr>
                <w:rFonts w:ascii="宋体" w:hAnsi="宋体" w:eastAsia="宋体"/>
              </w:rPr>
            </w:pPr>
            <w:r>
              <w:rPr>
                <w:rFonts w:hint="eastAsia" w:ascii="宋体" w:hAnsi="宋体" w:eastAsia="宋体"/>
              </w:rPr>
              <w:t>气候变化</w:t>
            </w:r>
          </w:p>
        </w:tc>
        <w:tc>
          <w:tcPr>
            <w:tcW w:w="2268" w:type="dxa"/>
            <w:vMerge w:val="restart"/>
            <w:vAlign w:val="center"/>
          </w:tcPr>
          <w:p>
            <w:pPr>
              <w:jc w:val="center"/>
              <w:rPr>
                <w:rFonts w:ascii="宋体" w:hAnsi="宋体" w:eastAsia="宋体"/>
              </w:rPr>
            </w:pPr>
            <w:r>
              <w:rPr>
                <w:rFonts w:hint="eastAsia" w:ascii="宋体" w:hAnsi="宋体" w:eastAsia="宋体"/>
              </w:rPr>
              <w:t>Kg，CO</w:t>
            </w:r>
            <w:r>
              <w:rPr>
                <w:rFonts w:hint="eastAsia" w:ascii="宋体" w:hAnsi="宋体" w:eastAsia="宋体"/>
                <w:vertAlign w:val="subscript"/>
              </w:rPr>
              <w:t>2 eq</w:t>
            </w:r>
            <w:r>
              <w:rPr>
                <w:rFonts w:hint="eastAsia" w:ascii="宋体" w:hAnsi="宋体" w:eastAsia="宋体"/>
              </w:rPr>
              <w:t>./Kg</w:t>
            </w:r>
          </w:p>
        </w:tc>
        <w:tc>
          <w:tcPr>
            <w:tcW w:w="2268" w:type="dxa"/>
          </w:tcPr>
          <w:p>
            <w:pPr>
              <w:jc w:val="center"/>
              <w:rPr>
                <w:rFonts w:ascii="宋体" w:hAnsi="宋体" w:eastAsia="宋体"/>
              </w:rPr>
            </w:pPr>
            <w:r>
              <w:rPr>
                <w:rFonts w:hint="eastAsia" w:ascii="宋体" w:hAnsi="宋体" w:eastAsia="宋体"/>
              </w:rPr>
              <w:t>CO</w:t>
            </w:r>
            <w:r>
              <w:rPr>
                <w:rFonts w:hint="eastAsia" w:ascii="宋体" w:hAnsi="宋体" w:eastAsia="宋体"/>
                <w:vertAlign w:val="subscript"/>
              </w:rPr>
              <w:t>2</w:t>
            </w:r>
          </w:p>
        </w:tc>
        <w:tc>
          <w:tcPr>
            <w:tcW w:w="2177" w:type="dxa"/>
          </w:tcPr>
          <w:p>
            <w:pPr>
              <w:jc w:val="center"/>
              <w:rPr>
                <w:rFonts w:ascii="宋体" w:hAnsi="宋体" w:eastAsia="宋体"/>
              </w:rPr>
            </w:pPr>
            <w:r>
              <w:rPr>
                <w:rFonts w:hint="eastAsia" w:ascii="宋体" w:hAnsi="宋体"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vMerge w:val="continue"/>
            <w:vAlign w:val="center"/>
          </w:tcPr>
          <w:p>
            <w:pPr>
              <w:jc w:val="center"/>
              <w:rPr>
                <w:rFonts w:ascii="宋体" w:hAnsi="宋体" w:eastAsia="宋体"/>
              </w:rPr>
            </w:pPr>
          </w:p>
        </w:tc>
        <w:tc>
          <w:tcPr>
            <w:tcW w:w="2268" w:type="dxa"/>
            <w:vMerge w:val="continue"/>
            <w:vAlign w:val="center"/>
          </w:tcPr>
          <w:p>
            <w:pPr>
              <w:jc w:val="center"/>
              <w:rPr>
                <w:rFonts w:ascii="宋体" w:hAnsi="宋体" w:eastAsia="宋体"/>
              </w:rPr>
            </w:pPr>
          </w:p>
        </w:tc>
        <w:tc>
          <w:tcPr>
            <w:tcW w:w="2268" w:type="dxa"/>
          </w:tcPr>
          <w:p>
            <w:pPr>
              <w:jc w:val="center"/>
              <w:rPr>
                <w:rFonts w:ascii="宋体" w:hAnsi="宋体" w:eastAsia="宋体"/>
              </w:rPr>
            </w:pPr>
            <w:r>
              <w:rPr>
                <w:rFonts w:hint="eastAsia" w:ascii="宋体" w:hAnsi="宋体" w:eastAsia="宋体"/>
              </w:rPr>
              <w:t>CO</w:t>
            </w:r>
          </w:p>
        </w:tc>
        <w:tc>
          <w:tcPr>
            <w:tcW w:w="2177" w:type="dxa"/>
          </w:tcPr>
          <w:p>
            <w:pPr>
              <w:jc w:val="center"/>
              <w:rPr>
                <w:rFonts w:ascii="宋体" w:hAnsi="宋体" w:eastAsia="宋体"/>
              </w:rPr>
            </w:pPr>
            <w:r>
              <w:rPr>
                <w:rFonts w:hint="eastAsia" w:ascii="宋体" w:hAnsi="宋体" w:eastAsia="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jc w:val="center"/>
              <w:rPr>
                <w:rFonts w:ascii="宋体" w:hAnsi="宋体" w:eastAsia="宋体"/>
              </w:rPr>
            </w:pPr>
          </w:p>
        </w:tc>
        <w:tc>
          <w:tcPr>
            <w:tcW w:w="2268" w:type="dxa"/>
            <w:vMerge w:val="continue"/>
            <w:vAlign w:val="center"/>
          </w:tcPr>
          <w:p>
            <w:pPr>
              <w:jc w:val="center"/>
              <w:rPr>
                <w:rFonts w:ascii="宋体" w:hAnsi="宋体" w:eastAsia="宋体"/>
              </w:rPr>
            </w:pPr>
          </w:p>
        </w:tc>
        <w:tc>
          <w:tcPr>
            <w:tcW w:w="2268" w:type="dxa"/>
          </w:tcPr>
          <w:p>
            <w:pPr>
              <w:jc w:val="center"/>
              <w:rPr>
                <w:rFonts w:ascii="宋体" w:hAnsi="宋体" w:eastAsia="宋体"/>
              </w:rPr>
            </w:pPr>
            <w:r>
              <w:rPr>
                <w:rFonts w:hint="eastAsia" w:ascii="宋体" w:hAnsi="宋体" w:eastAsia="宋体"/>
              </w:rPr>
              <w:t>CH</w:t>
            </w:r>
            <w:r>
              <w:rPr>
                <w:rFonts w:hint="eastAsia" w:ascii="宋体" w:hAnsi="宋体" w:eastAsia="宋体"/>
                <w:vertAlign w:val="subscript"/>
              </w:rPr>
              <w:t>4</w:t>
            </w:r>
          </w:p>
        </w:tc>
        <w:tc>
          <w:tcPr>
            <w:tcW w:w="2177" w:type="dxa"/>
          </w:tcPr>
          <w:p>
            <w:pPr>
              <w:jc w:val="center"/>
              <w:rPr>
                <w:rFonts w:ascii="宋体" w:hAnsi="宋体" w:eastAsia="宋体"/>
              </w:rPr>
            </w:pPr>
            <w:r>
              <w:rPr>
                <w:rFonts w:hint="eastAsia" w:ascii="宋体" w:hAnsi="宋体" w:eastAsia="宋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jc w:val="center"/>
              <w:rPr>
                <w:rFonts w:ascii="宋体" w:hAnsi="宋体" w:eastAsia="宋体"/>
              </w:rPr>
            </w:pPr>
          </w:p>
        </w:tc>
        <w:tc>
          <w:tcPr>
            <w:tcW w:w="2268" w:type="dxa"/>
            <w:vMerge w:val="continue"/>
            <w:vAlign w:val="center"/>
          </w:tcPr>
          <w:p>
            <w:pPr>
              <w:jc w:val="center"/>
              <w:rPr>
                <w:rFonts w:ascii="宋体" w:hAnsi="宋体" w:eastAsia="宋体"/>
              </w:rPr>
            </w:pPr>
          </w:p>
        </w:tc>
        <w:tc>
          <w:tcPr>
            <w:tcW w:w="2268" w:type="dxa"/>
          </w:tcPr>
          <w:p>
            <w:pPr>
              <w:jc w:val="center"/>
              <w:rPr>
                <w:rFonts w:ascii="宋体" w:hAnsi="宋体" w:eastAsia="宋体"/>
              </w:rPr>
            </w:pPr>
            <w:r>
              <w:rPr>
                <w:rFonts w:hint="eastAsia" w:ascii="宋体" w:hAnsi="宋体" w:eastAsia="宋体"/>
              </w:rPr>
              <w:t>NO</w:t>
            </w:r>
            <w:r>
              <w:rPr>
                <w:rFonts w:hint="eastAsia" w:ascii="宋体" w:hAnsi="宋体" w:eastAsia="宋体"/>
                <w:vertAlign w:val="subscript"/>
              </w:rPr>
              <w:t>X</w:t>
            </w:r>
          </w:p>
        </w:tc>
        <w:tc>
          <w:tcPr>
            <w:tcW w:w="2177" w:type="dxa"/>
          </w:tcPr>
          <w:p>
            <w:pPr>
              <w:jc w:val="center"/>
              <w:rPr>
                <w:rFonts w:ascii="宋体" w:hAnsi="宋体" w:eastAsia="宋体"/>
              </w:rPr>
            </w:pPr>
            <w:r>
              <w:rPr>
                <w:rFonts w:hint="eastAsia" w:ascii="宋体" w:hAnsi="宋体" w:eastAsia="宋体"/>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jc w:val="center"/>
              <w:rPr>
                <w:rFonts w:ascii="宋体" w:hAnsi="宋体" w:eastAsia="宋体"/>
              </w:rPr>
            </w:pPr>
            <w:r>
              <w:rPr>
                <w:rFonts w:hint="eastAsia" w:ascii="宋体" w:hAnsi="宋体" w:eastAsia="宋体"/>
              </w:rPr>
              <w:t>酸化</w:t>
            </w:r>
          </w:p>
        </w:tc>
        <w:tc>
          <w:tcPr>
            <w:tcW w:w="2268" w:type="dxa"/>
            <w:vMerge w:val="restart"/>
            <w:vAlign w:val="center"/>
          </w:tcPr>
          <w:p>
            <w:pPr>
              <w:jc w:val="center"/>
              <w:rPr>
                <w:rFonts w:ascii="宋体" w:hAnsi="宋体" w:eastAsia="宋体"/>
              </w:rPr>
            </w:pPr>
            <w:r>
              <w:rPr>
                <w:rFonts w:hint="eastAsia" w:ascii="宋体" w:hAnsi="宋体" w:eastAsia="宋体"/>
              </w:rPr>
              <w:t>Kg，SO</w:t>
            </w:r>
            <w:r>
              <w:rPr>
                <w:rFonts w:hint="eastAsia" w:ascii="宋体" w:hAnsi="宋体" w:eastAsia="宋体"/>
                <w:vertAlign w:val="subscript"/>
              </w:rPr>
              <w:t>2 eq</w:t>
            </w:r>
            <w:r>
              <w:rPr>
                <w:rFonts w:hint="eastAsia" w:ascii="宋体" w:hAnsi="宋体" w:eastAsia="宋体"/>
              </w:rPr>
              <w:t>./Kg</w:t>
            </w:r>
          </w:p>
        </w:tc>
        <w:tc>
          <w:tcPr>
            <w:tcW w:w="2268" w:type="dxa"/>
          </w:tcPr>
          <w:p>
            <w:pPr>
              <w:jc w:val="center"/>
              <w:rPr>
                <w:rFonts w:ascii="宋体" w:hAnsi="宋体" w:eastAsia="宋体"/>
              </w:rPr>
            </w:pPr>
            <w:r>
              <w:rPr>
                <w:rFonts w:hint="eastAsia" w:ascii="宋体" w:hAnsi="宋体" w:eastAsia="宋体"/>
              </w:rPr>
              <w:t>SO</w:t>
            </w:r>
            <w:r>
              <w:rPr>
                <w:rFonts w:hint="eastAsia" w:ascii="宋体" w:hAnsi="宋体" w:eastAsia="宋体"/>
                <w:vertAlign w:val="subscript"/>
              </w:rPr>
              <w:t>2</w:t>
            </w:r>
          </w:p>
        </w:tc>
        <w:tc>
          <w:tcPr>
            <w:tcW w:w="2177" w:type="dxa"/>
          </w:tcPr>
          <w:p>
            <w:pPr>
              <w:jc w:val="center"/>
              <w:rPr>
                <w:rFonts w:ascii="宋体" w:hAnsi="宋体" w:eastAsia="宋体"/>
              </w:rPr>
            </w:pPr>
            <w:r>
              <w:rPr>
                <w:rFonts w:hint="eastAsia" w:ascii="宋体" w:hAnsi="宋体"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vMerge w:val="continue"/>
            <w:vAlign w:val="center"/>
          </w:tcPr>
          <w:p>
            <w:pPr>
              <w:jc w:val="center"/>
              <w:rPr>
                <w:rFonts w:ascii="宋体" w:hAnsi="宋体" w:eastAsia="宋体"/>
              </w:rPr>
            </w:pPr>
          </w:p>
        </w:tc>
        <w:tc>
          <w:tcPr>
            <w:tcW w:w="2268" w:type="dxa"/>
            <w:vMerge w:val="continue"/>
            <w:vAlign w:val="center"/>
          </w:tcPr>
          <w:p>
            <w:pPr>
              <w:jc w:val="center"/>
              <w:rPr>
                <w:rFonts w:ascii="宋体" w:hAnsi="宋体" w:eastAsia="宋体"/>
              </w:rPr>
            </w:pPr>
          </w:p>
        </w:tc>
        <w:tc>
          <w:tcPr>
            <w:tcW w:w="2268" w:type="dxa"/>
          </w:tcPr>
          <w:p>
            <w:pPr>
              <w:jc w:val="center"/>
              <w:rPr>
                <w:rFonts w:ascii="宋体" w:hAnsi="宋体" w:eastAsia="宋体"/>
              </w:rPr>
            </w:pPr>
            <w:r>
              <w:rPr>
                <w:rFonts w:hint="eastAsia" w:ascii="宋体" w:hAnsi="宋体" w:eastAsia="宋体"/>
              </w:rPr>
              <w:t>NO</w:t>
            </w:r>
            <w:r>
              <w:rPr>
                <w:rFonts w:hint="eastAsia" w:ascii="宋体" w:hAnsi="宋体" w:eastAsia="宋体"/>
                <w:vertAlign w:val="subscript"/>
              </w:rPr>
              <w:t>X</w:t>
            </w:r>
          </w:p>
        </w:tc>
        <w:tc>
          <w:tcPr>
            <w:tcW w:w="2177" w:type="dxa"/>
          </w:tcPr>
          <w:p>
            <w:pPr>
              <w:jc w:val="center"/>
              <w:rPr>
                <w:rFonts w:ascii="宋体" w:hAnsi="宋体" w:eastAsia="宋体"/>
              </w:rPr>
            </w:pPr>
            <w:r>
              <w:rPr>
                <w:rFonts w:hint="eastAsia" w:ascii="宋体" w:hAnsi="宋体" w:eastAsia="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jc w:val="center"/>
              <w:rPr>
                <w:rFonts w:ascii="宋体" w:hAnsi="宋体" w:eastAsia="宋体"/>
              </w:rPr>
            </w:pPr>
          </w:p>
        </w:tc>
        <w:tc>
          <w:tcPr>
            <w:tcW w:w="2268" w:type="dxa"/>
            <w:vMerge w:val="continue"/>
            <w:vAlign w:val="center"/>
          </w:tcPr>
          <w:p>
            <w:pPr>
              <w:jc w:val="center"/>
              <w:rPr>
                <w:rFonts w:ascii="宋体" w:hAnsi="宋体" w:eastAsia="宋体"/>
              </w:rPr>
            </w:pPr>
          </w:p>
        </w:tc>
        <w:tc>
          <w:tcPr>
            <w:tcW w:w="2268" w:type="dxa"/>
          </w:tcPr>
          <w:p>
            <w:pPr>
              <w:jc w:val="center"/>
              <w:rPr>
                <w:rFonts w:ascii="宋体" w:hAnsi="宋体" w:eastAsia="宋体"/>
              </w:rPr>
            </w:pPr>
            <w:r>
              <w:rPr>
                <w:rFonts w:hint="eastAsia" w:ascii="宋体" w:hAnsi="宋体" w:eastAsia="宋体"/>
              </w:rPr>
              <w:t>NH</w:t>
            </w:r>
            <w:r>
              <w:rPr>
                <w:rFonts w:hint="eastAsia" w:ascii="宋体" w:hAnsi="宋体" w:eastAsia="宋体"/>
                <w:vertAlign w:val="subscript"/>
              </w:rPr>
              <w:t>3</w:t>
            </w:r>
          </w:p>
        </w:tc>
        <w:tc>
          <w:tcPr>
            <w:tcW w:w="2177" w:type="dxa"/>
          </w:tcPr>
          <w:p>
            <w:pPr>
              <w:jc w:val="center"/>
              <w:rPr>
                <w:rFonts w:ascii="宋体" w:hAnsi="宋体" w:eastAsia="宋体"/>
              </w:rPr>
            </w:pPr>
            <w:r>
              <w:rPr>
                <w:rFonts w:hint="eastAsia" w:ascii="宋体" w:hAnsi="宋体" w:eastAsia="宋体"/>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jc w:val="center"/>
              <w:rPr>
                <w:rFonts w:ascii="宋体" w:hAnsi="宋体" w:eastAsia="宋体"/>
              </w:rPr>
            </w:pPr>
            <w:r>
              <w:rPr>
                <w:rFonts w:hint="eastAsia" w:ascii="宋体" w:hAnsi="宋体" w:eastAsia="宋体"/>
              </w:rPr>
              <w:t>富营养化</w:t>
            </w:r>
          </w:p>
        </w:tc>
        <w:tc>
          <w:tcPr>
            <w:tcW w:w="2268" w:type="dxa"/>
            <w:vMerge w:val="restart"/>
            <w:vAlign w:val="center"/>
          </w:tcPr>
          <w:p>
            <w:pPr>
              <w:jc w:val="center"/>
              <w:rPr>
                <w:rFonts w:ascii="宋体" w:hAnsi="宋体" w:eastAsia="宋体"/>
              </w:rPr>
            </w:pPr>
            <w:r>
              <w:rPr>
                <w:rFonts w:hint="eastAsia" w:ascii="宋体" w:hAnsi="宋体" w:eastAsia="宋体"/>
              </w:rPr>
              <w:t>Kg，PO</w:t>
            </w:r>
            <w:r>
              <w:rPr>
                <w:rFonts w:hint="eastAsia" w:ascii="宋体" w:hAnsi="宋体" w:eastAsia="宋体"/>
                <w:vertAlign w:val="subscript"/>
              </w:rPr>
              <w:t>4</w:t>
            </w:r>
            <w:r>
              <w:rPr>
                <w:rFonts w:hint="eastAsia" w:ascii="宋体" w:hAnsi="宋体" w:eastAsia="宋体"/>
                <w:vertAlign w:val="superscript"/>
              </w:rPr>
              <w:t>3-</w:t>
            </w:r>
            <w:r>
              <w:rPr>
                <w:rFonts w:hint="eastAsia" w:ascii="宋体" w:hAnsi="宋体" w:eastAsia="宋体"/>
                <w:vertAlign w:val="subscript"/>
              </w:rPr>
              <w:t>eq</w:t>
            </w:r>
            <w:r>
              <w:rPr>
                <w:rFonts w:hint="eastAsia" w:ascii="宋体" w:hAnsi="宋体" w:eastAsia="宋体"/>
              </w:rPr>
              <w:t>./Kg</w:t>
            </w:r>
          </w:p>
        </w:tc>
        <w:tc>
          <w:tcPr>
            <w:tcW w:w="2268" w:type="dxa"/>
          </w:tcPr>
          <w:p>
            <w:pPr>
              <w:jc w:val="center"/>
              <w:rPr>
                <w:rFonts w:ascii="宋体" w:hAnsi="宋体" w:eastAsia="宋体"/>
              </w:rPr>
            </w:pPr>
            <w:r>
              <w:rPr>
                <w:rFonts w:hint="eastAsia" w:ascii="宋体" w:hAnsi="宋体" w:eastAsia="宋体"/>
              </w:rPr>
              <w:t>PO</w:t>
            </w:r>
            <w:r>
              <w:rPr>
                <w:rFonts w:hint="eastAsia" w:ascii="宋体" w:hAnsi="宋体" w:eastAsia="宋体"/>
                <w:vertAlign w:val="subscript"/>
              </w:rPr>
              <w:t>4</w:t>
            </w:r>
            <w:r>
              <w:rPr>
                <w:rFonts w:hint="eastAsia" w:ascii="宋体" w:hAnsi="宋体" w:eastAsia="宋体"/>
                <w:vertAlign w:val="superscript"/>
              </w:rPr>
              <w:t>3-</w:t>
            </w:r>
          </w:p>
        </w:tc>
        <w:tc>
          <w:tcPr>
            <w:tcW w:w="2177" w:type="dxa"/>
          </w:tcPr>
          <w:p>
            <w:pPr>
              <w:jc w:val="center"/>
              <w:rPr>
                <w:rFonts w:ascii="宋体" w:hAnsi="宋体" w:eastAsia="宋体"/>
              </w:rPr>
            </w:pPr>
            <w:r>
              <w:rPr>
                <w:rFonts w:hint="eastAsia" w:ascii="宋体" w:hAnsi="宋体"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jc w:val="center"/>
              <w:rPr>
                <w:rFonts w:ascii="宋体" w:hAnsi="宋体" w:eastAsia="宋体"/>
              </w:rPr>
            </w:pPr>
          </w:p>
        </w:tc>
        <w:tc>
          <w:tcPr>
            <w:tcW w:w="2268" w:type="dxa"/>
            <w:vMerge w:val="continue"/>
            <w:vAlign w:val="center"/>
          </w:tcPr>
          <w:p>
            <w:pPr>
              <w:jc w:val="center"/>
              <w:rPr>
                <w:rFonts w:ascii="宋体" w:hAnsi="宋体" w:eastAsia="宋体"/>
              </w:rPr>
            </w:pPr>
          </w:p>
        </w:tc>
        <w:tc>
          <w:tcPr>
            <w:tcW w:w="2268" w:type="dxa"/>
          </w:tcPr>
          <w:p>
            <w:pPr>
              <w:rPr>
                <w:rFonts w:ascii="宋体" w:hAnsi="宋体" w:eastAsia="宋体"/>
              </w:rPr>
            </w:pPr>
            <w:r>
              <w:rPr>
                <w:rFonts w:hint="eastAsia" w:ascii="宋体" w:hAnsi="宋体" w:eastAsia="宋体"/>
              </w:rPr>
              <w:t xml:space="preserve">        NO</w:t>
            </w:r>
            <w:r>
              <w:rPr>
                <w:rFonts w:hint="eastAsia" w:ascii="宋体" w:hAnsi="宋体" w:eastAsia="宋体"/>
                <w:vertAlign w:val="subscript"/>
              </w:rPr>
              <w:t>X</w:t>
            </w:r>
          </w:p>
        </w:tc>
        <w:tc>
          <w:tcPr>
            <w:tcW w:w="2177" w:type="dxa"/>
          </w:tcPr>
          <w:p>
            <w:pPr>
              <w:jc w:val="center"/>
              <w:rPr>
                <w:rFonts w:ascii="宋体" w:hAnsi="宋体" w:eastAsia="宋体"/>
              </w:rPr>
            </w:pPr>
            <w:r>
              <w:rPr>
                <w:rFonts w:hint="eastAsia" w:ascii="宋体" w:hAnsi="宋体" w:eastAsia="宋体"/>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vMerge w:val="continue"/>
            <w:vAlign w:val="center"/>
          </w:tcPr>
          <w:p>
            <w:pPr>
              <w:jc w:val="center"/>
              <w:rPr>
                <w:rFonts w:ascii="宋体" w:hAnsi="宋体" w:eastAsia="宋体"/>
              </w:rPr>
            </w:pPr>
          </w:p>
        </w:tc>
        <w:tc>
          <w:tcPr>
            <w:tcW w:w="2268" w:type="dxa"/>
            <w:vMerge w:val="continue"/>
            <w:vAlign w:val="center"/>
          </w:tcPr>
          <w:p>
            <w:pPr>
              <w:jc w:val="center"/>
              <w:rPr>
                <w:rFonts w:ascii="宋体" w:hAnsi="宋体" w:eastAsia="宋体"/>
              </w:rPr>
            </w:pPr>
          </w:p>
        </w:tc>
        <w:tc>
          <w:tcPr>
            <w:tcW w:w="2268" w:type="dxa"/>
          </w:tcPr>
          <w:p>
            <w:pPr>
              <w:jc w:val="center"/>
              <w:rPr>
                <w:rFonts w:ascii="宋体" w:hAnsi="宋体" w:eastAsia="宋体"/>
              </w:rPr>
            </w:pPr>
            <w:r>
              <w:rPr>
                <w:rFonts w:hint="eastAsia" w:ascii="宋体" w:hAnsi="宋体" w:eastAsia="宋体"/>
              </w:rPr>
              <w:t>N</w:t>
            </w:r>
          </w:p>
        </w:tc>
        <w:tc>
          <w:tcPr>
            <w:tcW w:w="2177" w:type="dxa"/>
          </w:tcPr>
          <w:p>
            <w:pPr>
              <w:jc w:val="center"/>
              <w:rPr>
                <w:rFonts w:ascii="宋体" w:hAnsi="宋体" w:eastAsia="宋体"/>
              </w:rPr>
            </w:pPr>
            <w:r>
              <w:rPr>
                <w:rFonts w:hint="eastAsia" w:ascii="宋体" w:hAnsi="宋体" w:eastAsia="宋体"/>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jc w:val="center"/>
              <w:rPr>
                <w:rFonts w:ascii="宋体" w:hAnsi="宋体" w:eastAsia="宋体"/>
              </w:rPr>
            </w:pPr>
          </w:p>
        </w:tc>
        <w:tc>
          <w:tcPr>
            <w:tcW w:w="2268" w:type="dxa"/>
            <w:vMerge w:val="continue"/>
            <w:vAlign w:val="center"/>
          </w:tcPr>
          <w:p>
            <w:pPr>
              <w:jc w:val="center"/>
              <w:rPr>
                <w:rFonts w:ascii="宋体" w:hAnsi="宋体" w:eastAsia="宋体"/>
              </w:rPr>
            </w:pPr>
          </w:p>
        </w:tc>
        <w:tc>
          <w:tcPr>
            <w:tcW w:w="2268" w:type="dxa"/>
          </w:tcPr>
          <w:p>
            <w:pPr>
              <w:jc w:val="center"/>
              <w:rPr>
                <w:rFonts w:ascii="宋体" w:hAnsi="宋体" w:eastAsia="宋体"/>
              </w:rPr>
            </w:pPr>
            <w:r>
              <w:rPr>
                <w:rFonts w:hint="eastAsia" w:ascii="宋体" w:hAnsi="宋体" w:eastAsia="宋体"/>
              </w:rPr>
              <w:t>COD</w:t>
            </w:r>
          </w:p>
        </w:tc>
        <w:tc>
          <w:tcPr>
            <w:tcW w:w="2177" w:type="dxa"/>
          </w:tcPr>
          <w:p>
            <w:pPr>
              <w:jc w:val="center"/>
              <w:rPr>
                <w:rFonts w:ascii="宋体" w:hAnsi="宋体" w:eastAsia="宋体"/>
              </w:rPr>
            </w:pPr>
            <w:r>
              <w:rPr>
                <w:rFonts w:hint="eastAsia" w:ascii="宋体" w:hAnsi="宋体" w:eastAsia="宋体"/>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jc w:val="center"/>
              <w:rPr>
                <w:rFonts w:ascii="宋体" w:hAnsi="宋体" w:eastAsia="宋体"/>
              </w:rPr>
            </w:pPr>
            <w:r>
              <w:rPr>
                <w:rFonts w:hint="eastAsia" w:ascii="宋体" w:hAnsi="宋体" w:eastAsia="宋体"/>
              </w:rPr>
              <w:t>光化学烟雾</w:t>
            </w:r>
          </w:p>
        </w:tc>
        <w:tc>
          <w:tcPr>
            <w:tcW w:w="2268" w:type="dxa"/>
            <w:vMerge w:val="restart"/>
            <w:vAlign w:val="center"/>
          </w:tcPr>
          <w:p>
            <w:pPr>
              <w:jc w:val="center"/>
              <w:rPr>
                <w:rFonts w:ascii="宋体" w:hAnsi="宋体" w:eastAsia="宋体"/>
              </w:rPr>
            </w:pPr>
            <w:r>
              <w:rPr>
                <w:rFonts w:hint="eastAsia" w:ascii="宋体" w:hAnsi="宋体" w:eastAsia="宋体"/>
              </w:rPr>
              <w:t>Kg，C</w:t>
            </w:r>
            <w:r>
              <w:rPr>
                <w:rFonts w:hint="eastAsia" w:ascii="宋体" w:hAnsi="宋体" w:eastAsia="宋体"/>
                <w:vertAlign w:val="subscript"/>
              </w:rPr>
              <w:t>2</w:t>
            </w:r>
            <w:r>
              <w:rPr>
                <w:rFonts w:hint="eastAsia" w:ascii="宋体" w:hAnsi="宋体" w:eastAsia="宋体"/>
              </w:rPr>
              <w:t>H</w:t>
            </w:r>
            <w:r>
              <w:rPr>
                <w:rFonts w:hint="eastAsia" w:ascii="宋体" w:hAnsi="宋体" w:eastAsia="宋体"/>
                <w:vertAlign w:val="subscript"/>
              </w:rPr>
              <w:t>4</w:t>
            </w:r>
            <w:r>
              <w:rPr>
                <w:rFonts w:hint="eastAsia" w:ascii="宋体" w:hAnsi="宋体" w:eastAsia="宋体"/>
              </w:rPr>
              <w:t xml:space="preserve"> </w:t>
            </w:r>
            <w:r>
              <w:rPr>
                <w:rFonts w:hint="eastAsia" w:ascii="宋体" w:hAnsi="宋体" w:eastAsia="宋体"/>
                <w:vertAlign w:val="subscript"/>
              </w:rPr>
              <w:t>eq</w:t>
            </w:r>
            <w:r>
              <w:rPr>
                <w:rFonts w:hint="eastAsia" w:ascii="宋体" w:hAnsi="宋体" w:eastAsia="宋体"/>
              </w:rPr>
              <w:t>./Kg</w:t>
            </w:r>
          </w:p>
        </w:tc>
        <w:tc>
          <w:tcPr>
            <w:tcW w:w="2268" w:type="dxa"/>
          </w:tcPr>
          <w:p>
            <w:pPr>
              <w:jc w:val="center"/>
              <w:rPr>
                <w:rFonts w:ascii="宋体" w:hAnsi="宋体" w:eastAsia="宋体"/>
              </w:rPr>
            </w:pPr>
            <w:r>
              <w:rPr>
                <w:rFonts w:hint="eastAsia" w:ascii="宋体" w:hAnsi="宋体" w:eastAsia="宋体"/>
              </w:rPr>
              <w:t>CO</w:t>
            </w:r>
          </w:p>
        </w:tc>
        <w:tc>
          <w:tcPr>
            <w:tcW w:w="2177" w:type="dxa"/>
          </w:tcPr>
          <w:p>
            <w:pPr>
              <w:jc w:val="center"/>
              <w:rPr>
                <w:rFonts w:ascii="宋体" w:hAnsi="宋体" w:eastAsia="宋体"/>
              </w:rPr>
            </w:pPr>
            <w:r>
              <w:rPr>
                <w:rFonts w:hint="eastAsia" w:ascii="宋体" w:hAnsi="宋体" w:eastAsia="宋体"/>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jc w:val="center"/>
              <w:rPr>
                <w:rFonts w:ascii="宋体" w:hAnsi="宋体" w:eastAsia="宋体"/>
              </w:rPr>
            </w:pPr>
          </w:p>
        </w:tc>
        <w:tc>
          <w:tcPr>
            <w:tcW w:w="2268" w:type="dxa"/>
            <w:vMerge w:val="continue"/>
          </w:tcPr>
          <w:p>
            <w:pPr>
              <w:jc w:val="center"/>
              <w:rPr>
                <w:rFonts w:ascii="宋体" w:hAnsi="宋体" w:eastAsia="宋体"/>
              </w:rPr>
            </w:pPr>
          </w:p>
        </w:tc>
        <w:tc>
          <w:tcPr>
            <w:tcW w:w="2268" w:type="dxa"/>
          </w:tcPr>
          <w:p>
            <w:pPr>
              <w:jc w:val="center"/>
              <w:rPr>
                <w:rFonts w:ascii="宋体" w:hAnsi="宋体" w:eastAsia="宋体"/>
              </w:rPr>
            </w:pPr>
            <w:r>
              <w:rPr>
                <w:rFonts w:hint="eastAsia" w:ascii="宋体" w:hAnsi="宋体" w:eastAsia="宋体"/>
              </w:rPr>
              <w:t>NO</w:t>
            </w:r>
            <w:r>
              <w:rPr>
                <w:rFonts w:hint="eastAsia" w:ascii="宋体" w:hAnsi="宋体" w:eastAsia="宋体"/>
                <w:vertAlign w:val="subscript"/>
              </w:rPr>
              <w:t>X</w:t>
            </w:r>
          </w:p>
        </w:tc>
        <w:tc>
          <w:tcPr>
            <w:tcW w:w="2177" w:type="dxa"/>
          </w:tcPr>
          <w:p>
            <w:pPr>
              <w:jc w:val="center"/>
              <w:rPr>
                <w:rFonts w:ascii="宋体" w:hAnsi="宋体" w:eastAsia="宋体"/>
              </w:rPr>
            </w:pPr>
            <w:r>
              <w:rPr>
                <w:rFonts w:hint="eastAsia" w:ascii="宋体" w:hAnsi="宋体" w:eastAsia="宋体"/>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4"/>
          </w:tcPr>
          <w:p>
            <w:pPr>
              <w:jc w:val="center"/>
              <w:rPr>
                <w:rFonts w:ascii="宋体" w:hAnsi="宋体" w:eastAsia="宋体"/>
              </w:rPr>
            </w:pPr>
            <w:r>
              <w:rPr>
                <w:rFonts w:ascii="宋体" w:hAnsi="宋体" w:eastAsia="宋体"/>
              </w:rPr>
              <w:t>……</w:t>
            </w:r>
          </w:p>
        </w:tc>
      </w:tr>
    </w:tbl>
    <w:p>
      <w:pPr>
        <w:jc w:val="left"/>
        <w:rPr>
          <w:rFonts w:ascii="宋体" w:hAnsi="宋体" w:eastAsia="宋体"/>
        </w:rPr>
      </w:pPr>
    </w:p>
    <w:p>
      <w:pPr>
        <w:jc w:val="left"/>
        <w:rPr>
          <w:rFonts w:asciiTheme="majorEastAsia" w:hAnsiTheme="majorEastAsia" w:eastAsiaTheme="majorEastAsia"/>
          <w:b/>
        </w:rPr>
      </w:pPr>
      <w:r>
        <w:rPr>
          <w:rFonts w:hint="eastAsia" w:asciiTheme="majorEastAsia" w:hAnsiTheme="majorEastAsia" w:eastAsiaTheme="majorEastAsia"/>
          <w:b/>
        </w:rPr>
        <w:t>A.4.5 计算方法</w:t>
      </w:r>
    </w:p>
    <w:p>
      <w:pPr>
        <w:ind w:firstLine="630" w:firstLineChars="300"/>
        <w:jc w:val="left"/>
        <w:rPr>
          <w:rFonts w:ascii="宋体" w:hAnsi="宋体" w:eastAsia="宋体"/>
        </w:rPr>
      </w:pPr>
      <w:r>
        <w:rPr>
          <w:rFonts w:hint="eastAsia" w:ascii="Calibri" w:hAnsi="Calibri" w:eastAsia="Calibri"/>
        </w:rPr>
        <w:t>EP</w:t>
      </w:r>
      <w:r>
        <w:rPr>
          <w:rFonts w:hint="eastAsia" w:ascii="Calibri" w:hAnsi="Calibri" w:eastAsia="Calibri"/>
          <w:sz w:val="14"/>
        </w:rPr>
        <w:t>i</w:t>
      </w:r>
      <w:r>
        <w:rPr>
          <w:rFonts w:hint="eastAsia" w:ascii="Calibri" w:hAnsi="Calibri" w:eastAsia="Calibri"/>
        </w:rPr>
        <w:t>=</w:t>
      </w:r>
      <w:r>
        <w:rPr>
          <w:rFonts w:hint="eastAsia" w:ascii="宋体" w:hAnsi="宋体" w:eastAsia="宋体"/>
        </w:rPr>
        <w:t>Σ</w:t>
      </w:r>
      <w:r>
        <w:rPr>
          <w:rFonts w:hint="eastAsia" w:ascii="Calibri" w:hAnsi="Calibri" w:eastAsia="Calibri"/>
        </w:rPr>
        <w:t>EP</w:t>
      </w:r>
      <w:r>
        <w:rPr>
          <w:rFonts w:hint="eastAsia" w:ascii="Calibri" w:hAnsi="Calibri" w:eastAsia="Calibri"/>
          <w:sz w:val="14"/>
        </w:rPr>
        <w:t>ij</w:t>
      </w:r>
      <w:r>
        <w:rPr>
          <w:rFonts w:hint="eastAsia" w:ascii="Calibri" w:hAnsi="Calibri" w:eastAsia="Calibri"/>
        </w:rPr>
        <w:t>=</w:t>
      </w:r>
      <w:r>
        <w:rPr>
          <w:rFonts w:hint="eastAsia" w:ascii="宋体" w:hAnsi="宋体" w:eastAsia="宋体"/>
        </w:rPr>
        <w:t>Σ</w:t>
      </w:r>
      <w:r>
        <w:rPr>
          <w:rFonts w:hint="eastAsia" w:ascii="Calibri" w:hAnsi="Calibri" w:eastAsia="Calibri"/>
        </w:rPr>
        <w:t>Q</w:t>
      </w:r>
      <w:r>
        <w:rPr>
          <w:rFonts w:hint="eastAsia" w:ascii="Calibri" w:hAnsi="Calibri" w:eastAsia="Calibri"/>
          <w:sz w:val="14"/>
        </w:rPr>
        <w:t>j</w:t>
      </w:r>
      <w:r>
        <w:rPr>
          <w:rFonts w:hint="eastAsia" w:ascii="宋体" w:hAnsi="宋体" w:eastAsia="宋体"/>
        </w:rPr>
        <w:t>×</w:t>
      </w:r>
      <w:r>
        <w:rPr>
          <w:rFonts w:hint="eastAsia" w:ascii="Calibri" w:hAnsi="Calibri" w:eastAsia="Calibri"/>
        </w:rPr>
        <w:t>EF</w:t>
      </w:r>
      <w:r>
        <w:rPr>
          <w:rFonts w:hint="eastAsia" w:ascii="Calibri" w:hAnsi="Calibri" w:eastAsia="Calibri"/>
          <w:sz w:val="14"/>
        </w:rPr>
        <w:t xml:space="preserve">ij </w:t>
      </w:r>
      <w:r>
        <w:rPr>
          <w:rFonts w:hint="eastAsia" w:ascii="宋体" w:hAnsi="宋体" w:eastAsia="宋体"/>
        </w:rPr>
        <w:t>……………………………………（</w:t>
      </w:r>
      <w:r>
        <w:rPr>
          <w:rFonts w:hint="eastAsia" w:ascii="Calibri" w:hAnsi="Calibri" w:eastAsia="Calibri"/>
        </w:rPr>
        <w:t>A.1</w:t>
      </w:r>
      <w:r>
        <w:rPr>
          <w:rFonts w:hint="eastAsia" w:ascii="宋体" w:hAnsi="宋体" w:eastAsia="宋体"/>
        </w:rPr>
        <w:t>）</w:t>
      </w:r>
    </w:p>
    <w:p>
      <w:pPr>
        <w:ind w:firstLine="420" w:firstLineChars="200"/>
        <w:jc w:val="left"/>
        <w:rPr>
          <w:rFonts w:ascii="宋体" w:hAnsi="宋体" w:eastAsia="宋体"/>
        </w:rPr>
      </w:pPr>
      <w:r>
        <w:rPr>
          <w:rFonts w:hint="eastAsia" w:ascii="宋体" w:hAnsi="宋体" w:eastAsia="宋体"/>
        </w:rPr>
        <w:t>式中：</w:t>
      </w:r>
    </w:p>
    <w:p>
      <w:pPr>
        <w:ind w:firstLine="420" w:firstLineChars="200"/>
        <w:jc w:val="left"/>
        <w:rPr>
          <w:rFonts w:ascii="宋体" w:hAnsi="宋体" w:eastAsia="宋体"/>
        </w:rPr>
      </w:pPr>
      <w:r>
        <w:rPr>
          <w:rFonts w:hint="eastAsia" w:ascii="Calibri" w:hAnsi="Calibri" w:eastAsia="Calibri"/>
        </w:rPr>
        <w:t>EP</w:t>
      </w:r>
      <w:r>
        <w:rPr>
          <w:rFonts w:hint="eastAsia" w:ascii="Calibri" w:hAnsi="Calibri" w:eastAsia="Calibri"/>
          <w:sz w:val="14"/>
        </w:rPr>
        <w:t>i</w:t>
      </w:r>
      <w:r>
        <w:rPr>
          <w:rFonts w:hint="eastAsia" w:ascii="Calibri" w:hAnsi="Calibri" w:eastAsia="Calibri"/>
        </w:rPr>
        <w:t>——</w:t>
      </w:r>
      <w:r>
        <w:rPr>
          <w:rFonts w:hint="eastAsia" w:ascii="宋体" w:hAnsi="宋体" w:eastAsia="宋体"/>
        </w:rPr>
        <w:t>第</w:t>
      </w:r>
      <w:r>
        <w:rPr>
          <w:rFonts w:hint="eastAsia" w:ascii="Calibri" w:hAnsi="Calibri" w:eastAsia="Calibri"/>
        </w:rPr>
        <w:t xml:space="preserve">i </w:t>
      </w:r>
      <w:r>
        <w:rPr>
          <w:rFonts w:hint="eastAsia" w:ascii="宋体" w:hAnsi="宋体" w:eastAsia="宋体"/>
        </w:rPr>
        <w:t>种环境类别特征化值；</w:t>
      </w:r>
    </w:p>
    <w:p>
      <w:pPr>
        <w:ind w:firstLine="420" w:firstLineChars="200"/>
        <w:jc w:val="left"/>
        <w:rPr>
          <w:rFonts w:ascii="宋体" w:hAnsi="宋体" w:eastAsia="宋体"/>
        </w:rPr>
      </w:pPr>
      <w:r>
        <w:rPr>
          <w:rFonts w:hint="eastAsia" w:ascii="Calibri" w:hAnsi="Calibri" w:eastAsia="Calibri"/>
        </w:rPr>
        <w:t>EP</w:t>
      </w:r>
      <w:r>
        <w:rPr>
          <w:rFonts w:hint="eastAsia" w:ascii="Calibri" w:hAnsi="Calibri" w:eastAsia="Calibri"/>
          <w:sz w:val="14"/>
        </w:rPr>
        <w:t>ij</w:t>
      </w:r>
      <w:r>
        <w:rPr>
          <w:rFonts w:hint="eastAsia" w:ascii="Calibri" w:hAnsi="Calibri" w:eastAsia="Calibri"/>
        </w:rPr>
        <w:t>——</w:t>
      </w:r>
      <w:r>
        <w:rPr>
          <w:rFonts w:hint="eastAsia" w:ascii="宋体" w:hAnsi="宋体" w:eastAsia="宋体"/>
        </w:rPr>
        <w:t>第</w:t>
      </w:r>
      <w:r>
        <w:rPr>
          <w:rFonts w:hint="eastAsia" w:ascii="Calibri" w:hAnsi="Calibri" w:eastAsia="Calibri"/>
        </w:rPr>
        <w:t xml:space="preserve">i </w:t>
      </w:r>
      <w:r>
        <w:rPr>
          <w:rFonts w:hint="eastAsia" w:ascii="宋体" w:hAnsi="宋体" w:eastAsia="宋体"/>
        </w:rPr>
        <w:t>种环境类别中第</w:t>
      </w:r>
      <w:r>
        <w:rPr>
          <w:rFonts w:hint="eastAsia" w:ascii="Calibri" w:hAnsi="Calibri" w:eastAsia="Calibri"/>
        </w:rPr>
        <w:t xml:space="preserve">j </w:t>
      </w:r>
      <w:r>
        <w:rPr>
          <w:rFonts w:hint="eastAsia" w:ascii="宋体" w:hAnsi="宋体" w:eastAsia="宋体"/>
        </w:rPr>
        <w:t>种污染物的贡献；</w:t>
      </w:r>
    </w:p>
    <w:p>
      <w:pPr>
        <w:ind w:firstLine="420" w:firstLineChars="200"/>
        <w:jc w:val="left"/>
        <w:rPr>
          <w:rFonts w:ascii="宋体" w:hAnsi="宋体" w:eastAsia="宋体"/>
        </w:rPr>
      </w:pPr>
      <w:r>
        <w:rPr>
          <w:rFonts w:hint="eastAsia" w:ascii="Calibri" w:hAnsi="Calibri" w:eastAsia="Calibri"/>
        </w:rPr>
        <w:t>Q</w:t>
      </w:r>
      <w:r>
        <w:rPr>
          <w:rFonts w:hint="eastAsia" w:ascii="Calibri" w:hAnsi="Calibri" w:eastAsia="Calibri"/>
          <w:sz w:val="14"/>
        </w:rPr>
        <w:t>j</w:t>
      </w:r>
      <w:r>
        <w:rPr>
          <w:rFonts w:hint="eastAsia" w:ascii="Calibri" w:hAnsi="Calibri" w:eastAsia="Calibri"/>
        </w:rPr>
        <w:t>——</w:t>
      </w:r>
      <w:r>
        <w:rPr>
          <w:rFonts w:hint="eastAsia" w:ascii="宋体" w:hAnsi="宋体" w:eastAsia="宋体"/>
        </w:rPr>
        <w:t>第</w:t>
      </w:r>
      <w:r>
        <w:rPr>
          <w:rFonts w:hint="eastAsia" w:ascii="Calibri" w:hAnsi="Calibri" w:eastAsia="Calibri"/>
        </w:rPr>
        <w:t xml:space="preserve">j </w:t>
      </w:r>
      <w:r>
        <w:rPr>
          <w:rFonts w:hint="eastAsia" w:ascii="宋体" w:hAnsi="宋体" w:eastAsia="宋体"/>
        </w:rPr>
        <w:t>种污染物的排放量；</w:t>
      </w:r>
    </w:p>
    <w:p>
      <w:pPr>
        <w:ind w:firstLine="420" w:firstLineChars="200"/>
        <w:jc w:val="left"/>
        <w:rPr>
          <w:rFonts w:ascii="宋体" w:hAnsi="宋体" w:eastAsia="宋体"/>
        </w:rPr>
      </w:pPr>
      <w:r>
        <w:rPr>
          <w:rFonts w:hint="eastAsia" w:ascii="Calibri" w:hAnsi="Calibri" w:eastAsia="Calibri"/>
        </w:rPr>
        <w:t>EF</w:t>
      </w:r>
      <w:r>
        <w:rPr>
          <w:rFonts w:hint="eastAsia" w:ascii="Calibri" w:hAnsi="Calibri" w:eastAsia="Calibri"/>
          <w:sz w:val="14"/>
        </w:rPr>
        <w:t>ij</w:t>
      </w:r>
      <w:r>
        <w:rPr>
          <w:rFonts w:hint="eastAsia" w:ascii="Calibri" w:hAnsi="Calibri" w:eastAsia="Calibri"/>
        </w:rPr>
        <w:t>——</w:t>
      </w:r>
      <w:r>
        <w:rPr>
          <w:rFonts w:hint="eastAsia" w:ascii="宋体" w:hAnsi="宋体" w:eastAsia="宋体"/>
        </w:rPr>
        <w:t>第</w:t>
      </w:r>
      <w:r>
        <w:rPr>
          <w:rFonts w:hint="eastAsia" w:ascii="Calibri" w:hAnsi="Calibri" w:eastAsia="Calibri"/>
        </w:rPr>
        <w:t xml:space="preserve">i </w:t>
      </w:r>
      <w:r>
        <w:rPr>
          <w:rFonts w:hint="eastAsia" w:ascii="宋体" w:hAnsi="宋体" w:eastAsia="宋体"/>
        </w:rPr>
        <w:t>种环境类别中第</w:t>
      </w:r>
      <w:r>
        <w:rPr>
          <w:rFonts w:hint="eastAsia" w:ascii="Calibri" w:hAnsi="Calibri" w:eastAsia="Calibri"/>
        </w:rPr>
        <w:t xml:space="preserve">j </w:t>
      </w:r>
      <w:r>
        <w:rPr>
          <w:rFonts w:hint="eastAsia" w:ascii="宋体" w:hAnsi="宋体" w:eastAsia="宋体"/>
        </w:rPr>
        <w:t>种污染物的特征化因子。</w:t>
      </w:r>
    </w:p>
    <w:p>
      <w:pPr>
        <w:jc w:val="left"/>
        <w:rPr>
          <w:rFonts w:ascii="黑体" w:hAnsi="黑体" w:eastAsia="黑体"/>
        </w:rPr>
      </w:pPr>
    </w:p>
    <w:p>
      <w:pPr>
        <w:jc w:val="left"/>
        <w:rPr>
          <w:rFonts w:asciiTheme="majorEastAsia" w:hAnsiTheme="majorEastAsia" w:eastAsiaTheme="majorEastAsia"/>
          <w:b/>
        </w:rPr>
      </w:pPr>
      <w:r>
        <w:rPr>
          <w:rFonts w:hint="eastAsia" w:asciiTheme="majorEastAsia" w:hAnsiTheme="majorEastAsia" w:eastAsiaTheme="majorEastAsia"/>
          <w:b/>
        </w:rPr>
        <w:t>A.5 解释</w:t>
      </w:r>
    </w:p>
    <w:p>
      <w:pPr>
        <w:jc w:val="left"/>
        <w:rPr>
          <w:rFonts w:asciiTheme="majorEastAsia" w:hAnsiTheme="majorEastAsia" w:eastAsiaTheme="majorEastAsia"/>
          <w:b/>
        </w:rPr>
      </w:pPr>
      <w:r>
        <w:rPr>
          <w:rFonts w:hint="eastAsia" w:asciiTheme="majorEastAsia" w:hAnsiTheme="majorEastAsia" w:eastAsiaTheme="majorEastAsia"/>
          <w:b/>
        </w:rPr>
        <w:t>A.5.1 总则</w:t>
      </w:r>
    </w:p>
    <w:p>
      <w:pPr>
        <w:ind w:firstLine="420" w:firstLineChars="200"/>
        <w:jc w:val="left"/>
        <w:rPr>
          <w:rFonts w:ascii="宋体" w:hAnsi="宋体" w:eastAsia="宋体"/>
        </w:rPr>
      </w:pPr>
      <w:r>
        <w:rPr>
          <w:rFonts w:hint="eastAsia" w:ascii="宋体" w:hAnsi="宋体" w:eastAsia="宋体"/>
        </w:rPr>
        <w:t>解释阶段应包括下述步骤：“评价三氧化二锑产品生命周期模型的稳健性”“识别热点问题”以及“结论、限制和建议”。</w:t>
      </w:r>
    </w:p>
    <w:p>
      <w:pPr>
        <w:jc w:val="left"/>
        <w:rPr>
          <w:rFonts w:asciiTheme="majorEastAsia" w:hAnsiTheme="majorEastAsia" w:eastAsiaTheme="majorEastAsia"/>
          <w:b/>
        </w:rPr>
      </w:pPr>
      <w:r>
        <w:rPr>
          <w:rFonts w:hint="eastAsia" w:asciiTheme="majorEastAsia" w:hAnsiTheme="majorEastAsia" w:eastAsiaTheme="majorEastAsia"/>
          <w:b/>
        </w:rPr>
        <w:t>A.5.2 三氧化二锑产品生命周期模型的稳健性评价</w:t>
      </w:r>
    </w:p>
    <w:p>
      <w:pPr>
        <w:ind w:firstLine="420" w:firstLineChars="200"/>
        <w:jc w:val="left"/>
        <w:rPr>
          <w:rFonts w:ascii="宋体" w:hAnsi="宋体" w:eastAsia="宋体"/>
        </w:rPr>
      </w:pPr>
      <w:r>
        <w:rPr>
          <w:rFonts w:hint="eastAsia" w:ascii="宋体" w:hAnsi="宋体" w:eastAsia="宋体"/>
        </w:rPr>
        <w:t>三氧化二锑产品生命周期模型的稳健性评价用于评价系统边界、数据来源、分配选择和生命周期影响类型等方法选择对结果的影响程度。</w:t>
      </w:r>
    </w:p>
    <w:p>
      <w:pPr>
        <w:ind w:firstLine="420" w:firstLineChars="200"/>
        <w:jc w:val="left"/>
        <w:rPr>
          <w:rFonts w:ascii="宋体" w:hAnsi="宋体" w:eastAsia="宋体"/>
        </w:rPr>
      </w:pPr>
      <w:r>
        <w:rPr>
          <w:rFonts w:hint="eastAsia" w:ascii="宋体" w:hAnsi="宋体" w:eastAsia="宋体"/>
        </w:rPr>
        <w:t>宜用于评价三氧化二锑产品生命周期模型的工具包括：</w:t>
      </w:r>
    </w:p>
    <w:p>
      <w:pPr>
        <w:ind w:firstLine="420" w:firstLineChars="200"/>
        <w:jc w:val="left"/>
        <w:rPr>
          <w:rFonts w:ascii="宋体" w:hAnsi="宋体" w:eastAsia="宋体"/>
        </w:rPr>
      </w:pPr>
      <w:r>
        <w:rPr>
          <w:rFonts w:hint="eastAsia" w:ascii="Calibri" w:hAnsi="Calibri" w:eastAsia="Calibri"/>
        </w:rPr>
        <w:t>a</w:t>
      </w:r>
      <w:r>
        <w:rPr>
          <w:rFonts w:hint="eastAsia" w:ascii="宋体" w:hAnsi="宋体" w:eastAsia="宋体"/>
        </w:rPr>
        <w:t>） 完整性检查：评价数据清单，以确保其相对于确定的目标、范围、系统边界和质量准则完整。这包括过程范围的完整性（即，包含了所考虑的各供应链阶段的所有过程）和输入或输出范围（即，包含了与各过程相关的所有材料或能量输入以及排放量）。</w:t>
      </w:r>
    </w:p>
    <w:p>
      <w:pPr>
        <w:ind w:firstLine="420" w:firstLineChars="200"/>
        <w:jc w:val="left"/>
        <w:rPr>
          <w:rFonts w:ascii="宋体" w:hAnsi="宋体" w:eastAsia="宋体"/>
        </w:rPr>
      </w:pPr>
      <w:r>
        <w:rPr>
          <w:rFonts w:hint="eastAsia" w:ascii="Calibri" w:hAnsi="Calibri" w:eastAsia="Calibri"/>
        </w:rPr>
        <w:t>b</w:t>
      </w:r>
      <w:r>
        <w:rPr>
          <w:rFonts w:hint="eastAsia" w:ascii="宋体" w:hAnsi="宋体" w:eastAsia="宋体"/>
        </w:rPr>
        <w:t>）敏感性检查：通过确定最终结果和结论是如何到数据、分配方法或类型参数等的不确定性的影响，来评价其可靠性。</w:t>
      </w:r>
    </w:p>
    <w:p>
      <w:pPr>
        <w:ind w:firstLine="420" w:firstLineChars="200"/>
        <w:jc w:val="left"/>
        <w:rPr>
          <w:rFonts w:ascii="宋体" w:hAnsi="宋体" w:eastAsia="宋体"/>
        </w:rPr>
      </w:pPr>
      <w:r>
        <w:rPr>
          <w:rFonts w:hint="eastAsia" w:ascii="Calibri" w:hAnsi="Calibri" w:eastAsia="Calibri"/>
        </w:rPr>
        <w:t>c</w:t>
      </w:r>
      <w:r>
        <w:rPr>
          <w:rFonts w:hint="eastAsia" w:ascii="宋体" w:hAnsi="宋体" w:eastAsia="宋体"/>
        </w:rPr>
        <w:t>）一致性检查：一致性检查的目的是确认假设、方法和数据是否与目的和范围的要求相一致。</w:t>
      </w:r>
    </w:p>
    <w:p>
      <w:pPr>
        <w:jc w:val="left"/>
        <w:rPr>
          <w:rFonts w:asciiTheme="majorEastAsia" w:hAnsiTheme="majorEastAsia" w:eastAsiaTheme="majorEastAsia"/>
          <w:b/>
        </w:rPr>
      </w:pPr>
      <w:r>
        <w:rPr>
          <w:rFonts w:hint="eastAsia" w:asciiTheme="majorEastAsia" w:hAnsiTheme="majorEastAsia" w:eastAsiaTheme="majorEastAsia"/>
          <w:b/>
        </w:rPr>
        <w:t>A.5.3 热点问题识别与改进方案确定</w:t>
      </w:r>
    </w:p>
    <w:p>
      <w:pPr>
        <w:ind w:firstLine="420" w:firstLineChars="200"/>
        <w:jc w:val="left"/>
        <w:rPr>
          <w:rFonts w:ascii="宋体" w:hAnsi="宋体" w:eastAsia="宋体"/>
        </w:rPr>
      </w:pPr>
      <w:r>
        <w:rPr>
          <w:rFonts w:hint="eastAsia" w:ascii="宋体" w:hAnsi="宋体" w:eastAsia="宋体"/>
        </w:rPr>
        <w:t>为了产生环境效益或至少将环境责任降至最低，应根据清单分析和影响评价阶段的信息提出、系列与所评价三氧化二锑产品相关的生态设计改进方案。</w:t>
      </w:r>
    </w:p>
    <w:p>
      <w:pPr>
        <w:ind w:firstLine="420" w:firstLineChars="200"/>
        <w:jc w:val="left"/>
        <w:rPr>
          <w:rFonts w:ascii="宋体" w:hAnsi="宋体" w:eastAsia="宋体"/>
        </w:rPr>
      </w:pPr>
      <w:r>
        <w:rPr>
          <w:rFonts w:hint="eastAsia" w:ascii="宋体" w:hAnsi="宋体" w:eastAsia="宋体"/>
        </w:rPr>
        <w:t>评估人员根据产品生命周期评价结果提出的改进方案一般是广泛且全面的，并非所有的改进方案都能得到实施，需要从技术可行性、环境改进、经济效益、顾客增加值（</w:t>
      </w:r>
      <w:r>
        <w:rPr>
          <w:rFonts w:hint="eastAsia" w:ascii="Calibri" w:hAnsi="Calibri" w:eastAsia="Calibri"/>
        </w:rPr>
        <w:t>CVA</w:t>
      </w:r>
      <w:r>
        <w:rPr>
          <w:rFonts w:hint="eastAsia" w:ascii="宋体" w:hAnsi="宋体" w:eastAsia="宋体"/>
        </w:rPr>
        <w:t>）影响、生产管理等方面评价改进方案，并进行优先排序，绘制实施者优先排序图和生命周期阶段优先排序图，具体方法参加附录</w:t>
      </w:r>
      <w:r>
        <w:rPr>
          <w:rFonts w:hint="eastAsia" w:ascii="Calibri" w:hAnsi="Calibri" w:eastAsia="Calibri"/>
        </w:rPr>
        <w:t>C</w:t>
      </w:r>
      <w:r>
        <w:rPr>
          <w:rFonts w:hint="eastAsia" w:ascii="宋体" w:hAnsi="宋体" w:eastAsia="宋体"/>
        </w:rPr>
        <w:t>。</w:t>
      </w:r>
    </w:p>
    <w:p>
      <w:pPr>
        <w:jc w:val="left"/>
        <w:rPr>
          <w:rFonts w:asciiTheme="majorEastAsia" w:hAnsiTheme="majorEastAsia" w:eastAsiaTheme="majorEastAsia"/>
          <w:b/>
        </w:rPr>
      </w:pPr>
      <w:r>
        <w:rPr>
          <w:rFonts w:hint="eastAsia" w:asciiTheme="majorEastAsia" w:hAnsiTheme="majorEastAsia" w:eastAsiaTheme="majorEastAsia"/>
          <w:b/>
        </w:rPr>
        <w:t>A.5.4 结论、建议和限制</w:t>
      </w:r>
    </w:p>
    <w:p>
      <w:pPr>
        <w:ind w:firstLine="420" w:firstLineChars="200"/>
        <w:jc w:val="left"/>
        <w:rPr>
          <w:rFonts w:ascii="宋体" w:hAnsi="宋体" w:eastAsia="宋体"/>
        </w:rPr>
      </w:pPr>
      <w:r>
        <w:rPr>
          <w:rFonts w:hint="eastAsia" w:ascii="宋体" w:hAnsi="宋体" w:eastAsia="宋体"/>
        </w:rPr>
        <w:t>应根据确定的三氧化二锑产品生命周期评价的目标和范围阐述结论、建议和限制。结论宜包括评价结果、“热点问题”摘要和改进方案。</w:t>
      </w:r>
    </w:p>
    <w:p>
      <w:pPr>
        <w:ind w:firstLine="420" w:firstLineChars="200"/>
        <w:jc w:val="left"/>
        <w:rPr>
          <w:rFonts w:ascii="宋体" w:hAnsi="宋体" w:eastAsia="宋体"/>
        </w:rPr>
      </w:pPr>
    </w:p>
    <w:p>
      <w:pPr>
        <w:jc w:val="left"/>
        <w:rPr>
          <w:rFonts w:asciiTheme="majorEastAsia" w:hAnsiTheme="majorEastAsia" w:eastAsiaTheme="majorEastAsia"/>
          <w:b/>
        </w:rPr>
      </w:pPr>
      <w:r>
        <w:rPr>
          <w:rFonts w:hint="eastAsia" w:asciiTheme="majorEastAsia" w:hAnsiTheme="majorEastAsia" w:eastAsiaTheme="majorEastAsia"/>
          <w:b/>
        </w:rPr>
        <w:t>A.6 生命周期评价（LCA）报告</w:t>
      </w:r>
    </w:p>
    <w:p>
      <w:pPr>
        <w:ind w:firstLine="420" w:firstLineChars="200"/>
        <w:jc w:val="left"/>
        <w:rPr>
          <w:rFonts w:ascii="Calibri" w:hAnsi="Calibri" w:eastAsia="Calibri"/>
          <w:sz w:val="18"/>
        </w:rPr>
      </w:pPr>
      <w:r>
        <w:rPr>
          <w:rFonts w:hint="eastAsia" w:ascii="宋体" w:hAnsi="宋体" w:eastAsia="宋体"/>
        </w:rPr>
        <w:t>产品LCA 报告可用于绿色设计产品评价，也可用于产品碳足迹、水足迹、欧盟产品环境足迹（PEF）、环境产品声明（EPD）等LCA 评价，具体要求可参见相关标准和评价体系的规定。</w:t>
      </w:r>
    </w:p>
    <w:p>
      <w:pPr>
        <w:jc w:val="left"/>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rPr>
          <w:rFonts w:ascii="黑体" w:hAnsi="黑体" w:eastAsia="黑体"/>
        </w:rPr>
      </w:pPr>
    </w:p>
    <w:p>
      <w:pPr>
        <w:jc w:val="center"/>
        <w:rPr>
          <w:rFonts w:ascii="黑体" w:hAnsi="黑体" w:eastAsia="黑体"/>
        </w:rPr>
      </w:pPr>
    </w:p>
    <w:p>
      <w:pPr>
        <w:rPr>
          <w:rFonts w:ascii="黑体" w:hAnsi="黑体" w:eastAsia="黑体"/>
        </w:rPr>
      </w:pPr>
    </w:p>
    <w:p>
      <w:pPr>
        <w:jc w:val="center"/>
        <w:rPr>
          <w:rFonts w:ascii="黑体" w:hAnsi="黑体" w:eastAsia="黑体"/>
        </w:rPr>
      </w:pPr>
      <w:r>
        <w:rPr>
          <w:rFonts w:hint="eastAsia" w:ascii="黑体" w:hAnsi="黑体" w:eastAsia="黑体"/>
        </w:rPr>
        <w:t>附录B</w:t>
      </w:r>
    </w:p>
    <w:p>
      <w:pPr>
        <w:jc w:val="center"/>
        <w:rPr>
          <w:rFonts w:ascii="黑体" w:hAnsi="黑体" w:eastAsia="黑体"/>
        </w:rPr>
      </w:pPr>
      <w:r>
        <w:rPr>
          <w:rFonts w:hint="eastAsia" w:ascii="黑体" w:hAnsi="黑体" w:eastAsia="黑体"/>
        </w:rPr>
        <w:t>（规范性附录）</w:t>
      </w:r>
    </w:p>
    <w:p>
      <w:pPr>
        <w:jc w:val="center"/>
        <w:rPr>
          <w:rFonts w:ascii="黑体" w:hAnsi="黑体" w:eastAsia="黑体"/>
        </w:rPr>
      </w:pPr>
      <w:r>
        <w:rPr>
          <w:rFonts w:hint="eastAsia" w:ascii="黑体" w:hAnsi="黑体" w:eastAsia="黑体"/>
        </w:rPr>
        <w:t>数据收集表格示例</w:t>
      </w:r>
    </w:p>
    <w:p>
      <w:pPr>
        <w:ind w:firstLine="420" w:firstLineChars="200"/>
        <w:jc w:val="left"/>
        <w:rPr>
          <w:rFonts w:ascii="宋体" w:hAnsi="宋体" w:eastAsia="宋体"/>
        </w:rPr>
      </w:pPr>
      <w:r>
        <w:rPr>
          <w:rFonts w:hint="eastAsia" w:ascii="宋体" w:hAnsi="宋体" w:eastAsia="宋体"/>
        </w:rPr>
        <w:t>参照图</w:t>
      </w:r>
      <w:r>
        <w:rPr>
          <w:rFonts w:hint="eastAsia" w:ascii="Calibri" w:hAnsi="Calibri" w:eastAsia="Calibri"/>
        </w:rPr>
        <w:t xml:space="preserve">B.1 </w:t>
      </w:r>
      <w:r>
        <w:rPr>
          <w:rFonts w:hint="eastAsia" w:ascii="宋体" w:hAnsi="宋体" w:eastAsia="宋体"/>
        </w:rPr>
        <w:t>绘制每个单元过程的图，然后参照表</w:t>
      </w:r>
      <w:r>
        <w:rPr>
          <w:rFonts w:hint="eastAsia" w:ascii="Calibri" w:hAnsi="Calibri" w:eastAsia="Calibri"/>
        </w:rPr>
        <w:t xml:space="preserve">B.1 </w:t>
      </w:r>
      <w:r>
        <w:rPr>
          <w:rFonts w:hint="eastAsia" w:ascii="宋体" w:hAnsi="宋体" w:eastAsia="宋体"/>
        </w:rPr>
        <w:t>收集单元过程的数据，最终汇总形成三氧化二锑产品的数据清单。</w:t>
      </w:r>
    </w:p>
    <w:p>
      <w:pPr>
        <w:ind w:firstLine="420" w:firstLineChars="200"/>
        <w:jc w:val="left"/>
        <w:rPr>
          <w:rFonts w:ascii="宋体" w:hAnsi="宋体" w:eastAsia="宋体"/>
        </w:rPr>
      </w:pPr>
      <w:r>
        <w:rPr>
          <w:rFonts w:ascii="宋体" w:hAnsi="宋体" w:eastAsia="宋体"/>
        </w:rPr>
        <w:pict>
          <v:shape id="_x0000_s1078" o:spid="_x0000_s1078" o:spt="202" type="#_x0000_t202" style="position:absolute;left:0pt;margin-left:-13.5pt;margin-top:6.75pt;height:295.35pt;width:457.5pt;z-index:-251598848;mso-width-relative:page;mso-height-relative:page;" coordsize="21600,21600">
            <v:path/>
            <v:fill focussize="0,0"/>
            <v:stroke dashstyle="dash"/>
            <v:imagedata o:title=""/>
            <o:lock v:ext="edit"/>
            <v:textbox>
              <w:txbxContent>
                <w:p/>
              </w:txbxContent>
            </v:textbox>
          </v:shape>
        </w:pict>
      </w:r>
    </w:p>
    <w:p>
      <w:pPr>
        <w:ind w:firstLine="420" w:firstLineChars="200"/>
        <w:jc w:val="left"/>
        <w:rPr>
          <w:rFonts w:ascii="宋体" w:hAnsi="宋体" w:eastAsia="宋体"/>
          <w:sz w:val="18"/>
          <w:szCs w:val="18"/>
        </w:rPr>
      </w:pPr>
      <w:r>
        <w:rPr>
          <w:rFonts w:hint="eastAsia" w:ascii="宋体" w:hAnsi="宋体" w:eastAsia="宋体"/>
        </w:rPr>
        <w:t xml:space="preserve">                         --</w:t>
      </w:r>
      <w:r>
        <w:rPr>
          <w:rFonts w:ascii="宋体" w:hAnsi="宋体" w:eastAsia="宋体"/>
        </w:rPr>
        <w:t>……</w:t>
      </w:r>
      <w:r>
        <w:rPr>
          <w:rFonts w:hint="eastAsia" w:ascii="宋体" w:hAnsi="宋体" w:eastAsia="宋体"/>
        </w:rPr>
        <w:t xml:space="preserve">             </w:t>
      </w:r>
      <w:r>
        <w:rPr>
          <w:rFonts w:hint="eastAsia" w:ascii="宋体" w:hAnsi="宋体" w:eastAsia="宋体"/>
          <w:sz w:val="18"/>
          <w:szCs w:val="18"/>
        </w:rPr>
        <w:t>--消耗量(m</w:t>
      </w:r>
      <w:r>
        <w:rPr>
          <w:rFonts w:hint="eastAsia" w:ascii="宋体" w:hAnsi="宋体" w:eastAsia="宋体"/>
          <w:sz w:val="18"/>
          <w:szCs w:val="18"/>
          <w:vertAlign w:val="superscript"/>
        </w:rPr>
        <w:t>3</w:t>
      </w:r>
      <w:r>
        <w:rPr>
          <w:rFonts w:hint="eastAsia" w:ascii="宋体" w:hAnsi="宋体" w:eastAsia="宋体"/>
          <w:sz w:val="18"/>
          <w:szCs w:val="18"/>
        </w:rPr>
        <w:t xml:space="preserve">/a)   </w:t>
      </w:r>
    </w:p>
    <w:p>
      <w:pPr>
        <w:ind w:firstLine="360" w:firstLineChars="200"/>
        <w:jc w:val="left"/>
        <w:rPr>
          <w:rFonts w:ascii="宋体" w:hAnsi="宋体" w:eastAsia="宋体"/>
          <w:sz w:val="18"/>
          <w:szCs w:val="18"/>
        </w:rPr>
      </w:pPr>
      <w:r>
        <w:rPr>
          <w:rFonts w:hint="eastAsia" w:ascii="宋体" w:hAnsi="宋体" w:eastAsia="宋体"/>
          <w:sz w:val="18"/>
          <w:szCs w:val="18"/>
        </w:rPr>
        <w:t>基本信息：                    --电（Kwh/a）；        --自备井/自来水</w:t>
      </w:r>
    </w:p>
    <w:p>
      <w:pPr>
        <w:ind w:firstLine="360" w:firstLineChars="200"/>
        <w:jc w:val="left"/>
        <w:rPr>
          <w:rFonts w:ascii="宋体" w:hAnsi="宋体" w:eastAsia="宋体"/>
          <w:sz w:val="18"/>
          <w:szCs w:val="18"/>
        </w:rPr>
      </w:pPr>
      <w:r>
        <w:rPr>
          <w:rFonts w:hint="eastAsia" w:ascii="宋体" w:hAnsi="宋体" w:eastAsia="宋体"/>
          <w:sz w:val="18"/>
          <w:szCs w:val="18"/>
        </w:rPr>
        <w:t xml:space="preserve">--参考年                      --焦炭（t/a）；        比例（%）  </w:t>
      </w:r>
    </w:p>
    <w:p>
      <w:pPr>
        <w:ind w:firstLine="360" w:firstLineChars="200"/>
        <w:jc w:val="left"/>
        <w:rPr>
          <w:rFonts w:ascii="宋体" w:hAnsi="宋体" w:eastAsia="宋体"/>
          <w:sz w:val="18"/>
          <w:szCs w:val="18"/>
        </w:rPr>
      </w:pPr>
      <w:r>
        <w:rPr>
          <w:rFonts w:hint="eastAsia" w:ascii="宋体" w:hAnsi="宋体" w:eastAsia="宋体"/>
          <w:sz w:val="18"/>
          <w:szCs w:val="18"/>
        </w:rPr>
        <w:t>--员工数量</w:t>
      </w:r>
    </w:p>
    <w:p>
      <w:pPr>
        <w:ind w:firstLine="360" w:firstLineChars="200"/>
        <w:jc w:val="left"/>
        <w:rPr>
          <w:rFonts w:ascii="宋体" w:hAnsi="宋体" w:eastAsia="宋体"/>
          <w:sz w:val="18"/>
          <w:szCs w:val="18"/>
        </w:rPr>
      </w:pPr>
      <w:r>
        <w:rPr>
          <w:rFonts w:ascii="宋体" w:hAnsi="宋体" w:eastAsia="宋体"/>
          <w:sz w:val="18"/>
          <w:szCs w:val="18"/>
        </w:rPr>
        <w:pict>
          <v:shape id="_x0000_s1136" o:spid="_x0000_s1136" o:spt="202" type="#_x0000_t202" style="position:absolute;left:0pt;margin-left:248.5pt;margin-top:2.25pt;height:21pt;width:61.6pt;z-index:251737088;mso-width-relative:page;mso-height-relative:page;" coordsize="21600,21600">
            <v:path/>
            <v:fill focussize="0,0"/>
            <v:stroke joinstyle="miter"/>
            <v:imagedata o:title=""/>
            <o:lock v:ext="edit"/>
            <v:textbox>
              <w:txbxContent>
                <w:p>
                  <w:pPr>
                    <w:jc w:val="center"/>
                  </w:pPr>
                  <w:r>
                    <w:rPr>
                      <w:rFonts w:hint="eastAsia"/>
                    </w:rPr>
                    <w:t>2.3 水</w:t>
                  </w:r>
                </w:p>
              </w:txbxContent>
            </v:textbox>
          </v:shape>
        </w:pict>
      </w:r>
      <w:r>
        <w:rPr>
          <w:rFonts w:ascii="宋体" w:hAnsi="宋体" w:eastAsia="宋体"/>
          <w:sz w:val="18"/>
          <w:szCs w:val="18"/>
        </w:rPr>
        <w:pict>
          <v:shape id="_x0000_s1065" o:spid="_x0000_s1065" o:spt="202" type="#_x0000_t202" style="position:absolute;left:0pt;margin-left:145.9pt;margin-top:2.25pt;height:21pt;width:62.25pt;z-index:251704320;mso-width-relative:page;mso-height-relative:page;" coordsize="21600,21600">
            <v:path/>
            <v:fill focussize="0,0"/>
            <v:stroke joinstyle="miter"/>
            <v:imagedata o:title=""/>
            <o:lock v:ext="edit"/>
            <v:textbox>
              <w:txbxContent>
                <w:p>
                  <w:r>
                    <w:rPr>
                      <w:rFonts w:hint="eastAsia"/>
                    </w:rPr>
                    <w:t xml:space="preserve">2.2  </w:t>
                  </w:r>
                  <w:r>
                    <w:rPr>
                      <w:rFonts w:hint="eastAsia"/>
                      <w:sz w:val="18"/>
                      <w:szCs w:val="18"/>
                    </w:rPr>
                    <w:t>能源</w:t>
                  </w:r>
                </w:p>
              </w:txbxContent>
            </v:textbox>
          </v:shape>
        </w:pict>
      </w:r>
      <w:r>
        <w:rPr>
          <w:rFonts w:hint="eastAsia" w:ascii="宋体" w:hAnsi="宋体" w:eastAsia="宋体"/>
          <w:sz w:val="18"/>
          <w:szCs w:val="18"/>
        </w:rPr>
        <w:t>--年营业额（万元/年）</w:t>
      </w:r>
    </w:p>
    <w:p>
      <w:pPr>
        <w:ind w:firstLine="360" w:firstLineChars="200"/>
        <w:jc w:val="left"/>
        <w:rPr>
          <w:rFonts w:ascii="宋体" w:hAnsi="宋体" w:eastAsia="宋体"/>
          <w:sz w:val="18"/>
          <w:szCs w:val="18"/>
        </w:rPr>
      </w:pPr>
      <w:r>
        <w:rPr>
          <w:rFonts w:ascii="宋体" w:hAnsi="宋体" w:eastAsia="宋体"/>
          <w:sz w:val="18"/>
          <w:szCs w:val="18"/>
        </w:rPr>
        <w:pict>
          <v:shape id="_x0000_s1139" o:spid="_x0000_s1139" o:spt="32" type="#_x0000_t32" style="position:absolute;left:0pt;margin-left:277.75pt;margin-top:7.65pt;height:27pt;width:0pt;z-index:251740160;mso-width-relative:page;mso-height-relative:page;" o:connectortype="straight" filled="f" coordsize="21600,21600">
            <v:path arrowok="t"/>
            <v:fill on="f" focussize="0,0"/>
            <v:stroke endarrow="block"/>
            <v:imagedata o:title=""/>
            <o:lock v:ext="edit"/>
          </v:shape>
        </w:pict>
      </w:r>
      <w:r>
        <w:rPr>
          <w:rFonts w:ascii="宋体" w:hAnsi="宋体" w:eastAsia="宋体"/>
          <w:sz w:val="18"/>
          <w:szCs w:val="18"/>
        </w:rPr>
        <w:pict>
          <v:shape id="_x0000_s1069" o:spid="_x0000_s1069" o:spt="32" type="#_x0000_t32" style="position:absolute;left:0pt;margin-left:176.6pt;margin-top:7.65pt;height:27pt;width:0pt;z-index:251708416;mso-width-relative:page;mso-height-relative:page;" o:connectortype="straight" filled="f" coordsize="21600,21600">
            <v:path arrowok="t"/>
            <v:fill on="f" focussize="0,0"/>
            <v:stroke endarrow="block"/>
            <v:imagedata o:title=""/>
            <o:lock v:ext="edit"/>
          </v:shape>
        </w:pict>
      </w:r>
      <w:r>
        <w:rPr>
          <w:rFonts w:hint="eastAsia" w:ascii="宋体" w:hAnsi="宋体" w:eastAsia="宋体"/>
          <w:sz w:val="18"/>
          <w:szCs w:val="18"/>
        </w:rPr>
        <w:t>--工作天数（天/年）</w:t>
      </w:r>
    </w:p>
    <w:p>
      <w:pPr>
        <w:ind w:firstLine="360" w:firstLineChars="200"/>
        <w:jc w:val="left"/>
        <w:rPr>
          <w:rFonts w:ascii="宋体" w:hAnsi="宋体" w:eastAsia="宋体"/>
          <w:sz w:val="18"/>
          <w:szCs w:val="18"/>
        </w:rPr>
      </w:pPr>
    </w:p>
    <w:p>
      <w:pPr>
        <w:ind w:firstLine="360" w:firstLineChars="200"/>
        <w:jc w:val="left"/>
        <w:rPr>
          <w:rFonts w:ascii="宋体" w:hAnsi="宋体" w:eastAsia="宋体"/>
          <w:sz w:val="18"/>
          <w:szCs w:val="18"/>
        </w:rPr>
      </w:pPr>
      <w:r>
        <w:rPr>
          <w:rFonts w:ascii="宋体" w:hAnsi="宋体" w:eastAsia="宋体"/>
          <w:sz w:val="18"/>
          <w:szCs w:val="18"/>
        </w:rPr>
        <w:pict>
          <v:shape id="_x0000_s1067" o:spid="_x0000_s1067" o:spt="202" type="#_x0000_t202" style="position:absolute;left:0pt;margin-left:90pt;margin-top:8.1pt;height:24.75pt;width:244.5pt;z-index:251706368;mso-width-relative:page;mso-height-relative:page;" coordsize="21600,21600">
            <v:path/>
            <v:fill focussize="0,0"/>
            <v:stroke joinstyle="miter"/>
            <v:imagedata o:title=""/>
            <o:lock v:ext="edit"/>
            <v:textbox>
              <w:txbxContent>
                <w:p>
                  <w:pPr>
                    <w:jc w:val="center"/>
                  </w:pPr>
                  <w:r>
                    <w:rPr>
                      <w:rFonts w:hint="eastAsia"/>
                    </w:rPr>
                    <w:t>锑锭间接法生产三氧化二锑</w:t>
                  </w:r>
                </w:p>
              </w:txbxContent>
            </v:textbox>
          </v:shape>
        </w:pict>
      </w:r>
      <w:r>
        <w:rPr>
          <w:rFonts w:ascii="宋体" w:hAnsi="宋体" w:eastAsia="宋体"/>
          <w:sz w:val="18"/>
          <w:szCs w:val="18"/>
        </w:rPr>
        <w:pict>
          <v:shape id="_x0000_s1070" o:spid="_x0000_s1070" o:spt="13" type="#_x0000_t13" style="position:absolute;left:0pt;margin-left:71.25pt;margin-top:14.1pt;height:10.5pt;width:18.75pt;z-index:251709440;mso-width-relative:page;mso-height-relative:page;" coordsize="21600,21600">
            <v:path/>
            <v:fill focussize="0,0"/>
            <v:stroke joinstyle="miter"/>
            <v:imagedata o:title=""/>
            <o:lock v:ext="edit"/>
          </v:shape>
        </w:pict>
      </w:r>
      <w:r>
        <w:rPr>
          <w:rFonts w:ascii="宋体" w:hAnsi="宋体" w:eastAsia="宋体"/>
          <w:sz w:val="18"/>
          <w:szCs w:val="18"/>
        </w:rPr>
        <w:pict>
          <v:shape id="_x0000_s1068" o:spid="_x0000_s1068" o:spt="3" type="#_x0000_t3" style="position:absolute;left:0pt;margin-left:360pt;margin-top:8.1pt;height:30.75pt;width:72pt;z-index:251707392;mso-width-relative:page;mso-height-relative:page;" coordsize="21600,21600">
            <v:path/>
            <v:fill focussize="0,0"/>
            <v:stroke/>
            <v:imagedata o:title=""/>
            <o:lock v:ext="edit"/>
            <v:textbox>
              <w:txbxContent>
                <w:p>
                  <w:pPr>
                    <w:rPr>
                      <w:sz w:val="18"/>
                      <w:szCs w:val="18"/>
                    </w:rPr>
                  </w:pPr>
                  <w:r>
                    <w:rPr>
                      <w:rFonts w:hint="eastAsia"/>
                      <w:sz w:val="18"/>
                      <w:szCs w:val="18"/>
                    </w:rPr>
                    <w:t>3.1产品</w:t>
                  </w:r>
                </w:p>
              </w:txbxContent>
            </v:textbox>
          </v:shape>
        </w:pict>
      </w:r>
      <w:r>
        <w:rPr>
          <w:rFonts w:ascii="宋体" w:hAnsi="宋体" w:eastAsia="宋体"/>
          <w:sz w:val="18"/>
          <w:szCs w:val="18"/>
        </w:rPr>
        <w:pict>
          <v:shape id="_x0000_s1066" o:spid="_x0000_s1066" o:spt="202" type="#_x0000_t202" style="position:absolute;left:0pt;margin-left:1.5pt;margin-top:6.6pt;height:26.25pt;width:69.75pt;z-index:251705344;mso-width-relative:page;mso-height-relative:page;" coordsize="21600,21600">
            <v:path/>
            <v:fill focussize="0,0"/>
            <v:stroke joinstyle="miter"/>
            <v:imagedata o:title=""/>
            <o:lock v:ext="edit"/>
            <v:textbox>
              <w:txbxContent>
                <w:p>
                  <w:pPr>
                    <w:rPr>
                      <w:sz w:val="18"/>
                      <w:szCs w:val="18"/>
                    </w:rPr>
                  </w:pPr>
                  <w:r>
                    <w:rPr>
                      <w:rFonts w:hint="eastAsia"/>
                      <w:sz w:val="18"/>
                      <w:szCs w:val="18"/>
                    </w:rPr>
                    <w:t>2.1 原材料</w:t>
                  </w:r>
                </w:p>
              </w:txbxContent>
            </v:textbox>
          </v:shape>
        </w:pict>
      </w:r>
    </w:p>
    <w:p>
      <w:pPr>
        <w:tabs>
          <w:tab w:val="left" w:pos="5775"/>
        </w:tabs>
        <w:ind w:firstLine="360" w:firstLineChars="200"/>
        <w:jc w:val="left"/>
        <w:rPr>
          <w:rFonts w:ascii="宋体" w:hAnsi="宋体" w:eastAsia="宋体"/>
          <w:sz w:val="18"/>
          <w:szCs w:val="18"/>
        </w:rPr>
      </w:pPr>
      <w:r>
        <w:rPr>
          <w:rFonts w:ascii="宋体" w:hAnsi="宋体" w:eastAsia="宋体"/>
          <w:sz w:val="18"/>
          <w:szCs w:val="18"/>
        </w:rPr>
        <w:pict>
          <v:shape id="_x0000_s1071" o:spid="_x0000_s1071" o:spt="13" type="#_x0000_t13" style="position:absolute;left:0pt;margin-left:334.5pt;margin-top:2.25pt;height:10.5pt;width:25.5pt;z-index:251710464;mso-width-relative:page;mso-height-relative:page;" coordsize="21600,21600">
            <v:path/>
            <v:fill focussize="0,0"/>
            <v:stroke joinstyle="miter"/>
            <v:imagedata o:title=""/>
            <o:lock v:ext="edit"/>
          </v:shape>
        </w:pict>
      </w:r>
      <w:r>
        <w:rPr>
          <w:rFonts w:ascii="宋体" w:hAnsi="宋体" w:eastAsia="宋体"/>
          <w:sz w:val="18"/>
          <w:szCs w:val="18"/>
        </w:rPr>
        <w:tab/>
      </w:r>
    </w:p>
    <w:p>
      <w:pPr>
        <w:ind w:firstLine="360" w:firstLineChars="200"/>
        <w:jc w:val="left"/>
        <w:rPr>
          <w:rFonts w:ascii="宋体" w:hAnsi="宋体" w:eastAsia="宋体"/>
          <w:sz w:val="18"/>
          <w:szCs w:val="18"/>
        </w:rPr>
      </w:pPr>
      <w:r>
        <w:rPr>
          <w:rFonts w:ascii="宋体" w:hAnsi="宋体" w:eastAsia="宋体"/>
          <w:sz w:val="18"/>
          <w:szCs w:val="18"/>
        </w:rPr>
        <w:pict>
          <v:shape id="_x0000_s1138" o:spid="_x0000_s1138" o:spt="32" type="#_x0000_t32" style="position:absolute;left:0pt;margin-left:113.05pt;margin-top:1.65pt;height:23.25pt;width:0pt;z-index:251739136;mso-width-relative:page;mso-height-relative:page;" o:connectortype="straight" filled="f" coordsize="21600,21600">
            <v:path arrowok="t"/>
            <v:fill on="f" focussize="0,0"/>
            <v:stroke endarrow="block"/>
            <v:imagedata o:title=""/>
            <o:lock v:ext="edit"/>
          </v:shape>
        </w:pict>
      </w:r>
      <w:r>
        <w:rPr>
          <w:rFonts w:ascii="宋体" w:hAnsi="宋体" w:eastAsia="宋体"/>
          <w:sz w:val="18"/>
          <w:szCs w:val="18"/>
        </w:rPr>
        <w:pict>
          <v:shape id="_x0000_s1077" o:spid="_x0000_s1077" o:spt="32" type="#_x0000_t32" style="position:absolute;left:0pt;margin-left:184.4pt;margin-top:3.15pt;height:23.25pt;width:0pt;z-index:251716608;mso-width-relative:page;mso-height-relative:page;" o:connectortype="straight" filled="f" coordsize="21600,21600">
            <v:path arrowok="t"/>
            <v:fill on="f" focussize="0,0"/>
            <v:stroke endarrow="block"/>
            <v:imagedata o:title=""/>
            <o:lock v:ext="edit"/>
          </v:shape>
        </w:pict>
      </w:r>
      <w:r>
        <w:rPr>
          <w:rFonts w:ascii="宋体" w:hAnsi="宋体" w:eastAsia="宋体"/>
          <w:sz w:val="18"/>
          <w:szCs w:val="18"/>
        </w:rPr>
        <w:pict>
          <v:shape id="_x0000_s1076" o:spid="_x0000_s1076" o:spt="32" type="#_x0000_t32" style="position:absolute;left:0pt;margin-left:248.5pt;margin-top:3.15pt;height:23.25pt;width:0.75pt;z-index:251715584;mso-width-relative:page;mso-height-relative:page;" o:connectortype="straight" filled="f" coordsize="21600,21600">
            <v:path arrowok="t"/>
            <v:fill on="f" focussize="0,0"/>
            <v:stroke endarrow="block"/>
            <v:imagedata o:title=""/>
            <o:lock v:ext="edit"/>
          </v:shape>
        </w:pict>
      </w:r>
      <w:r>
        <w:rPr>
          <w:rFonts w:ascii="宋体" w:hAnsi="宋体" w:eastAsia="宋体"/>
          <w:sz w:val="18"/>
          <w:szCs w:val="18"/>
        </w:rPr>
        <w:pict>
          <v:shape id="_x0000_s1075" o:spid="_x0000_s1075" o:spt="32" type="#_x0000_t32" style="position:absolute;left:0pt;margin-left:310.85pt;margin-top:3.15pt;height:23.25pt;width:0.75pt;z-index:251714560;mso-width-relative:page;mso-height-relative:page;" o:connectortype="straight" filled="f" coordsize="21600,21600">
            <v:path arrowok="t"/>
            <v:fill on="f" focussize="0,0"/>
            <v:stroke endarrow="block"/>
            <v:imagedata o:title=""/>
            <o:lock v:ext="edit"/>
          </v:shape>
        </w:pict>
      </w:r>
    </w:p>
    <w:p>
      <w:pPr>
        <w:tabs>
          <w:tab w:val="left" w:pos="7005"/>
        </w:tabs>
        <w:ind w:right="-315" w:rightChars="-150"/>
        <w:rPr>
          <w:rFonts w:ascii="宋体" w:hAnsi="宋体" w:eastAsia="宋体"/>
          <w:sz w:val="15"/>
          <w:szCs w:val="15"/>
        </w:rPr>
      </w:pPr>
      <w:r>
        <w:rPr>
          <w:rFonts w:ascii="宋体" w:hAnsi="宋体" w:eastAsia="宋体"/>
          <w:sz w:val="15"/>
          <w:szCs w:val="15"/>
        </w:rPr>
        <w:pict>
          <v:shape id="_x0000_s1137" o:spid="_x0000_s1137" o:spt="3" type="#_x0000_t3" style="position:absolute;left:0pt;margin-left:83.65pt;margin-top:10.8pt;height:25.5pt;width:62.25pt;z-index:251738112;mso-width-relative:page;mso-height-relative:page;" coordsize="21600,21600">
            <v:path/>
            <v:fill focussize="0,0"/>
            <v:stroke/>
            <v:imagedata o:title=""/>
            <o:lock v:ext="edit"/>
            <v:textbox>
              <w:txbxContent>
                <w:p>
                  <w:r>
                    <w:rPr>
                      <w:rFonts w:hint="eastAsia"/>
                      <w:sz w:val="18"/>
                      <w:szCs w:val="18"/>
                    </w:rPr>
                    <w:t>3.5废水</w:t>
                  </w:r>
                </w:p>
              </w:txbxContent>
            </v:textbox>
          </v:shape>
        </w:pict>
      </w:r>
      <w:r>
        <w:rPr>
          <w:rFonts w:ascii="宋体" w:hAnsi="宋体" w:eastAsia="宋体"/>
          <w:sz w:val="15"/>
          <w:szCs w:val="15"/>
        </w:rPr>
        <w:pict>
          <v:shape id="_x0000_s1074" o:spid="_x0000_s1074" o:spt="3" type="#_x0000_t3" style="position:absolute;left:0pt;margin-left:152.2pt;margin-top:9.3pt;height:25.5pt;width:62.25pt;z-index:251713536;mso-width-relative:page;mso-height-relative:page;" coordsize="21600,21600">
            <v:path/>
            <v:fill focussize="0,0"/>
            <v:stroke/>
            <v:imagedata o:title=""/>
            <o:lock v:ext="edit"/>
            <v:textbox>
              <w:txbxContent>
                <w:p>
                  <w:r>
                    <w:rPr>
                      <w:rFonts w:hint="eastAsia"/>
                      <w:sz w:val="18"/>
                      <w:szCs w:val="18"/>
                    </w:rPr>
                    <w:t>3.4固废</w:t>
                  </w:r>
                </w:p>
              </w:txbxContent>
            </v:textbox>
          </v:shape>
        </w:pict>
      </w:r>
      <w:r>
        <w:rPr>
          <w:rFonts w:ascii="宋体" w:hAnsi="宋体" w:eastAsia="宋体"/>
          <w:sz w:val="15"/>
          <w:szCs w:val="15"/>
        </w:rPr>
        <w:pict>
          <v:shape id="_x0000_s1073" o:spid="_x0000_s1073" o:spt="3" type="#_x0000_t3" style="position:absolute;left:0pt;margin-left:219.25pt;margin-top:9.3pt;height:25.5pt;width:58.5pt;z-index:251712512;mso-width-relative:page;mso-height-relative:page;" coordsize="21600,21600">
            <v:path/>
            <v:fill focussize="0,0"/>
            <v:stroke/>
            <v:imagedata o:title=""/>
            <o:lock v:ext="edit"/>
            <v:textbox>
              <w:txbxContent>
                <w:p>
                  <w:r>
                    <w:rPr>
                      <w:rFonts w:hint="eastAsia"/>
                      <w:sz w:val="18"/>
                      <w:szCs w:val="18"/>
                    </w:rPr>
                    <w:t>3.3废气</w:t>
                  </w:r>
                </w:p>
              </w:txbxContent>
            </v:textbox>
          </v:shape>
        </w:pict>
      </w:r>
      <w:r>
        <w:rPr>
          <w:rFonts w:ascii="宋体" w:hAnsi="宋体" w:eastAsia="宋体"/>
          <w:sz w:val="15"/>
          <w:szCs w:val="15"/>
        </w:rPr>
        <w:pict>
          <v:shape id="_x0000_s1072" o:spid="_x0000_s1072" o:spt="3" type="#_x0000_t3" style="position:absolute;left:0pt;margin-left:282.65pt;margin-top:9.3pt;height:25.5pt;width:58.5pt;z-index:251711488;mso-width-relative:page;mso-height-relative:page;" coordsize="21600,21600">
            <v:path/>
            <v:fill focussize="0,0"/>
            <v:stroke/>
            <v:imagedata o:title=""/>
            <o:lock v:ext="edit"/>
            <v:textbox>
              <w:txbxContent>
                <w:p>
                  <w:r>
                    <w:rPr>
                      <w:rFonts w:hint="eastAsia"/>
                      <w:sz w:val="18"/>
                      <w:szCs w:val="18"/>
                    </w:rPr>
                    <w:t>3.2余热</w:t>
                  </w:r>
                </w:p>
              </w:txbxContent>
            </v:textbox>
          </v:shape>
        </w:pict>
      </w:r>
      <w:r>
        <w:rPr>
          <w:rFonts w:hint="eastAsia" w:ascii="宋体" w:hAnsi="宋体" w:eastAsia="宋体"/>
          <w:sz w:val="15"/>
          <w:szCs w:val="15"/>
        </w:rPr>
        <w:t>种类和重量（t/a）：</w:t>
      </w:r>
      <w:r>
        <w:rPr>
          <w:rFonts w:hint="eastAsia" w:ascii="宋体" w:hAnsi="宋体" w:eastAsia="宋体"/>
          <w:sz w:val="18"/>
          <w:szCs w:val="18"/>
        </w:rPr>
        <w:t xml:space="preserve">                                                                  </w:t>
      </w:r>
      <w:r>
        <w:rPr>
          <w:rFonts w:hint="eastAsia" w:ascii="宋体" w:hAnsi="宋体" w:eastAsia="宋体"/>
          <w:sz w:val="15"/>
          <w:szCs w:val="15"/>
        </w:rPr>
        <w:t xml:space="preserve">种类和重量（t/a）：    </w:t>
      </w:r>
    </w:p>
    <w:p>
      <w:pPr>
        <w:tabs>
          <w:tab w:val="left" w:pos="7230"/>
        </w:tabs>
        <w:ind w:right="-420" w:rightChars="-200"/>
        <w:jc w:val="left"/>
        <w:rPr>
          <w:rFonts w:ascii="宋体" w:hAnsi="宋体" w:eastAsia="宋体"/>
          <w:sz w:val="15"/>
          <w:szCs w:val="15"/>
        </w:rPr>
      </w:pPr>
      <w:r>
        <w:rPr>
          <w:rFonts w:hint="eastAsia" w:ascii="宋体" w:hAnsi="宋体" w:eastAsia="宋体"/>
          <w:sz w:val="15"/>
          <w:szCs w:val="15"/>
        </w:rPr>
        <w:t xml:space="preserve"> --锑锭</w:t>
      </w:r>
      <w:r>
        <w:rPr>
          <w:rFonts w:ascii="宋体" w:hAnsi="宋体" w:eastAsia="宋体"/>
          <w:sz w:val="15"/>
          <w:szCs w:val="15"/>
        </w:rPr>
        <w:tab/>
      </w:r>
      <w:r>
        <w:rPr>
          <w:rFonts w:hint="eastAsia" w:ascii="宋体" w:hAnsi="宋体" w:eastAsia="宋体"/>
          <w:sz w:val="15"/>
          <w:szCs w:val="15"/>
        </w:rPr>
        <w:t>-三氧化二锑</w:t>
      </w:r>
    </w:p>
    <w:p>
      <w:pPr>
        <w:tabs>
          <w:tab w:val="left" w:pos="1695"/>
          <w:tab w:val="left" w:pos="7305"/>
        </w:tabs>
        <w:ind w:firstLine="75" w:firstLineChars="50"/>
        <w:jc w:val="left"/>
        <w:rPr>
          <w:rFonts w:ascii="宋体" w:hAnsi="宋体" w:eastAsia="宋体"/>
          <w:sz w:val="15"/>
          <w:szCs w:val="15"/>
        </w:rPr>
      </w:pPr>
      <w:r>
        <w:rPr>
          <w:rFonts w:hint="eastAsia" w:ascii="宋体" w:hAnsi="宋体" w:eastAsia="宋体"/>
          <w:sz w:val="15"/>
          <w:szCs w:val="15"/>
        </w:rPr>
        <w:t>--</w:t>
      </w:r>
      <w:r>
        <w:rPr>
          <w:rFonts w:ascii="宋体" w:hAnsi="宋体" w:eastAsia="宋体"/>
          <w:sz w:val="15"/>
          <w:szCs w:val="15"/>
        </w:rPr>
        <w:t>……</w:t>
      </w:r>
      <w:r>
        <w:rPr>
          <w:rFonts w:ascii="宋体" w:hAnsi="宋体" w:eastAsia="宋体"/>
          <w:sz w:val="15"/>
          <w:szCs w:val="15"/>
        </w:rPr>
        <w:tab/>
      </w:r>
      <w:r>
        <w:rPr>
          <w:rFonts w:ascii="宋体" w:hAnsi="宋体" w:eastAsia="宋体"/>
          <w:sz w:val="15"/>
          <w:szCs w:val="15"/>
        </w:rPr>
        <w:tab/>
      </w:r>
      <w:r>
        <w:rPr>
          <w:rFonts w:hint="eastAsia" w:ascii="宋体" w:hAnsi="宋体" w:eastAsia="宋体"/>
          <w:sz w:val="15"/>
          <w:szCs w:val="15"/>
        </w:rPr>
        <w:t>-</w:t>
      </w:r>
      <w:r>
        <w:rPr>
          <w:rFonts w:ascii="宋体" w:hAnsi="宋体" w:eastAsia="宋体"/>
          <w:sz w:val="15"/>
          <w:szCs w:val="15"/>
        </w:rPr>
        <w:t>……</w:t>
      </w:r>
    </w:p>
    <w:p>
      <w:pPr>
        <w:ind w:firstLine="300" w:firstLineChars="200"/>
        <w:jc w:val="left"/>
        <w:rPr>
          <w:rFonts w:ascii="宋体" w:hAnsi="宋体" w:eastAsia="宋体"/>
          <w:sz w:val="15"/>
          <w:szCs w:val="15"/>
        </w:rPr>
      </w:pPr>
      <w:r>
        <w:rPr>
          <w:rFonts w:hint="eastAsia" w:ascii="宋体" w:hAnsi="宋体" w:eastAsia="宋体"/>
          <w:sz w:val="15"/>
          <w:szCs w:val="15"/>
        </w:rPr>
        <w:t xml:space="preserve">                    排放量（m</w:t>
      </w:r>
      <w:r>
        <w:rPr>
          <w:rFonts w:hint="eastAsia" w:ascii="宋体" w:hAnsi="宋体" w:eastAsia="宋体"/>
          <w:sz w:val="18"/>
          <w:szCs w:val="15"/>
          <w:vertAlign w:val="superscript"/>
        </w:rPr>
        <w:t>3</w:t>
      </w:r>
      <w:r>
        <w:rPr>
          <w:rFonts w:hint="eastAsia" w:ascii="宋体" w:hAnsi="宋体" w:eastAsia="宋体"/>
          <w:sz w:val="15"/>
          <w:szCs w:val="15"/>
        </w:rPr>
        <w:t>/a）                       种类和数量（t/a）：   来源（Kwh/a）：</w:t>
      </w:r>
    </w:p>
    <w:p>
      <w:pPr>
        <w:tabs>
          <w:tab w:val="left" w:pos="1829"/>
          <w:tab w:val="left" w:pos="4485"/>
          <w:tab w:val="left" w:pos="6120"/>
        </w:tabs>
        <w:ind w:firstLine="300" w:firstLineChars="200"/>
        <w:jc w:val="left"/>
        <w:rPr>
          <w:rFonts w:ascii="宋体" w:hAnsi="宋体" w:eastAsia="宋体"/>
          <w:sz w:val="15"/>
          <w:szCs w:val="15"/>
        </w:rPr>
      </w:pPr>
      <w:r>
        <w:rPr>
          <w:rFonts w:ascii="宋体" w:hAnsi="宋体" w:eastAsia="宋体"/>
          <w:sz w:val="15"/>
          <w:szCs w:val="15"/>
        </w:rPr>
        <w:tab/>
      </w:r>
      <w:r>
        <w:rPr>
          <w:rFonts w:hint="eastAsia" w:ascii="宋体" w:hAnsi="宋体" w:eastAsia="宋体"/>
          <w:sz w:val="15"/>
          <w:szCs w:val="15"/>
        </w:rPr>
        <w:t>-负荷（t/a）</w:t>
      </w:r>
      <w:r>
        <w:rPr>
          <w:rFonts w:ascii="宋体" w:hAnsi="宋体" w:eastAsia="宋体"/>
          <w:sz w:val="15"/>
          <w:szCs w:val="15"/>
        </w:rPr>
        <w:tab/>
      </w:r>
      <w:r>
        <w:rPr>
          <w:rFonts w:hint="eastAsia" w:ascii="宋体" w:hAnsi="宋体" w:eastAsia="宋体"/>
          <w:sz w:val="15"/>
          <w:szCs w:val="15"/>
        </w:rPr>
        <w:t>-粉尘；</w:t>
      </w:r>
      <w:r>
        <w:rPr>
          <w:rFonts w:ascii="宋体" w:hAnsi="宋体" w:eastAsia="宋体"/>
          <w:sz w:val="15"/>
          <w:szCs w:val="15"/>
        </w:rPr>
        <w:tab/>
      </w:r>
      <w:r>
        <w:rPr>
          <w:rFonts w:hint="eastAsia" w:ascii="宋体" w:hAnsi="宋体" w:eastAsia="宋体"/>
          <w:sz w:val="15"/>
          <w:szCs w:val="15"/>
        </w:rPr>
        <w:t>-高温废气；</w:t>
      </w:r>
    </w:p>
    <w:p>
      <w:pPr>
        <w:tabs>
          <w:tab w:val="left" w:pos="1816"/>
          <w:tab w:val="left" w:pos="4485"/>
          <w:tab w:val="left" w:pos="6120"/>
        </w:tabs>
        <w:ind w:firstLine="300" w:firstLineChars="200"/>
        <w:jc w:val="left"/>
        <w:rPr>
          <w:rFonts w:ascii="宋体" w:hAnsi="宋体" w:eastAsia="宋体"/>
          <w:sz w:val="15"/>
          <w:szCs w:val="15"/>
        </w:rPr>
      </w:pPr>
      <w:r>
        <w:rPr>
          <w:rFonts w:hint="eastAsia" w:ascii="宋体" w:hAnsi="宋体" w:eastAsia="宋体"/>
          <w:sz w:val="15"/>
          <w:szCs w:val="15"/>
        </w:rPr>
        <w:t xml:space="preserve"> </w:t>
      </w:r>
      <w:r>
        <w:rPr>
          <w:rFonts w:ascii="宋体" w:hAnsi="宋体" w:eastAsia="宋体"/>
          <w:sz w:val="15"/>
          <w:szCs w:val="15"/>
        </w:rPr>
        <w:tab/>
      </w:r>
      <w:r>
        <w:rPr>
          <w:rFonts w:hint="eastAsia" w:ascii="宋体" w:hAnsi="宋体" w:eastAsia="宋体"/>
          <w:sz w:val="15"/>
          <w:szCs w:val="15"/>
        </w:rPr>
        <w:t>-化学需氧量；</w:t>
      </w:r>
      <w:r>
        <w:rPr>
          <w:rFonts w:ascii="宋体" w:hAnsi="宋体" w:eastAsia="宋体"/>
          <w:sz w:val="15"/>
          <w:szCs w:val="15"/>
        </w:rPr>
        <w:tab/>
      </w:r>
      <w:r>
        <w:rPr>
          <w:rFonts w:hint="eastAsia" w:ascii="宋体" w:hAnsi="宋体" w:eastAsia="宋体"/>
          <w:sz w:val="15"/>
          <w:szCs w:val="15"/>
        </w:rPr>
        <w:t>-氮氧化物；</w:t>
      </w:r>
      <w:r>
        <w:rPr>
          <w:rFonts w:ascii="宋体" w:hAnsi="宋体" w:eastAsia="宋体"/>
          <w:sz w:val="15"/>
          <w:szCs w:val="15"/>
        </w:rPr>
        <w:tab/>
      </w:r>
      <w:r>
        <w:rPr>
          <w:rFonts w:hint="eastAsia" w:ascii="宋体" w:hAnsi="宋体" w:eastAsia="宋体"/>
          <w:sz w:val="15"/>
          <w:szCs w:val="15"/>
        </w:rPr>
        <w:t>-其他</w:t>
      </w:r>
    </w:p>
    <w:p>
      <w:pPr>
        <w:tabs>
          <w:tab w:val="left" w:pos="1815"/>
          <w:tab w:val="center" w:pos="4363"/>
        </w:tabs>
        <w:ind w:firstLine="420" w:firstLineChars="200"/>
        <w:jc w:val="left"/>
        <w:rPr>
          <w:rFonts w:ascii="宋体" w:hAnsi="宋体" w:eastAsia="宋体"/>
          <w:sz w:val="15"/>
          <w:szCs w:val="15"/>
        </w:rPr>
      </w:pPr>
      <w:r>
        <w:rPr>
          <w:rFonts w:ascii="宋体" w:hAnsi="宋体" w:eastAsia="宋体"/>
        </w:rPr>
        <w:tab/>
      </w:r>
      <w:r>
        <w:rPr>
          <w:rFonts w:hint="eastAsia" w:ascii="宋体" w:hAnsi="宋体" w:eastAsia="宋体"/>
          <w:sz w:val="15"/>
          <w:szCs w:val="15"/>
        </w:rPr>
        <w:t>-生物需氧量；</w:t>
      </w:r>
      <w:r>
        <w:rPr>
          <w:rFonts w:ascii="宋体" w:hAnsi="宋体" w:eastAsia="宋体"/>
          <w:sz w:val="15"/>
          <w:szCs w:val="15"/>
        </w:rPr>
        <w:tab/>
      </w:r>
      <w:r>
        <w:rPr>
          <w:rFonts w:hint="eastAsia" w:ascii="宋体" w:hAnsi="宋体" w:eastAsia="宋体"/>
          <w:sz w:val="15"/>
          <w:szCs w:val="15"/>
        </w:rPr>
        <w:t xml:space="preserve">         -</w:t>
      </w:r>
      <w:r>
        <w:rPr>
          <w:rFonts w:ascii="宋体" w:hAnsi="宋体" w:eastAsia="宋体"/>
          <w:sz w:val="15"/>
          <w:szCs w:val="15"/>
        </w:rPr>
        <w:t>……</w:t>
      </w:r>
    </w:p>
    <w:p>
      <w:pPr>
        <w:tabs>
          <w:tab w:val="left" w:pos="1815"/>
        </w:tabs>
        <w:spacing w:line="160" w:lineRule="exact"/>
        <w:ind w:firstLine="420" w:firstLineChars="200"/>
        <w:jc w:val="left"/>
        <w:rPr>
          <w:rFonts w:ascii="宋体" w:hAnsi="宋体" w:eastAsia="宋体"/>
          <w:sz w:val="15"/>
          <w:szCs w:val="15"/>
        </w:rPr>
      </w:pPr>
      <w:r>
        <w:rPr>
          <w:rFonts w:ascii="宋体" w:hAnsi="宋体" w:eastAsia="宋体"/>
        </w:rPr>
        <w:tab/>
      </w:r>
      <w:r>
        <w:rPr>
          <w:rFonts w:hint="eastAsia" w:ascii="宋体" w:hAnsi="宋体" w:eastAsia="宋体"/>
          <w:sz w:val="15"/>
          <w:szCs w:val="15"/>
        </w:rPr>
        <w:t>-总锑、总砷；</w:t>
      </w:r>
    </w:p>
    <w:p>
      <w:pPr>
        <w:tabs>
          <w:tab w:val="left" w:pos="1855"/>
        </w:tabs>
        <w:spacing w:line="160" w:lineRule="exact"/>
        <w:ind w:firstLine="422" w:firstLineChars="200"/>
        <w:rPr>
          <w:rFonts w:ascii="宋体" w:hAnsi="宋体" w:eastAsia="宋体"/>
          <w:b/>
        </w:rPr>
      </w:pPr>
      <w:r>
        <w:rPr>
          <w:rFonts w:ascii="宋体" w:hAnsi="宋体" w:eastAsia="宋体"/>
          <w:b/>
        </w:rPr>
        <w:tab/>
      </w:r>
      <w:r>
        <w:rPr>
          <w:rFonts w:hint="eastAsia" w:ascii="宋体" w:hAnsi="宋体" w:eastAsia="宋体"/>
          <w:b/>
        </w:rPr>
        <w:t>-</w:t>
      </w:r>
      <w:r>
        <w:rPr>
          <w:rFonts w:ascii="宋体" w:hAnsi="宋体" w:eastAsia="宋体"/>
          <w:sz w:val="15"/>
          <w:szCs w:val="15"/>
        </w:rPr>
        <w:t>……</w:t>
      </w:r>
    </w:p>
    <w:p>
      <w:pPr>
        <w:ind w:firstLine="422" w:firstLineChars="200"/>
        <w:jc w:val="center"/>
        <w:rPr>
          <w:rFonts w:ascii="宋体" w:hAnsi="宋体" w:eastAsia="宋体"/>
          <w:b/>
        </w:rPr>
      </w:pPr>
    </w:p>
    <w:p>
      <w:pPr>
        <w:ind w:firstLine="422" w:firstLineChars="200"/>
        <w:jc w:val="center"/>
        <w:rPr>
          <w:rFonts w:ascii="宋体" w:hAnsi="宋体" w:eastAsia="宋体"/>
          <w:b/>
        </w:rPr>
      </w:pPr>
      <w:r>
        <w:rPr>
          <w:rFonts w:hint="eastAsia" w:ascii="宋体" w:hAnsi="宋体" w:eastAsia="宋体"/>
          <w:b/>
        </w:rPr>
        <w:t>图B.1  工序图：锑锭间接法生产三氧化二锑</w:t>
      </w:r>
    </w:p>
    <w:p>
      <w:pPr>
        <w:ind w:firstLine="422" w:firstLineChars="200"/>
        <w:jc w:val="center"/>
        <w:rPr>
          <w:rFonts w:ascii="宋体" w:hAnsi="宋体" w:eastAsia="宋体"/>
          <w:b/>
        </w:rPr>
      </w:pPr>
    </w:p>
    <w:p>
      <w:pPr>
        <w:ind w:firstLine="422" w:firstLineChars="200"/>
        <w:jc w:val="center"/>
        <w:rPr>
          <w:rFonts w:ascii="宋体" w:hAnsi="宋体" w:eastAsia="宋体"/>
          <w:b/>
        </w:rPr>
      </w:pPr>
      <w:r>
        <w:rPr>
          <w:rFonts w:hint="eastAsia" w:ascii="宋体" w:hAnsi="宋体" w:eastAsia="宋体"/>
          <w:b/>
        </w:rPr>
        <w:t>表B.1  单元过程数据收集表示例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276"/>
        <w:gridCol w:w="212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制表人：</w:t>
            </w:r>
          </w:p>
        </w:tc>
        <w:tc>
          <w:tcPr>
            <w:tcW w:w="4586" w:type="dxa"/>
            <w:gridSpan w:val="2"/>
          </w:tcPr>
          <w:p>
            <w:pPr>
              <w:jc w:val="left"/>
              <w:rPr>
                <w:rFonts w:ascii="宋体" w:hAnsi="宋体" w:eastAsia="宋体"/>
              </w:rPr>
            </w:pPr>
            <w:r>
              <w:rPr>
                <w:rFonts w:hint="eastAsia" w:ascii="宋体" w:hAnsi="宋体" w:eastAsia="宋体"/>
              </w:rPr>
              <w:t>制表日期：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单元过程名称：</w:t>
            </w:r>
          </w:p>
        </w:tc>
        <w:tc>
          <w:tcPr>
            <w:tcW w:w="4586" w:type="dxa"/>
            <w:gridSpan w:val="2"/>
          </w:tcPr>
          <w:p>
            <w:pPr>
              <w:jc w:val="left"/>
              <w:rPr>
                <w:rFonts w:ascii="宋体" w:hAnsi="宋体" w:eastAsia="宋体"/>
              </w:rPr>
            </w:pPr>
            <w:r>
              <w:rPr>
                <w:rFonts w:hint="eastAsia" w:ascii="宋体" w:hAnsi="宋体" w:eastAsia="宋体"/>
              </w:rPr>
              <w:t>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 xml:space="preserve">时段：       年     </w:t>
            </w:r>
          </w:p>
        </w:tc>
        <w:tc>
          <w:tcPr>
            <w:tcW w:w="2126" w:type="dxa"/>
          </w:tcPr>
          <w:p>
            <w:pPr>
              <w:jc w:val="left"/>
              <w:rPr>
                <w:rFonts w:ascii="宋体" w:hAnsi="宋体" w:eastAsia="宋体"/>
              </w:rPr>
            </w:pPr>
            <w:r>
              <w:rPr>
                <w:rFonts w:hint="eastAsia" w:ascii="宋体" w:hAnsi="宋体" w:eastAsia="宋体"/>
              </w:rPr>
              <w:t>起始月：</w:t>
            </w:r>
          </w:p>
        </w:tc>
        <w:tc>
          <w:tcPr>
            <w:tcW w:w="2460" w:type="dxa"/>
          </w:tcPr>
          <w:p>
            <w:pPr>
              <w:jc w:val="left"/>
              <w:rPr>
                <w:rFonts w:ascii="宋体" w:hAnsi="宋体" w:eastAsia="宋体"/>
              </w:rPr>
            </w:pPr>
            <w:r>
              <w:rPr>
                <w:rFonts w:hint="eastAsia" w:ascii="宋体" w:hAnsi="宋体" w:eastAsia="宋体"/>
              </w:rPr>
              <w:t>终止月：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5"/>
          </w:tcPr>
          <w:p>
            <w:pPr>
              <w:jc w:val="left"/>
              <w:rPr>
                <w:rFonts w:ascii="宋体" w:hAnsi="宋体" w:eastAsia="宋体"/>
              </w:rPr>
            </w:pPr>
            <w:r>
              <w:rPr>
                <w:rFonts w:hint="eastAsia" w:ascii="宋体" w:hAnsi="宋体" w:eastAsia="宋体"/>
              </w:rPr>
              <w:t>单元过程表述（如需要可加附页）：</w:t>
            </w:r>
          </w:p>
          <w:p>
            <w:pPr>
              <w:jc w:val="left"/>
              <w:rPr>
                <w:rFonts w:ascii="宋体" w:hAnsi="宋体" w:eastAsia="宋体"/>
              </w:rPr>
            </w:pPr>
          </w:p>
          <w:p>
            <w:pPr>
              <w:jc w:val="left"/>
              <w:rPr>
                <w:rFonts w:ascii="宋体" w:hAnsi="宋体" w:eastAsia="宋体"/>
              </w:rPr>
            </w:pPr>
          </w:p>
          <w:p>
            <w:pPr>
              <w:jc w:val="left"/>
              <w:rPr>
                <w:rFonts w:ascii="宋体" w:hAnsi="宋体" w:eastAsia="宋体"/>
              </w:rPr>
            </w:pPr>
          </w:p>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r>
              <w:rPr>
                <w:rFonts w:hint="eastAsia" w:ascii="宋体" w:hAnsi="宋体" w:eastAsia="宋体"/>
              </w:rPr>
              <w:t>材料输入</w:t>
            </w:r>
          </w:p>
        </w:tc>
        <w:tc>
          <w:tcPr>
            <w:tcW w:w="1134" w:type="dxa"/>
          </w:tcPr>
          <w:p>
            <w:pPr>
              <w:jc w:val="left"/>
              <w:rPr>
                <w:rFonts w:ascii="宋体" w:hAnsi="宋体" w:eastAsia="宋体"/>
              </w:rPr>
            </w:pPr>
            <w:r>
              <w:rPr>
                <w:rFonts w:hint="eastAsia" w:ascii="宋体" w:hAnsi="宋体" w:eastAsia="宋体"/>
              </w:rPr>
              <w:t>单位</w:t>
            </w:r>
          </w:p>
        </w:tc>
        <w:tc>
          <w:tcPr>
            <w:tcW w:w="1276" w:type="dxa"/>
          </w:tcPr>
          <w:p>
            <w:pPr>
              <w:jc w:val="left"/>
              <w:rPr>
                <w:rFonts w:ascii="宋体" w:hAnsi="宋体" w:eastAsia="宋体"/>
              </w:rPr>
            </w:pPr>
            <w:r>
              <w:rPr>
                <w:rFonts w:hint="eastAsia" w:ascii="宋体" w:hAnsi="宋体" w:eastAsia="宋体"/>
              </w:rPr>
              <w:t>数量</w:t>
            </w:r>
          </w:p>
        </w:tc>
        <w:tc>
          <w:tcPr>
            <w:tcW w:w="2126" w:type="dxa"/>
          </w:tcPr>
          <w:p>
            <w:pPr>
              <w:jc w:val="left"/>
              <w:rPr>
                <w:rFonts w:ascii="宋体" w:hAnsi="宋体" w:eastAsia="宋体"/>
              </w:rPr>
            </w:pPr>
            <w:r>
              <w:rPr>
                <w:rFonts w:hint="eastAsia" w:ascii="宋体" w:hAnsi="宋体" w:eastAsia="宋体"/>
              </w:rPr>
              <w:t>取样程序描述</w:t>
            </w:r>
          </w:p>
        </w:tc>
        <w:tc>
          <w:tcPr>
            <w:tcW w:w="2460" w:type="dxa"/>
          </w:tcPr>
          <w:p>
            <w:pPr>
              <w:jc w:val="left"/>
              <w:rPr>
                <w:rFonts w:ascii="宋体" w:hAnsi="宋体" w:eastAsia="宋体"/>
              </w:rPr>
            </w:pPr>
            <w:r>
              <w:rPr>
                <w:rFonts w:hint="eastAsia" w:ascii="宋体" w:hAnsi="宋体" w:eastAsia="宋体"/>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r>
              <w:rPr>
                <w:rFonts w:hint="eastAsia" w:ascii="宋体" w:hAnsi="宋体" w:eastAsia="宋体"/>
              </w:rPr>
              <w:t>能量输入</w:t>
            </w:r>
            <w:r>
              <w:rPr>
                <w:rFonts w:hint="eastAsia" w:ascii="宋体" w:hAnsi="宋体" w:eastAsia="宋体"/>
                <w:sz w:val="24"/>
                <w:vertAlign w:val="superscript"/>
              </w:rPr>
              <w:t>a</w:t>
            </w:r>
          </w:p>
        </w:tc>
        <w:tc>
          <w:tcPr>
            <w:tcW w:w="1134" w:type="dxa"/>
          </w:tcPr>
          <w:p>
            <w:pPr>
              <w:jc w:val="left"/>
              <w:rPr>
                <w:rFonts w:ascii="宋体" w:hAnsi="宋体" w:eastAsia="宋体"/>
              </w:rPr>
            </w:pPr>
            <w:r>
              <w:rPr>
                <w:rFonts w:hint="eastAsia" w:ascii="宋体" w:hAnsi="宋体" w:eastAsia="宋体"/>
              </w:rPr>
              <w:t>单位</w:t>
            </w:r>
          </w:p>
        </w:tc>
        <w:tc>
          <w:tcPr>
            <w:tcW w:w="1276" w:type="dxa"/>
          </w:tcPr>
          <w:p>
            <w:pPr>
              <w:jc w:val="left"/>
              <w:rPr>
                <w:rFonts w:ascii="宋体" w:hAnsi="宋体" w:eastAsia="宋体"/>
              </w:rPr>
            </w:pPr>
            <w:r>
              <w:rPr>
                <w:rFonts w:hint="eastAsia" w:ascii="宋体" w:hAnsi="宋体" w:eastAsia="宋体"/>
              </w:rPr>
              <w:t>数量</w:t>
            </w:r>
          </w:p>
        </w:tc>
        <w:tc>
          <w:tcPr>
            <w:tcW w:w="2126" w:type="dxa"/>
          </w:tcPr>
          <w:p>
            <w:pPr>
              <w:jc w:val="left"/>
              <w:rPr>
                <w:rFonts w:ascii="宋体" w:hAnsi="宋体" w:eastAsia="宋体"/>
              </w:rPr>
            </w:pPr>
            <w:r>
              <w:rPr>
                <w:rFonts w:hint="eastAsia" w:ascii="宋体" w:hAnsi="宋体" w:eastAsia="宋体"/>
              </w:rPr>
              <w:t>取样程序描述</w:t>
            </w:r>
          </w:p>
        </w:tc>
        <w:tc>
          <w:tcPr>
            <w:tcW w:w="2460" w:type="dxa"/>
          </w:tcPr>
          <w:p>
            <w:pPr>
              <w:jc w:val="left"/>
              <w:rPr>
                <w:rFonts w:ascii="宋体" w:hAnsi="宋体" w:eastAsia="宋体"/>
              </w:rPr>
            </w:pPr>
            <w:r>
              <w:rPr>
                <w:rFonts w:hint="eastAsia" w:ascii="宋体" w:hAnsi="宋体" w:eastAsia="宋体"/>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制表人：</w:t>
            </w:r>
          </w:p>
        </w:tc>
        <w:tc>
          <w:tcPr>
            <w:tcW w:w="4586" w:type="dxa"/>
            <w:gridSpan w:val="2"/>
          </w:tcPr>
          <w:p>
            <w:pPr>
              <w:jc w:val="left"/>
              <w:rPr>
                <w:rFonts w:ascii="宋体" w:hAnsi="宋体" w:eastAsia="宋体"/>
              </w:rPr>
            </w:pPr>
            <w:r>
              <w:rPr>
                <w:rFonts w:hint="eastAsia" w:ascii="宋体" w:hAnsi="宋体" w:eastAsia="宋体"/>
              </w:rPr>
              <w:t>制表日期：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单元过程名称：</w:t>
            </w:r>
          </w:p>
        </w:tc>
        <w:tc>
          <w:tcPr>
            <w:tcW w:w="4586" w:type="dxa"/>
            <w:gridSpan w:val="2"/>
          </w:tcPr>
          <w:p>
            <w:pPr>
              <w:jc w:val="left"/>
              <w:rPr>
                <w:rFonts w:ascii="宋体" w:hAnsi="宋体" w:eastAsia="宋体"/>
              </w:rPr>
            </w:pPr>
            <w:r>
              <w:rPr>
                <w:rFonts w:hint="eastAsia" w:ascii="宋体" w:hAnsi="宋体" w:eastAsia="宋体"/>
              </w:rPr>
              <w:t>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 xml:space="preserve">时段：         年 </w:t>
            </w:r>
          </w:p>
        </w:tc>
        <w:tc>
          <w:tcPr>
            <w:tcW w:w="2126" w:type="dxa"/>
          </w:tcPr>
          <w:p>
            <w:pPr>
              <w:jc w:val="left"/>
              <w:rPr>
                <w:rFonts w:ascii="宋体" w:hAnsi="宋体" w:eastAsia="宋体"/>
              </w:rPr>
            </w:pPr>
            <w:r>
              <w:rPr>
                <w:rFonts w:hint="eastAsia" w:ascii="宋体" w:hAnsi="宋体" w:eastAsia="宋体"/>
              </w:rPr>
              <w:t>起始月：</w:t>
            </w:r>
          </w:p>
        </w:tc>
        <w:tc>
          <w:tcPr>
            <w:tcW w:w="2460" w:type="dxa"/>
          </w:tcPr>
          <w:p>
            <w:pPr>
              <w:jc w:val="left"/>
              <w:rPr>
                <w:rFonts w:ascii="宋体" w:hAnsi="宋体" w:eastAsia="宋体"/>
              </w:rPr>
            </w:pPr>
            <w:r>
              <w:rPr>
                <w:rFonts w:hint="eastAsia" w:ascii="宋体" w:hAnsi="宋体" w:eastAsia="宋体"/>
              </w:rPr>
              <w:t>终止月：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5"/>
          </w:tcPr>
          <w:p>
            <w:pPr>
              <w:jc w:val="left"/>
              <w:rPr>
                <w:rFonts w:ascii="宋体" w:hAnsi="宋体" w:eastAsia="宋体"/>
              </w:rPr>
            </w:pPr>
            <w:r>
              <w:rPr>
                <w:rFonts w:hint="eastAsia" w:ascii="宋体" w:hAnsi="宋体" w:eastAsia="宋体"/>
              </w:rPr>
              <w:t>单元过程表述（如需要可加附页）：</w:t>
            </w:r>
          </w:p>
          <w:p>
            <w:pPr>
              <w:jc w:val="left"/>
              <w:rPr>
                <w:rFonts w:ascii="宋体" w:hAnsi="宋体" w:eastAsia="宋体"/>
              </w:rPr>
            </w:pPr>
          </w:p>
          <w:p>
            <w:pPr>
              <w:jc w:val="left"/>
              <w:rPr>
                <w:rFonts w:ascii="宋体" w:hAnsi="宋体" w:eastAsia="宋体"/>
              </w:rPr>
            </w:pPr>
          </w:p>
          <w:p>
            <w:pPr>
              <w:jc w:val="left"/>
              <w:rPr>
                <w:rFonts w:ascii="宋体" w:hAnsi="宋体" w:eastAsia="宋体"/>
              </w:rPr>
            </w:pPr>
          </w:p>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r>
              <w:rPr>
                <w:rFonts w:hint="eastAsia" w:ascii="宋体" w:hAnsi="宋体" w:eastAsia="宋体"/>
              </w:rPr>
              <w:t>材料输出</w:t>
            </w:r>
          </w:p>
          <w:p>
            <w:pPr>
              <w:jc w:val="left"/>
              <w:rPr>
                <w:rFonts w:ascii="宋体" w:hAnsi="宋体" w:eastAsia="宋体"/>
              </w:rPr>
            </w:pPr>
            <w:r>
              <w:rPr>
                <w:rFonts w:hint="eastAsia" w:ascii="宋体" w:hAnsi="宋体" w:eastAsia="宋体"/>
              </w:rPr>
              <w:t>（包括产品）</w:t>
            </w:r>
          </w:p>
        </w:tc>
        <w:tc>
          <w:tcPr>
            <w:tcW w:w="1134" w:type="dxa"/>
          </w:tcPr>
          <w:p>
            <w:pPr>
              <w:jc w:val="left"/>
              <w:rPr>
                <w:rFonts w:ascii="宋体" w:hAnsi="宋体" w:eastAsia="宋体"/>
              </w:rPr>
            </w:pPr>
            <w:r>
              <w:rPr>
                <w:rFonts w:hint="eastAsia" w:ascii="宋体" w:hAnsi="宋体" w:eastAsia="宋体"/>
              </w:rPr>
              <w:t>单位</w:t>
            </w:r>
          </w:p>
        </w:tc>
        <w:tc>
          <w:tcPr>
            <w:tcW w:w="1276" w:type="dxa"/>
          </w:tcPr>
          <w:p>
            <w:pPr>
              <w:jc w:val="left"/>
              <w:rPr>
                <w:rFonts w:ascii="宋体" w:hAnsi="宋体" w:eastAsia="宋体"/>
              </w:rPr>
            </w:pPr>
            <w:r>
              <w:rPr>
                <w:rFonts w:hint="eastAsia" w:ascii="宋体" w:hAnsi="宋体" w:eastAsia="宋体"/>
              </w:rPr>
              <w:t>数量</w:t>
            </w:r>
          </w:p>
        </w:tc>
        <w:tc>
          <w:tcPr>
            <w:tcW w:w="2126" w:type="dxa"/>
          </w:tcPr>
          <w:p>
            <w:pPr>
              <w:jc w:val="left"/>
              <w:rPr>
                <w:rFonts w:ascii="宋体" w:hAnsi="宋体" w:eastAsia="宋体"/>
              </w:rPr>
            </w:pPr>
            <w:r>
              <w:rPr>
                <w:rFonts w:hint="eastAsia" w:ascii="宋体" w:hAnsi="宋体" w:eastAsia="宋体"/>
              </w:rPr>
              <w:t>取样程序描述</w:t>
            </w:r>
          </w:p>
        </w:tc>
        <w:tc>
          <w:tcPr>
            <w:tcW w:w="2460" w:type="dxa"/>
          </w:tcPr>
          <w:p>
            <w:pPr>
              <w:jc w:val="left"/>
              <w:rPr>
                <w:rFonts w:ascii="宋体" w:hAnsi="宋体" w:eastAsia="宋体"/>
              </w:rPr>
            </w:pPr>
            <w:r>
              <w:rPr>
                <w:rFonts w:hint="eastAsia" w:ascii="宋体" w:hAnsi="宋体" w:eastAsia="宋体"/>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r>
              <w:rPr>
                <w:rFonts w:hint="eastAsia" w:ascii="宋体" w:hAnsi="宋体" w:eastAsia="宋体"/>
              </w:rPr>
              <w:t>向空气排放</w:t>
            </w:r>
            <w:r>
              <w:rPr>
                <w:rFonts w:hint="eastAsia" w:ascii="宋体" w:hAnsi="宋体" w:eastAsia="宋体"/>
                <w:sz w:val="24"/>
                <w:vertAlign w:val="superscript"/>
              </w:rPr>
              <w:t>b</w:t>
            </w:r>
          </w:p>
        </w:tc>
        <w:tc>
          <w:tcPr>
            <w:tcW w:w="1134" w:type="dxa"/>
          </w:tcPr>
          <w:p>
            <w:pPr>
              <w:jc w:val="left"/>
              <w:rPr>
                <w:rFonts w:ascii="宋体" w:hAnsi="宋体" w:eastAsia="宋体"/>
              </w:rPr>
            </w:pPr>
            <w:r>
              <w:rPr>
                <w:rFonts w:hint="eastAsia" w:ascii="宋体" w:hAnsi="宋体" w:eastAsia="宋体"/>
              </w:rPr>
              <w:t>单位</w:t>
            </w:r>
          </w:p>
        </w:tc>
        <w:tc>
          <w:tcPr>
            <w:tcW w:w="1276" w:type="dxa"/>
          </w:tcPr>
          <w:p>
            <w:pPr>
              <w:jc w:val="left"/>
              <w:rPr>
                <w:rFonts w:ascii="宋体" w:hAnsi="宋体" w:eastAsia="宋体"/>
              </w:rPr>
            </w:pPr>
            <w:r>
              <w:rPr>
                <w:rFonts w:hint="eastAsia" w:ascii="宋体" w:hAnsi="宋体" w:eastAsia="宋体"/>
              </w:rPr>
              <w:t>数量</w:t>
            </w:r>
          </w:p>
        </w:tc>
        <w:tc>
          <w:tcPr>
            <w:tcW w:w="2126" w:type="dxa"/>
          </w:tcPr>
          <w:p>
            <w:pPr>
              <w:jc w:val="left"/>
              <w:rPr>
                <w:rFonts w:ascii="宋体" w:hAnsi="宋体" w:eastAsia="宋体"/>
              </w:rPr>
            </w:pPr>
            <w:r>
              <w:rPr>
                <w:rFonts w:hint="eastAsia" w:ascii="宋体" w:hAnsi="宋体" w:eastAsia="宋体"/>
              </w:rPr>
              <w:t>取样程序描述</w:t>
            </w: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r>
              <w:rPr>
                <w:rFonts w:hint="eastAsia" w:ascii="宋体" w:hAnsi="宋体" w:eastAsia="宋体"/>
              </w:rPr>
              <w:t>向水体排放</w:t>
            </w:r>
            <w:r>
              <w:rPr>
                <w:rFonts w:hint="eastAsia" w:ascii="宋体" w:hAnsi="宋体" w:eastAsia="宋体"/>
                <w:sz w:val="24"/>
                <w:vertAlign w:val="superscript"/>
              </w:rPr>
              <w:t>c</w:t>
            </w:r>
          </w:p>
        </w:tc>
        <w:tc>
          <w:tcPr>
            <w:tcW w:w="1134" w:type="dxa"/>
          </w:tcPr>
          <w:p>
            <w:pPr>
              <w:jc w:val="left"/>
              <w:rPr>
                <w:rFonts w:ascii="宋体" w:hAnsi="宋体" w:eastAsia="宋体"/>
              </w:rPr>
            </w:pPr>
            <w:r>
              <w:rPr>
                <w:rFonts w:hint="eastAsia" w:ascii="宋体" w:hAnsi="宋体" w:eastAsia="宋体"/>
              </w:rPr>
              <w:t>单位</w:t>
            </w:r>
          </w:p>
        </w:tc>
        <w:tc>
          <w:tcPr>
            <w:tcW w:w="1276" w:type="dxa"/>
          </w:tcPr>
          <w:p>
            <w:pPr>
              <w:jc w:val="left"/>
              <w:rPr>
                <w:rFonts w:ascii="宋体" w:hAnsi="宋体" w:eastAsia="宋体"/>
              </w:rPr>
            </w:pPr>
            <w:r>
              <w:rPr>
                <w:rFonts w:hint="eastAsia" w:ascii="宋体" w:hAnsi="宋体" w:eastAsia="宋体"/>
              </w:rPr>
              <w:t>数量</w:t>
            </w:r>
          </w:p>
        </w:tc>
        <w:tc>
          <w:tcPr>
            <w:tcW w:w="2126" w:type="dxa"/>
          </w:tcPr>
          <w:p>
            <w:pPr>
              <w:jc w:val="left"/>
              <w:rPr>
                <w:rFonts w:ascii="宋体" w:hAnsi="宋体" w:eastAsia="宋体"/>
              </w:rPr>
            </w:pPr>
            <w:r>
              <w:rPr>
                <w:rFonts w:hint="eastAsia" w:ascii="宋体" w:hAnsi="宋体" w:eastAsia="宋体"/>
              </w:rPr>
              <w:t>取样程序描述</w:t>
            </w: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r>
              <w:rPr>
                <w:rFonts w:hint="eastAsia" w:ascii="宋体" w:hAnsi="宋体" w:eastAsia="宋体"/>
              </w:rPr>
              <w:t>向土壤排放</w:t>
            </w:r>
            <w:r>
              <w:rPr>
                <w:rFonts w:hint="eastAsia" w:ascii="宋体" w:hAnsi="宋体" w:eastAsia="宋体"/>
                <w:sz w:val="24"/>
                <w:vertAlign w:val="superscript"/>
              </w:rPr>
              <w:t>d</w:t>
            </w:r>
          </w:p>
        </w:tc>
        <w:tc>
          <w:tcPr>
            <w:tcW w:w="1134" w:type="dxa"/>
          </w:tcPr>
          <w:p>
            <w:pPr>
              <w:jc w:val="left"/>
              <w:rPr>
                <w:rFonts w:ascii="宋体" w:hAnsi="宋体" w:eastAsia="宋体"/>
              </w:rPr>
            </w:pPr>
            <w:r>
              <w:rPr>
                <w:rFonts w:hint="eastAsia" w:ascii="宋体" w:hAnsi="宋体" w:eastAsia="宋体"/>
              </w:rPr>
              <w:t>单位</w:t>
            </w:r>
          </w:p>
        </w:tc>
        <w:tc>
          <w:tcPr>
            <w:tcW w:w="1276" w:type="dxa"/>
          </w:tcPr>
          <w:p>
            <w:pPr>
              <w:jc w:val="left"/>
              <w:rPr>
                <w:rFonts w:ascii="宋体" w:hAnsi="宋体" w:eastAsia="宋体"/>
              </w:rPr>
            </w:pPr>
            <w:r>
              <w:rPr>
                <w:rFonts w:hint="eastAsia" w:ascii="宋体" w:hAnsi="宋体" w:eastAsia="宋体"/>
              </w:rPr>
              <w:t>数量</w:t>
            </w:r>
          </w:p>
        </w:tc>
        <w:tc>
          <w:tcPr>
            <w:tcW w:w="2126" w:type="dxa"/>
          </w:tcPr>
          <w:p>
            <w:pPr>
              <w:jc w:val="left"/>
              <w:rPr>
                <w:rFonts w:ascii="宋体" w:hAnsi="宋体" w:eastAsia="宋体"/>
              </w:rPr>
            </w:pPr>
            <w:r>
              <w:rPr>
                <w:rFonts w:hint="eastAsia" w:ascii="宋体" w:hAnsi="宋体" w:eastAsia="宋体"/>
              </w:rPr>
              <w:t>取样程序描述</w:t>
            </w: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r>
              <w:rPr>
                <w:rFonts w:hint="eastAsia" w:ascii="宋体" w:hAnsi="宋体" w:eastAsia="宋体"/>
              </w:rPr>
              <w:t>其他排放</w:t>
            </w:r>
          </w:p>
        </w:tc>
        <w:tc>
          <w:tcPr>
            <w:tcW w:w="1134" w:type="dxa"/>
          </w:tcPr>
          <w:p>
            <w:pPr>
              <w:jc w:val="left"/>
              <w:rPr>
                <w:rFonts w:ascii="宋体" w:hAnsi="宋体" w:eastAsia="宋体"/>
              </w:rPr>
            </w:pPr>
            <w:r>
              <w:rPr>
                <w:rFonts w:hint="eastAsia" w:ascii="宋体" w:hAnsi="宋体" w:eastAsia="宋体"/>
              </w:rPr>
              <w:t>单位</w:t>
            </w:r>
          </w:p>
        </w:tc>
        <w:tc>
          <w:tcPr>
            <w:tcW w:w="1276" w:type="dxa"/>
          </w:tcPr>
          <w:p>
            <w:pPr>
              <w:jc w:val="left"/>
              <w:rPr>
                <w:rFonts w:ascii="宋体" w:hAnsi="宋体" w:eastAsia="宋体"/>
              </w:rPr>
            </w:pPr>
            <w:r>
              <w:rPr>
                <w:rFonts w:hint="eastAsia" w:ascii="宋体" w:hAnsi="宋体" w:eastAsia="宋体"/>
              </w:rPr>
              <w:t>数量</w:t>
            </w:r>
          </w:p>
        </w:tc>
        <w:tc>
          <w:tcPr>
            <w:tcW w:w="2126" w:type="dxa"/>
          </w:tcPr>
          <w:p>
            <w:pPr>
              <w:jc w:val="left"/>
              <w:rPr>
                <w:rFonts w:ascii="宋体" w:hAnsi="宋体" w:eastAsia="宋体"/>
              </w:rPr>
            </w:pPr>
            <w:r>
              <w:rPr>
                <w:rFonts w:hint="eastAsia" w:ascii="宋体" w:hAnsi="宋体" w:eastAsia="宋体"/>
              </w:rPr>
              <w:t>取样程序描述</w:t>
            </w: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jc w:val="left"/>
              <w:rPr>
                <w:rFonts w:ascii="宋体" w:hAnsi="宋体" w:eastAsia="宋体"/>
              </w:rPr>
            </w:pPr>
          </w:p>
        </w:tc>
        <w:tc>
          <w:tcPr>
            <w:tcW w:w="1134" w:type="dxa"/>
          </w:tcPr>
          <w:p>
            <w:pPr>
              <w:jc w:val="left"/>
              <w:rPr>
                <w:rFonts w:ascii="宋体" w:hAnsi="宋体" w:eastAsia="宋体"/>
              </w:rPr>
            </w:pPr>
          </w:p>
        </w:tc>
        <w:tc>
          <w:tcPr>
            <w:tcW w:w="1276" w:type="dxa"/>
          </w:tcPr>
          <w:p>
            <w:pPr>
              <w:jc w:val="left"/>
              <w:rPr>
                <w:rFonts w:ascii="宋体" w:hAnsi="宋体" w:eastAsia="宋体"/>
              </w:rPr>
            </w:pPr>
          </w:p>
        </w:tc>
        <w:tc>
          <w:tcPr>
            <w:tcW w:w="2126" w:type="dxa"/>
          </w:tcPr>
          <w:p>
            <w:pPr>
              <w:jc w:val="left"/>
              <w:rPr>
                <w:rFonts w:ascii="宋体" w:hAnsi="宋体" w:eastAsia="宋体"/>
              </w:rPr>
            </w:pPr>
          </w:p>
        </w:tc>
        <w:tc>
          <w:tcPr>
            <w:tcW w:w="2460" w:type="dxa"/>
          </w:tcPr>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制表人：</w:t>
            </w:r>
          </w:p>
        </w:tc>
        <w:tc>
          <w:tcPr>
            <w:tcW w:w="4586" w:type="dxa"/>
            <w:gridSpan w:val="2"/>
          </w:tcPr>
          <w:p>
            <w:pPr>
              <w:jc w:val="left"/>
              <w:rPr>
                <w:rFonts w:ascii="宋体" w:hAnsi="宋体" w:eastAsia="宋体"/>
              </w:rPr>
            </w:pPr>
            <w:r>
              <w:rPr>
                <w:rFonts w:hint="eastAsia" w:ascii="宋体" w:hAnsi="宋体" w:eastAsia="宋体"/>
              </w:rPr>
              <w:t>制表日期：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单元过程名称：</w:t>
            </w:r>
          </w:p>
        </w:tc>
        <w:tc>
          <w:tcPr>
            <w:tcW w:w="4586" w:type="dxa"/>
            <w:gridSpan w:val="2"/>
          </w:tcPr>
          <w:p>
            <w:pPr>
              <w:jc w:val="left"/>
              <w:rPr>
                <w:rFonts w:ascii="宋体" w:hAnsi="宋体" w:eastAsia="宋体"/>
              </w:rPr>
            </w:pPr>
            <w:r>
              <w:rPr>
                <w:rFonts w:hint="eastAsia" w:ascii="宋体" w:hAnsi="宋体" w:eastAsia="宋体"/>
              </w:rPr>
              <w:t>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tcPr>
          <w:p>
            <w:pPr>
              <w:jc w:val="left"/>
              <w:rPr>
                <w:rFonts w:ascii="宋体" w:hAnsi="宋体" w:eastAsia="宋体"/>
              </w:rPr>
            </w:pPr>
            <w:r>
              <w:rPr>
                <w:rFonts w:hint="eastAsia" w:ascii="宋体" w:hAnsi="宋体" w:eastAsia="宋体"/>
              </w:rPr>
              <w:t xml:space="preserve">时段：      年  </w:t>
            </w:r>
          </w:p>
        </w:tc>
        <w:tc>
          <w:tcPr>
            <w:tcW w:w="2126" w:type="dxa"/>
          </w:tcPr>
          <w:p>
            <w:pPr>
              <w:jc w:val="left"/>
              <w:rPr>
                <w:rFonts w:ascii="宋体" w:hAnsi="宋体" w:eastAsia="宋体"/>
              </w:rPr>
            </w:pPr>
            <w:r>
              <w:rPr>
                <w:rFonts w:hint="eastAsia" w:ascii="宋体" w:hAnsi="宋体" w:eastAsia="宋体"/>
              </w:rPr>
              <w:t>起始月：</w:t>
            </w:r>
          </w:p>
        </w:tc>
        <w:tc>
          <w:tcPr>
            <w:tcW w:w="2460" w:type="dxa"/>
          </w:tcPr>
          <w:p>
            <w:pPr>
              <w:jc w:val="left"/>
              <w:rPr>
                <w:rFonts w:ascii="宋体" w:hAnsi="宋体" w:eastAsia="宋体"/>
              </w:rPr>
            </w:pPr>
            <w:r>
              <w:rPr>
                <w:rFonts w:hint="eastAsia" w:ascii="宋体" w:hAnsi="宋体" w:eastAsia="宋体"/>
              </w:rPr>
              <w:t>终止月：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5"/>
          </w:tcPr>
          <w:p>
            <w:pPr>
              <w:jc w:val="left"/>
              <w:rPr>
                <w:rFonts w:ascii="宋体" w:hAnsi="宋体" w:eastAsia="宋体"/>
              </w:rPr>
            </w:pPr>
            <w:r>
              <w:rPr>
                <w:rFonts w:hint="eastAsia" w:ascii="宋体" w:hAnsi="宋体" w:eastAsia="宋体"/>
              </w:rPr>
              <w:t>注：</w:t>
            </w:r>
            <w:r>
              <w:rPr>
                <w:rFonts w:hint="eastAsia" w:ascii="宋体" w:eastAsia="宋体" w:cs="宋体"/>
                <w:kern w:val="0"/>
                <w:szCs w:val="21"/>
              </w:rPr>
              <w:t>此数据收集表中的数据是指规定时段内所有未分配的输入和输出。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jc w:val="left"/>
              <w:rPr>
                <w:rFonts w:ascii="宋体" w:hAnsi="宋体" w:eastAsia="宋体"/>
              </w:rPr>
            </w:pPr>
            <w:r>
              <w:rPr>
                <w:rFonts w:hint="eastAsia" w:ascii="宋体" w:hAnsi="宋体" w:eastAsia="宋体"/>
              </w:rPr>
              <w:t>a 例如煤、焦炭、燃料油、煤油、汽油、天然气、煤气、网电。</w:t>
            </w:r>
          </w:p>
          <w:p>
            <w:pPr>
              <w:jc w:val="left"/>
              <w:rPr>
                <w:rFonts w:ascii="宋体" w:hAnsi="宋体" w:eastAsia="宋体"/>
              </w:rPr>
            </w:pPr>
            <w:r>
              <w:rPr>
                <w:rFonts w:hint="eastAsia" w:ascii="宋体" w:hAnsi="宋体" w:eastAsia="宋体"/>
              </w:rPr>
              <w:t>b 例如无机物：CO2、CO、粉尘/颗粒物；金属：As、Pb、Sb、Hg。</w:t>
            </w:r>
          </w:p>
          <w:p>
            <w:pPr>
              <w:jc w:val="left"/>
              <w:rPr>
                <w:rFonts w:ascii="宋体" w:hAnsi="宋体" w:eastAsia="宋体"/>
              </w:rPr>
            </w:pPr>
            <w:r>
              <w:rPr>
                <w:rFonts w:hint="eastAsia" w:ascii="宋体" w:hAnsi="宋体" w:eastAsia="宋体"/>
              </w:rPr>
              <w:t>c 例如，生化需氧量（BOD）、化学需氧量（COD）、酸、Fe</w:t>
            </w:r>
            <w:r>
              <w:rPr>
                <w:rFonts w:hint="eastAsia" w:ascii="宋体" w:hAnsi="宋体" w:eastAsia="宋体"/>
                <w:sz w:val="24"/>
                <w:vertAlign w:val="superscript"/>
              </w:rPr>
              <w:t>2+</w:t>
            </w:r>
            <w:r>
              <w:rPr>
                <w:rFonts w:hint="eastAsia" w:ascii="宋体" w:hAnsi="宋体" w:eastAsia="宋体"/>
              </w:rPr>
              <w:t>、Hg</w:t>
            </w:r>
            <w:r>
              <w:rPr>
                <w:rFonts w:hint="eastAsia" w:ascii="宋体" w:hAnsi="宋体" w:eastAsia="宋体"/>
                <w:sz w:val="24"/>
                <w:vertAlign w:val="superscript"/>
              </w:rPr>
              <w:t>+</w:t>
            </w:r>
            <w:r>
              <w:rPr>
                <w:rFonts w:hint="eastAsia" w:ascii="宋体" w:hAnsi="宋体" w:eastAsia="宋体"/>
              </w:rPr>
              <w:t>、</w:t>
            </w:r>
            <w:r>
              <w:rPr>
                <w:rFonts w:ascii="Calibri" w:hAnsi="Calibri" w:cs="Calibri"/>
                <w:kern w:val="0"/>
                <w:sz w:val="18"/>
                <w:szCs w:val="18"/>
              </w:rPr>
              <w:t>Na</w:t>
            </w:r>
            <w:r>
              <w:rPr>
                <w:rFonts w:ascii="Calibri" w:hAnsi="Calibri" w:cs="Calibri"/>
                <w:kern w:val="0"/>
                <w:sz w:val="24"/>
                <w:szCs w:val="12"/>
                <w:vertAlign w:val="superscript"/>
              </w:rPr>
              <w:t>+</w:t>
            </w:r>
            <w:r>
              <w:rPr>
                <w:rFonts w:hint="eastAsia" w:ascii="宋体" w:hAnsi="宋体" w:eastAsia="宋体"/>
              </w:rPr>
              <w:t>、NH4</w:t>
            </w:r>
            <w:r>
              <w:rPr>
                <w:rFonts w:hint="eastAsia" w:ascii="宋体" w:hAnsi="宋体" w:eastAsia="宋体"/>
                <w:sz w:val="24"/>
                <w:vertAlign w:val="superscript"/>
              </w:rPr>
              <w:t>+</w:t>
            </w:r>
            <w:r>
              <w:rPr>
                <w:rFonts w:hint="eastAsia" w:ascii="宋体" w:hAnsi="宋体" w:eastAsia="宋体"/>
              </w:rPr>
              <w:t>、NO3</w:t>
            </w:r>
            <w:r>
              <w:rPr>
                <w:rFonts w:hint="eastAsia" w:ascii="宋体" w:hAnsi="宋体" w:eastAsia="宋体"/>
                <w:sz w:val="24"/>
                <w:vertAlign w:val="superscript"/>
              </w:rPr>
              <w:t>-</w:t>
            </w:r>
            <w:r>
              <w:rPr>
                <w:rFonts w:hint="eastAsia" w:ascii="宋体" w:hAnsi="宋体" w:eastAsia="宋体"/>
              </w:rPr>
              <w:t>、其他金属、其他氮化合物、磷酸盐、SO4</w:t>
            </w:r>
            <w:r>
              <w:rPr>
                <w:rFonts w:hint="eastAsia" w:ascii="宋体" w:hAnsi="宋体" w:eastAsia="宋体"/>
                <w:sz w:val="24"/>
                <w:vertAlign w:val="superscript"/>
              </w:rPr>
              <w:t>2-</w:t>
            </w:r>
            <w:r>
              <w:rPr>
                <w:rFonts w:hint="eastAsia" w:ascii="宋体" w:hAnsi="宋体" w:eastAsia="宋体"/>
              </w:rPr>
              <w:t>、悬浮物。</w:t>
            </w:r>
          </w:p>
          <w:p>
            <w:pPr>
              <w:jc w:val="left"/>
              <w:rPr>
                <w:rFonts w:ascii="宋体" w:hAnsi="宋体" w:eastAsia="宋体"/>
              </w:rPr>
            </w:pPr>
            <w:r>
              <w:rPr>
                <w:rFonts w:hint="eastAsia" w:ascii="宋体" w:hAnsi="宋体" w:eastAsia="宋体"/>
              </w:rPr>
              <w:t>d 例如，固体废物、危险废物。</w:t>
            </w:r>
          </w:p>
        </w:tc>
      </w:tr>
    </w:tbl>
    <w:p>
      <w:pPr>
        <w:ind w:firstLine="420" w:firstLineChars="200"/>
        <w:jc w:val="left"/>
        <w:rPr>
          <w:rFonts w:ascii="宋体" w:hAnsi="宋体" w:eastAsia="宋体"/>
        </w:rPr>
      </w:pPr>
    </w:p>
    <w:p>
      <w:pPr>
        <w:ind w:firstLine="420" w:firstLineChars="200"/>
        <w:jc w:val="left"/>
        <w:rPr>
          <w:rFonts w:ascii="宋体" w:hAnsi="宋体" w:eastAsia="宋体"/>
        </w:rPr>
      </w:pPr>
    </w:p>
    <w:p>
      <w:pPr>
        <w:ind w:firstLine="420" w:firstLineChars="200"/>
        <w:jc w:val="left"/>
        <w:rPr>
          <w:rFonts w:ascii="宋体" w:hAnsi="宋体" w:eastAsia="宋体"/>
        </w:rPr>
      </w:pPr>
    </w:p>
    <w:p>
      <w:pPr>
        <w:jc w:val="left"/>
        <w:rPr>
          <w:rFonts w:ascii="宋体" w:hAnsi="宋体" w:eastAsia="宋体"/>
        </w:rPr>
      </w:pPr>
    </w:p>
    <w:p>
      <w:pPr>
        <w:jc w:val="left"/>
        <w:rPr>
          <w:rFonts w:ascii="宋体" w:hAnsi="宋体" w:eastAsia="宋体"/>
        </w:rPr>
      </w:pPr>
    </w:p>
    <w:p>
      <w:pPr>
        <w:jc w:val="center"/>
        <w:rPr>
          <w:rFonts w:asciiTheme="majorEastAsia" w:hAnsiTheme="majorEastAsia" w:eastAsiaTheme="majorEastAsia"/>
          <w:b/>
        </w:rPr>
      </w:pPr>
      <w:r>
        <w:rPr>
          <w:rFonts w:hint="eastAsia" w:asciiTheme="majorEastAsia" w:hAnsiTheme="majorEastAsia" w:eastAsiaTheme="majorEastAsia"/>
          <w:b/>
        </w:rPr>
        <w:t>附录C</w:t>
      </w:r>
    </w:p>
    <w:p>
      <w:pPr>
        <w:jc w:val="center"/>
        <w:rPr>
          <w:rFonts w:asciiTheme="majorEastAsia" w:hAnsiTheme="majorEastAsia" w:eastAsiaTheme="majorEastAsia"/>
          <w:b/>
        </w:rPr>
      </w:pPr>
      <w:r>
        <w:rPr>
          <w:rFonts w:hint="eastAsia" w:asciiTheme="majorEastAsia" w:hAnsiTheme="majorEastAsia" w:eastAsiaTheme="majorEastAsia"/>
          <w:b/>
        </w:rPr>
        <w:t>（资料性附录）</w:t>
      </w:r>
    </w:p>
    <w:p>
      <w:pPr>
        <w:jc w:val="center"/>
        <w:rPr>
          <w:rFonts w:asciiTheme="majorEastAsia" w:hAnsiTheme="majorEastAsia" w:eastAsiaTheme="majorEastAsia"/>
          <w:b/>
        </w:rPr>
      </w:pPr>
      <w:r>
        <w:rPr>
          <w:rFonts w:hint="eastAsia" w:asciiTheme="majorEastAsia" w:hAnsiTheme="majorEastAsia" w:eastAsiaTheme="majorEastAsia"/>
          <w:b/>
        </w:rPr>
        <w:t>产品绿色设计改进方案优先排序方法及示例</w:t>
      </w:r>
    </w:p>
    <w:p>
      <w:pPr>
        <w:jc w:val="left"/>
        <w:rPr>
          <w:rFonts w:asciiTheme="minorEastAsia" w:hAnsiTheme="minorEastAsia"/>
          <w:b/>
        </w:rPr>
      </w:pPr>
      <w:r>
        <w:rPr>
          <w:rFonts w:hint="eastAsia" w:asciiTheme="minorEastAsia" w:hAnsiTheme="minorEastAsia"/>
          <w:b/>
        </w:rPr>
        <w:t>C.1 排序方法</w:t>
      </w:r>
    </w:p>
    <w:p>
      <w:pPr>
        <w:ind w:firstLine="420" w:firstLineChars="200"/>
        <w:jc w:val="left"/>
        <w:rPr>
          <w:rFonts w:ascii="宋体" w:hAnsi="宋体" w:eastAsia="宋体"/>
        </w:rPr>
      </w:pPr>
      <w:r>
        <w:rPr>
          <w:rFonts w:hint="eastAsia" w:ascii="宋体" w:hAnsi="宋体" w:eastAsia="宋体"/>
        </w:rPr>
        <w:t>产品绿色设计改进方案优先排序方法步骤如下：</w:t>
      </w:r>
    </w:p>
    <w:p>
      <w:pPr>
        <w:ind w:firstLine="420" w:firstLineChars="200"/>
        <w:jc w:val="left"/>
        <w:rPr>
          <w:rFonts w:ascii="宋体" w:hAnsi="宋体" w:eastAsia="宋体"/>
        </w:rPr>
      </w:pPr>
      <w:r>
        <w:rPr>
          <w:rFonts w:hint="eastAsia" w:ascii="宋体" w:hAnsi="宋体" w:eastAsia="宋体"/>
        </w:rPr>
        <w:t>第一步：将所有方案划分为生产类、设计类和管理类三类方案；</w:t>
      </w:r>
    </w:p>
    <w:p>
      <w:pPr>
        <w:ind w:firstLine="420" w:firstLineChars="200"/>
        <w:jc w:val="left"/>
        <w:rPr>
          <w:rFonts w:ascii="宋体" w:hAnsi="宋体" w:eastAsia="宋体"/>
        </w:rPr>
      </w:pPr>
      <w:r>
        <w:rPr>
          <w:rFonts w:hint="eastAsia" w:ascii="宋体" w:hAnsi="宋体" w:eastAsia="宋体"/>
        </w:rPr>
        <w:t>第二步：选取方案的评价指标，本标准的评价指标包括：</w:t>
      </w:r>
    </w:p>
    <w:p>
      <w:pPr>
        <w:ind w:firstLine="840" w:firstLineChars="400"/>
        <w:jc w:val="left"/>
        <w:rPr>
          <w:rFonts w:ascii="宋体" w:hAnsi="宋体" w:eastAsia="宋体"/>
        </w:rPr>
      </w:pPr>
      <w:r>
        <w:rPr>
          <w:rFonts w:hint="eastAsia" w:ascii="Calibri" w:hAnsi="Calibri" w:eastAsia="Calibri"/>
        </w:rPr>
        <w:t>——</w:t>
      </w:r>
      <w:r>
        <w:rPr>
          <w:rFonts w:hint="eastAsia" w:ascii="宋体" w:hAnsi="宋体" w:eastAsia="宋体"/>
        </w:rPr>
        <w:t>技术可行性，评估实施某方案的技术可行性；</w:t>
      </w:r>
    </w:p>
    <w:p>
      <w:pPr>
        <w:ind w:firstLine="840" w:firstLineChars="400"/>
        <w:jc w:val="left"/>
        <w:rPr>
          <w:rFonts w:ascii="宋体" w:hAnsi="宋体" w:eastAsia="宋体"/>
        </w:rPr>
      </w:pPr>
      <w:r>
        <w:rPr>
          <w:rFonts w:hint="eastAsia" w:ascii="Calibri" w:hAnsi="Calibri" w:eastAsia="Calibri"/>
        </w:rPr>
        <w:t>——</w:t>
      </w:r>
      <w:r>
        <w:rPr>
          <w:rFonts w:hint="eastAsia" w:ascii="宋体" w:hAnsi="宋体" w:eastAsia="宋体"/>
        </w:rPr>
        <w:t>设计改进，判断一个方案的实施能够对某个重要环境要素产生何种程度的作用；</w:t>
      </w:r>
    </w:p>
    <w:p>
      <w:pPr>
        <w:ind w:firstLine="840" w:firstLineChars="400"/>
        <w:jc w:val="left"/>
        <w:rPr>
          <w:rFonts w:ascii="宋体" w:hAnsi="宋体" w:eastAsia="宋体"/>
        </w:rPr>
      </w:pPr>
      <w:r>
        <w:rPr>
          <w:rFonts w:hint="eastAsia" w:ascii="Calibri" w:hAnsi="Calibri" w:eastAsia="Calibri"/>
        </w:rPr>
        <w:t>——</w:t>
      </w:r>
      <w:r>
        <w:rPr>
          <w:rFonts w:hint="eastAsia" w:ascii="宋体" w:hAnsi="宋体" w:eastAsia="宋体"/>
        </w:rPr>
        <w:t>经济效益，评估一个组织实施某特定方案所产生的财务影响；</w:t>
      </w:r>
    </w:p>
    <w:p>
      <w:pPr>
        <w:ind w:firstLine="840" w:firstLineChars="400"/>
        <w:jc w:val="left"/>
        <w:rPr>
          <w:rFonts w:ascii="宋体" w:hAnsi="宋体" w:eastAsia="宋体"/>
        </w:rPr>
      </w:pPr>
      <w:r>
        <w:rPr>
          <w:rFonts w:hint="eastAsia" w:ascii="Calibri" w:hAnsi="Calibri" w:eastAsia="Calibri"/>
        </w:rPr>
        <w:t>——</w:t>
      </w:r>
      <w:r>
        <w:rPr>
          <w:rFonts w:hint="eastAsia" w:ascii="宋体" w:hAnsi="宋体" w:eastAsia="宋体"/>
        </w:rPr>
        <w:t>顾客增加值（</w:t>
      </w:r>
      <w:r>
        <w:rPr>
          <w:rFonts w:hint="eastAsia" w:ascii="Calibri" w:hAnsi="Calibri" w:eastAsia="Calibri"/>
        </w:rPr>
        <w:t>CVA</w:t>
      </w:r>
      <w:r>
        <w:rPr>
          <w:rFonts w:hint="eastAsia" w:ascii="宋体" w:hAnsi="宋体" w:eastAsia="宋体"/>
        </w:rPr>
        <w:t>）影响，表示因实施了某些方案而提高消费者认同增加值；</w:t>
      </w:r>
    </w:p>
    <w:p>
      <w:pPr>
        <w:ind w:firstLine="840" w:firstLineChars="400"/>
        <w:jc w:val="left"/>
        <w:rPr>
          <w:rFonts w:ascii="宋体" w:hAnsi="宋体" w:eastAsia="宋体"/>
        </w:rPr>
      </w:pPr>
      <w:r>
        <w:rPr>
          <w:rFonts w:hint="eastAsia" w:ascii="Calibri" w:hAnsi="Calibri" w:eastAsia="Calibri"/>
        </w:rPr>
        <w:t>——</w:t>
      </w:r>
      <w:r>
        <w:rPr>
          <w:rFonts w:hint="eastAsia" w:ascii="宋体" w:hAnsi="宋体" w:eastAsia="宋体"/>
        </w:rPr>
        <w:t>生产管理，估计实施某方案可能对生产计划或者其他生产管理者产生的影响。</w:t>
      </w:r>
    </w:p>
    <w:p>
      <w:pPr>
        <w:ind w:firstLine="420" w:firstLineChars="200"/>
        <w:jc w:val="left"/>
        <w:rPr>
          <w:rFonts w:ascii="宋体" w:hAnsi="宋体" w:eastAsia="宋体"/>
        </w:rPr>
      </w:pPr>
      <w:r>
        <w:rPr>
          <w:rFonts w:hint="eastAsia" w:ascii="宋体" w:hAnsi="宋体" w:eastAsia="宋体"/>
        </w:rPr>
        <w:t>第三步：各指标的等级评分准则如表</w:t>
      </w:r>
      <w:r>
        <w:rPr>
          <w:rFonts w:hint="eastAsia" w:ascii="Calibri" w:hAnsi="Calibri" w:eastAsia="Calibri"/>
        </w:rPr>
        <w:t xml:space="preserve">C.1 </w:t>
      </w:r>
      <w:r>
        <w:rPr>
          <w:rFonts w:hint="eastAsia" w:ascii="宋体" w:hAnsi="宋体" w:eastAsia="宋体"/>
        </w:rPr>
        <w:t>所示。评估人员依据准则对各方案在不同指标上的表现进行打分。</w:t>
      </w:r>
    </w:p>
    <w:p>
      <w:pPr>
        <w:ind w:firstLine="420" w:firstLineChars="200"/>
        <w:jc w:val="left"/>
        <w:rPr>
          <w:rFonts w:ascii="宋体" w:hAnsi="宋体" w:eastAsia="宋体"/>
        </w:rPr>
      </w:pPr>
      <w:r>
        <w:rPr>
          <w:rFonts w:hint="eastAsia" w:ascii="宋体" w:hAnsi="宋体" w:eastAsia="宋体"/>
        </w:rPr>
        <w:t>第四步：加总每个方案在</w:t>
      </w:r>
      <w:r>
        <w:rPr>
          <w:rFonts w:hint="eastAsia" w:ascii="Calibri" w:hAnsi="Calibri" w:eastAsia="Calibri"/>
        </w:rPr>
        <w:t xml:space="preserve">5 </w:t>
      </w:r>
      <w:r>
        <w:rPr>
          <w:rFonts w:hint="eastAsia" w:ascii="宋体" w:hAnsi="宋体" w:eastAsia="宋体"/>
        </w:rPr>
        <w:t>个指标上的得分，得到每个方案的总评分。</w:t>
      </w:r>
    </w:p>
    <w:p>
      <w:pPr>
        <w:ind w:firstLine="420" w:firstLineChars="200"/>
        <w:jc w:val="left"/>
        <w:rPr>
          <w:rFonts w:ascii="宋体" w:hAnsi="宋体" w:eastAsia="宋体"/>
        </w:rPr>
      </w:pPr>
      <w:r>
        <w:rPr>
          <w:rFonts w:hint="eastAsia" w:ascii="宋体" w:hAnsi="宋体" w:eastAsia="宋体"/>
        </w:rPr>
        <w:t>第五步：对每个方案的总评分进行标准化，方法为总评分减去</w:t>
      </w:r>
      <w:r>
        <w:rPr>
          <w:rFonts w:hint="eastAsia" w:ascii="Calibri" w:hAnsi="Calibri" w:eastAsia="Calibri"/>
        </w:rPr>
        <w:t>10</w:t>
      </w:r>
      <w:r>
        <w:rPr>
          <w:rFonts w:hint="eastAsia" w:ascii="宋体" w:hAnsi="宋体" w:eastAsia="宋体"/>
        </w:rPr>
        <w:t>。</w:t>
      </w:r>
    </w:p>
    <w:p>
      <w:pPr>
        <w:ind w:firstLine="420" w:firstLineChars="200"/>
        <w:jc w:val="left"/>
        <w:rPr>
          <w:rFonts w:ascii="宋体" w:hAnsi="宋体" w:eastAsia="宋体"/>
        </w:rPr>
      </w:pPr>
      <w:r>
        <w:rPr>
          <w:rFonts w:hint="eastAsia" w:ascii="宋体" w:hAnsi="宋体" w:eastAsia="宋体"/>
        </w:rPr>
        <w:t>第六步：经过标准化后的方案被分成“生产、设计、管理”三组，绘制分组的实施者优先排序图，分别针对制造工程师、设计工程师或管理人员等实施者。</w:t>
      </w:r>
    </w:p>
    <w:p>
      <w:pPr>
        <w:ind w:firstLine="420" w:firstLineChars="200"/>
        <w:jc w:val="left"/>
        <w:rPr>
          <w:rFonts w:ascii="宋体" w:hAnsi="宋体" w:eastAsia="宋体"/>
        </w:rPr>
      </w:pPr>
      <w:r>
        <w:rPr>
          <w:rFonts w:hint="eastAsia" w:ascii="宋体" w:hAnsi="宋体" w:eastAsia="宋体"/>
        </w:rPr>
        <w:t>第七步：将改进方案按照生命周期阶段分组（产品生产和产品包装</w:t>
      </w:r>
      <w:r>
        <w:rPr>
          <w:rFonts w:hint="eastAsia" w:ascii="Calibri" w:hAnsi="Calibri" w:eastAsia="Calibri"/>
        </w:rPr>
        <w:t xml:space="preserve">2 </w:t>
      </w:r>
      <w:r>
        <w:rPr>
          <w:rFonts w:hint="eastAsia" w:ascii="宋体" w:hAnsi="宋体" w:eastAsia="宋体"/>
        </w:rPr>
        <w:t>个阶段），绘制生命周期阶段优先排序图。</w:t>
      </w:r>
    </w:p>
    <w:p>
      <w:pPr>
        <w:ind w:firstLine="422" w:firstLineChars="200"/>
        <w:jc w:val="center"/>
        <w:rPr>
          <w:rFonts w:ascii="宋体" w:hAnsi="宋体" w:eastAsia="宋体"/>
          <w:b/>
        </w:rPr>
      </w:pPr>
      <w:r>
        <w:rPr>
          <w:rFonts w:hint="eastAsia" w:ascii="宋体" w:hAnsi="宋体" w:eastAsia="宋体"/>
          <w:b/>
        </w:rPr>
        <w:t>表C.1  指标等级评分准则</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eastAsia="宋体"/>
              </w:rPr>
            </w:pPr>
            <w:r>
              <w:rPr>
                <w:rFonts w:hint="eastAsia" w:ascii="宋体" w:hAnsi="宋体" w:eastAsia="宋体"/>
              </w:rPr>
              <w:t>符号</w:t>
            </w:r>
          </w:p>
        </w:tc>
        <w:tc>
          <w:tcPr>
            <w:tcW w:w="2841" w:type="dxa"/>
          </w:tcPr>
          <w:p>
            <w:pPr>
              <w:jc w:val="center"/>
              <w:rPr>
                <w:rFonts w:ascii="宋体" w:hAnsi="宋体" w:eastAsia="宋体"/>
              </w:rPr>
            </w:pPr>
            <w:r>
              <w:rPr>
                <w:rFonts w:hint="eastAsia" w:ascii="宋体" w:hAnsi="宋体" w:eastAsia="宋体"/>
              </w:rPr>
              <w:t>评价</w:t>
            </w:r>
          </w:p>
        </w:tc>
        <w:tc>
          <w:tcPr>
            <w:tcW w:w="2841" w:type="dxa"/>
          </w:tcPr>
          <w:p>
            <w:pPr>
              <w:jc w:val="center"/>
              <w:rPr>
                <w:rFonts w:ascii="宋体" w:hAnsi="宋体" w:eastAsia="宋体"/>
              </w:rPr>
            </w:pPr>
            <w:r>
              <w:rPr>
                <w:rFonts w:hint="eastAsia" w:ascii="宋体" w:hAnsi="宋体" w:eastAsia="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eastAsia="宋体"/>
              </w:rPr>
            </w:pPr>
            <w:r>
              <w:rPr>
                <w:rFonts w:hint="eastAsia" w:ascii="宋体" w:hAnsi="宋体" w:eastAsia="宋体"/>
              </w:rPr>
              <w:t>++</w:t>
            </w:r>
          </w:p>
        </w:tc>
        <w:tc>
          <w:tcPr>
            <w:tcW w:w="2841" w:type="dxa"/>
          </w:tcPr>
          <w:p>
            <w:pPr>
              <w:jc w:val="center"/>
              <w:rPr>
                <w:rFonts w:ascii="宋体" w:hAnsi="宋体" w:eastAsia="宋体"/>
              </w:rPr>
            </w:pPr>
            <w:r>
              <w:rPr>
                <w:rFonts w:hint="eastAsia" w:ascii="宋体" w:hAnsi="宋体" w:eastAsia="宋体"/>
              </w:rPr>
              <w:t>很好/很高</w:t>
            </w:r>
          </w:p>
        </w:tc>
        <w:tc>
          <w:tcPr>
            <w:tcW w:w="2841" w:type="dxa"/>
          </w:tcPr>
          <w:p>
            <w:pPr>
              <w:jc w:val="center"/>
              <w:rPr>
                <w:rFonts w:ascii="宋体" w:hAnsi="宋体" w:eastAsia="宋体"/>
              </w:rPr>
            </w:pPr>
            <w:r>
              <w:rPr>
                <w:rFonts w:hint="eastAsia" w:ascii="宋体" w:hAnsi="宋体" w:eastAsia="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eastAsia="宋体"/>
              </w:rPr>
            </w:pPr>
            <w:r>
              <w:rPr>
                <w:rFonts w:hint="eastAsia" w:ascii="宋体" w:hAnsi="宋体" w:eastAsia="宋体"/>
              </w:rPr>
              <w:t>+</w:t>
            </w:r>
          </w:p>
        </w:tc>
        <w:tc>
          <w:tcPr>
            <w:tcW w:w="2841" w:type="dxa"/>
          </w:tcPr>
          <w:p>
            <w:pPr>
              <w:jc w:val="center"/>
              <w:rPr>
                <w:rFonts w:ascii="宋体" w:hAnsi="宋体" w:eastAsia="宋体"/>
              </w:rPr>
            </w:pPr>
            <w:r>
              <w:rPr>
                <w:rFonts w:hint="eastAsia" w:ascii="宋体" w:hAnsi="宋体" w:eastAsia="宋体"/>
              </w:rPr>
              <w:t>好/高</w:t>
            </w:r>
          </w:p>
        </w:tc>
        <w:tc>
          <w:tcPr>
            <w:tcW w:w="2841" w:type="dxa"/>
          </w:tcPr>
          <w:p>
            <w:pPr>
              <w:jc w:val="center"/>
              <w:rPr>
                <w:rFonts w:ascii="宋体" w:hAnsi="宋体" w:eastAsia="宋体"/>
              </w:rPr>
            </w:pPr>
            <w:r>
              <w:rPr>
                <w:rFonts w:hint="eastAsia" w:ascii="宋体" w:hAnsi="宋体" w:eastAsia="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jc w:val="center"/>
              <w:rPr>
                <w:rFonts w:ascii="宋体" w:hAnsi="宋体" w:eastAsia="宋体"/>
              </w:rPr>
            </w:pPr>
            <w:r>
              <w:rPr>
                <w:rFonts w:hint="eastAsia" w:ascii="宋体" w:hAnsi="宋体" w:eastAsia="宋体"/>
              </w:rPr>
              <w:t>+/-</w:t>
            </w:r>
          </w:p>
        </w:tc>
        <w:tc>
          <w:tcPr>
            <w:tcW w:w="2841" w:type="dxa"/>
          </w:tcPr>
          <w:p>
            <w:pPr>
              <w:jc w:val="center"/>
              <w:rPr>
                <w:rFonts w:ascii="宋体" w:hAnsi="宋体" w:eastAsia="宋体"/>
              </w:rPr>
            </w:pPr>
            <w:r>
              <w:rPr>
                <w:rFonts w:hint="eastAsia" w:ascii="宋体" w:hAnsi="宋体" w:eastAsia="宋体"/>
              </w:rPr>
              <w:t>中等/一般</w:t>
            </w:r>
          </w:p>
        </w:tc>
        <w:tc>
          <w:tcPr>
            <w:tcW w:w="2841" w:type="dxa"/>
          </w:tcPr>
          <w:p>
            <w:pPr>
              <w:jc w:val="center"/>
              <w:rPr>
                <w:rFonts w:ascii="宋体" w:hAnsi="宋体" w:eastAsia="宋体"/>
              </w:rPr>
            </w:pPr>
            <w:r>
              <w:rPr>
                <w:rFonts w:hint="eastAsia" w:ascii="宋体" w:hAnsi="宋体" w:eastAsia="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eastAsia="宋体"/>
              </w:rPr>
            </w:pPr>
            <w:r>
              <w:rPr>
                <w:rFonts w:hint="eastAsia" w:ascii="宋体" w:hAnsi="宋体" w:eastAsia="宋体"/>
              </w:rPr>
              <w:t>-</w:t>
            </w:r>
          </w:p>
        </w:tc>
        <w:tc>
          <w:tcPr>
            <w:tcW w:w="2841" w:type="dxa"/>
          </w:tcPr>
          <w:p>
            <w:pPr>
              <w:jc w:val="center"/>
              <w:rPr>
                <w:rFonts w:ascii="宋体" w:hAnsi="宋体" w:eastAsia="宋体"/>
              </w:rPr>
            </w:pPr>
            <w:r>
              <w:rPr>
                <w:rFonts w:hint="eastAsia" w:ascii="宋体" w:hAnsi="宋体" w:eastAsia="宋体"/>
              </w:rPr>
              <w:t>差/低</w:t>
            </w:r>
          </w:p>
        </w:tc>
        <w:tc>
          <w:tcPr>
            <w:tcW w:w="2841" w:type="dxa"/>
          </w:tcPr>
          <w:p>
            <w:pPr>
              <w:jc w:val="center"/>
              <w:rPr>
                <w:rFonts w:ascii="宋体" w:hAnsi="宋体" w:eastAsia="宋体"/>
              </w:rPr>
            </w:pPr>
            <w:r>
              <w:rPr>
                <w:rFonts w:hint="eastAsia" w:ascii="宋体" w:hAnsi="宋体"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eastAsia="宋体"/>
              </w:rPr>
            </w:pPr>
            <w:r>
              <w:rPr>
                <w:rFonts w:hint="eastAsia" w:ascii="宋体" w:hAnsi="宋体" w:eastAsia="宋体"/>
              </w:rPr>
              <w:t>--</w:t>
            </w:r>
          </w:p>
        </w:tc>
        <w:tc>
          <w:tcPr>
            <w:tcW w:w="2841" w:type="dxa"/>
          </w:tcPr>
          <w:p>
            <w:pPr>
              <w:jc w:val="center"/>
              <w:rPr>
                <w:rFonts w:ascii="宋体" w:hAnsi="宋体" w:eastAsia="宋体"/>
              </w:rPr>
            </w:pPr>
            <w:r>
              <w:rPr>
                <w:rFonts w:hint="eastAsia" w:ascii="宋体" w:hAnsi="宋体" w:eastAsia="宋体"/>
              </w:rPr>
              <w:t>很差/很低</w:t>
            </w:r>
          </w:p>
        </w:tc>
        <w:tc>
          <w:tcPr>
            <w:tcW w:w="2841" w:type="dxa"/>
          </w:tcPr>
          <w:p>
            <w:pPr>
              <w:jc w:val="center"/>
              <w:rPr>
                <w:rFonts w:ascii="宋体" w:hAnsi="宋体" w:eastAsia="宋体"/>
              </w:rPr>
            </w:pPr>
            <w:r>
              <w:rPr>
                <w:rFonts w:hint="eastAsia" w:ascii="宋体" w:hAnsi="宋体" w:eastAsia="宋体"/>
              </w:rPr>
              <w:t>0</w:t>
            </w:r>
          </w:p>
        </w:tc>
      </w:tr>
    </w:tbl>
    <w:p>
      <w:pPr>
        <w:jc w:val="left"/>
        <w:rPr>
          <w:rFonts w:ascii="宋体" w:hAnsi="宋体" w:eastAsia="宋体"/>
        </w:rPr>
      </w:pPr>
    </w:p>
    <w:p>
      <w:pPr>
        <w:jc w:val="left"/>
        <w:rPr>
          <w:rFonts w:asciiTheme="majorEastAsia" w:hAnsiTheme="majorEastAsia" w:eastAsiaTheme="majorEastAsia"/>
          <w:b/>
        </w:rPr>
      </w:pPr>
      <w:r>
        <w:rPr>
          <w:rFonts w:hint="eastAsia" w:asciiTheme="majorEastAsia" w:hAnsiTheme="majorEastAsia" w:eastAsiaTheme="majorEastAsia"/>
          <w:b/>
        </w:rPr>
        <w:t>C.2 排序示例</w:t>
      </w:r>
    </w:p>
    <w:p>
      <w:pPr>
        <w:jc w:val="left"/>
        <w:rPr>
          <w:rFonts w:asciiTheme="majorEastAsia" w:hAnsiTheme="majorEastAsia" w:eastAsiaTheme="majorEastAsia"/>
          <w:b/>
        </w:rPr>
      </w:pPr>
      <w:r>
        <w:rPr>
          <w:rFonts w:hint="eastAsia" w:asciiTheme="majorEastAsia" w:hAnsiTheme="majorEastAsia" w:eastAsiaTheme="majorEastAsia"/>
          <w:b/>
        </w:rPr>
        <w:t>C.2.1 改进方案</w:t>
      </w:r>
    </w:p>
    <w:p>
      <w:pPr>
        <w:ind w:firstLine="420" w:firstLineChars="200"/>
        <w:jc w:val="left"/>
        <w:rPr>
          <w:rFonts w:asciiTheme="majorEastAsia" w:hAnsiTheme="majorEastAsia" w:eastAsiaTheme="majorEastAsia"/>
        </w:rPr>
      </w:pPr>
      <w:r>
        <w:rPr>
          <w:rFonts w:hint="eastAsia" w:asciiTheme="majorEastAsia" w:hAnsiTheme="majorEastAsia" w:eastAsiaTheme="majorEastAsia"/>
        </w:rPr>
        <w:t>依据某三氧化二锑产品生命周期评价结果提出的一些建议如下：</w:t>
      </w:r>
    </w:p>
    <w:p>
      <w:pPr>
        <w:ind w:firstLine="420" w:firstLineChars="200"/>
        <w:jc w:val="left"/>
        <w:rPr>
          <w:rFonts w:asciiTheme="majorEastAsia" w:hAnsiTheme="majorEastAsia" w:eastAsiaTheme="majorEastAsia"/>
        </w:rPr>
      </w:pPr>
      <w:r>
        <w:rPr>
          <w:rFonts w:hint="eastAsia" w:asciiTheme="majorEastAsia" w:hAnsiTheme="majorEastAsia" w:eastAsiaTheme="majorEastAsia"/>
        </w:rPr>
        <w:t>a） 生产制造改进方案包括：</w:t>
      </w:r>
    </w:p>
    <w:p>
      <w:pPr>
        <w:ind w:firstLine="840" w:firstLineChars="400"/>
        <w:jc w:val="left"/>
        <w:rPr>
          <w:rFonts w:asciiTheme="majorEastAsia" w:hAnsiTheme="majorEastAsia" w:eastAsiaTheme="majorEastAsia"/>
        </w:rPr>
      </w:pPr>
      <w:r>
        <w:rPr>
          <w:rFonts w:hint="eastAsia" w:asciiTheme="majorEastAsia" w:hAnsiTheme="majorEastAsia" w:eastAsiaTheme="majorEastAsia"/>
        </w:rPr>
        <w:t>——与供应商合作，尽可能地减少进入工厂的包装材料种类，并开发可重复使用的产品包装袋，使其满足防护标准并能开展固体废弃物的再循环；</w:t>
      </w:r>
      <w:r>
        <w:rPr>
          <w:rFonts w:asciiTheme="majorEastAsia" w:hAnsiTheme="majorEastAsia" w:eastAsiaTheme="majorEastAsia"/>
        </w:rPr>
        <w:t xml:space="preserve"> </w:t>
      </w:r>
    </w:p>
    <w:p>
      <w:pPr>
        <w:ind w:firstLine="840" w:firstLineChars="400"/>
        <w:jc w:val="left"/>
        <w:rPr>
          <w:rFonts w:asciiTheme="majorEastAsia" w:hAnsiTheme="majorEastAsia" w:eastAsiaTheme="majorEastAsia"/>
        </w:rPr>
      </w:pPr>
      <w:r>
        <w:rPr>
          <w:rFonts w:hint="eastAsia" w:asciiTheme="majorEastAsia" w:hAnsiTheme="majorEastAsia" w:eastAsiaTheme="majorEastAsia"/>
        </w:rPr>
        <w:t>——使用表面无杂质的锑锭。</w:t>
      </w:r>
    </w:p>
    <w:p>
      <w:pPr>
        <w:ind w:firstLine="420" w:firstLineChars="200"/>
        <w:jc w:val="left"/>
        <w:rPr>
          <w:rFonts w:asciiTheme="majorEastAsia" w:hAnsiTheme="majorEastAsia" w:eastAsiaTheme="majorEastAsia"/>
        </w:rPr>
      </w:pPr>
      <w:r>
        <w:rPr>
          <w:rFonts w:hint="eastAsia" w:asciiTheme="majorEastAsia" w:hAnsiTheme="majorEastAsia" w:eastAsiaTheme="majorEastAsia"/>
        </w:rPr>
        <w:t>b） 设计改进方案包括：</w:t>
      </w:r>
    </w:p>
    <w:p>
      <w:pPr>
        <w:ind w:firstLine="840" w:firstLineChars="400"/>
        <w:jc w:val="left"/>
        <w:rPr>
          <w:rFonts w:asciiTheme="majorEastAsia" w:hAnsiTheme="majorEastAsia" w:eastAsiaTheme="majorEastAsia"/>
        </w:rPr>
      </w:pPr>
      <w:r>
        <w:rPr>
          <w:rFonts w:hint="eastAsia" w:asciiTheme="majorEastAsia" w:hAnsiTheme="majorEastAsia" w:eastAsiaTheme="majorEastAsia"/>
        </w:rPr>
        <w:t>——减少砷铅铜超标原料的使用，更多使用优质原料；</w:t>
      </w:r>
    </w:p>
    <w:p>
      <w:pPr>
        <w:ind w:firstLine="840" w:firstLineChars="400"/>
        <w:jc w:val="left"/>
        <w:rPr>
          <w:rFonts w:asciiTheme="majorEastAsia" w:hAnsiTheme="majorEastAsia" w:eastAsiaTheme="majorEastAsia"/>
        </w:rPr>
      </w:pPr>
      <w:r>
        <w:rPr>
          <w:rFonts w:hint="eastAsia" w:asciiTheme="majorEastAsia" w:hAnsiTheme="majorEastAsia" w:eastAsiaTheme="majorEastAsia"/>
        </w:rPr>
        <w:t>——采用自动化包装系统；</w:t>
      </w:r>
    </w:p>
    <w:p>
      <w:pPr>
        <w:ind w:firstLine="840" w:firstLineChars="400"/>
        <w:jc w:val="left"/>
        <w:rPr>
          <w:rFonts w:asciiTheme="majorEastAsia" w:hAnsiTheme="majorEastAsia" w:eastAsiaTheme="majorEastAsia"/>
        </w:rPr>
      </w:pPr>
      <w:r>
        <w:rPr>
          <w:rFonts w:hint="eastAsia" w:asciiTheme="majorEastAsia" w:hAnsiTheme="majorEastAsia" w:eastAsiaTheme="majorEastAsia"/>
        </w:rPr>
        <w:t>——采用符合国标的冶金焦。</w:t>
      </w:r>
    </w:p>
    <w:p>
      <w:pPr>
        <w:ind w:firstLine="420" w:firstLineChars="200"/>
        <w:jc w:val="left"/>
        <w:rPr>
          <w:rFonts w:asciiTheme="majorEastAsia" w:hAnsiTheme="majorEastAsia" w:eastAsiaTheme="majorEastAsia"/>
        </w:rPr>
      </w:pPr>
      <w:r>
        <w:rPr>
          <w:rFonts w:hint="eastAsia" w:asciiTheme="majorEastAsia" w:hAnsiTheme="majorEastAsia" w:eastAsiaTheme="majorEastAsia"/>
        </w:rPr>
        <w:t>c） 产品管理改进方案包括：</w:t>
      </w:r>
    </w:p>
    <w:p>
      <w:pPr>
        <w:ind w:firstLine="840" w:firstLineChars="400"/>
        <w:jc w:val="left"/>
        <w:rPr>
          <w:rFonts w:asciiTheme="majorEastAsia" w:hAnsiTheme="majorEastAsia" w:eastAsiaTheme="majorEastAsia"/>
        </w:rPr>
      </w:pPr>
      <w:r>
        <w:rPr>
          <w:rFonts w:hint="eastAsia" w:asciiTheme="majorEastAsia" w:hAnsiTheme="majorEastAsia" w:eastAsiaTheme="majorEastAsia"/>
        </w:rPr>
        <w:t>——三氧化二锑产品包装袋表面存在的异物应该清除干净，以减少对环境的影响和使用的影响。</w:t>
      </w:r>
    </w:p>
    <w:p>
      <w:pPr>
        <w:jc w:val="left"/>
        <w:rPr>
          <w:rFonts w:asciiTheme="majorEastAsia" w:hAnsiTheme="majorEastAsia" w:eastAsiaTheme="majorEastAsia"/>
          <w:b/>
        </w:rPr>
      </w:pPr>
      <w:r>
        <w:rPr>
          <w:rFonts w:hint="eastAsia" w:asciiTheme="majorEastAsia" w:hAnsiTheme="majorEastAsia" w:eastAsiaTheme="majorEastAsia"/>
          <w:b/>
        </w:rPr>
        <w:t>C.2.2 改进方案的优先排序表</w:t>
      </w:r>
    </w:p>
    <w:p>
      <w:pPr>
        <w:ind w:firstLine="420" w:firstLineChars="200"/>
        <w:jc w:val="left"/>
        <w:rPr>
          <w:rFonts w:asciiTheme="majorEastAsia" w:hAnsiTheme="majorEastAsia" w:eastAsiaTheme="majorEastAsia"/>
        </w:rPr>
      </w:pPr>
      <w:r>
        <w:rPr>
          <w:rFonts w:hint="eastAsia" w:asciiTheme="majorEastAsia" w:hAnsiTheme="majorEastAsia" w:eastAsiaTheme="majorEastAsia"/>
        </w:rPr>
        <w:t>改进方案的优先排序表如表C.2 所示。</w:t>
      </w:r>
    </w:p>
    <w:p>
      <w:pPr>
        <w:ind w:firstLine="420" w:firstLineChars="200"/>
        <w:jc w:val="left"/>
        <w:rPr>
          <w:rFonts w:asciiTheme="majorEastAsia" w:hAnsiTheme="majorEastAsia" w:eastAsiaTheme="majorEastAsia"/>
        </w:rPr>
      </w:pPr>
    </w:p>
    <w:p>
      <w:pPr>
        <w:ind w:firstLine="422" w:firstLineChars="200"/>
        <w:jc w:val="center"/>
        <w:rPr>
          <w:rFonts w:asciiTheme="majorEastAsia" w:hAnsiTheme="majorEastAsia" w:eastAsiaTheme="majorEastAsia"/>
          <w:b/>
        </w:rPr>
      </w:pPr>
      <w:r>
        <w:rPr>
          <w:rFonts w:hint="eastAsia" w:asciiTheme="majorEastAsia" w:hAnsiTheme="majorEastAsia" w:eastAsiaTheme="majorEastAsia"/>
          <w:b/>
        </w:rPr>
        <w:t>表C.2  改进方案的优先排序表</w:t>
      </w:r>
    </w:p>
    <w:tbl>
      <w:tblPr>
        <w:tblStyle w:val="8"/>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763"/>
        <w:gridCol w:w="957"/>
        <w:gridCol w:w="855"/>
        <w:gridCol w:w="855"/>
        <w:gridCol w:w="737"/>
        <w:gridCol w:w="707"/>
        <w:gridCol w:w="737"/>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环节</w:t>
            </w:r>
          </w:p>
        </w:tc>
        <w:tc>
          <w:tcPr>
            <w:tcW w:w="2763" w:type="dxa"/>
            <w:vAlign w:val="center"/>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改进方案</w:t>
            </w:r>
          </w:p>
        </w:tc>
        <w:tc>
          <w:tcPr>
            <w:tcW w:w="95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生命周期阶段</w:t>
            </w:r>
          </w:p>
        </w:tc>
        <w:tc>
          <w:tcPr>
            <w:tcW w:w="855"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技术可行性</w:t>
            </w:r>
          </w:p>
        </w:tc>
        <w:tc>
          <w:tcPr>
            <w:tcW w:w="855"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环境敏感性</w:t>
            </w:r>
          </w:p>
        </w:tc>
        <w:tc>
          <w:tcPr>
            <w:tcW w:w="73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经济影响</w:t>
            </w:r>
          </w:p>
        </w:tc>
        <w:tc>
          <w:tcPr>
            <w:tcW w:w="70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CVA影响</w:t>
            </w:r>
          </w:p>
        </w:tc>
        <w:tc>
          <w:tcPr>
            <w:tcW w:w="73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生产管理</w:t>
            </w:r>
          </w:p>
        </w:tc>
        <w:tc>
          <w:tcPr>
            <w:tcW w:w="603"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 w:type="dxa"/>
            <w:vMerge w:val="restart"/>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生产</w:t>
            </w:r>
          </w:p>
        </w:tc>
        <w:tc>
          <w:tcPr>
            <w:tcW w:w="2763" w:type="dxa"/>
            <w:vAlign w:val="center"/>
          </w:tcPr>
          <w:p>
            <w:pPr>
              <w:rPr>
                <w:rFonts w:asciiTheme="majorEastAsia" w:hAnsiTheme="majorEastAsia" w:eastAsiaTheme="majorEastAsia"/>
                <w:sz w:val="15"/>
                <w:szCs w:val="15"/>
              </w:rPr>
            </w:pPr>
            <w:r>
              <w:rPr>
                <w:rFonts w:hint="eastAsia" w:asciiTheme="majorEastAsia" w:hAnsiTheme="majorEastAsia" w:eastAsiaTheme="majorEastAsia"/>
                <w:sz w:val="15"/>
                <w:szCs w:val="15"/>
              </w:rPr>
              <w:t>减少原来的包装材料种类，使用可重复的包装袋</w:t>
            </w:r>
          </w:p>
        </w:tc>
        <w:tc>
          <w:tcPr>
            <w:tcW w:w="95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产品生产</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0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603"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 w:type="dxa"/>
            <w:vMerge w:val="continue"/>
          </w:tcPr>
          <w:p>
            <w:pPr>
              <w:jc w:val="left"/>
              <w:rPr>
                <w:rFonts w:asciiTheme="majorEastAsia" w:hAnsiTheme="majorEastAsia" w:eastAsiaTheme="majorEastAsia"/>
                <w:sz w:val="15"/>
                <w:szCs w:val="15"/>
              </w:rPr>
            </w:pPr>
          </w:p>
        </w:tc>
        <w:tc>
          <w:tcPr>
            <w:tcW w:w="2763" w:type="dxa"/>
            <w:vAlign w:val="center"/>
          </w:tcPr>
          <w:p>
            <w:pPr>
              <w:rPr>
                <w:rFonts w:asciiTheme="majorEastAsia" w:hAnsiTheme="majorEastAsia" w:eastAsiaTheme="majorEastAsia"/>
                <w:sz w:val="15"/>
                <w:szCs w:val="15"/>
              </w:rPr>
            </w:pPr>
            <w:r>
              <w:rPr>
                <w:rFonts w:hint="eastAsia" w:asciiTheme="majorEastAsia" w:hAnsiTheme="majorEastAsia" w:eastAsiaTheme="majorEastAsia"/>
                <w:sz w:val="15"/>
                <w:szCs w:val="15"/>
              </w:rPr>
              <w:t>使用表面无杂质的锑锭</w:t>
            </w:r>
          </w:p>
        </w:tc>
        <w:tc>
          <w:tcPr>
            <w:tcW w:w="95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产品生产</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0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603"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4" w:type="dxa"/>
            <w:vMerge w:val="restart"/>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设计</w:t>
            </w:r>
          </w:p>
        </w:tc>
        <w:tc>
          <w:tcPr>
            <w:tcW w:w="2763" w:type="dxa"/>
            <w:vAlign w:val="center"/>
          </w:tcPr>
          <w:p>
            <w:pPr>
              <w:rPr>
                <w:rFonts w:asciiTheme="majorEastAsia" w:hAnsiTheme="majorEastAsia" w:eastAsiaTheme="majorEastAsia"/>
                <w:sz w:val="15"/>
                <w:szCs w:val="15"/>
              </w:rPr>
            </w:pPr>
            <w:r>
              <w:rPr>
                <w:rFonts w:hint="eastAsia" w:asciiTheme="majorEastAsia" w:hAnsiTheme="majorEastAsia" w:eastAsiaTheme="majorEastAsia"/>
                <w:sz w:val="15"/>
                <w:szCs w:val="15"/>
              </w:rPr>
              <w:t>减少砷铅铜超标原料的使用</w:t>
            </w:r>
          </w:p>
        </w:tc>
        <w:tc>
          <w:tcPr>
            <w:tcW w:w="95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产品生产</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0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603"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 w:type="dxa"/>
            <w:vMerge w:val="continue"/>
          </w:tcPr>
          <w:p>
            <w:pPr>
              <w:jc w:val="left"/>
              <w:rPr>
                <w:rFonts w:asciiTheme="majorEastAsia" w:hAnsiTheme="majorEastAsia" w:eastAsiaTheme="majorEastAsia"/>
                <w:sz w:val="15"/>
                <w:szCs w:val="15"/>
              </w:rPr>
            </w:pPr>
          </w:p>
        </w:tc>
        <w:tc>
          <w:tcPr>
            <w:tcW w:w="2763" w:type="dxa"/>
            <w:vAlign w:val="center"/>
          </w:tcPr>
          <w:p>
            <w:pPr>
              <w:rPr>
                <w:rFonts w:asciiTheme="majorEastAsia" w:hAnsiTheme="majorEastAsia" w:eastAsiaTheme="majorEastAsia"/>
                <w:sz w:val="15"/>
                <w:szCs w:val="15"/>
              </w:rPr>
            </w:pPr>
            <w:r>
              <w:rPr>
                <w:rFonts w:hint="eastAsia" w:asciiTheme="majorEastAsia" w:hAnsiTheme="majorEastAsia" w:eastAsiaTheme="majorEastAsia"/>
                <w:sz w:val="15"/>
                <w:szCs w:val="15"/>
              </w:rPr>
              <w:t>采用自动化包装系统</w:t>
            </w:r>
          </w:p>
        </w:tc>
        <w:tc>
          <w:tcPr>
            <w:tcW w:w="95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产品生产</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0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603"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 w:type="dxa"/>
            <w:vMerge w:val="continue"/>
          </w:tcPr>
          <w:p>
            <w:pPr>
              <w:jc w:val="left"/>
              <w:rPr>
                <w:rFonts w:asciiTheme="majorEastAsia" w:hAnsiTheme="majorEastAsia" w:eastAsiaTheme="majorEastAsia"/>
                <w:sz w:val="15"/>
                <w:szCs w:val="15"/>
              </w:rPr>
            </w:pPr>
          </w:p>
        </w:tc>
        <w:tc>
          <w:tcPr>
            <w:tcW w:w="2763" w:type="dxa"/>
            <w:vAlign w:val="center"/>
          </w:tcPr>
          <w:p>
            <w:pPr>
              <w:rPr>
                <w:rFonts w:asciiTheme="majorEastAsia" w:hAnsiTheme="majorEastAsia" w:eastAsiaTheme="majorEastAsia"/>
                <w:sz w:val="15"/>
                <w:szCs w:val="15"/>
              </w:rPr>
            </w:pPr>
            <w:r>
              <w:rPr>
                <w:rFonts w:hint="eastAsia" w:asciiTheme="majorEastAsia" w:hAnsiTheme="majorEastAsia" w:eastAsiaTheme="majorEastAsia"/>
                <w:sz w:val="15"/>
                <w:szCs w:val="15"/>
              </w:rPr>
              <w:t>采用符合国标的冶金焦</w:t>
            </w:r>
          </w:p>
        </w:tc>
        <w:tc>
          <w:tcPr>
            <w:tcW w:w="95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产品生产</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0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603"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管理</w:t>
            </w:r>
          </w:p>
        </w:tc>
        <w:tc>
          <w:tcPr>
            <w:tcW w:w="2763" w:type="dxa"/>
            <w:vAlign w:val="center"/>
          </w:tcPr>
          <w:p>
            <w:pPr>
              <w:rPr>
                <w:rFonts w:asciiTheme="majorEastAsia" w:hAnsiTheme="majorEastAsia" w:eastAsiaTheme="majorEastAsia"/>
                <w:sz w:val="15"/>
                <w:szCs w:val="15"/>
              </w:rPr>
            </w:pPr>
            <w:r>
              <w:rPr>
                <w:rFonts w:hint="eastAsia" w:asciiTheme="majorEastAsia" w:hAnsiTheme="majorEastAsia" w:eastAsiaTheme="majorEastAsia"/>
                <w:sz w:val="15"/>
                <w:szCs w:val="15"/>
              </w:rPr>
              <w:t>包装袋表面异物的清除</w:t>
            </w:r>
          </w:p>
        </w:tc>
        <w:tc>
          <w:tcPr>
            <w:tcW w:w="957" w:type="dxa"/>
          </w:tcPr>
          <w:p>
            <w:pPr>
              <w:jc w:val="left"/>
              <w:rPr>
                <w:rFonts w:asciiTheme="majorEastAsia" w:hAnsiTheme="majorEastAsia" w:eastAsiaTheme="majorEastAsia"/>
                <w:sz w:val="15"/>
                <w:szCs w:val="15"/>
              </w:rPr>
            </w:pPr>
            <w:r>
              <w:rPr>
                <w:rFonts w:hint="eastAsia" w:asciiTheme="majorEastAsia" w:hAnsiTheme="majorEastAsia" w:eastAsiaTheme="majorEastAsia"/>
                <w:sz w:val="15"/>
                <w:szCs w:val="15"/>
              </w:rPr>
              <w:t>产品生产</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855"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0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737"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w:t>
            </w:r>
          </w:p>
        </w:tc>
        <w:tc>
          <w:tcPr>
            <w:tcW w:w="603" w:type="dxa"/>
          </w:tcPr>
          <w:p>
            <w:pPr>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12</w:t>
            </w:r>
          </w:p>
        </w:tc>
      </w:tr>
    </w:tbl>
    <w:p>
      <w:pPr>
        <w:jc w:val="left"/>
        <w:rPr>
          <w:rFonts w:asciiTheme="majorEastAsia" w:hAnsiTheme="majorEastAsia" w:eastAsiaTheme="majorEastAsia"/>
        </w:rPr>
      </w:pPr>
    </w:p>
    <w:p>
      <w:pPr>
        <w:jc w:val="left"/>
        <w:rPr>
          <w:rFonts w:asciiTheme="majorEastAsia" w:hAnsiTheme="majorEastAsia" w:eastAsiaTheme="majorEastAsia"/>
          <w:b/>
        </w:rPr>
      </w:pPr>
      <w:r>
        <w:rPr>
          <w:rFonts w:hint="eastAsia" w:asciiTheme="majorEastAsia" w:hAnsiTheme="majorEastAsia" w:eastAsiaTheme="majorEastAsia"/>
          <w:b/>
        </w:rPr>
        <w:t>C2.3 实施者优先排序图</w:t>
      </w:r>
    </w:p>
    <w:p>
      <w:pPr>
        <w:ind w:firstLine="420" w:firstLineChars="200"/>
        <w:jc w:val="left"/>
        <w:rPr>
          <w:rFonts w:asciiTheme="majorEastAsia" w:hAnsiTheme="majorEastAsia" w:eastAsiaTheme="majorEastAsia"/>
        </w:rPr>
      </w:pPr>
      <w:r>
        <w:rPr>
          <w:rFonts w:hint="eastAsia" w:asciiTheme="majorEastAsia" w:hAnsiTheme="majorEastAsia" w:eastAsiaTheme="majorEastAsia"/>
        </w:rPr>
        <w:t>图C.1 为实施者优先排序图，可以看出在产品设计方面，有两项措施最为优先：一是减少砷铅铜超标原料的使用；二是采用自动化包装。产品生产制造方面突出的改进方案是用采用表面无杂质的锑锭。</w:t>
      </w:r>
    </w:p>
    <w:p>
      <w:pPr>
        <w:ind w:firstLine="420" w:firstLineChars="200"/>
        <w:jc w:val="left"/>
        <w:rPr>
          <w:rFonts w:asciiTheme="majorEastAsia" w:hAnsiTheme="majorEastAsia" w:eastAsiaTheme="majorEastAsia"/>
        </w:rPr>
      </w:pPr>
    </w:p>
    <w:p>
      <w:pPr>
        <w:ind w:firstLine="420" w:firstLineChars="200"/>
        <w:jc w:val="left"/>
        <w:rPr>
          <w:rFonts w:asciiTheme="majorEastAsia" w:hAnsiTheme="majorEastAsia" w:eastAsiaTheme="majorEastAsia"/>
        </w:rPr>
      </w:pPr>
      <w:r>
        <w:rPr>
          <w:rFonts w:asciiTheme="majorEastAsia" w:hAnsiTheme="majorEastAsia" w:eastAsiaTheme="majorEastAsia"/>
        </w:rPr>
        <w:drawing>
          <wp:inline distT="0" distB="0" distL="0" distR="0">
            <wp:extent cx="5274310" cy="307657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hint="eastAsia" w:asciiTheme="majorEastAsia" w:hAnsiTheme="majorEastAsia" w:eastAsiaTheme="majorEastAsia"/>
          <w:sz w:val="18"/>
          <w:szCs w:val="18"/>
        </w:rPr>
        <w:t>注：横轴上对应的是关于生产（M）、设计（D）和管理（MG）的改进方案；纵轴上，数字越大表明优先度高</w:t>
      </w:r>
      <w:r>
        <w:rPr>
          <w:rFonts w:hint="eastAsia" w:asciiTheme="majorEastAsia" w:hAnsiTheme="majorEastAsia" w:eastAsiaTheme="majorEastAsia"/>
        </w:rPr>
        <w:t>。</w:t>
      </w:r>
    </w:p>
    <w:p>
      <w:pPr>
        <w:ind w:firstLine="422" w:firstLineChars="200"/>
        <w:jc w:val="center"/>
        <w:rPr>
          <w:rFonts w:asciiTheme="majorEastAsia" w:hAnsiTheme="majorEastAsia" w:eastAsiaTheme="majorEastAsia"/>
          <w:b/>
        </w:rPr>
      </w:pPr>
      <w:r>
        <w:rPr>
          <w:rFonts w:hint="eastAsia" w:asciiTheme="majorEastAsia" w:hAnsiTheme="majorEastAsia" w:eastAsiaTheme="majorEastAsia"/>
          <w:b/>
        </w:rPr>
        <w:t>图C.1 某三氧化二锑产品改进方案的实施者优先排序图</w:t>
      </w:r>
    </w:p>
    <w:p>
      <w:pPr>
        <w:ind w:firstLine="420" w:firstLineChars="200"/>
        <w:jc w:val="left"/>
        <w:rPr>
          <w:rFonts w:asciiTheme="majorEastAsia" w:hAnsiTheme="majorEastAsia" w:eastAsiaTheme="majorEastAsia"/>
        </w:rPr>
      </w:pPr>
    </w:p>
    <w:p>
      <w:pPr>
        <w:ind w:firstLine="420" w:firstLineChars="200"/>
        <w:jc w:val="left"/>
        <w:rPr>
          <w:rFonts w:asciiTheme="majorEastAsia" w:hAnsiTheme="majorEastAsia" w:eastAsiaTheme="majorEastAsia"/>
        </w:rPr>
      </w:pPr>
    </w:p>
    <w:p>
      <w:pPr>
        <w:ind w:firstLine="420" w:firstLineChars="200"/>
        <w:jc w:val="left"/>
        <w:rPr>
          <w:rFonts w:asciiTheme="majorEastAsia" w:hAnsiTheme="majorEastAsia" w:eastAsiaTheme="majorEastAsia"/>
        </w:rPr>
      </w:pPr>
    </w:p>
    <w:p>
      <w:pPr>
        <w:ind w:firstLine="420" w:firstLineChars="200"/>
        <w:jc w:val="left"/>
        <w:rPr>
          <w:rFonts w:asciiTheme="majorEastAsia" w:hAnsiTheme="majorEastAsia" w:eastAsiaTheme="majorEastAsia"/>
        </w:rPr>
      </w:pPr>
    </w:p>
    <w:p>
      <w:pPr>
        <w:ind w:firstLine="420" w:firstLineChars="200"/>
        <w:jc w:val="left"/>
        <w:rPr>
          <w:rFonts w:asciiTheme="majorEastAsia" w:hAnsiTheme="majorEastAsia" w:eastAsiaTheme="majorEastAsia"/>
        </w:rPr>
      </w:pPr>
    </w:p>
    <w:p>
      <w:pPr>
        <w:ind w:firstLine="420" w:firstLineChars="200"/>
        <w:jc w:val="left"/>
        <w:rPr>
          <w:rFonts w:asciiTheme="majorEastAsia" w:hAnsiTheme="majorEastAsia" w:eastAsiaTheme="majorEastAsia"/>
        </w:rPr>
      </w:pPr>
    </w:p>
    <w:p>
      <w:pPr>
        <w:ind w:firstLine="420" w:firstLineChars="200"/>
        <w:jc w:val="left"/>
        <w:rPr>
          <w:rFonts w:asciiTheme="majorEastAsia" w:hAnsiTheme="majorEastAsia" w:eastAsiaTheme="majorEastAsia"/>
        </w:rPr>
      </w:pPr>
    </w:p>
    <w:p>
      <w:pPr>
        <w:ind w:firstLine="420" w:firstLineChars="200"/>
        <w:jc w:val="left"/>
        <w:rPr>
          <w:rFonts w:asciiTheme="majorEastAsia" w:hAnsiTheme="majorEastAsia" w:eastAsiaTheme="majorEastAsia"/>
        </w:rPr>
      </w:pPr>
    </w:p>
    <w:p>
      <w:pPr>
        <w:rPr>
          <w:rFonts w:asciiTheme="majorEastAsia" w:hAnsiTheme="majorEastAsia" w:eastAsiaTheme="majorEastAsia"/>
          <w:b/>
        </w:rPr>
      </w:pPr>
    </w:p>
    <w:p>
      <w:pPr>
        <w:jc w:val="center"/>
        <w:rPr>
          <w:rFonts w:asciiTheme="majorEastAsia" w:hAnsiTheme="majorEastAsia" w:eastAsiaTheme="majorEastAsia"/>
          <w:b/>
        </w:rPr>
      </w:pPr>
      <w:r>
        <w:rPr>
          <w:rFonts w:hint="eastAsia" w:asciiTheme="majorEastAsia" w:hAnsiTheme="majorEastAsia" w:eastAsiaTheme="majorEastAsia"/>
          <w:b/>
        </w:rPr>
        <w:t>参考文献</w:t>
      </w:r>
    </w:p>
    <w:p>
      <w:pPr>
        <w:jc w:val="left"/>
        <w:rPr>
          <w:rFonts w:asciiTheme="majorEastAsia" w:hAnsiTheme="majorEastAsia" w:eastAsiaTheme="majorEastAsia"/>
        </w:rPr>
      </w:pPr>
      <w:r>
        <w:rPr>
          <w:rFonts w:hint="eastAsia" w:asciiTheme="majorEastAsia" w:hAnsiTheme="majorEastAsia" w:eastAsiaTheme="majorEastAsia"/>
        </w:rPr>
        <w:t>[1] 发改委2006 年94 号公告，锑行业准入条件.</w:t>
      </w:r>
    </w:p>
    <w:p>
      <w:pPr>
        <w:jc w:val="left"/>
        <w:rPr>
          <w:rFonts w:asciiTheme="majorEastAsia" w:hAnsiTheme="majorEastAsia" w:eastAsiaTheme="majorEastAsia"/>
        </w:rPr>
      </w:pPr>
      <w:r>
        <w:rPr>
          <w:rFonts w:hint="eastAsia" w:asciiTheme="majorEastAsia" w:hAnsiTheme="majorEastAsia" w:eastAsiaTheme="majorEastAsia"/>
        </w:rPr>
        <w:t>[2] 国家发展和改革委员会、环境保护部、工业和信息化部2015 年36 号公告，锑行业清洁生产评价指标体系.</w:t>
      </w:r>
    </w:p>
    <w:p>
      <w:pPr>
        <w:jc w:val="left"/>
        <w:rPr>
          <w:rFonts w:asciiTheme="majorEastAsia" w:hAnsiTheme="majorEastAsia" w:eastAsiaTheme="majorEastAsia"/>
        </w:rPr>
      </w:pPr>
      <w:r>
        <w:rPr>
          <w:rFonts w:hint="eastAsia" w:asciiTheme="majorEastAsia" w:hAnsiTheme="majorEastAsia" w:eastAsiaTheme="majorEastAsia"/>
        </w:rPr>
        <w:t>[3] 王寿兵, 吴峰, 刘晶茹. 产业生态学[M]. 北京：化学工业出版社，2006 年：58-66.</w:t>
      </w: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p>
    <w:p>
      <w:pPr>
        <w:jc w:val="left"/>
        <w:rPr>
          <w:rFonts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                          </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Calibri,Bold">
    <w:altName w:val="方正兰亭超细黑简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809271"/>
      <w:docPartObj>
        <w:docPartGallery w:val="AutoText"/>
      </w:docPartObj>
    </w:sdtPr>
    <w:sdtContent>
      <w:p>
        <w:pPr>
          <w:pStyle w:val="4"/>
          <w:jc w:val="center"/>
        </w:pPr>
        <w:r>
          <w:fldChar w:fldCharType="begin"/>
        </w:r>
        <w:r>
          <w:instrText xml:space="preserve">PAGE   \* MERGEFORMAT</w:instrText>
        </w:r>
        <w:r>
          <w:fldChar w:fldCharType="separate"/>
        </w:r>
        <w:r>
          <w:rPr>
            <w:lang w:val="zh-CN"/>
          </w:rPr>
          <w:t>13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568"/>
    <w:rsid w:val="000203A7"/>
    <w:rsid w:val="00035AAC"/>
    <w:rsid w:val="00037A2C"/>
    <w:rsid w:val="00042B75"/>
    <w:rsid w:val="00094F0E"/>
    <w:rsid w:val="000A3235"/>
    <w:rsid w:val="000A7805"/>
    <w:rsid w:val="000C790B"/>
    <w:rsid w:val="001014E5"/>
    <w:rsid w:val="001459D4"/>
    <w:rsid w:val="00157D00"/>
    <w:rsid w:val="00167F3B"/>
    <w:rsid w:val="00172A27"/>
    <w:rsid w:val="001827A1"/>
    <w:rsid w:val="001A3346"/>
    <w:rsid w:val="001B0679"/>
    <w:rsid w:val="001D73E6"/>
    <w:rsid w:val="001F7D7C"/>
    <w:rsid w:val="00200604"/>
    <w:rsid w:val="00211EB0"/>
    <w:rsid w:val="00241DB8"/>
    <w:rsid w:val="0026791B"/>
    <w:rsid w:val="00277C2E"/>
    <w:rsid w:val="002837A5"/>
    <w:rsid w:val="002B26D1"/>
    <w:rsid w:val="002E7AFC"/>
    <w:rsid w:val="00300045"/>
    <w:rsid w:val="003038F0"/>
    <w:rsid w:val="003047DD"/>
    <w:rsid w:val="00337BEF"/>
    <w:rsid w:val="0034666E"/>
    <w:rsid w:val="00362397"/>
    <w:rsid w:val="00373990"/>
    <w:rsid w:val="0038009B"/>
    <w:rsid w:val="003A6F93"/>
    <w:rsid w:val="003C3034"/>
    <w:rsid w:val="003D5297"/>
    <w:rsid w:val="003F5296"/>
    <w:rsid w:val="003F6867"/>
    <w:rsid w:val="004026CA"/>
    <w:rsid w:val="0041695C"/>
    <w:rsid w:val="00423405"/>
    <w:rsid w:val="00434869"/>
    <w:rsid w:val="00444D8F"/>
    <w:rsid w:val="00494612"/>
    <w:rsid w:val="004E76E6"/>
    <w:rsid w:val="004F3257"/>
    <w:rsid w:val="005105F9"/>
    <w:rsid w:val="00515DAE"/>
    <w:rsid w:val="00517B9A"/>
    <w:rsid w:val="00520376"/>
    <w:rsid w:val="00524EC3"/>
    <w:rsid w:val="00541A2E"/>
    <w:rsid w:val="00572594"/>
    <w:rsid w:val="005729DD"/>
    <w:rsid w:val="005862C7"/>
    <w:rsid w:val="005925B9"/>
    <w:rsid w:val="005940F9"/>
    <w:rsid w:val="005C2E7F"/>
    <w:rsid w:val="005D1529"/>
    <w:rsid w:val="005E40EA"/>
    <w:rsid w:val="005F0477"/>
    <w:rsid w:val="00605852"/>
    <w:rsid w:val="00622124"/>
    <w:rsid w:val="00656A28"/>
    <w:rsid w:val="00660979"/>
    <w:rsid w:val="00671D07"/>
    <w:rsid w:val="006735AF"/>
    <w:rsid w:val="006978C3"/>
    <w:rsid w:val="006A50F1"/>
    <w:rsid w:val="006B4ED2"/>
    <w:rsid w:val="006B571C"/>
    <w:rsid w:val="006B5ECE"/>
    <w:rsid w:val="006E24CB"/>
    <w:rsid w:val="006E2A1B"/>
    <w:rsid w:val="007140D1"/>
    <w:rsid w:val="007364C0"/>
    <w:rsid w:val="00741FFD"/>
    <w:rsid w:val="0076517B"/>
    <w:rsid w:val="00770EC0"/>
    <w:rsid w:val="00775F59"/>
    <w:rsid w:val="00790753"/>
    <w:rsid w:val="00792168"/>
    <w:rsid w:val="007A07D2"/>
    <w:rsid w:val="007B3501"/>
    <w:rsid w:val="007E61BC"/>
    <w:rsid w:val="007F0723"/>
    <w:rsid w:val="007F48EC"/>
    <w:rsid w:val="0082593E"/>
    <w:rsid w:val="00884134"/>
    <w:rsid w:val="008D3BA9"/>
    <w:rsid w:val="00914CCC"/>
    <w:rsid w:val="00922EF0"/>
    <w:rsid w:val="00930461"/>
    <w:rsid w:val="00930976"/>
    <w:rsid w:val="00940E7D"/>
    <w:rsid w:val="0097474C"/>
    <w:rsid w:val="009855E7"/>
    <w:rsid w:val="00986FF3"/>
    <w:rsid w:val="00994B68"/>
    <w:rsid w:val="009B1526"/>
    <w:rsid w:val="009B656B"/>
    <w:rsid w:val="009D3A21"/>
    <w:rsid w:val="009D5F39"/>
    <w:rsid w:val="009D7C24"/>
    <w:rsid w:val="009F02D1"/>
    <w:rsid w:val="00A25D79"/>
    <w:rsid w:val="00A40F03"/>
    <w:rsid w:val="00A459EB"/>
    <w:rsid w:val="00A47F0A"/>
    <w:rsid w:val="00A50A67"/>
    <w:rsid w:val="00A5149D"/>
    <w:rsid w:val="00A6373E"/>
    <w:rsid w:val="00A643DA"/>
    <w:rsid w:val="00A8109F"/>
    <w:rsid w:val="00A9070C"/>
    <w:rsid w:val="00A91B50"/>
    <w:rsid w:val="00AC3036"/>
    <w:rsid w:val="00B047B4"/>
    <w:rsid w:val="00B079BA"/>
    <w:rsid w:val="00B116BC"/>
    <w:rsid w:val="00B2615B"/>
    <w:rsid w:val="00B374C8"/>
    <w:rsid w:val="00B404BF"/>
    <w:rsid w:val="00B577E9"/>
    <w:rsid w:val="00B66594"/>
    <w:rsid w:val="00B753B8"/>
    <w:rsid w:val="00BA4FE5"/>
    <w:rsid w:val="00BA7485"/>
    <w:rsid w:val="00BC0276"/>
    <w:rsid w:val="00BE54EE"/>
    <w:rsid w:val="00C13734"/>
    <w:rsid w:val="00C148A6"/>
    <w:rsid w:val="00C31E8E"/>
    <w:rsid w:val="00C4631C"/>
    <w:rsid w:val="00C5146D"/>
    <w:rsid w:val="00C5321C"/>
    <w:rsid w:val="00C56391"/>
    <w:rsid w:val="00C62FB6"/>
    <w:rsid w:val="00C635A0"/>
    <w:rsid w:val="00C65532"/>
    <w:rsid w:val="00C85D37"/>
    <w:rsid w:val="00C967A4"/>
    <w:rsid w:val="00CC57A3"/>
    <w:rsid w:val="00CE1A63"/>
    <w:rsid w:val="00CE7752"/>
    <w:rsid w:val="00CF0172"/>
    <w:rsid w:val="00CF1CC4"/>
    <w:rsid w:val="00CF4B7A"/>
    <w:rsid w:val="00D0537E"/>
    <w:rsid w:val="00D07336"/>
    <w:rsid w:val="00D15EAE"/>
    <w:rsid w:val="00D23871"/>
    <w:rsid w:val="00D679C1"/>
    <w:rsid w:val="00D7259D"/>
    <w:rsid w:val="00D73E07"/>
    <w:rsid w:val="00D86C9E"/>
    <w:rsid w:val="00DC7C63"/>
    <w:rsid w:val="00DF0754"/>
    <w:rsid w:val="00E059FA"/>
    <w:rsid w:val="00E0700F"/>
    <w:rsid w:val="00E23C9E"/>
    <w:rsid w:val="00E36D32"/>
    <w:rsid w:val="00E46D66"/>
    <w:rsid w:val="00E73666"/>
    <w:rsid w:val="00E7392A"/>
    <w:rsid w:val="00E763B6"/>
    <w:rsid w:val="00E901ED"/>
    <w:rsid w:val="00E92685"/>
    <w:rsid w:val="00EA36DB"/>
    <w:rsid w:val="00EA4970"/>
    <w:rsid w:val="00EB2A08"/>
    <w:rsid w:val="00ED2FE7"/>
    <w:rsid w:val="00EE399E"/>
    <w:rsid w:val="00EE6F9E"/>
    <w:rsid w:val="00EF60D2"/>
    <w:rsid w:val="00F3459E"/>
    <w:rsid w:val="00F417E8"/>
    <w:rsid w:val="00F51006"/>
    <w:rsid w:val="00F51940"/>
    <w:rsid w:val="00F77BDF"/>
    <w:rsid w:val="00F83F8A"/>
    <w:rsid w:val="00F9296F"/>
    <w:rsid w:val="00F933A2"/>
    <w:rsid w:val="00FA55DC"/>
    <w:rsid w:val="00FD05BE"/>
    <w:rsid w:val="00FF1FD8"/>
    <w:rsid w:val="1D153364"/>
    <w:rsid w:val="20BF42B7"/>
    <w:rsid w:val="274C5CA5"/>
    <w:rsid w:val="4AD03570"/>
    <w:rsid w:val="4DEE17EB"/>
    <w:rsid w:val="51BE417F"/>
    <w:rsid w:val="5D655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9"/>
        <o:r id="V:Rule2" type="connector" idref="#_x0000_s1075"/>
        <o:r id="V:Rule3" type="connector" idref="#_x0000_s1076"/>
        <o:r id="V:Rule4" type="connector" idref="#_x0000_s1077"/>
        <o:r id="V:Rule5" type="connector" idref="#自选图形 20"/>
        <o:r id="V:Rule6" type="connector" idref="#自选图形 23"/>
        <o:r id="V:Rule7" type="connector" idref="#自选图形 24"/>
        <o:r id="V:Rule8" type="connector" idref="#自选图形 27"/>
        <o:r id="V:Rule9" type="connector" idref="#自选图形 30"/>
        <o:r id="V:Rule10" type="connector" idref="#自选图形 31"/>
        <o:r id="V:Rule11" type="connector" idref="#自选图形 32"/>
        <o:r id="V:Rule12" type="connector" idref="#自选图形 33"/>
        <o:r id="V:Rule13" type="connector" idref="#自选图形 38"/>
        <o:r id="V:Rule14" type="connector" idref="#自选图形 39"/>
        <o:r id="V:Rule15" type="connector" idref="#自选图形 43"/>
        <o:r id="V:Rule16" type="connector" idref="#_x0000_s1135"/>
        <o:r id="V:Rule17" type="connector" idref="#_x0000_s1138"/>
        <o:r id="V:Rule18" type="connector" idref="#_x0000_s1139"/>
        <o:r id="V:Rule19" type="connector" idref="#自选图形 7"/>
        <o:r id="V:Rule20" type="connector" idref="#自选图形 11"/>
        <o:r id="V:Rule21" type="connector" idref="#_x0000_s11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rPr>
      <w:rFonts w:ascii="Calibri" w:hAnsi="Calibri" w:eastAsia="宋体" w:cs="Times New Roman"/>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qFormat/>
    <w:uiPriority w:val="99"/>
    <w:rPr>
      <w:rFonts w:cs="Times New Roman"/>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paragraph" w:customStyle="1" w:styleId="15">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7">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1">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2">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3">
    <w:name w:val="实施日期"/>
    <w:basedOn w:val="22"/>
    <w:qFormat/>
    <w:uiPriority w:val="99"/>
    <w:pPr>
      <w:framePr w:hSpace="0" w:xAlign="right"/>
      <w:jc w:val="right"/>
    </w:pPr>
  </w:style>
  <w:style w:type="paragraph" w:customStyle="1" w:styleId="24">
    <w:name w:val="发布部门"/>
    <w:next w:val="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5">
    <w:name w:val="标题 1 Char"/>
    <w:basedOn w:val="9"/>
    <w:link w:val="2"/>
    <w:uiPriority w:val="9"/>
    <w:rPr>
      <w:b/>
      <w:bCs/>
      <w:kern w:val="44"/>
      <w:sz w:val="44"/>
      <w:szCs w:val="44"/>
    </w:rPr>
  </w:style>
  <w:style w:type="paragraph" w:customStyle="1" w:styleId="2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27">
    <w:name w:val="Revision"/>
    <w:hidden/>
    <w:unhideWhenUsed/>
    <w:uiPriority w:val="99"/>
    <w:rPr>
      <w:rFonts w:asciiTheme="minorHAnsi" w:hAnsiTheme="minorHAnsi" w:eastAsiaTheme="minorEastAsia" w:cstheme="minorBidi"/>
      <w:kern w:val="2"/>
      <w:sz w:val="21"/>
      <w:szCs w:val="22"/>
      <w:lang w:val="en-US" w:eastAsia="zh-CN" w:bidi="ar-SA"/>
    </w:r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eastAsia="宋体" w:cs="Times New Roman"/>
      <w:bCs w:val="0"/>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优先排序图</c:v>
                </c:pt>
              </c:strCache>
            </c:strRef>
          </c:tx>
          <c:invertIfNegative val="0"/>
          <c:dLbls>
            <c:delete val="1"/>
          </c:dLbls>
          <c:cat>
            <c:strRef>
              <c:f>Sheet1!$A$2:$A$7</c:f>
              <c:strCache>
                <c:ptCount val="6"/>
                <c:pt idx="0">
                  <c:v>M1</c:v>
                </c:pt>
                <c:pt idx="1">
                  <c:v>M2</c:v>
                </c:pt>
                <c:pt idx="2">
                  <c:v>D1</c:v>
                </c:pt>
                <c:pt idx="3">
                  <c:v>D2</c:v>
                </c:pt>
                <c:pt idx="4">
                  <c:v>D3</c:v>
                </c:pt>
                <c:pt idx="5">
                  <c:v>MG1</c:v>
                </c:pt>
              </c:strCache>
            </c:strRef>
          </c:cat>
          <c:val>
            <c:numRef>
              <c:f>Sheet1!$B$2:$B$7</c:f>
              <c:numCache>
                <c:formatCode>General</c:formatCode>
                <c:ptCount val="6"/>
                <c:pt idx="0">
                  <c:v>11</c:v>
                </c:pt>
                <c:pt idx="1">
                  <c:v>14</c:v>
                </c:pt>
                <c:pt idx="2">
                  <c:v>15</c:v>
                </c:pt>
                <c:pt idx="3">
                  <c:v>15</c:v>
                </c:pt>
                <c:pt idx="4">
                  <c:v>11</c:v>
                </c:pt>
                <c:pt idx="5">
                  <c:v>12</c:v>
                </c:pt>
              </c:numCache>
            </c:numRef>
          </c:val>
        </c:ser>
        <c:dLbls>
          <c:showLegendKey val="0"/>
          <c:showVal val="0"/>
          <c:showCatName val="0"/>
          <c:showSerName val="0"/>
          <c:showPercent val="0"/>
          <c:showBubbleSize val="0"/>
        </c:dLbls>
        <c:gapWidth val="150"/>
        <c:overlap val="100"/>
        <c:axId val="106428288"/>
        <c:axId val="106429824"/>
      </c:barChart>
      <c:catAx>
        <c:axId val="106428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6429824"/>
        <c:crosses val="autoZero"/>
        <c:auto val="1"/>
        <c:lblAlgn val="ctr"/>
        <c:lblOffset val="100"/>
        <c:noMultiLvlLbl val="0"/>
      </c:catAx>
      <c:valAx>
        <c:axId val="1064298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642828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41"/>
    <customShpInfo spid="_x0000_s1142"/>
    <customShpInfo spid="_x0000_s1143"/>
    <customShpInfo spid="_x0000_s1147"/>
    <customShpInfo spid="_x0000_s1144"/>
    <customShpInfo spid="_x0000_s1150"/>
    <customShpInfo spid="_x0000_s1148"/>
    <customShpInfo spid="_x0000_s1145"/>
    <customShpInfo spid="_x0000_s1146"/>
    <customShpInfo spid="_x0000_s1149"/>
    <customShpInfo spid="_x0000_s1102"/>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03"/>
    <customShpInfo spid="_x0000_s1101"/>
    <customShpInfo spid="_x0000_s1057"/>
    <customShpInfo spid="_x0000_s1064"/>
    <customShpInfo spid="_x0000_s1059"/>
    <customShpInfo spid="_x0000_s1056"/>
    <customShpInfo spid="_x0000_s1054"/>
    <customShpInfo spid="_x0000_s1052"/>
    <customShpInfo spid="_x0000_s1058"/>
    <customShpInfo spid="_x0000_s1053"/>
    <customShpInfo spid="_x0000_s1060"/>
    <customShpInfo spid="_x0000_s1132"/>
    <customShpInfo spid="_x0000_s1055"/>
    <customShpInfo spid="_x0000_s1152"/>
    <customShpInfo spid="_x0000_s1134"/>
    <customShpInfo spid="_x0000_s1153"/>
    <customShpInfo spid="_x0000_s1135"/>
    <customShpInfo spid="_x0000_s1078"/>
    <customShpInfo spid="_x0000_s1136"/>
    <customShpInfo spid="_x0000_s1065"/>
    <customShpInfo spid="_x0000_s1139"/>
    <customShpInfo spid="_x0000_s1069"/>
    <customShpInfo spid="_x0000_s1067"/>
    <customShpInfo spid="_x0000_s1070"/>
    <customShpInfo spid="_x0000_s1068"/>
    <customShpInfo spid="_x0000_s1066"/>
    <customShpInfo spid="_x0000_s1071"/>
    <customShpInfo spid="_x0000_s1138"/>
    <customShpInfo spid="_x0000_s1077"/>
    <customShpInfo spid="_x0000_s1076"/>
    <customShpInfo spid="_x0000_s1075"/>
    <customShpInfo spid="_x0000_s1137"/>
    <customShpInfo spid="_x0000_s1074"/>
    <customShpInfo spid="_x0000_s1073"/>
    <customShpInfo spid="_x0000_s107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A6173-38E3-4695-B09B-03CABC8E068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1817</Words>
  <Characters>10362</Characters>
  <Lines>86</Lines>
  <Paragraphs>24</Paragraphs>
  <TotalTime>6123</TotalTime>
  <ScaleCrop>false</ScaleCrop>
  <LinksUpToDate>false</LinksUpToDate>
  <CharactersWithSpaces>12155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2018-08-30T00:56:00Z</dcterms:created>
  <dc:creator>微软用户</dc:creator>
  <cp:lastModifiedBy>花静静地开了</cp:lastModifiedBy>
  <dcterms:modified xsi:type="dcterms:W3CDTF">2019-04-08T05:52:38Z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