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framePr/>
      </w:pPr>
      <w:r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rPr>
          <w:rFonts w:hint="eastAsia"/>
        </w:rPr>
        <w:t>77.160</w:t>
      </w:r>
      <w:r>
        <w:fldChar w:fldCharType="end"/>
      </w:r>
      <w:bookmarkEnd w:id="0"/>
    </w:p>
    <w:p>
      <w:pPr>
        <w:pStyle w:val="119"/>
        <w:framePr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H</w:t>
      </w:r>
      <w:r>
        <w:fldChar w:fldCharType="end"/>
      </w:r>
      <w:bookmarkEnd w:id="1"/>
    </w:p>
    <w:p>
      <w:pPr>
        <w:pStyle w:val="62"/>
        <w:framePr/>
      </w:pPr>
      <w:r>
        <w:drawing>
          <wp:inline distT="0" distB="0" distL="0" distR="0">
            <wp:extent cx="1440815" cy="716915"/>
            <wp:effectExtent l="19050" t="0" r="6985" b="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3"/>
        <w:framePr/>
      </w:pPr>
      <w:r>
        <w:rPr>
          <w:rFonts w:hint="eastAsia"/>
        </w:rPr>
        <w:t>中华人民共和国国家标准</w:t>
      </w:r>
    </w:p>
    <w:p>
      <w:pPr>
        <w:pStyle w:val="43"/>
        <w:framePr/>
      </w:pPr>
      <w:r>
        <w:rPr>
          <w:rFonts w:ascii="Times New Roman"/>
        </w:rPr>
        <w:t xml:space="preserve">GB/T </w:t>
      </w:r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2" w:name="StdNo1"/>
      <w:r>
        <w:instrText xml:space="preserve"> FORMTEXT </w:instrText>
      </w:r>
      <w:r>
        <w:fldChar w:fldCharType="separate"/>
      </w:r>
      <w:r>
        <w:t>20</w:t>
      </w:r>
      <w:r>
        <w:rPr>
          <w:rFonts w:hint="eastAsia"/>
        </w:rPr>
        <w:t>XX</w:t>
      </w:r>
      <w:r>
        <w:fldChar w:fldCharType="end"/>
      </w:r>
      <w:bookmarkEnd w:id="2"/>
      <w:r>
        <w:t>—</w:t>
      </w:r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StdNo2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3"/>
    </w:p>
    <w:tbl>
      <w:tblPr>
        <w:tblStyle w:val="29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framePr/>
            </w:pPr>
            <w:r>
              <w:pict>
                <v:rect id="DT" o:spid="_x0000_s1036" o:spt="1" style="position:absolute;left:0pt;margin-left:372.8pt;margin-top:2.7pt;height:18pt;width:90pt;z-index:-25165824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4" w:name="DT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</w:tr>
    </w:tbl>
    <w:p>
      <w:pPr>
        <w:pStyle w:val="43"/>
        <w:framePr/>
      </w:pPr>
    </w:p>
    <w:p>
      <w:pPr>
        <w:pStyle w:val="43"/>
        <w:framePr/>
      </w:pPr>
    </w:p>
    <w:p>
      <w:pPr>
        <w:pStyle w:val="74"/>
        <w:framePr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5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增材制造用球形钴铬合金粉</w:t>
      </w:r>
      <w:r>
        <w:fldChar w:fldCharType="end"/>
      </w:r>
      <w:bookmarkEnd w:id="5"/>
    </w:p>
    <w:p>
      <w:pPr>
        <w:pStyle w:val="75"/>
        <w:framePr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6" w:name="StdEnglishName"/>
      <w:r>
        <w:instrText xml:space="preserve"> FORMTEXT </w:instrText>
      </w:r>
      <w:r>
        <w:fldChar w:fldCharType="separate"/>
      </w:r>
      <w:r>
        <w:t>Spherical Co-Cr alloy powder used for additive manufacturing</w:t>
      </w:r>
      <w:r>
        <w:fldChar w:fldCharType="end"/>
      </w:r>
      <w:bookmarkEnd w:id="6"/>
    </w:p>
    <w:p>
      <w:pPr>
        <w:pStyle w:val="76"/>
        <w:framePr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7" w:name="YZBS"/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7"/>
    </w:p>
    <w:tbl>
      <w:tblPr>
        <w:tblStyle w:val="29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</w:pPr>
            <w:r>
              <w:pict>
                <v:rect id="RQ" o:spid="_x0000_s1038" o:spt="1" style="position:absolute;left:0pt;margin-left:173.3pt;margin-top:45.15pt;height:20pt;width:150pt;z-index:-251657216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37" o:spt="1" style="position:absolute;left:0pt;margin-left:193.3pt;margin-top:20.15pt;height:24pt;width:100pt;z-index:-25165824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8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  <w:framePr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9" w:name="WCRQ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</w:tbl>
    <w:p>
      <w:pPr>
        <w:pStyle w:val="126"/>
        <w:framePr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bookmarkStart w:id="10" w:name="F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20XX</w:t>
      </w:r>
      <w:r>
        <w:rPr>
          <w:rFonts w:ascii="黑体"/>
        </w:rPr>
        <w:fldChar w:fldCharType="end"/>
      </w:r>
      <w:bookmarkEnd w:id="10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1" w:name="F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2" w:name="F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2"/>
      <w:r>
        <w:rPr>
          <w:rFonts w:hint="eastAsia"/>
        </w:rPr>
        <w:t>发布</w:t>
      </w:r>
      <w:r>
        <w:pict>
          <v:line id="_x0000_s1034" o:spid="_x0000_s1034" o:spt="20" style="position:absolute;left:0pt;margin-left:-0.05pt;margin-top:728.5pt;height:0pt;width:481.9pt;mso-position-vertical-relative:page;z-index:251656192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  <w:framePr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3" w:name="S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4" w:name="S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5" w:name="S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实施</w:t>
      </w:r>
    </w:p>
    <w:p>
      <w:pPr>
        <w:pStyle w:val="70"/>
        <w:framePr/>
      </w:pPr>
      <w:r>
        <w:drawing>
          <wp:inline distT="0" distB="0" distL="0" distR="0">
            <wp:extent cx="5033010" cy="716915"/>
            <wp:effectExtent l="19050" t="0" r="0" b="0"/>
            <wp:docPr id="2" name="图片 2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BSendCl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1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35" o:spid="_x0000_s1035" o:spt="20" style="position:absolute;left:0pt;margin-left:-0.05pt;margin-top:184.25pt;height:0pt;width:481.9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6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6"/>
    </w:p>
    <w:p>
      <w:pPr>
        <w:pStyle w:val="21"/>
      </w:pPr>
      <w:r>
        <w:rPr>
          <w:rFonts w:hint="eastAsia"/>
        </w:rPr>
        <w:t>本标准按照GB/T 1.1-2009给出的规则起草。</w:t>
      </w:r>
    </w:p>
    <w:p>
      <w:pPr>
        <w:pStyle w:val="21"/>
      </w:pPr>
      <w:r>
        <w:rPr>
          <w:rFonts w:hint="eastAsia"/>
        </w:rPr>
        <w:t xml:space="preserve">本标准由中国有色金属工业协会提出。 </w:t>
      </w:r>
    </w:p>
    <w:p>
      <w:pPr>
        <w:pStyle w:val="21"/>
      </w:pPr>
      <w:r>
        <w:rPr>
          <w:rFonts w:hint="eastAsia"/>
        </w:rPr>
        <w:t xml:space="preserve">本标准由全国有色金属标准化技术委员会(SAC/TC243)归口。 </w:t>
      </w:r>
    </w:p>
    <w:p>
      <w:pPr>
        <w:pStyle w:val="21"/>
      </w:pPr>
      <w:r>
        <w:rPr>
          <w:rFonts w:hint="eastAsia"/>
        </w:rPr>
        <w:t xml:space="preserve">本标准负责起草单位：广东省材料与加工研究所。 </w:t>
      </w:r>
    </w:p>
    <w:p>
      <w:pPr>
        <w:pStyle w:val="21"/>
        <w:sectPr>
          <w:headerReference r:id="rId9" w:type="default"/>
          <w:footerReference r:id="rId10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</w:rPr>
        <w:t xml:space="preserve">本标准主要起草人： </w:t>
      </w:r>
    </w:p>
    <w:p>
      <w:pPr>
        <w:pStyle w:val="46"/>
      </w:pPr>
      <w:r>
        <w:rPr>
          <w:rFonts w:hint="eastAsia"/>
        </w:rPr>
        <w:t>增</w:t>
      </w:r>
      <w:bookmarkStart w:id="17" w:name="StandardName"/>
      <w:r>
        <w:rPr>
          <w:rFonts w:hint="eastAsia"/>
        </w:rPr>
        <w:t>材制造用球形钴铬合金粉</w:t>
      </w:r>
      <w:bookmarkEnd w:id="17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pStyle w:val="21"/>
      </w:pPr>
      <w:r>
        <w:t>本标准</w:t>
      </w:r>
      <w:r>
        <w:rPr>
          <w:rFonts w:hint="eastAsia"/>
        </w:rPr>
        <w:t>规定了钴铬合金粉末的要求、试验方法、检验规则及标志、包装、运输、贮存、质量证明书和合同（或订货单）内容。</w:t>
      </w:r>
    </w:p>
    <w:p>
      <w:pPr>
        <w:pStyle w:val="21"/>
      </w:pPr>
      <w:r>
        <w:rPr>
          <w:rFonts w:hint="eastAsia"/>
        </w:rPr>
        <w:t>本标准适用于增材制造用的钴铬合金粉末。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pStyle w:val="21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 xml:space="preserve">GB/T 223.11 钢铁及合金 铬含量的测定 可视滴定或电位滴定法 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 xml:space="preserve">GB/T 223.23 钢铁及合金 镍含量的测定 丁二酮肟分光光度法 镍量测定 </w:t>
      </w:r>
    </w:p>
    <w:p>
      <w:pPr>
        <w:pStyle w:val="21"/>
        <w:rPr>
          <w:szCs w:val="22"/>
        </w:rPr>
      </w:pPr>
      <w:bookmarkStart w:id="18" w:name="OLE_LINK1"/>
      <w:r>
        <w:rPr>
          <w:rFonts w:hint="eastAsia"/>
          <w:szCs w:val="22"/>
        </w:rPr>
        <w:t>GB/T 223.28 钢铁及合金化学分析方法α-安息香肟重量法</w:t>
      </w:r>
      <w:bookmarkEnd w:id="18"/>
      <w:r>
        <w:rPr>
          <w:rFonts w:hint="eastAsia"/>
          <w:szCs w:val="22"/>
        </w:rPr>
        <w:t xml:space="preserve"> 钼量测定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>GB/T 223.43 钢铁及合金 钨含量的测定 重量法和分光光度法 钨量测定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 xml:space="preserve">GB/T 223.61 钢铁及合金化学分析方法 磷钼酸铵容量法 磷量测定 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 xml:space="preserve">GB/T 223.70 钢铁及合金 铁含量的测定 邻二氮杂菲分光光度法 铁量测定  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 xml:space="preserve">GB/T 14265 金属材料中氧、氮、碳和硫分析方法通则 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>GB/T 223.5 钢铁 酸溶硅和全硅含量的测定 还原型硅钼酸盐分光光度法 硅量测定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>GB/T 223.64 钢铁及合金 锰含量的测定 火焰原子吸收光谱法 锰量测定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 xml:space="preserve">GB/T 19077.1 粒度分析 激光衍射法 第1部分：通则 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 xml:space="preserve">GB/T 1479.1 金属粉末松装密度的测定 第1部分：漏斗法 </w:t>
      </w:r>
    </w:p>
    <w:p>
      <w:pPr>
        <w:pStyle w:val="21"/>
        <w:rPr>
          <w:szCs w:val="22"/>
        </w:rPr>
      </w:pPr>
      <w:r>
        <w:rPr>
          <w:rFonts w:hint="eastAsia"/>
          <w:szCs w:val="22"/>
        </w:rPr>
        <w:t xml:space="preserve">GB/T 1482 金属粉末流动性的测定标准漏斗法（霍尔流速计） </w:t>
      </w:r>
    </w:p>
    <w:p>
      <w:pPr>
        <w:pStyle w:val="21"/>
        <w:rPr>
          <w:rFonts w:hint="eastAsia"/>
          <w:szCs w:val="22"/>
        </w:rPr>
      </w:pPr>
      <w:r>
        <w:rPr>
          <w:rFonts w:hint="eastAsia"/>
          <w:szCs w:val="22"/>
        </w:rPr>
        <w:t>GB/T 5314 粉末冶金用粉末 取样方法</w:t>
      </w:r>
    </w:p>
    <w:p>
      <w:pPr>
        <w:pStyle w:val="41"/>
        <w:spacing w:before="312" w:after="312"/>
      </w:pPr>
      <w:r>
        <w:rPr>
          <w:rFonts w:hint="eastAsia"/>
        </w:rPr>
        <w:t>要求</w:t>
      </w:r>
    </w:p>
    <w:p>
      <w:pPr>
        <w:pStyle w:val="38"/>
        <w:spacing w:before="156" w:after="156"/>
      </w:pPr>
      <w:r>
        <w:rPr>
          <w:rFonts w:hint="eastAsia"/>
        </w:rPr>
        <w:t>产品分类</w:t>
      </w:r>
    </w:p>
    <w:p>
      <w:pPr>
        <w:pStyle w:val="42"/>
        <w:spacing w:before="156" w:after="156"/>
      </w:pPr>
      <w:r>
        <w:rPr>
          <w:rFonts w:hint="eastAsia"/>
        </w:rPr>
        <w:t>牌号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="宋体" w:eastAsia="宋体"/>
          <w:szCs w:val="22"/>
        </w:rPr>
      </w:pPr>
      <w:r>
        <w:rPr>
          <w:rFonts w:hint="eastAsia" w:ascii="宋体" w:eastAsia="宋体"/>
          <w:szCs w:val="22"/>
        </w:rPr>
        <w:t>产品根据化学成分不同分为2个牌号：CoCrMo、CoCrWMo,每个牌号有两种粒度规格。</w:t>
      </w:r>
    </w:p>
    <w:p>
      <w:pPr>
        <w:pStyle w:val="38"/>
        <w:spacing w:before="156" w:after="156"/>
      </w:pPr>
      <w:r>
        <w:rPr>
          <w:rFonts w:hint="eastAsia"/>
        </w:rPr>
        <w:t>化学成分</w:t>
      </w:r>
    </w:p>
    <w:p>
      <w:pPr>
        <w:pStyle w:val="21"/>
        <w:rPr>
          <w:rFonts w:hint="eastAsia" w:hAnsi="宋体"/>
        </w:rPr>
      </w:pPr>
      <w:r>
        <w:rPr>
          <w:rFonts w:hint="eastAsia"/>
        </w:rPr>
        <w:t>产品的化学成分</w:t>
      </w:r>
      <w:r>
        <w:rPr>
          <w:rFonts w:hint="eastAsia" w:hAnsi="宋体"/>
        </w:rPr>
        <w:t>应符合表1和表2的规定。</w:t>
      </w:r>
    </w:p>
    <w:p>
      <w:pPr>
        <w:pStyle w:val="21"/>
        <w:rPr>
          <w:rFonts w:hint="eastAsia" w:hAnsi="宋体"/>
        </w:rPr>
      </w:pPr>
    </w:p>
    <w:p>
      <w:pPr>
        <w:pStyle w:val="21"/>
        <w:rPr>
          <w:rFonts w:hint="eastAsia" w:hAnsi="宋体"/>
        </w:rPr>
      </w:pPr>
    </w:p>
    <w:p>
      <w:pPr>
        <w:pStyle w:val="21"/>
        <w:rPr>
          <w:rFonts w:hint="eastAsia" w:hAnsi="宋体"/>
        </w:rPr>
      </w:pPr>
    </w:p>
    <w:p>
      <w:pPr>
        <w:pStyle w:val="21"/>
        <w:rPr>
          <w:rFonts w:hAnsi="宋体"/>
        </w:rPr>
      </w:pPr>
    </w:p>
    <w:p>
      <w:pPr>
        <w:pStyle w:val="1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jc w:val="center"/>
        <w:textAlignment w:val="auto"/>
      </w:pPr>
      <w:r>
        <w:rPr>
          <w:rFonts w:hint="eastAsia"/>
        </w:rPr>
        <w:t>产品的化学成分（FCoCrMo） %（质量分数）</w:t>
      </w:r>
    </w:p>
    <w:tbl>
      <w:tblPr>
        <w:tblStyle w:val="29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09"/>
        <w:gridCol w:w="1063"/>
        <w:gridCol w:w="1063"/>
        <w:gridCol w:w="1063"/>
        <w:gridCol w:w="1063"/>
        <w:gridCol w:w="1064"/>
        <w:gridCol w:w="1064"/>
        <w:gridCol w:w="10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Co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Cr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Mo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Ni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Fe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Mn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Si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C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O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余量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26.00～30.00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4.00～7.00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≤0.30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≤0.20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≤0.20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0.80～1.20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≤0.10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＜0.05</w:t>
            </w:r>
          </w:p>
        </w:tc>
      </w:tr>
    </w:tbl>
    <w:p>
      <w:r>
        <w:rPr>
          <w:rFonts w:hint="eastAsia"/>
        </w:rPr>
        <w:t xml:space="preserve">  </w:t>
      </w:r>
    </w:p>
    <w:p>
      <w:pPr>
        <w:pStyle w:val="1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jc w:val="center"/>
        <w:textAlignment w:val="auto"/>
      </w:pPr>
      <w:r>
        <w:rPr>
          <w:rFonts w:hint="eastAsia"/>
        </w:rPr>
        <w:t>产品的化学成分（CoCrMoW） %（质量分数）</w:t>
      </w:r>
    </w:p>
    <w:tbl>
      <w:tblPr>
        <w:tblStyle w:val="29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Co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Cr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Mo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W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Si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Mn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Fe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C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P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S</w:t>
            </w:r>
          </w:p>
        </w:tc>
        <w:tc>
          <w:tcPr>
            <w:tcW w:w="87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O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余量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26.00～30.00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4.00～7.00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4.00～7.00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≤1.20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≤1.00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≤1.00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≤0.10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≤0.03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≤0.03</w:t>
            </w:r>
          </w:p>
        </w:tc>
        <w:tc>
          <w:tcPr>
            <w:tcW w:w="8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≤0.05</w:t>
            </w:r>
          </w:p>
        </w:tc>
      </w:tr>
    </w:tbl>
    <w:p>
      <w:pPr>
        <w:pStyle w:val="38"/>
        <w:spacing w:before="156" w:after="156"/>
      </w:pPr>
      <w:r>
        <w:rPr>
          <w:rFonts w:hint="eastAsia"/>
        </w:rPr>
        <w:t>物理性能</w:t>
      </w:r>
    </w:p>
    <w:p>
      <w:pPr>
        <w:pStyle w:val="21"/>
      </w:pPr>
      <w:r>
        <w:rPr>
          <w:rFonts w:hint="eastAsia"/>
        </w:rPr>
        <w:t>产品的物理性能应符合表3的规定。</w:t>
      </w:r>
    </w:p>
    <w:p>
      <w:pPr>
        <w:pStyle w:val="1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/>
        <w:jc w:val="center"/>
        <w:textAlignment w:val="auto"/>
      </w:pPr>
      <w:bookmarkStart w:id="19" w:name="_GoBack"/>
      <w:r>
        <w:rPr>
          <w:rFonts w:hint="eastAsia"/>
        </w:rPr>
        <w:t>产品的物理性能</w:t>
      </w:r>
    </w:p>
    <w:bookmarkEnd w:id="19"/>
    <w:tbl>
      <w:tblPr>
        <w:tblStyle w:val="29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828"/>
        <w:gridCol w:w="1540"/>
        <w:gridCol w:w="2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粒度规格</w:t>
            </w:r>
          </w:p>
        </w:tc>
        <w:tc>
          <w:tcPr>
            <w:tcW w:w="382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粒度组成/μm</w:t>
            </w:r>
          </w:p>
        </w:tc>
        <w:tc>
          <w:tcPr>
            <w:tcW w:w="154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流动性</w:t>
            </w:r>
            <w:r>
              <w:rPr>
                <w:rFonts w:ascii="宋体"/>
                <w:sz w:val="18"/>
                <w:szCs w:val="18"/>
              </w:rPr>
              <w:t>(s/50g)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松装密度</w:t>
            </w:r>
            <w:r>
              <w:rPr>
                <w:rFonts w:ascii="宋体"/>
                <w:sz w:val="18"/>
                <w:szCs w:val="18"/>
              </w:rPr>
              <w:t xml:space="preserve"> (g/cm</w:t>
            </w:r>
            <w:r>
              <w:rPr>
                <w:rFonts w:asci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15μm～ 53μm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＞</w:t>
            </w:r>
            <w:r>
              <w:rPr>
                <w:rFonts w:hint="eastAsia" w:ascii="宋体"/>
                <w:sz w:val="18"/>
                <w:szCs w:val="18"/>
              </w:rPr>
              <w:t>53</w:t>
            </w:r>
            <w:r>
              <w:rPr>
                <w:rFonts w:ascii="宋体"/>
                <w:sz w:val="18"/>
                <w:szCs w:val="18"/>
              </w:rPr>
              <w:t>μm</w:t>
            </w:r>
            <w:r>
              <w:rPr>
                <w:rFonts w:ascii="宋体" w:hAnsi="宋体"/>
                <w:sz w:val="18"/>
                <w:szCs w:val="18"/>
              </w:rPr>
              <w:t>不大于</w:t>
            </w:r>
            <w:r>
              <w:rPr>
                <w:rFonts w:ascii="宋体"/>
                <w:sz w:val="18"/>
                <w:szCs w:val="18"/>
              </w:rPr>
              <w:t>5%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/>
                <w:sz w:val="18"/>
                <w:szCs w:val="18"/>
              </w:rPr>
              <w:t>≤15μm</w:t>
            </w:r>
            <w:r>
              <w:rPr>
                <w:rFonts w:ascii="宋体" w:hAnsi="宋体"/>
                <w:sz w:val="18"/>
                <w:szCs w:val="18"/>
              </w:rPr>
              <w:t>不大于</w:t>
            </w:r>
            <w:r>
              <w:rPr>
                <w:rFonts w:ascii="宋体"/>
                <w:sz w:val="18"/>
                <w:szCs w:val="18"/>
              </w:rPr>
              <w:t>5%</w:t>
            </w:r>
          </w:p>
        </w:tc>
        <w:tc>
          <w:tcPr>
            <w:tcW w:w="1540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&lt;2</w:t>
            </w: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≥4.0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45μm～106μm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＞</w:t>
            </w:r>
            <w:r>
              <w:rPr>
                <w:rFonts w:ascii="宋体"/>
                <w:sz w:val="18"/>
                <w:szCs w:val="18"/>
              </w:rPr>
              <w:t>106μm</w:t>
            </w:r>
            <w:r>
              <w:rPr>
                <w:rFonts w:ascii="宋体" w:hAnsi="宋体"/>
                <w:sz w:val="18"/>
                <w:szCs w:val="18"/>
              </w:rPr>
              <w:t>不大于</w:t>
            </w:r>
            <w:r>
              <w:rPr>
                <w:rFonts w:ascii="宋体"/>
                <w:sz w:val="18"/>
                <w:szCs w:val="18"/>
              </w:rPr>
              <w:t>5%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/>
                <w:sz w:val="18"/>
                <w:szCs w:val="18"/>
              </w:rPr>
              <w:t>≤45μm</w:t>
            </w:r>
            <w:r>
              <w:rPr>
                <w:rFonts w:ascii="宋体" w:hAnsi="宋体"/>
                <w:sz w:val="18"/>
                <w:szCs w:val="18"/>
              </w:rPr>
              <w:t>不大于</w:t>
            </w:r>
            <w:r>
              <w:rPr>
                <w:rFonts w:ascii="宋体"/>
                <w:sz w:val="18"/>
                <w:szCs w:val="18"/>
              </w:rPr>
              <w:t>5%</w:t>
            </w:r>
          </w:p>
        </w:tc>
        <w:tc>
          <w:tcPr>
            <w:tcW w:w="1540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&lt;2</w:t>
            </w: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≥4.0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4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注</w:t>
            </w:r>
            <w:r>
              <w:rPr>
                <w:rFonts w:hint="eastAsia" w:ascii="宋体"/>
                <w:sz w:val="18"/>
                <w:szCs w:val="18"/>
              </w:rPr>
              <w:t>：</w:t>
            </w:r>
            <w:r>
              <w:rPr>
                <w:rFonts w:ascii="宋体"/>
                <w:sz w:val="18"/>
                <w:szCs w:val="18"/>
              </w:rPr>
              <w:t>需方对粒度另有要求时</w:t>
            </w:r>
            <w:r>
              <w:rPr>
                <w:rFonts w:hint="eastAsia" w:ascii="宋体"/>
                <w:sz w:val="18"/>
                <w:szCs w:val="18"/>
              </w:rPr>
              <w:t>，</w:t>
            </w:r>
            <w:r>
              <w:rPr>
                <w:rFonts w:ascii="宋体"/>
                <w:sz w:val="18"/>
                <w:szCs w:val="18"/>
              </w:rPr>
              <w:t>供需双方协商确定</w:t>
            </w:r>
            <w:r>
              <w:rPr>
                <w:rFonts w:hint="eastAsia" w:ascii="宋体"/>
                <w:sz w:val="18"/>
                <w:szCs w:val="18"/>
              </w:rPr>
              <w:t>。</w:t>
            </w:r>
          </w:p>
        </w:tc>
      </w:tr>
    </w:tbl>
    <w:p>
      <w:pPr>
        <w:pStyle w:val="38"/>
        <w:spacing w:before="156" w:after="156"/>
      </w:pPr>
      <w:r>
        <w:rPr>
          <w:rFonts w:hint="eastAsia"/>
        </w:rPr>
        <w:t>外观质量</w:t>
      </w:r>
    </w:p>
    <w:p>
      <w:pPr>
        <w:pStyle w:val="21"/>
      </w:pPr>
      <w:r>
        <w:rPr>
          <w:rFonts w:hint="eastAsia"/>
        </w:rPr>
        <w:t>产品外观</w:t>
      </w:r>
      <w:r>
        <w:rPr>
          <w:rFonts w:hint="eastAsia" w:hAnsi="宋体"/>
        </w:rPr>
        <w:t>应呈灰色或青灰色，球形或类球形，颗粒表面无微粉聚集，无目视可见夹杂物。</w:t>
      </w:r>
    </w:p>
    <w:p>
      <w:pPr>
        <w:pStyle w:val="41"/>
        <w:spacing w:before="312" w:after="312"/>
      </w:pPr>
      <w:r>
        <w:rPr>
          <w:rFonts w:hint="eastAsia"/>
        </w:rPr>
        <w:t>试验方法</w:t>
      </w:r>
    </w:p>
    <w:p>
      <w:pPr>
        <w:pStyle w:val="38"/>
        <w:spacing w:before="156" w:after="156"/>
      </w:pPr>
      <w:r>
        <w:rPr>
          <w:rFonts w:hint="eastAsia" w:ascii="宋体" w:hAnsi="宋体" w:eastAsia="宋体"/>
          <w:b/>
          <w:szCs w:val="20"/>
        </w:rPr>
        <w:t>化学成分</w:t>
      </w:r>
    </w:p>
    <w:p>
      <w:pPr>
        <w:pStyle w:val="21"/>
        <w:ind w:firstLine="0" w:firstLineChars="0"/>
        <w:rPr>
          <w:rFonts w:hAnsi="宋体"/>
        </w:rPr>
      </w:pPr>
      <w:r>
        <w:rPr>
          <w:rFonts w:hint="eastAsia"/>
        </w:rPr>
        <w:t xml:space="preserve">4.1.1 产品的Mo含量分析按GB/T </w:t>
      </w:r>
      <w:r>
        <w:rPr>
          <w:rFonts w:hAnsi="宋体"/>
        </w:rPr>
        <w:t>223.28</w:t>
      </w:r>
      <w:r>
        <w:rPr>
          <w:rFonts w:hint="eastAsia"/>
        </w:rPr>
        <w:t>的规定进行。</w:t>
      </w:r>
    </w:p>
    <w:p>
      <w:pPr>
        <w:pStyle w:val="21"/>
        <w:spacing w:beforeLines="50" w:afterLines="50"/>
        <w:ind w:firstLine="0" w:firstLineChars="0"/>
      </w:pPr>
      <w:r>
        <w:rPr>
          <w:rFonts w:hint="eastAsia" w:hAnsi="宋体"/>
        </w:rPr>
        <w:t>4.1.2</w:t>
      </w:r>
      <w:r>
        <w:rPr>
          <w:rFonts w:hint="eastAsia" w:hAnsi="宋体"/>
          <w:color w:val="FF0000"/>
        </w:rPr>
        <w:t xml:space="preserve"> </w:t>
      </w:r>
      <w:r>
        <w:rPr>
          <w:rFonts w:hAnsi="宋体"/>
        </w:rPr>
        <w:t>产品</w:t>
      </w:r>
      <w:r>
        <w:rPr>
          <w:rFonts w:hint="eastAsia" w:hAnsi="宋体"/>
        </w:rPr>
        <w:t>的Cr</w:t>
      </w:r>
      <w:r>
        <w:rPr>
          <w:rFonts w:hAnsi="宋体"/>
        </w:rPr>
        <w:t>含量分析按GB/T 223.</w:t>
      </w:r>
      <w:r>
        <w:rPr>
          <w:rFonts w:hint="eastAsia" w:hAnsi="宋体"/>
        </w:rPr>
        <w:t>11</w:t>
      </w:r>
      <w:r>
        <w:rPr>
          <w:rFonts w:hAnsi="宋体"/>
        </w:rPr>
        <w:t>的规定进行</w:t>
      </w:r>
      <w:r>
        <w:t>。</w:t>
      </w:r>
    </w:p>
    <w:p>
      <w:pPr>
        <w:pStyle w:val="21"/>
        <w:spacing w:beforeLines="50" w:afterLines="50"/>
        <w:ind w:firstLine="0" w:firstLineChars="0"/>
        <w:rPr>
          <w:rFonts w:hAnsi="宋体"/>
        </w:rPr>
      </w:pPr>
      <w:r>
        <w:rPr>
          <w:rFonts w:hint="eastAsia" w:hAnsi="宋体"/>
        </w:rPr>
        <w:t xml:space="preserve">4.1.3 </w:t>
      </w:r>
      <w:r>
        <w:rPr>
          <w:rFonts w:hAnsi="宋体"/>
        </w:rPr>
        <w:t>产品</w:t>
      </w:r>
      <w:r>
        <w:rPr>
          <w:rFonts w:hint="eastAsia" w:hAnsi="宋体"/>
        </w:rPr>
        <w:t>的W</w:t>
      </w:r>
      <w:r>
        <w:rPr>
          <w:rFonts w:hAnsi="宋体"/>
        </w:rPr>
        <w:t>含量分析按GB/T 223.</w:t>
      </w:r>
      <w:r>
        <w:rPr>
          <w:rFonts w:hint="eastAsia" w:hAnsi="宋体"/>
        </w:rPr>
        <w:t>43</w:t>
      </w:r>
      <w:r>
        <w:rPr>
          <w:rFonts w:hAnsi="宋体"/>
        </w:rPr>
        <w:t>的规定进行。</w:t>
      </w:r>
    </w:p>
    <w:p>
      <w:pPr>
        <w:pStyle w:val="21"/>
        <w:spacing w:beforeLines="50" w:afterLines="50"/>
        <w:ind w:firstLine="0" w:firstLineChars="0"/>
        <w:rPr>
          <w:rFonts w:hAnsi="宋体"/>
        </w:rPr>
      </w:pPr>
      <w:r>
        <w:rPr>
          <w:rFonts w:hint="eastAsia" w:hAnsi="宋体"/>
        </w:rPr>
        <w:t>4.1.4 产品的Si含量分析按GB/T 223.5的规定进行。</w:t>
      </w:r>
    </w:p>
    <w:p>
      <w:pPr>
        <w:pStyle w:val="21"/>
        <w:spacing w:beforeLines="50" w:afterLines="50"/>
        <w:ind w:firstLine="0" w:firstLineChars="0"/>
        <w:rPr>
          <w:rFonts w:hAnsi="宋体"/>
        </w:rPr>
      </w:pPr>
      <w:r>
        <w:rPr>
          <w:rFonts w:hint="eastAsia" w:hAnsi="宋体"/>
        </w:rPr>
        <w:t xml:space="preserve">4.1.5 </w:t>
      </w:r>
      <w:r>
        <w:rPr>
          <w:rFonts w:hAnsi="宋体"/>
        </w:rPr>
        <w:t>产品</w:t>
      </w:r>
      <w:r>
        <w:rPr>
          <w:rFonts w:hint="eastAsia" w:hAnsi="宋体"/>
        </w:rPr>
        <w:t>的Ni</w:t>
      </w:r>
      <w:r>
        <w:rPr>
          <w:rFonts w:hAnsi="宋体"/>
        </w:rPr>
        <w:t>含量分析按GB/T 223.</w:t>
      </w:r>
      <w:r>
        <w:rPr>
          <w:rFonts w:hint="eastAsia" w:hAnsi="宋体"/>
        </w:rPr>
        <w:t>23</w:t>
      </w:r>
      <w:r>
        <w:rPr>
          <w:rFonts w:hAnsi="宋体"/>
        </w:rPr>
        <w:t>的规定进行。</w:t>
      </w:r>
    </w:p>
    <w:p>
      <w:pPr>
        <w:pStyle w:val="21"/>
        <w:spacing w:beforeLines="50" w:afterLines="50"/>
        <w:ind w:firstLine="0" w:firstLineChars="0"/>
        <w:rPr>
          <w:rFonts w:hAnsi="宋体"/>
        </w:rPr>
      </w:pPr>
      <w:r>
        <w:rPr>
          <w:rFonts w:hint="eastAsia" w:hAnsi="宋体"/>
        </w:rPr>
        <w:t xml:space="preserve">4.1.6 </w:t>
      </w:r>
      <w:r>
        <w:rPr>
          <w:rFonts w:hAnsi="宋体"/>
        </w:rPr>
        <w:t>产品的</w:t>
      </w:r>
      <w:r>
        <w:rPr>
          <w:rFonts w:hint="eastAsia" w:hAnsi="宋体"/>
        </w:rPr>
        <w:t>Fe</w:t>
      </w:r>
      <w:r>
        <w:rPr>
          <w:rFonts w:hAnsi="宋体"/>
        </w:rPr>
        <w:t xml:space="preserve">含量分析按GB/T </w:t>
      </w:r>
      <w:r>
        <w:rPr>
          <w:rFonts w:hint="eastAsia" w:hAnsi="宋体"/>
        </w:rPr>
        <w:t>223.70</w:t>
      </w:r>
      <w:r>
        <w:rPr>
          <w:rFonts w:hAnsi="宋体"/>
        </w:rPr>
        <w:t>的规定进行。</w:t>
      </w:r>
    </w:p>
    <w:p>
      <w:pPr>
        <w:pStyle w:val="21"/>
        <w:ind w:firstLine="0" w:firstLineChars="0"/>
        <w:rPr>
          <w:rFonts w:hAnsi="宋体"/>
        </w:rPr>
      </w:pPr>
      <w:r>
        <w:rPr>
          <w:rFonts w:hint="eastAsia" w:hAnsi="宋体"/>
        </w:rPr>
        <w:t xml:space="preserve">4.1.7 </w:t>
      </w:r>
      <w:r>
        <w:rPr>
          <w:rFonts w:hAnsi="宋体"/>
        </w:rPr>
        <w:t>产品的</w:t>
      </w:r>
      <w:r>
        <w:rPr>
          <w:rFonts w:hint="eastAsia" w:hAnsi="宋体"/>
        </w:rPr>
        <w:t>C、O、S</w:t>
      </w:r>
      <w:r>
        <w:rPr>
          <w:rFonts w:hAnsi="宋体"/>
        </w:rPr>
        <w:t xml:space="preserve">含量分析按GB/T </w:t>
      </w:r>
      <w:r>
        <w:rPr>
          <w:rFonts w:hint="eastAsia" w:hAnsi="宋体"/>
        </w:rPr>
        <w:t>14265</w:t>
      </w:r>
      <w:r>
        <w:rPr>
          <w:rFonts w:hAnsi="宋体"/>
        </w:rPr>
        <w:t>的规定进行。</w:t>
      </w:r>
    </w:p>
    <w:p>
      <w:pPr>
        <w:pStyle w:val="21"/>
        <w:spacing w:beforeLines="50" w:afterLines="50"/>
        <w:ind w:firstLine="0" w:firstLineChars="0"/>
        <w:rPr>
          <w:rFonts w:hAnsi="宋体"/>
        </w:rPr>
      </w:pPr>
      <w:r>
        <w:rPr>
          <w:rFonts w:hint="eastAsia" w:hAnsi="宋体"/>
        </w:rPr>
        <w:t xml:space="preserve">4.1.8 </w:t>
      </w:r>
      <w:r>
        <w:rPr>
          <w:rFonts w:hAnsi="宋体"/>
        </w:rPr>
        <w:t>产品的</w:t>
      </w:r>
      <w:r>
        <w:rPr>
          <w:rFonts w:hint="eastAsia" w:hAnsi="宋体"/>
        </w:rPr>
        <w:t>P</w:t>
      </w:r>
      <w:r>
        <w:rPr>
          <w:rFonts w:hAnsi="宋体"/>
        </w:rPr>
        <w:t>含量分析按GB/T</w:t>
      </w:r>
      <w:r>
        <w:rPr>
          <w:rFonts w:hint="eastAsia" w:hAnsi="宋体"/>
        </w:rPr>
        <w:t xml:space="preserve"> 223.6</w:t>
      </w:r>
      <w:r>
        <w:rPr>
          <w:rFonts w:hAnsi="宋体"/>
        </w:rPr>
        <w:t>的规定进行。</w:t>
      </w:r>
    </w:p>
    <w:p>
      <w:pPr>
        <w:pStyle w:val="21"/>
        <w:ind w:firstLine="0" w:firstLineChars="0"/>
        <w:rPr>
          <w:rFonts w:hAnsi="宋体"/>
        </w:rPr>
      </w:pPr>
      <w:r>
        <w:rPr>
          <w:rFonts w:hint="eastAsia" w:hAnsi="宋体"/>
        </w:rPr>
        <w:t xml:space="preserve">4.1.9 </w:t>
      </w:r>
      <w:r>
        <w:rPr>
          <w:rFonts w:hAnsi="宋体"/>
        </w:rPr>
        <w:t>产品的</w:t>
      </w:r>
      <w:r>
        <w:rPr>
          <w:rFonts w:hint="eastAsia" w:hAnsi="宋体"/>
        </w:rPr>
        <w:t>Mn</w:t>
      </w:r>
      <w:r>
        <w:rPr>
          <w:rFonts w:hAnsi="宋体"/>
        </w:rPr>
        <w:t xml:space="preserve">含量分析按GB/T </w:t>
      </w:r>
      <w:r>
        <w:rPr>
          <w:rFonts w:hint="eastAsia" w:hAnsi="宋体"/>
        </w:rPr>
        <w:t>223.64</w:t>
      </w:r>
      <w:r>
        <w:rPr>
          <w:rFonts w:hAnsi="宋体"/>
        </w:rPr>
        <w:t>的规定进行。</w:t>
      </w:r>
    </w:p>
    <w:p>
      <w:pPr>
        <w:pStyle w:val="38"/>
        <w:spacing w:before="156" w:after="156"/>
        <w:rPr>
          <w:rFonts w:ascii="宋体" w:hAnsi="宋体" w:eastAsia="宋体"/>
          <w:b/>
          <w:szCs w:val="20"/>
        </w:rPr>
      </w:pPr>
      <w:r>
        <w:rPr>
          <w:rFonts w:hint="eastAsia" w:ascii="宋体" w:hAnsi="宋体" w:eastAsia="宋体"/>
          <w:b/>
          <w:szCs w:val="20"/>
        </w:rPr>
        <w:t>物理性能</w:t>
      </w:r>
    </w:p>
    <w:p>
      <w:pPr>
        <w:pStyle w:val="42"/>
        <w:spacing w:before="156" w:after="156"/>
        <w:rPr>
          <w:rFonts w:hAnsi="宋体"/>
          <w:szCs w:val="22"/>
        </w:rPr>
      </w:pPr>
      <w:r>
        <w:rPr>
          <w:rFonts w:ascii="宋体" w:hAnsi="宋体" w:eastAsia="宋体"/>
          <w:szCs w:val="20"/>
        </w:rPr>
        <w:t>产品粒度组成的测定按GB/T 19077.1的规定进行。</w:t>
      </w:r>
    </w:p>
    <w:p>
      <w:pPr>
        <w:pStyle w:val="42"/>
        <w:spacing w:before="156" w:after="156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产品流动性的测定按GB/T 1482的规定进行。</w:t>
      </w:r>
    </w:p>
    <w:p>
      <w:pPr>
        <w:pStyle w:val="42"/>
        <w:spacing w:before="156" w:after="156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产品松装密度的测定按GB/T 1479.1的规定进行。</w:t>
      </w:r>
    </w:p>
    <w:p>
      <w:pPr>
        <w:pStyle w:val="38"/>
        <w:spacing w:before="156" w:after="156"/>
        <w:rPr>
          <w:rFonts w:ascii="宋体" w:hAnsi="宋体" w:eastAsia="宋体"/>
          <w:b/>
          <w:szCs w:val="20"/>
        </w:rPr>
      </w:pPr>
      <w:r>
        <w:rPr>
          <w:rFonts w:hint="eastAsia" w:ascii="宋体" w:hAnsi="宋体" w:eastAsia="宋体"/>
          <w:b/>
          <w:szCs w:val="20"/>
        </w:rPr>
        <w:t>外观质量</w:t>
      </w:r>
    </w:p>
    <w:p>
      <w:pPr>
        <w:pStyle w:val="38"/>
        <w:numPr>
          <w:ilvl w:val="0"/>
          <w:numId w:val="0"/>
        </w:numPr>
        <w:spacing w:before="156" w:after="156"/>
        <w:ind w:firstLine="630" w:firstLineChars="300"/>
        <w:rPr>
          <w:rFonts w:ascii="宋体" w:hAnsi="宋体" w:eastAsia="宋体"/>
          <w:szCs w:val="20"/>
        </w:rPr>
      </w:pPr>
      <w:r>
        <w:rPr>
          <w:rFonts w:ascii="宋体" w:hAnsi="宋体" w:eastAsia="宋体"/>
          <w:szCs w:val="20"/>
        </w:rPr>
        <w:t>产品外观质量用目视检验，产品形状用</w:t>
      </w:r>
      <w:r>
        <w:rPr>
          <w:rFonts w:hint="eastAsia" w:ascii="宋体" w:hAnsi="宋体" w:eastAsia="宋体"/>
          <w:szCs w:val="20"/>
        </w:rPr>
        <w:t>100</w:t>
      </w:r>
      <w:r>
        <w:rPr>
          <w:rFonts w:ascii="宋体" w:hAnsi="宋体" w:eastAsia="宋体"/>
          <w:szCs w:val="20"/>
        </w:rPr>
        <w:t>倍显微镜</w:t>
      </w:r>
      <w:r>
        <w:rPr>
          <w:rFonts w:hint="eastAsia" w:ascii="宋体" w:hAnsi="宋体" w:eastAsia="宋体"/>
          <w:szCs w:val="20"/>
        </w:rPr>
        <w:t>检查。</w:t>
      </w:r>
    </w:p>
    <w:p>
      <w:pPr>
        <w:pStyle w:val="41"/>
        <w:spacing w:before="312" w:after="312"/>
      </w:pPr>
      <w:r>
        <w:rPr>
          <w:rFonts w:hint="eastAsia"/>
        </w:rPr>
        <w:t>检验规则</w:t>
      </w:r>
    </w:p>
    <w:p>
      <w:pPr>
        <w:pStyle w:val="38"/>
        <w:spacing w:before="156" w:after="156"/>
      </w:pPr>
      <w:r>
        <w:rPr>
          <w:rFonts w:hint="eastAsia"/>
        </w:rPr>
        <w:t>检查和验收</w:t>
      </w:r>
    </w:p>
    <w:p>
      <w:pPr>
        <w:pStyle w:val="42"/>
        <w:spacing w:before="156" w:after="156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产品应由供方进行检验，保证产品质量符合本标准及合同(或订货单)的规定，并填写产品质量证明书。</w:t>
      </w:r>
    </w:p>
    <w:p>
      <w:pPr>
        <w:pStyle w:val="42"/>
        <w:spacing w:before="156" w:after="156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需方应对收到的产品按本标准的规定进行检验，如检验结果与本标准及合同（或订货单）规定不符时，应在</w:t>
      </w:r>
      <w:r>
        <w:rPr>
          <w:rFonts w:ascii="宋体" w:hAnsi="宋体" w:eastAsia="宋体"/>
          <w:szCs w:val="20"/>
        </w:rPr>
        <w:t>收到产品之日起60天内向供方提出，由供需双方协商解决。如需仲裁，仲裁取样在需方由供需双方共同进行。</w:t>
      </w:r>
    </w:p>
    <w:p>
      <w:pPr>
        <w:pStyle w:val="38"/>
        <w:spacing w:before="156" w:after="156"/>
      </w:pPr>
      <w:r>
        <w:rPr>
          <w:rFonts w:hint="eastAsia"/>
        </w:rPr>
        <w:t>组批</w:t>
      </w:r>
    </w:p>
    <w:p>
      <w:pPr>
        <w:pStyle w:val="21"/>
        <w:rPr>
          <w:rFonts w:hAnsi="宋体"/>
        </w:rPr>
      </w:pPr>
      <w:r>
        <w:rPr>
          <w:rFonts w:hint="eastAsia"/>
        </w:rPr>
        <w:t>产品应</w:t>
      </w:r>
      <w:r>
        <w:rPr>
          <w:rFonts w:hint="eastAsia" w:hAnsi="宋体"/>
        </w:rPr>
        <w:t>成批提交验收，每批产品由同一生产工艺、同一粒度规格的产品组成。每批重量不大于200kg。</w:t>
      </w:r>
    </w:p>
    <w:p>
      <w:pPr>
        <w:pStyle w:val="38"/>
        <w:spacing w:before="156" w:after="156"/>
      </w:pPr>
      <w:r>
        <w:rPr>
          <w:rFonts w:hint="eastAsia"/>
        </w:rPr>
        <w:t>检验项目及取样</w:t>
      </w:r>
    </w:p>
    <w:p>
      <w:pPr>
        <w:pStyle w:val="21"/>
        <w:rPr>
          <w:rFonts w:hAnsi="宋体"/>
        </w:rPr>
      </w:pPr>
      <w:r>
        <w:rPr>
          <w:rFonts w:hint="eastAsia"/>
        </w:rPr>
        <w:t>每批产品</w:t>
      </w:r>
      <w:r>
        <w:rPr>
          <w:rFonts w:hint="eastAsia" w:hAnsi="宋体"/>
        </w:rPr>
        <w:t>的检验项目及取样数量应符合表4的规定。</w:t>
      </w:r>
    </w:p>
    <w:tbl>
      <w:tblPr>
        <w:tblStyle w:val="29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检验项目</w:t>
            </w:r>
          </w:p>
        </w:tc>
        <w:tc>
          <w:tcPr>
            <w:tcW w:w="239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取样方法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要求的章条号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试验方法章条号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化学成分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按GB/T5314规定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3.2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物理性能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按GB/T5314规定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3.3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外观质量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  <w:szCs w:val="21"/>
              </w:rPr>
              <w:t>逐 瓶（件）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3.4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4.3</w:t>
            </w:r>
          </w:p>
        </w:tc>
      </w:tr>
    </w:tbl>
    <w:p>
      <w:pPr>
        <w:pStyle w:val="38"/>
        <w:spacing w:before="156" w:after="156"/>
      </w:pPr>
      <w:r>
        <w:rPr>
          <w:rFonts w:hint="eastAsia"/>
        </w:rPr>
        <w:t>检验结果判定</w:t>
      </w:r>
    </w:p>
    <w:p>
      <w:pPr>
        <w:pStyle w:val="42"/>
        <w:spacing w:before="156" w:after="156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化学成分检验不合格，则在该批产品中另取双倍数量的试样对该不合格项进行重复检验，若重复检验仍有结果不合格时，则判该批产品为不合格。</w:t>
      </w:r>
    </w:p>
    <w:p>
      <w:pPr>
        <w:pStyle w:val="42"/>
        <w:spacing w:before="156" w:after="156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物理性能检验不合格，则在该批产品中另取双倍数量的试样对该不合格项进行重复检验，若重复检验仍有结果不合格时，则判该批产品为不合格。</w:t>
      </w:r>
    </w:p>
    <w:p>
      <w:pPr>
        <w:pStyle w:val="42"/>
        <w:spacing w:before="156" w:after="156"/>
        <w:rPr>
          <w:rFonts w:ascii="宋体" w:hAnsi="宋体"/>
        </w:rPr>
      </w:pPr>
      <w:r>
        <w:rPr>
          <w:rFonts w:hint="eastAsia" w:ascii="宋体" w:hAnsi="宋体" w:eastAsia="宋体"/>
          <w:szCs w:val="20"/>
        </w:rPr>
        <w:t>外观质量检验结果不合格，则判该瓶产品为不合格</w:t>
      </w:r>
      <w:r>
        <w:rPr>
          <w:rFonts w:hint="eastAsia" w:ascii="宋体" w:hAnsi="宋体"/>
        </w:rPr>
        <w:t>。</w:t>
      </w:r>
    </w:p>
    <w:p>
      <w:pPr>
        <w:pStyle w:val="41"/>
        <w:spacing w:before="312" w:after="312"/>
      </w:pPr>
      <w:r>
        <w:rPr>
          <w:rFonts w:hint="eastAsia"/>
        </w:rPr>
        <w:t>标志、包装、运输、贮存和质量证明书</w:t>
      </w:r>
    </w:p>
    <w:p>
      <w:pPr>
        <w:pStyle w:val="38"/>
        <w:spacing w:before="156" w:after="156"/>
      </w:pPr>
      <w:r>
        <w:rPr>
          <w:rFonts w:hint="eastAsia"/>
        </w:rPr>
        <w:t>标志</w:t>
      </w:r>
    </w:p>
    <w:p>
      <w:pPr>
        <w:pStyle w:val="42"/>
        <w:spacing w:before="156" w:after="156"/>
        <w:rPr>
          <w:rFonts w:ascii="宋体" w:hAnsi="宋体"/>
        </w:rPr>
      </w:pPr>
      <w:r>
        <w:rPr>
          <w:rFonts w:hint="eastAsia"/>
        </w:rPr>
        <w:t>在</w:t>
      </w:r>
      <w:r>
        <w:rPr>
          <w:rFonts w:hint="eastAsia" w:ascii="宋体" w:hAnsi="宋体"/>
        </w:rPr>
        <w:t>包装好的产品桶上应附有标志，其上注明：</w:t>
      </w:r>
    </w:p>
    <w:p>
      <w:pPr>
        <w:pStyle w:val="55"/>
      </w:pPr>
      <w:r>
        <w:rPr>
          <w:rFonts w:hint="eastAsia"/>
        </w:rPr>
        <w:t>供方名称或商标；</w:t>
      </w:r>
    </w:p>
    <w:p>
      <w:pPr>
        <w:pStyle w:val="55"/>
      </w:pPr>
      <w:r>
        <w:rPr>
          <w:rFonts w:hint="eastAsia"/>
        </w:rPr>
        <w:t>产品牌号；</w:t>
      </w:r>
    </w:p>
    <w:p>
      <w:pPr>
        <w:pStyle w:val="55"/>
      </w:pPr>
      <w:r>
        <w:rPr>
          <w:rFonts w:hint="eastAsia"/>
        </w:rPr>
        <w:t>产品批号；</w:t>
      </w:r>
    </w:p>
    <w:p>
      <w:pPr>
        <w:pStyle w:val="55"/>
      </w:pPr>
      <w:r>
        <w:rPr>
          <w:rFonts w:hint="eastAsia"/>
        </w:rPr>
        <w:t>重量；</w:t>
      </w:r>
    </w:p>
    <w:p>
      <w:pPr>
        <w:pStyle w:val="55"/>
      </w:pPr>
      <w:r>
        <w:rPr>
          <w:rFonts w:hint="eastAsia"/>
        </w:rPr>
        <w:t>包装日期。</w:t>
      </w:r>
    </w:p>
    <w:p>
      <w:pPr>
        <w:pStyle w:val="42"/>
        <w:spacing w:before="156" w:after="156"/>
      </w:pPr>
      <w:r>
        <w:rPr>
          <w:rFonts w:hint="eastAsia"/>
        </w:rPr>
        <w:t>产品外运时包装箱或桶上注明“防潮”字样或标志。</w:t>
      </w:r>
    </w:p>
    <w:p>
      <w:pPr>
        <w:pStyle w:val="38"/>
        <w:spacing w:before="156" w:after="156"/>
      </w:pPr>
      <w:r>
        <w:rPr>
          <w:rFonts w:hint="eastAsia"/>
        </w:rPr>
        <w:t>包装</w:t>
      </w:r>
    </w:p>
    <w:p>
      <w:pPr>
        <w:pStyle w:val="21"/>
      </w:pPr>
      <w:r>
        <w:rPr>
          <w:rFonts w:hint="eastAsia"/>
        </w:rPr>
        <w:t>产品应用塑料瓶或加盖的塑料桶包装，分1kg、2kg、5kg、10kg四种。</w:t>
      </w:r>
    </w:p>
    <w:p>
      <w:pPr>
        <w:pStyle w:val="38"/>
        <w:spacing w:before="156" w:after="156"/>
      </w:pPr>
      <w:r>
        <w:rPr>
          <w:rFonts w:hint="eastAsia"/>
        </w:rPr>
        <w:t>运输贮存</w:t>
      </w:r>
    </w:p>
    <w:p>
      <w:pPr>
        <w:pStyle w:val="21"/>
        <w:rPr>
          <w:rFonts w:hAnsi="宋体"/>
          <w:color w:val="FF0000"/>
        </w:rPr>
      </w:pPr>
      <w:r>
        <w:rPr>
          <w:rFonts w:hint="eastAsia"/>
        </w:rPr>
        <w:t>产品在</w:t>
      </w:r>
      <w:r>
        <w:rPr>
          <w:rFonts w:hint="eastAsia" w:hAnsi="宋体"/>
        </w:rPr>
        <w:t>运输、保管和贮存时，要防止碰撞、受潮和化学试剂的腐蚀。</w:t>
      </w:r>
    </w:p>
    <w:p>
      <w:pPr>
        <w:pStyle w:val="38"/>
        <w:spacing w:before="156" w:after="156"/>
      </w:pPr>
      <w:r>
        <w:rPr>
          <w:rFonts w:hint="eastAsia"/>
        </w:rPr>
        <w:t>质量证明书</w:t>
      </w:r>
    </w:p>
    <w:p>
      <w:pPr>
        <w:pStyle w:val="21"/>
        <w:rPr>
          <w:rFonts w:hAnsi="宋体"/>
        </w:rPr>
      </w:pPr>
      <w:r>
        <w:rPr>
          <w:rFonts w:hint="eastAsia"/>
        </w:rPr>
        <w:t>每批</w:t>
      </w:r>
      <w:r>
        <w:rPr>
          <w:rFonts w:hint="eastAsia" w:hAnsi="宋体"/>
        </w:rPr>
        <w:t>产品应附有质量证明书，其中注明：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供方名称、地址；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产品名称；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产品批号；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净重和数量；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各项检验结果；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本标准编号；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出厂日期。</w:t>
      </w:r>
    </w:p>
    <w:p>
      <w:pPr>
        <w:pStyle w:val="41"/>
        <w:spacing w:before="312" w:after="312"/>
      </w:pPr>
      <w:r>
        <w:rPr>
          <w:rFonts w:hint="eastAsia"/>
        </w:rPr>
        <w:t>合同（或订货单）内容</w:t>
      </w:r>
    </w:p>
    <w:p>
      <w:pPr>
        <w:pStyle w:val="21"/>
      </w:pPr>
      <w:r>
        <w:rPr>
          <w:rFonts w:hint="eastAsia"/>
        </w:rPr>
        <w:t>订购本标准所列产品的合同（或订货单）应包括下列内容：</w:t>
      </w:r>
    </w:p>
    <w:p>
      <w:pPr>
        <w:pStyle w:val="55"/>
        <w:numPr>
          <w:ilvl w:val="0"/>
          <w:numId w:val="19"/>
        </w:numPr>
      </w:pPr>
      <w:r>
        <w:rPr>
          <w:rFonts w:hint="eastAsia"/>
        </w:rPr>
        <w:t>产品名称；</w:t>
      </w:r>
    </w:p>
    <w:p>
      <w:pPr>
        <w:pStyle w:val="55"/>
        <w:numPr>
          <w:ilvl w:val="0"/>
          <w:numId w:val="19"/>
        </w:numPr>
      </w:pPr>
      <w:r>
        <w:rPr>
          <w:rFonts w:hint="eastAsia"/>
        </w:rPr>
        <w:t>产品净重；</w:t>
      </w:r>
    </w:p>
    <w:p>
      <w:pPr>
        <w:pStyle w:val="55"/>
        <w:numPr>
          <w:ilvl w:val="0"/>
          <w:numId w:val="19"/>
        </w:numPr>
      </w:pPr>
      <w:r>
        <w:rPr>
          <w:rFonts w:hint="eastAsia"/>
        </w:rPr>
        <w:t>本标准编号；</w:t>
      </w:r>
    </w:p>
    <w:p>
      <w:pPr>
        <w:pStyle w:val="55"/>
        <w:numPr>
          <w:ilvl w:val="0"/>
          <w:numId w:val="19"/>
        </w:numPr>
      </w:pPr>
      <w:r>
        <w:rPr>
          <w:rFonts w:hint="eastAsia"/>
        </w:rPr>
        <w:t>其他。</w:t>
      </w:r>
    </w:p>
    <w:p>
      <w:pPr>
        <w:pStyle w:val="21"/>
        <w:ind w:firstLine="0" w:firstLineChars="0"/>
      </w:pPr>
    </w:p>
    <w:p>
      <w:pPr>
        <w:pStyle w:val="125"/>
        <w:framePr/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GB/T 20XX—XXXX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2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2"/>
      <w:suff w:val="nothing"/>
      <w:lvlText w:val="表%1　"/>
      <w:lvlJc w:val="left"/>
      <w:pPr>
        <w:ind w:left="4962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100000" w:hash="mmpdycthbQOe77UPgkZ20+Vqiyw=" w:salt="G1PY3Z7TH/G9ey2IrPD2Z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A22"/>
    <w:rsid w:val="00000244"/>
    <w:rsid w:val="0000185F"/>
    <w:rsid w:val="0000586F"/>
    <w:rsid w:val="00013D86"/>
    <w:rsid w:val="00013E02"/>
    <w:rsid w:val="0002143C"/>
    <w:rsid w:val="00025610"/>
    <w:rsid w:val="00025A65"/>
    <w:rsid w:val="00026C31"/>
    <w:rsid w:val="00027280"/>
    <w:rsid w:val="000320A7"/>
    <w:rsid w:val="00035925"/>
    <w:rsid w:val="00056673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107A"/>
    <w:rsid w:val="001124C0"/>
    <w:rsid w:val="0013175F"/>
    <w:rsid w:val="00144613"/>
    <w:rsid w:val="001512B4"/>
    <w:rsid w:val="001620A5"/>
    <w:rsid w:val="00164E53"/>
    <w:rsid w:val="0016699D"/>
    <w:rsid w:val="00175159"/>
    <w:rsid w:val="00176208"/>
    <w:rsid w:val="00181A1B"/>
    <w:rsid w:val="00181A22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D491D"/>
    <w:rsid w:val="001E0380"/>
    <w:rsid w:val="001E13B1"/>
    <w:rsid w:val="001F3A19"/>
    <w:rsid w:val="00217EB6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1439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B46E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3899"/>
    <w:rsid w:val="00446B29"/>
    <w:rsid w:val="00453F9A"/>
    <w:rsid w:val="00471E91"/>
    <w:rsid w:val="00474675"/>
    <w:rsid w:val="0047470C"/>
    <w:rsid w:val="004A35F9"/>
    <w:rsid w:val="004B24C1"/>
    <w:rsid w:val="004C292F"/>
    <w:rsid w:val="005040FB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00D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6E7C6B"/>
    <w:rsid w:val="006F329E"/>
    <w:rsid w:val="00704DF6"/>
    <w:rsid w:val="0070651C"/>
    <w:rsid w:val="0071175C"/>
    <w:rsid w:val="007132A3"/>
    <w:rsid w:val="00716421"/>
    <w:rsid w:val="00724EFB"/>
    <w:rsid w:val="007404C7"/>
    <w:rsid w:val="007419C3"/>
    <w:rsid w:val="007467A7"/>
    <w:rsid w:val="007469DD"/>
    <w:rsid w:val="007469F5"/>
    <w:rsid w:val="0074741B"/>
    <w:rsid w:val="0074759E"/>
    <w:rsid w:val="007478EA"/>
    <w:rsid w:val="0075415C"/>
    <w:rsid w:val="00756D06"/>
    <w:rsid w:val="00763502"/>
    <w:rsid w:val="007913AB"/>
    <w:rsid w:val="007914F7"/>
    <w:rsid w:val="007B1625"/>
    <w:rsid w:val="007B706E"/>
    <w:rsid w:val="007B71EB"/>
    <w:rsid w:val="007C40DC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37985"/>
    <w:rsid w:val="008504A8"/>
    <w:rsid w:val="0085282E"/>
    <w:rsid w:val="0087198C"/>
    <w:rsid w:val="00872C1F"/>
    <w:rsid w:val="00873B42"/>
    <w:rsid w:val="00877AB2"/>
    <w:rsid w:val="008856D8"/>
    <w:rsid w:val="00892E82"/>
    <w:rsid w:val="008A1227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05F0C"/>
    <w:rsid w:val="0091331C"/>
    <w:rsid w:val="009279DE"/>
    <w:rsid w:val="00930116"/>
    <w:rsid w:val="0093620D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D05"/>
    <w:rsid w:val="00A07F34"/>
    <w:rsid w:val="00A22154"/>
    <w:rsid w:val="00A25C38"/>
    <w:rsid w:val="00A36BBE"/>
    <w:rsid w:val="00A4307A"/>
    <w:rsid w:val="00A47EBB"/>
    <w:rsid w:val="00A51CDD"/>
    <w:rsid w:val="00A63B73"/>
    <w:rsid w:val="00A6730D"/>
    <w:rsid w:val="00A71625"/>
    <w:rsid w:val="00A71B9B"/>
    <w:rsid w:val="00A751C7"/>
    <w:rsid w:val="00A87844"/>
    <w:rsid w:val="00AA038C"/>
    <w:rsid w:val="00AA31BD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376A2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646A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23F1"/>
    <w:rsid w:val="00DE35CB"/>
    <w:rsid w:val="00DF21E9"/>
    <w:rsid w:val="00E00F14"/>
    <w:rsid w:val="00E06386"/>
    <w:rsid w:val="00E24EB4"/>
    <w:rsid w:val="00E320ED"/>
    <w:rsid w:val="00E33AFB"/>
    <w:rsid w:val="00E34218"/>
    <w:rsid w:val="00E4394E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9741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825C7"/>
    <w:rsid w:val="00F91C4D"/>
    <w:rsid w:val="00F92FD9"/>
    <w:rsid w:val="00FA6684"/>
    <w:rsid w:val="00FA731E"/>
    <w:rsid w:val="00FB2B38"/>
    <w:rsid w:val="00FC6358"/>
    <w:rsid w:val="00FD320D"/>
    <w:rsid w:val="00FE23DE"/>
    <w:rsid w:val="12B147C1"/>
    <w:rsid w:val="13BF14E3"/>
    <w:rsid w:val="396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3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basedOn w:val="31"/>
    <w:semiHidden/>
    <w:qFormat/>
    <w:uiPriority w:val="0"/>
    <w:rPr>
      <w:vertAlign w:val="superscript"/>
    </w:rPr>
  </w:style>
  <w:style w:type="character" w:styleId="33">
    <w:name w:val="page number"/>
    <w:basedOn w:val="31"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basedOn w:val="31"/>
    <w:qFormat/>
    <w:uiPriority w:val="0"/>
    <w:rPr>
      <w:color w:val="800080"/>
      <w:u w:val="single"/>
    </w:rPr>
  </w:style>
  <w:style w:type="character" w:styleId="35">
    <w:name w:val="Hyperlink"/>
    <w:basedOn w:val="31"/>
    <w:qFormat/>
    <w:uiPriority w:val="0"/>
    <w:rPr>
      <w:color w:val="0000FF"/>
      <w:spacing w:val="0"/>
      <w:w w:val="100"/>
      <w:szCs w:val="21"/>
      <w:u w:val="single"/>
    </w:rPr>
  </w:style>
  <w:style w:type="character" w:styleId="36">
    <w:name w:val="footnote reference"/>
    <w:basedOn w:val="31"/>
    <w:semiHidden/>
    <w:qFormat/>
    <w:uiPriority w:val="0"/>
    <w:rPr>
      <w:vertAlign w:val="superscript"/>
    </w:rPr>
  </w:style>
  <w:style w:type="character" w:customStyle="1" w:styleId="37">
    <w:name w:val="段 Char"/>
    <w:basedOn w:val="31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</w:style>
  <w:style w:type="paragraph" w:customStyle="1" w:styleId="61">
    <w:name w:val="注×：（正文）"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basedOn w:val="31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basedOn w:val="71"/>
    <w:uiPriority w:val="0"/>
    <w:pPr>
      <w:framePr w:vAnchor="page" w:hAnchor="text"/>
      <w:jc w:val="right"/>
    </w:p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basedOn w:val="31"/>
    <w:link w:val="112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4">
    <w:name w:val="四级无"/>
    <w:basedOn w:val="51"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basedOn w:val="71"/>
    <w:qFormat/>
    <w:uiPriority w:val="0"/>
    <w:pPr>
      <w:framePr w:vAnchor="page" w:hAnchor="text" w:x="1419"/>
    </w:pPr>
  </w:style>
  <w:style w:type="paragraph" w:customStyle="1" w:styleId="127">
    <w:name w:val="其他实施日期"/>
    <w:basedOn w:val="110"/>
    <w:qFormat/>
    <w:uiPriority w:val="0"/>
    <w:pPr>
      <w:framePr/>
    </w:pPr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character" w:customStyle="1" w:styleId="133">
    <w:name w:val="批注框文本 Char"/>
    <w:basedOn w:val="31"/>
    <w:link w:val="1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631;&#20934;&#31867;\&#32534;&#21046;&#20013;&#30340;&#22269;&#26631;&#39033;&#30446;\2019\2019&#22686;&#26448;&#21046;&#36896;&#29992;&#29699;&#24418;&#38068;&#38124;&#21512;&#37329;&#31881;&#26411;-&#21016;&#36763;\111.tc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6"/>
    <customShpInfo spid="_x0000_s1038"/>
    <customShpInfo spid="_x0000_s1037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111.tcs.dot</Template>
  <Company>zle</Company>
  <Pages>6</Pages>
  <Words>451</Words>
  <Characters>2572</Characters>
  <Lines>21</Lines>
  <Paragraphs>6</Paragraphs>
  <TotalTime>39</TotalTime>
  <ScaleCrop>false</ScaleCrop>
  <LinksUpToDate>false</LinksUpToDate>
  <CharactersWithSpaces>3017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2019-04-02T04:03:00Z</dcterms:created>
  <dc:creator>YLMF</dc:creator>
  <cp:lastModifiedBy>wuyanhua</cp:lastModifiedBy>
  <dcterms:modified xsi:type="dcterms:W3CDTF">2019-04-03T08:40:19Z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