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5A8" w:rsidRDefault="009125A8">
      <w:pPr>
        <w:spacing w:line="360" w:lineRule="auto"/>
        <w:rPr>
          <w:bCs/>
          <w:color w:val="000000"/>
          <w:sz w:val="28"/>
          <w:szCs w:val="28"/>
        </w:rPr>
      </w:pPr>
    </w:p>
    <w:p w:rsidR="009125A8" w:rsidRDefault="009125A8">
      <w:pPr>
        <w:spacing w:line="360" w:lineRule="auto"/>
        <w:rPr>
          <w:bCs/>
          <w:color w:val="000000"/>
          <w:sz w:val="28"/>
          <w:szCs w:val="28"/>
        </w:rPr>
      </w:pPr>
    </w:p>
    <w:p w:rsidR="009125A8" w:rsidRDefault="009125A8">
      <w:pPr>
        <w:spacing w:line="360" w:lineRule="auto"/>
        <w:rPr>
          <w:bCs/>
          <w:color w:val="000000"/>
          <w:sz w:val="28"/>
          <w:szCs w:val="28"/>
        </w:rPr>
      </w:pPr>
    </w:p>
    <w:p w:rsidR="009125A8" w:rsidRDefault="009125A8">
      <w:pPr>
        <w:spacing w:line="360" w:lineRule="auto"/>
        <w:rPr>
          <w:bCs/>
          <w:color w:val="000000"/>
          <w:sz w:val="28"/>
          <w:szCs w:val="28"/>
        </w:rPr>
      </w:pPr>
    </w:p>
    <w:p w:rsidR="009125A8" w:rsidRDefault="009125A8">
      <w:pPr>
        <w:spacing w:line="360" w:lineRule="auto"/>
        <w:rPr>
          <w:bCs/>
          <w:color w:val="000000"/>
          <w:sz w:val="28"/>
          <w:szCs w:val="28"/>
        </w:rPr>
      </w:pPr>
    </w:p>
    <w:p w:rsidR="009125A8" w:rsidRDefault="007664F4">
      <w:pPr>
        <w:spacing w:line="360" w:lineRule="auto"/>
        <w:jc w:val="center"/>
        <w:rPr>
          <w:bCs/>
          <w:sz w:val="52"/>
          <w:szCs w:val="72"/>
        </w:rPr>
      </w:pPr>
      <w:r>
        <w:rPr>
          <w:rFonts w:hint="eastAsia"/>
          <w:bCs/>
          <w:sz w:val="52"/>
          <w:szCs w:val="72"/>
        </w:rPr>
        <w:t>高镍锍</w:t>
      </w:r>
      <w:r>
        <w:rPr>
          <w:bCs/>
          <w:sz w:val="52"/>
          <w:szCs w:val="72"/>
        </w:rPr>
        <w:t>化学分析方法</w:t>
      </w:r>
    </w:p>
    <w:p w:rsidR="009125A8" w:rsidRDefault="007664F4">
      <w:pPr>
        <w:spacing w:line="360" w:lineRule="auto"/>
        <w:jc w:val="center"/>
        <w:rPr>
          <w:bCs/>
          <w:sz w:val="52"/>
          <w:szCs w:val="72"/>
        </w:rPr>
      </w:pPr>
      <w:r>
        <w:rPr>
          <w:bCs/>
          <w:sz w:val="52"/>
          <w:szCs w:val="72"/>
        </w:rPr>
        <w:t>第</w:t>
      </w:r>
      <w:r>
        <w:rPr>
          <w:rFonts w:hint="eastAsia"/>
          <w:bCs/>
          <w:sz w:val="52"/>
          <w:szCs w:val="72"/>
        </w:rPr>
        <w:t>7</w:t>
      </w:r>
      <w:r>
        <w:rPr>
          <w:bCs/>
          <w:sz w:val="52"/>
          <w:szCs w:val="72"/>
        </w:rPr>
        <w:t>部分：</w:t>
      </w:r>
      <w:r>
        <w:rPr>
          <w:rFonts w:hint="eastAsia"/>
          <w:bCs/>
          <w:sz w:val="52"/>
          <w:szCs w:val="72"/>
        </w:rPr>
        <w:t>银含</w:t>
      </w:r>
      <w:r>
        <w:rPr>
          <w:bCs/>
          <w:sz w:val="52"/>
          <w:szCs w:val="72"/>
        </w:rPr>
        <w:t>量的测定</w:t>
      </w:r>
    </w:p>
    <w:p w:rsidR="009125A8" w:rsidRDefault="007664F4">
      <w:pPr>
        <w:spacing w:line="360" w:lineRule="auto"/>
        <w:jc w:val="center"/>
        <w:rPr>
          <w:bCs/>
          <w:color w:val="000000"/>
          <w:sz w:val="28"/>
          <w:szCs w:val="28"/>
        </w:rPr>
      </w:pPr>
      <w:r>
        <w:rPr>
          <w:rFonts w:hint="eastAsia"/>
          <w:bCs/>
          <w:sz w:val="52"/>
          <w:szCs w:val="72"/>
        </w:rPr>
        <w:t>火焰原子吸收光谱</w:t>
      </w:r>
      <w:r>
        <w:rPr>
          <w:bCs/>
          <w:sz w:val="52"/>
          <w:szCs w:val="72"/>
        </w:rPr>
        <w:t>法</w:t>
      </w:r>
    </w:p>
    <w:p w:rsidR="009125A8" w:rsidRDefault="009125A8">
      <w:pPr>
        <w:spacing w:line="360" w:lineRule="auto"/>
        <w:rPr>
          <w:bCs/>
          <w:color w:val="000000"/>
          <w:sz w:val="28"/>
          <w:szCs w:val="28"/>
        </w:rPr>
      </w:pPr>
    </w:p>
    <w:p w:rsidR="009125A8" w:rsidRDefault="009125A8">
      <w:pPr>
        <w:spacing w:line="360" w:lineRule="auto"/>
        <w:rPr>
          <w:bCs/>
          <w:color w:val="000000"/>
          <w:sz w:val="28"/>
          <w:szCs w:val="28"/>
        </w:rPr>
      </w:pPr>
    </w:p>
    <w:p w:rsidR="009125A8" w:rsidRDefault="007664F4">
      <w:pPr>
        <w:spacing w:line="360" w:lineRule="auto"/>
        <w:jc w:val="center"/>
        <w:rPr>
          <w:bCs/>
          <w:sz w:val="52"/>
          <w:szCs w:val="72"/>
        </w:rPr>
      </w:pPr>
      <w:r>
        <w:rPr>
          <w:bCs/>
          <w:sz w:val="52"/>
          <w:szCs w:val="72"/>
        </w:rPr>
        <w:t>编制说明</w:t>
      </w:r>
    </w:p>
    <w:p w:rsidR="009125A8" w:rsidRDefault="009125A8">
      <w:pPr>
        <w:spacing w:line="360" w:lineRule="auto"/>
        <w:rPr>
          <w:bCs/>
          <w:color w:val="000000"/>
          <w:sz w:val="28"/>
          <w:szCs w:val="28"/>
        </w:rPr>
      </w:pPr>
    </w:p>
    <w:p w:rsidR="009125A8" w:rsidRDefault="009125A8">
      <w:pPr>
        <w:spacing w:line="360" w:lineRule="auto"/>
        <w:rPr>
          <w:bCs/>
          <w:color w:val="000000"/>
          <w:sz w:val="28"/>
          <w:szCs w:val="28"/>
        </w:rPr>
      </w:pPr>
    </w:p>
    <w:p w:rsidR="009125A8" w:rsidRDefault="009125A8">
      <w:pPr>
        <w:spacing w:line="360" w:lineRule="auto"/>
        <w:rPr>
          <w:bCs/>
          <w:color w:val="000000"/>
          <w:sz w:val="28"/>
          <w:szCs w:val="28"/>
        </w:rPr>
      </w:pPr>
    </w:p>
    <w:p w:rsidR="009125A8" w:rsidRDefault="009125A8">
      <w:pPr>
        <w:spacing w:line="360" w:lineRule="auto"/>
        <w:rPr>
          <w:bCs/>
          <w:color w:val="000000"/>
          <w:sz w:val="28"/>
          <w:szCs w:val="28"/>
        </w:rPr>
      </w:pPr>
    </w:p>
    <w:p w:rsidR="009125A8" w:rsidRDefault="009125A8">
      <w:pPr>
        <w:spacing w:line="360" w:lineRule="auto"/>
        <w:rPr>
          <w:bCs/>
          <w:color w:val="000000"/>
          <w:sz w:val="28"/>
          <w:szCs w:val="28"/>
        </w:rPr>
      </w:pPr>
    </w:p>
    <w:p w:rsidR="009125A8" w:rsidRDefault="009125A8">
      <w:pPr>
        <w:spacing w:line="360" w:lineRule="auto"/>
        <w:rPr>
          <w:bCs/>
          <w:color w:val="000000"/>
          <w:sz w:val="28"/>
          <w:szCs w:val="28"/>
        </w:rPr>
      </w:pPr>
    </w:p>
    <w:p w:rsidR="009125A8" w:rsidRDefault="009125A8">
      <w:pPr>
        <w:spacing w:line="360" w:lineRule="auto"/>
        <w:rPr>
          <w:bCs/>
          <w:color w:val="000000"/>
          <w:sz w:val="28"/>
          <w:szCs w:val="28"/>
        </w:rPr>
      </w:pPr>
    </w:p>
    <w:p w:rsidR="009125A8" w:rsidRDefault="009125A8">
      <w:pPr>
        <w:spacing w:line="360" w:lineRule="auto"/>
        <w:rPr>
          <w:bCs/>
          <w:color w:val="000000"/>
          <w:sz w:val="28"/>
          <w:szCs w:val="28"/>
        </w:rPr>
      </w:pPr>
    </w:p>
    <w:p w:rsidR="009125A8" w:rsidRDefault="009125A8">
      <w:pPr>
        <w:spacing w:line="360" w:lineRule="auto"/>
        <w:rPr>
          <w:bCs/>
          <w:color w:val="000000"/>
          <w:sz w:val="28"/>
          <w:szCs w:val="28"/>
        </w:rPr>
      </w:pPr>
    </w:p>
    <w:p w:rsidR="009125A8" w:rsidRDefault="007664F4">
      <w:pPr>
        <w:spacing w:line="360" w:lineRule="auto"/>
        <w:jc w:val="center"/>
        <w:rPr>
          <w:bCs/>
          <w:color w:val="000000"/>
          <w:sz w:val="32"/>
          <w:szCs w:val="32"/>
        </w:rPr>
      </w:pPr>
      <w:r>
        <w:rPr>
          <w:bCs/>
          <w:color w:val="000000"/>
          <w:sz w:val="32"/>
          <w:szCs w:val="32"/>
        </w:rPr>
        <w:t>北矿检测技术有限公司</w:t>
      </w:r>
    </w:p>
    <w:p w:rsidR="009125A8" w:rsidRDefault="007664F4">
      <w:pPr>
        <w:spacing w:line="360" w:lineRule="auto"/>
        <w:jc w:val="center"/>
        <w:rPr>
          <w:bCs/>
          <w:color w:val="000000"/>
          <w:sz w:val="28"/>
          <w:szCs w:val="28"/>
        </w:rPr>
      </w:pPr>
      <w:r>
        <w:rPr>
          <w:rFonts w:hint="eastAsia"/>
          <w:bCs/>
          <w:color w:val="000000"/>
          <w:sz w:val="32"/>
          <w:szCs w:val="32"/>
        </w:rPr>
        <w:t>方迪</w:t>
      </w:r>
      <w:r>
        <w:rPr>
          <w:rFonts w:hint="eastAsia"/>
          <w:bCs/>
          <w:color w:val="000000"/>
          <w:sz w:val="32"/>
          <w:szCs w:val="32"/>
        </w:rPr>
        <w:t xml:space="preserve">  </w:t>
      </w:r>
      <w:r>
        <w:rPr>
          <w:rFonts w:hint="eastAsia"/>
          <w:bCs/>
          <w:color w:val="000000"/>
          <w:sz w:val="32"/>
          <w:szCs w:val="32"/>
        </w:rPr>
        <w:t>阮桂色</w:t>
      </w:r>
    </w:p>
    <w:p w:rsidR="009125A8" w:rsidRDefault="007664F4">
      <w:pPr>
        <w:spacing w:line="360" w:lineRule="auto"/>
        <w:jc w:val="center"/>
        <w:rPr>
          <w:bCs/>
          <w:color w:val="000000"/>
          <w:sz w:val="28"/>
          <w:szCs w:val="28"/>
        </w:rPr>
      </w:pPr>
      <w:r>
        <w:rPr>
          <w:rFonts w:hint="eastAsia"/>
          <w:bCs/>
          <w:color w:val="000000"/>
          <w:sz w:val="28"/>
          <w:szCs w:val="28"/>
        </w:rPr>
        <w:t>2018</w:t>
      </w:r>
      <w:r>
        <w:rPr>
          <w:rFonts w:hint="eastAsia"/>
          <w:bCs/>
          <w:color w:val="000000"/>
          <w:sz w:val="28"/>
          <w:szCs w:val="28"/>
        </w:rPr>
        <w:t>年</w:t>
      </w:r>
      <w:r>
        <w:rPr>
          <w:rFonts w:hint="eastAsia"/>
          <w:bCs/>
          <w:color w:val="000000"/>
          <w:sz w:val="28"/>
          <w:szCs w:val="28"/>
        </w:rPr>
        <w:t>11</w:t>
      </w:r>
      <w:r>
        <w:rPr>
          <w:rFonts w:hint="eastAsia"/>
          <w:bCs/>
          <w:color w:val="000000"/>
          <w:sz w:val="28"/>
          <w:szCs w:val="28"/>
        </w:rPr>
        <w:t>月</w:t>
      </w:r>
    </w:p>
    <w:p w:rsidR="009125A8" w:rsidRDefault="009125A8">
      <w:pPr>
        <w:spacing w:line="360" w:lineRule="auto"/>
        <w:jc w:val="center"/>
        <w:rPr>
          <w:bCs/>
          <w:color w:val="000000"/>
          <w:sz w:val="28"/>
          <w:szCs w:val="28"/>
        </w:rPr>
      </w:pPr>
    </w:p>
    <w:p w:rsidR="009125A8" w:rsidRDefault="007664F4">
      <w:pPr>
        <w:spacing w:line="360" w:lineRule="auto"/>
        <w:jc w:val="center"/>
        <w:rPr>
          <w:sz w:val="32"/>
          <w:szCs w:val="32"/>
        </w:rPr>
      </w:pPr>
      <w:r>
        <w:rPr>
          <w:sz w:val="32"/>
          <w:szCs w:val="32"/>
        </w:rPr>
        <w:br w:type="page"/>
      </w:r>
      <w:r>
        <w:rPr>
          <w:rFonts w:hint="eastAsia"/>
          <w:sz w:val="32"/>
          <w:szCs w:val="32"/>
        </w:rPr>
        <w:lastRenderedPageBreak/>
        <w:t>高镍锍</w:t>
      </w:r>
      <w:r>
        <w:rPr>
          <w:sz w:val="32"/>
          <w:szCs w:val="32"/>
        </w:rPr>
        <w:t>化学分析方法</w:t>
      </w:r>
    </w:p>
    <w:p w:rsidR="009125A8" w:rsidRDefault="007664F4">
      <w:pPr>
        <w:spacing w:line="360" w:lineRule="auto"/>
        <w:jc w:val="center"/>
        <w:rPr>
          <w:sz w:val="32"/>
          <w:szCs w:val="32"/>
        </w:rPr>
      </w:pPr>
      <w:r>
        <w:rPr>
          <w:sz w:val="32"/>
          <w:szCs w:val="32"/>
        </w:rPr>
        <w:t>第</w:t>
      </w:r>
      <w:r>
        <w:rPr>
          <w:rFonts w:hint="eastAsia"/>
          <w:sz w:val="32"/>
          <w:szCs w:val="32"/>
        </w:rPr>
        <w:t>7</w:t>
      </w:r>
      <w:r>
        <w:rPr>
          <w:sz w:val="32"/>
          <w:szCs w:val="32"/>
        </w:rPr>
        <w:t>部分：</w:t>
      </w:r>
      <w:r>
        <w:rPr>
          <w:rFonts w:hint="eastAsia"/>
          <w:sz w:val="32"/>
          <w:szCs w:val="32"/>
        </w:rPr>
        <w:t>银含</w:t>
      </w:r>
      <w:r>
        <w:rPr>
          <w:sz w:val="32"/>
          <w:szCs w:val="32"/>
        </w:rPr>
        <w:t>量的测定</w:t>
      </w:r>
      <w:r>
        <w:rPr>
          <w:rFonts w:hint="eastAsia"/>
          <w:sz w:val="32"/>
          <w:szCs w:val="32"/>
        </w:rPr>
        <w:t xml:space="preserve"> </w:t>
      </w:r>
      <w:r>
        <w:rPr>
          <w:rFonts w:hint="eastAsia"/>
          <w:sz w:val="32"/>
          <w:szCs w:val="32"/>
        </w:rPr>
        <w:t>火焰原子吸收光谱</w:t>
      </w:r>
      <w:r>
        <w:rPr>
          <w:sz w:val="32"/>
          <w:szCs w:val="32"/>
        </w:rPr>
        <w:t>法</w:t>
      </w:r>
    </w:p>
    <w:p w:rsidR="009125A8" w:rsidRDefault="007664F4">
      <w:pPr>
        <w:spacing w:line="360" w:lineRule="auto"/>
        <w:jc w:val="center"/>
        <w:rPr>
          <w:sz w:val="32"/>
          <w:szCs w:val="32"/>
        </w:rPr>
      </w:pPr>
      <w:r>
        <w:rPr>
          <w:sz w:val="32"/>
          <w:szCs w:val="32"/>
        </w:rPr>
        <w:t>编制说明</w:t>
      </w:r>
    </w:p>
    <w:p w:rsidR="009125A8" w:rsidRDefault="007664F4">
      <w:pPr>
        <w:spacing w:line="360" w:lineRule="auto"/>
        <w:rPr>
          <w:rFonts w:ascii="宋体" w:hAnsi="宋体"/>
          <w:b/>
          <w:sz w:val="24"/>
        </w:rPr>
      </w:pPr>
      <w:r>
        <w:rPr>
          <w:rFonts w:ascii="宋体" w:hAnsi="宋体" w:hint="eastAsia"/>
          <w:b/>
          <w:sz w:val="24"/>
        </w:rPr>
        <w:t>一、工作简况</w:t>
      </w:r>
    </w:p>
    <w:p w:rsidR="009125A8" w:rsidRDefault="007664F4">
      <w:pPr>
        <w:spacing w:line="360" w:lineRule="auto"/>
        <w:rPr>
          <w:rFonts w:ascii="黑体" w:eastAsia="黑体" w:hAnsi="黑体"/>
          <w:color w:val="000000"/>
          <w:szCs w:val="21"/>
        </w:rPr>
      </w:pPr>
      <w:r>
        <w:rPr>
          <w:rFonts w:ascii="黑体" w:eastAsia="黑体" w:hAnsi="黑体" w:hint="eastAsia"/>
          <w:color w:val="000000"/>
          <w:szCs w:val="21"/>
        </w:rPr>
        <w:t>1.1 方法概况</w:t>
      </w:r>
    </w:p>
    <w:p w:rsidR="009125A8" w:rsidRDefault="007664F4">
      <w:pPr>
        <w:spacing w:line="360" w:lineRule="auto"/>
        <w:rPr>
          <w:rFonts w:ascii="黑体" w:eastAsia="黑体" w:hAnsi="黑体"/>
          <w:szCs w:val="21"/>
        </w:rPr>
      </w:pPr>
      <w:r>
        <w:rPr>
          <w:rFonts w:ascii="黑体" w:eastAsia="黑体" w:hAnsi="黑体"/>
          <w:szCs w:val="21"/>
        </w:rPr>
        <w:t>1</w:t>
      </w:r>
      <w:r>
        <w:rPr>
          <w:rFonts w:ascii="黑体" w:eastAsia="黑体" w:hAnsi="黑体" w:hint="eastAsia"/>
          <w:szCs w:val="21"/>
        </w:rPr>
        <w:t>.1.1项目的必要性</w:t>
      </w:r>
    </w:p>
    <w:p w:rsidR="009125A8" w:rsidRDefault="007664F4">
      <w:pPr>
        <w:ind w:firstLine="437"/>
        <w:rPr>
          <w:color w:val="000000"/>
          <w:szCs w:val="21"/>
        </w:rPr>
      </w:pPr>
      <w:r>
        <w:rPr>
          <w:rFonts w:hint="eastAsia"/>
          <w:color w:val="000000"/>
          <w:szCs w:val="21"/>
        </w:rPr>
        <w:t>高镍锍矿石中含有大量的有价元素，如镍、铁、钴、铜、硫、铅、锌、砷、银、金、铂、钯等。其作为一种选冶物料，市场交易量逐渐增大，但是其中银含量的测定在国内没有系统成熟的分析检测方法，造成了资源的浪费和相关企业利益的损失，因此，建立高镍锍中银含量的测定方法很有必要。</w:t>
      </w:r>
    </w:p>
    <w:p w:rsidR="009125A8" w:rsidRDefault="007664F4">
      <w:pPr>
        <w:spacing w:line="360" w:lineRule="auto"/>
        <w:rPr>
          <w:rFonts w:ascii="黑体" w:eastAsia="黑体" w:hAnsi="黑体"/>
          <w:szCs w:val="21"/>
        </w:rPr>
      </w:pPr>
      <w:r>
        <w:rPr>
          <w:rFonts w:ascii="黑体" w:eastAsia="黑体" w:hAnsi="黑体" w:hint="eastAsia"/>
          <w:szCs w:val="21"/>
        </w:rPr>
        <w:t>1.1.2 适用范围</w:t>
      </w:r>
    </w:p>
    <w:p w:rsidR="009125A8" w:rsidRDefault="007664F4">
      <w:pPr>
        <w:rPr>
          <w:color w:val="000000"/>
          <w:szCs w:val="21"/>
        </w:rPr>
      </w:pPr>
      <w:r>
        <w:rPr>
          <w:rFonts w:hint="eastAsia"/>
          <w:color w:val="000000"/>
          <w:szCs w:val="21"/>
        </w:rPr>
        <w:t xml:space="preserve">    </w:t>
      </w:r>
      <w:r>
        <w:rPr>
          <w:rFonts w:hint="eastAsia"/>
          <w:color w:val="000000"/>
          <w:szCs w:val="21"/>
        </w:rPr>
        <w:t>本标准适用于高镍锍中银含量的测定。测定范围：</w:t>
      </w:r>
      <w:r>
        <w:rPr>
          <w:rFonts w:ascii="宋体" w:hAnsi="宋体" w:hint="eastAsia"/>
        </w:rPr>
        <w:t>20g/t～300g/t</w:t>
      </w:r>
      <w:r>
        <w:rPr>
          <w:rFonts w:hint="eastAsia"/>
          <w:color w:val="000000"/>
          <w:szCs w:val="21"/>
        </w:rPr>
        <w:t>。</w:t>
      </w:r>
    </w:p>
    <w:p w:rsidR="009125A8" w:rsidRDefault="007664F4">
      <w:pPr>
        <w:spacing w:line="360" w:lineRule="auto"/>
        <w:rPr>
          <w:rFonts w:ascii="黑体" w:eastAsia="黑体" w:hAnsi="黑体"/>
          <w:szCs w:val="21"/>
        </w:rPr>
      </w:pPr>
      <w:r>
        <w:rPr>
          <w:rFonts w:ascii="黑体" w:eastAsia="黑体" w:hAnsi="黑体" w:hint="eastAsia"/>
          <w:szCs w:val="21"/>
        </w:rPr>
        <w:t>1.1.3可行性</w:t>
      </w:r>
    </w:p>
    <w:p w:rsidR="009125A8" w:rsidRPr="00634068" w:rsidRDefault="007664F4">
      <w:pPr>
        <w:ind w:firstLine="435"/>
        <w:rPr>
          <w:szCs w:val="21"/>
        </w:rPr>
      </w:pPr>
      <w:r>
        <w:rPr>
          <w:rFonts w:hint="eastAsia"/>
          <w:color w:val="000000"/>
          <w:szCs w:val="21"/>
        </w:rPr>
        <w:t>北矿检测技术有限公司为国家重有色金属质量监督检验中心、国家进出口商品检验有色金属认可实验室、中国有色金属工业重金属质检中心、科技成果检测鉴定国家级检测机构，在国内有色金属分析领域具有权威地位。公司拥有多台火焰原子</w:t>
      </w:r>
      <w:r w:rsidRPr="00634068">
        <w:rPr>
          <w:rFonts w:hint="eastAsia"/>
          <w:szCs w:val="21"/>
        </w:rPr>
        <w:t>吸收光谱仪，具备项目研究所需的仪器设备。标准起草人员多次参与有色行业标准的起草、验证等工作，具有丰富的方法研究经验。</w:t>
      </w:r>
    </w:p>
    <w:p w:rsidR="009125A8" w:rsidRPr="00634068" w:rsidRDefault="007664F4">
      <w:pPr>
        <w:ind w:firstLine="435"/>
        <w:rPr>
          <w:szCs w:val="21"/>
        </w:rPr>
      </w:pPr>
      <w:r w:rsidRPr="00634068">
        <w:rPr>
          <w:rFonts w:hint="eastAsia"/>
          <w:szCs w:val="21"/>
        </w:rPr>
        <w:t>目前国内市场上高镍锍交易量逐渐增大，本标准的建立对企业在后续生产及市场交易提供有力的指导。本标准在起草、调研中得到了金川集团股份有限公司、中国桂林矿产地质研究院有限公司、深圳市中金岭南有色金属股份有限公司、国标（北京）检验认证有限公司、兰州新材料科技股份有限公司、湖南有色地质勘查研究院、贵州省分析测试研究院、</w:t>
      </w:r>
      <w:r w:rsidRPr="00634068">
        <w:rPr>
          <w:rFonts w:hint="eastAsia"/>
        </w:rPr>
        <w:t>福建紫金矿冶测试技术有限公司厦门分公司</w:t>
      </w:r>
      <w:r w:rsidRPr="00634068">
        <w:rPr>
          <w:rFonts w:hint="eastAsia"/>
          <w:szCs w:val="21"/>
        </w:rPr>
        <w:t>、广西冶金产品质量检验站、浙江华友钴业股份有限公司、亚通焊材股份有限公司等积极响应。</w:t>
      </w:r>
    </w:p>
    <w:p w:rsidR="009125A8" w:rsidRPr="00634068" w:rsidRDefault="007664F4">
      <w:pPr>
        <w:spacing w:line="360" w:lineRule="auto"/>
        <w:rPr>
          <w:rFonts w:ascii="黑体" w:eastAsia="黑体" w:hAnsi="黑体"/>
          <w:szCs w:val="21"/>
        </w:rPr>
      </w:pPr>
      <w:r w:rsidRPr="00634068">
        <w:rPr>
          <w:rFonts w:ascii="黑体" w:eastAsia="黑体" w:hAnsi="黑体" w:hint="eastAsia"/>
          <w:szCs w:val="21"/>
        </w:rPr>
        <w:t>1.1.4 要解决的主要问题</w:t>
      </w:r>
    </w:p>
    <w:p w:rsidR="009125A8" w:rsidRDefault="004B0D87">
      <w:pPr>
        <w:rPr>
          <w:color w:val="000000"/>
          <w:szCs w:val="21"/>
        </w:rPr>
      </w:pPr>
      <w:r>
        <w:rPr>
          <w:rFonts w:hint="eastAsia"/>
          <w:color w:val="000000"/>
          <w:szCs w:val="21"/>
        </w:rPr>
        <w:t xml:space="preserve">    </w:t>
      </w:r>
      <w:r w:rsidR="007664F4">
        <w:rPr>
          <w:rFonts w:hint="eastAsia"/>
          <w:color w:val="000000"/>
          <w:szCs w:val="21"/>
        </w:rPr>
        <w:t>目前国内尚无统一的高镍锍化学分析方法，导致贸易时常有争议。高镍锍中含有贵金属银，准确测定此类物料中银的含量，建立银的检测分析方法，可为后续生产和市场交易提供依据。</w:t>
      </w:r>
    </w:p>
    <w:p w:rsidR="009125A8" w:rsidRDefault="007664F4">
      <w:pPr>
        <w:spacing w:line="360" w:lineRule="auto"/>
        <w:rPr>
          <w:rFonts w:ascii="黑体" w:eastAsia="黑体" w:hAnsi="黑体"/>
          <w:color w:val="000000"/>
          <w:szCs w:val="21"/>
        </w:rPr>
      </w:pPr>
      <w:r>
        <w:rPr>
          <w:rFonts w:ascii="黑体" w:eastAsia="黑体" w:hAnsi="黑体" w:hint="eastAsia"/>
          <w:color w:val="000000"/>
          <w:szCs w:val="21"/>
        </w:rPr>
        <w:t>1.2 任务来源</w:t>
      </w:r>
    </w:p>
    <w:p w:rsidR="009125A8" w:rsidRDefault="007664F4">
      <w:pPr>
        <w:ind w:firstLine="437"/>
        <w:rPr>
          <w:color w:val="000000"/>
          <w:szCs w:val="21"/>
        </w:rPr>
      </w:pPr>
      <w:r>
        <w:rPr>
          <w:rFonts w:hint="eastAsia"/>
          <w:color w:val="000000"/>
          <w:szCs w:val="21"/>
        </w:rPr>
        <w:t>根据工业和信息化部“关于印发</w:t>
      </w:r>
      <w:r>
        <w:rPr>
          <w:rFonts w:hint="eastAsia"/>
          <w:color w:val="000000"/>
          <w:szCs w:val="21"/>
        </w:rPr>
        <w:t>2017</w:t>
      </w:r>
      <w:r>
        <w:rPr>
          <w:rFonts w:hint="eastAsia"/>
          <w:color w:val="000000"/>
          <w:szCs w:val="21"/>
        </w:rPr>
        <w:t>年第一批行业标准制修订计划的通知”（工信厅科</w:t>
      </w:r>
      <w:r>
        <w:rPr>
          <w:rFonts w:hint="eastAsia"/>
          <w:color w:val="000000"/>
          <w:szCs w:val="21"/>
        </w:rPr>
        <w:t>[2017]40</w:t>
      </w:r>
      <w:r>
        <w:rPr>
          <w:rFonts w:hint="eastAsia"/>
          <w:color w:val="000000"/>
          <w:szCs w:val="21"/>
        </w:rPr>
        <w:t>号）的文件精神，以及全国有色金属标准化技术委员会“关于印发《氧化铟锡靶材化学分析方法》等</w:t>
      </w:r>
      <w:r>
        <w:rPr>
          <w:rFonts w:hint="eastAsia"/>
          <w:color w:val="000000"/>
          <w:szCs w:val="21"/>
        </w:rPr>
        <w:t>18</w:t>
      </w:r>
      <w:r>
        <w:rPr>
          <w:rFonts w:hint="eastAsia"/>
          <w:color w:val="000000"/>
          <w:szCs w:val="21"/>
        </w:rPr>
        <w:t>项标准任务落实会会议的通知”（有色标委</w:t>
      </w:r>
      <w:r>
        <w:rPr>
          <w:rFonts w:hint="eastAsia"/>
          <w:color w:val="000000"/>
          <w:szCs w:val="21"/>
        </w:rPr>
        <w:t>[2017]95</w:t>
      </w:r>
      <w:r>
        <w:rPr>
          <w:rFonts w:hint="eastAsia"/>
          <w:color w:val="000000"/>
          <w:szCs w:val="21"/>
        </w:rPr>
        <w:t>号）及相关会议纪要的文件精神</w:t>
      </w:r>
      <w:r>
        <w:rPr>
          <w:color w:val="000000"/>
          <w:szCs w:val="21"/>
        </w:rPr>
        <w:t>，确定《</w:t>
      </w:r>
      <w:r>
        <w:rPr>
          <w:rFonts w:hint="eastAsia"/>
          <w:color w:val="000000"/>
          <w:szCs w:val="21"/>
        </w:rPr>
        <w:t>高镍锍</w:t>
      </w:r>
      <w:r>
        <w:rPr>
          <w:color w:val="000000"/>
          <w:szCs w:val="21"/>
        </w:rPr>
        <w:t>化学分析方法第</w:t>
      </w:r>
      <w:r>
        <w:rPr>
          <w:rFonts w:hint="eastAsia"/>
          <w:color w:val="000000"/>
          <w:szCs w:val="21"/>
        </w:rPr>
        <w:t>7</w:t>
      </w:r>
      <w:r>
        <w:rPr>
          <w:color w:val="000000"/>
          <w:szCs w:val="21"/>
        </w:rPr>
        <w:t>部分：</w:t>
      </w:r>
      <w:r>
        <w:rPr>
          <w:rFonts w:hint="eastAsia"/>
          <w:color w:val="000000"/>
          <w:szCs w:val="21"/>
        </w:rPr>
        <w:t>银含</w:t>
      </w:r>
      <w:r>
        <w:rPr>
          <w:color w:val="000000"/>
          <w:szCs w:val="21"/>
        </w:rPr>
        <w:t>量的测定</w:t>
      </w:r>
      <w:r>
        <w:rPr>
          <w:rFonts w:hint="eastAsia"/>
          <w:color w:val="000000"/>
          <w:szCs w:val="21"/>
        </w:rPr>
        <w:t>火焰原子吸收光谱法</w:t>
      </w:r>
      <w:r>
        <w:rPr>
          <w:color w:val="000000"/>
          <w:szCs w:val="21"/>
        </w:rPr>
        <w:t>》由</w:t>
      </w:r>
      <w:r>
        <w:rPr>
          <w:rFonts w:hint="eastAsia"/>
          <w:color w:val="000000"/>
          <w:szCs w:val="21"/>
        </w:rPr>
        <w:t>北矿检测技术有限公司</w:t>
      </w:r>
      <w:r>
        <w:rPr>
          <w:color w:val="000000"/>
          <w:szCs w:val="21"/>
        </w:rPr>
        <w:t>负责起草，</w:t>
      </w:r>
      <w:r>
        <w:rPr>
          <w:rFonts w:hint="eastAsia"/>
          <w:color w:val="000000"/>
          <w:szCs w:val="21"/>
        </w:rPr>
        <w:t>项目计划编号：</w:t>
      </w:r>
      <w:r w:rsidR="00D23F4E" w:rsidRPr="00D23F4E">
        <w:rPr>
          <w:color w:val="000000"/>
          <w:szCs w:val="21"/>
        </w:rPr>
        <w:t>计划号为</w:t>
      </w:r>
      <w:r w:rsidR="00D23F4E" w:rsidRPr="00D23F4E">
        <w:rPr>
          <w:color w:val="000000"/>
          <w:szCs w:val="21"/>
        </w:rPr>
        <w:t>2017-0161T-YS</w:t>
      </w:r>
      <w:r w:rsidR="00D23F4E" w:rsidRPr="00D23F4E">
        <w:rPr>
          <w:color w:val="000000"/>
          <w:szCs w:val="21"/>
        </w:rPr>
        <w:t>，项目计划完成时间为</w:t>
      </w:r>
      <w:r w:rsidR="00D23F4E" w:rsidRPr="00D23F4E">
        <w:rPr>
          <w:color w:val="000000"/>
          <w:szCs w:val="21"/>
        </w:rPr>
        <w:t>2019</w:t>
      </w:r>
      <w:r w:rsidR="00D23F4E" w:rsidRPr="00D23F4E">
        <w:rPr>
          <w:color w:val="000000"/>
          <w:szCs w:val="21"/>
        </w:rPr>
        <w:t>年。</w:t>
      </w:r>
    </w:p>
    <w:p w:rsidR="009125A8" w:rsidRDefault="007664F4">
      <w:pPr>
        <w:ind w:firstLine="437"/>
        <w:rPr>
          <w:color w:val="000000"/>
          <w:szCs w:val="21"/>
        </w:rPr>
      </w:pPr>
      <w:r>
        <w:rPr>
          <w:rFonts w:hint="eastAsia"/>
          <w:color w:val="000000"/>
          <w:szCs w:val="21"/>
        </w:rPr>
        <w:t>协助起草单位包括金川集团股份有限公司、中国桂林矿产地质研究院有限公司、深圳市中金岭南有色金属股份有限公司、国标（北京）检验认证有限公司、兰州新材料科技股份有限公司、湖南有色地质勘查研究院、贵州省分析测试研究院、紫金矿业集团股份有限公司、广西冶金产品质量检验站、浙江华友钴业股份有限公司、亚通焊材股份有限公司。</w:t>
      </w:r>
    </w:p>
    <w:p w:rsidR="009125A8" w:rsidRDefault="007664F4">
      <w:pPr>
        <w:ind w:firstLineChars="200" w:firstLine="420"/>
        <w:rPr>
          <w:color w:val="000000"/>
          <w:szCs w:val="21"/>
        </w:rPr>
      </w:pPr>
      <w:r>
        <w:rPr>
          <w:color w:val="000000"/>
          <w:szCs w:val="21"/>
        </w:rPr>
        <w:t>201</w:t>
      </w:r>
      <w:r>
        <w:rPr>
          <w:rFonts w:hint="eastAsia"/>
          <w:color w:val="000000"/>
          <w:szCs w:val="21"/>
        </w:rPr>
        <w:t>7</w:t>
      </w:r>
      <w:r>
        <w:rPr>
          <w:color w:val="000000"/>
          <w:szCs w:val="21"/>
        </w:rPr>
        <w:t>年</w:t>
      </w:r>
      <w:r>
        <w:rPr>
          <w:rFonts w:hint="eastAsia"/>
          <w:color w:val="000000"/>
          <w:szCs w:val="21"/>
        </w:rPr>
        <w:t>10</w:t>
      </w:r>
      <w:r>
        <w:rPr>
          <w:color w:val="000000"/>
          <w:szCs w:val="21"/>
        </w:rPr>
        <w:t>月</w:t>
      </w:r>
      <w:r>
        <w:rPr>
          <w:rFonts w:hint="eastAsia"/>
          <w:color w:val="000000"/>
          <w:szCs w:val="21"/>
        </w:rPr>
        <w:t>24</w:t>
      </w:r>
      <w:r>
        <w:rPr>
          <w:color w:val="000000"/>
          <w:szCs w:val="21"/>
        </w:rPr>
        <w:t>日～</w:t>
      </w:r>
      <w:r>
        <w:rPr>
          <w:rFonts w:hint="eastAsia"/>
          <w:color w:val="000000"/>
          <w:szCs w:val="21"/>
        </w:rPr>
        <w:t>26</w:t>
      </w:r>
      <w:r>
        <w:rPr>
          <w:color w:val="000000"/>
          <w:szCs w:val="21"/>
        </w:rPr>
        <w:t>日</w:t>
      </w:r>
      <w:r>
        <w:rPr>
          <w:rFonts w:hint="eastAsia"/>
          <w:color w:val="000000"/>
          <w:szCs w:val="21"/>
        </w:rPr>
        <w:t>，</w:t>
      </w:r>
      <w:r>
        <w:rPr>
          <w:color w:val="000000"/>
          <w:szCs w:val="21"/>
        </w:rPr>
        <w:t>全国有色金属标准化技术委员会在</w:t>
      </w:r>
      <w:r>
        <w:rPr>
          <w:rFonts w:hint="eastAsia"/>
          <w:color w:val="000000"/>
          <w:szCs w:val="21"/>
        </w:rPr>
        <w:t>浙江省杭州市</w:t>
      </w:r>
      <w:r>
        <w:rPr>
          <w:color w:val="000000"/>
          <w:szCs w:val="21"/>
        </w:rPr>
        <w:t>召开了</w:t>
      </w:r>
      <w:r>
        <w:rPr>
          <w:rFonts w:hint="eastAsia"/>
          <w:color w:val="000000"/>
          <w:szCs w:val="21"/>
        </w:rPr>
        <w:t>有色金属标准工作会议</w:t>
      </w:r>
      <w:r>
        <w:rPr>
          <w:color w:val="000000"/>
          <w:szCs w:val="21"/>
        </w:rPr>
        <w:t>，</w:t>
      </w:r>
      <w:r>
        <w:rPr>
          <w:rFonts w:hint="eastAsia"/>
          <w:color w:val="000000"/>
          <w:szCs w:val="21"/>
        </w:rPr>
        <w:t>来自全国有色金属标准化技术委员会、北矿检测技术有限公司等</w:t>
      </w:r>
      <w:r>
        <w:rPr>
          <w:rFonts w:hint="eastAsia"/>
          <w:color w:val="000000"/>
          <w:szCs w:val="21"/>
        </w:rPr>
        <w:t>15</w:t>
      </w:r>
      <w:r>
        <w:rPr>
          <w:rFonts w:hint="eastAsia"/>
          <w:color w:val="000000"/>
          <w:szCs w:val="21"/>
        </w:rPr>
        <w:t>家单位的</w:t>
      </w:r>
      <w:r>
        <w:rPr>
          <w:rFonts w:hint="eastAsia"/>
          <w:color w:val="000000"/>
          <w:szCs w:val="21"/>
        </w:rPr>
        <w:t>20</w:t>
      </w:r>
      <w:r>
        <w:rPr>
          <w:rFonts w:hint="eastAsia"/>
          <w:color w:val="000000"/>
          <w:szCs w:val="21"/>
        </w:rPr>
        <w:t>余名代表参加了</w:t>
      </w:r>
      <w:r>
        <w:rPr>
          <w:color w:val="000000"/>
          <w:szCs w:val="21"/>
        </w:rPr>
        <w:t>会议</w:t>
      </w:r>
      <w:r>
        <w:rPr>
          <w:rFonts w:hint="eastAsia"/>
          <w:color w:val="000000"/>
          <w:szCs w:val="21"/>
        </w:rPr>
        <w:t>，</w:t>
      </w:r>
      <w:r>
        <w:rPr>
          <w:color w:val="000000"/>
          <w:szCs w:val="21"/>
        </w:rPr>
        <w:t>落实了标准计划项目的进度安排和分工。</w:t>
      </w:r>
    </w:p>
    <w:p w:rsidR="009125A8" w:rsidRDefault="007664F4">
      <w:pPr>
        <w:ind w:firstLineChars="200" w:firstLine="420"/>
        <w:rPr>
          <w:rFonts w:ascii="黑体" w:eastAsia="黑体" w:hAnsi="黑体"/>
          <w:color w:val="000000"/>
          <w:szCs w:val="21"/>
        </w:rPr>
      </w:pPr>
      <w:r>
        <w:rPr>
          <w:rFonts w:ascii="黑体" w:eastAsia="黑体" w:hAnsi="黑体" w:hint="eastAsia"/>
          <w:color w:val="000000"/>
          <w:szCs w:val="21"/>
        </w:rPr>
        <w:lastRenderedPageBreak/>
        <w:t>1.3 本标准编制单位、起草人及所做工作</w:t>
      </w:r>
    </w:p>
    <w:p w:rsidR="009125A8" w:rsidRDefault="007664F4">
      <w:pPr>
        <w:rPr>
          <w:color w:val="000000"/>
          <w:szCs w:val="21"/>
        </w:rPr>
      </w:pPr>
      <w:r>
        <w:rPr>
          <w:rFonts w:hint="eastAsia"/>
          <w:color w:val="000000"/>
          <w:szCs w:val="21"/>
        </w:rPr>
        <w:t>本标准</w:t>
      </w:r>
      <w:r>
        <w:rPr>
          <w:color w:val="000000"/>
          <w:szCs w:val="21"/>
        </w:rPr>
        <w:t>由</w:t>
      </w:r>
      <w:r>
        <w:rPr>
          <w:rFonts w:hint="eastAsia"/>
          <w:color w:val="000000"/>
          <w:szCs w:val="21"/>
        </w:rPr>
        <w:t>北矿检测技术有限公司</w:t>
      </w:r>
      <w:r>
        <w:rPr>
          <w:color w:val="000000"/>
          <w:szCs w:val="21"/>
        </w:rPr>
        <w:t>负责起草</w:t>
      </w:r>
      <w:r>
        <w:rPr>
          <w:rFonts w:hint="eastAsia"/>
          <w:color w:val="000000"/>
          <w:szCs w:val="21"/>
        </w:rPr>
        <w:t>，</w:t>
      </w:r>
      <w:r>
        <w:rPr>
          <w:color w:val="000000"/>
          <w:szCs w:val="21"/>
        </w:rPr>
        <w:t>主要起草人</w:t>
      </w:r>
      <w:r>
        <w:rPr>
          <w:rFonts w:hint="eastAsia"/>
          <w:color w:val="000000"/>
          <w:szCs w:val="21"/>
        </w:rPr>
        <w:t>为方迪、阮桂色，主要负责本标准的方法制定、资料收集、技术参数的确定及标准条款的编写工作。</w:t>
      </w:r>
    </w:p>
    <w:p w:rsidR="009125A8" w:rsidRPr="00277C57" w:rsidRDefault="007664F4">
      <w:pPr>
        <w:ind w:firstLine="435"/>
        <w:rPr>
          <w:szCs w:val="21"/>
        </w:rPr>
      </w:pPr>
      <w:r>
        <w:rPr>
          <w:color w:val="000000"/>
          <w:szCs w:val="21"/>
        </w:rPr>
        <w:t>本部分</w:t>
      </w:r>
      <w:r>
        <w:rPr>
          <w:rFonts w:hint="eastAsia"/>
          <w:color w:val="000000"/>
          <w:szCs w:val="21"/>
        </w:rPr>
        <w:t>参与起草单位包括金川集团股份有限公司、中国桂林矿产地质研究院有限公司、深圳市中金岭南有色金属股份有限公司、国标（北京）检验认证有限公司、兰州新材料科技股份有限公司、湖南有色地质勘查研究院、贵州省分析测试研究院、紫金矿业集团股份有限</w:t>
      </w:r>
      <w:r>
        <w:rPr>
          <w:rFonts w:hint="eastAsia"/>
          <w:szCs w:val="21"/>
        </w:rPr>
        <w:t>公司、广西冶金产品质量检验站、浙江华友钴业股份有限公司、亚通焊材股份有限公司。参与</w:t>
      </w:r>
      <w:r>
        <w:rPr>
          <w:szCs w:val="21"/>
        </w:rPr>
        <w:t>起草人</w:t>
      </w:r>
      <w:r>
        <w:rPr>
          <w:rFonts w:hint="eastAsia"/>
          <w:szCs w:val="21"/>
        </w:rPr>
        <w:t>与验证人</w:t>
      </w:r>
      <w:r>
        <w:rPr>
          <w:szCs w:val="21"/>
        </w:rPr>
        <w:t>：</w:t>
      </w:r>
      <w:r>
        <w:rPr>
          <w:rFonts w:hint="eastAsia"/>
          <w:szCs w:val="21"/>
        </w:rPr>
        <w:t>喻生洁、杨红玉、李希凯、赵志虎、雷萍、王奕昀、邱丽、唐荣盛、墨淑敏、王长华、林翠芳、徐艳燕、朱国忠、马群、聂小明、韦莉、孙云超、王茁、兰万贵、胡</w:t>
      </w:r>
      <w:r w:rsidRPr="00277C57">
        <w:rPr>
          <w:rFonts w:hint="eastAsia"/>
          <w:szCs w:val="21"/>
        </w:rPr>
        <w:t>馨驰、</w:t>
      </w:r>
      <w:bookmarkStart w:id="0" w:name="_GoBack"/>
      <w:bookmarkEnd w:id="0"/>
      <w:r w:rsidRPr="00277C57">
        <w:rPr>
          <w:rFonts w:hint="eastAsia"/>
        </w:rPr>
        <w:t>林常兰、夏珍珠</w:t>
      </w:r>
      <w:r w:rsidRPr="00277C57">
        <w:rPr>
          <w:rFonts w:hint="eastAsia"/>
          <w:szCs w:val="21"/>
        </w:rPr>
        <w:t>、谢柏华、沈佳跃、张玲玲、陈莉。</w:t>
      </w:r>
    </w:p>
    <w:p w:rsidR="009125A8" w:rsidRPr="00277C57" w:rsidRDefault="007664F4">
      <w:pPr>
        <w:spacing w:line="360" w:lineRule="auto"/>
        <w:rPr>
          <w:rFonts w:ascii="黑体" w:eastAsia="黑体" w:hAnsi="黑体"/>
          <w:szCs w:val="21"/>
        </w:rPr>
      </w:pPr>
      <w:r w:rsidRPr="00277C57">
        <w:rPr>
          <w:rFonts w:ascii="黑体" w:eastAsia="黑体" w:hAnsi="黑体" w:hint="eastAsia"/>
          <w:szCs w:val="21"/>
        </w:rPr>
        <w:t>1.4 主要工作过程</w:t>
      </w:r>
    </w:p>
    <w:p w:rsidR="009125A8" w:rsidRDefault="007664F4">
      <w:pPr>
        <w:ind w:firstLine="420"/>
        <w:rPr>
          <w:szCs w:val="21"/>
        </w:rPr>
      </w:pPr>
      <w:r>
        <w:rPr>
          <w:rFonts w:hint="eastAsia"/>
          <w:szCs w:val="21"/>
        </w:rPr>
        <w:t>2</w:t>
      </w:r>
      <w:r>
        <w:rPr>
          <w:szCs w:val="21"/>
        </w:rPr>
        <w:t>01</w:t>
      </w:r>
      <w:r>
        <w:rPr>
          <w:rFonts w:hint="eastAsia"/>
          <w:szCs w:val="21"/>
        </w:rPr>
        <w:t>7</w:t>
      </w:r>
      <w:r>
        <w:rPr>
          <w:szCs w:val="21"/>
        </w:rPr>
        <w:t>年</w:t>
      </w:r>
      <w:r>
        <w:rPr>
          <w:rFonts w:hint="eastAsia"/>
          <w:szCs w:val="21"/>
        </w:rPr>
        <w:t>10</w:t>
      </w:r>
      <w:r>
        <w:rPr>
          <w:szCs w:val="21"/>
        </w:rPr>
        <w:t>月</w:t>
      </w:r>
      <w:r>
        <w:rPr>
          <w:rFonts w:hint="eastAsia"/>
          <w:szCs w:val="21"/>
        </w:rPr>
        <w:t>24</w:t>
      </w:r>
      <w:r>
        <w:rPr>
          <w:szCs w:val="21"/>
        </w:rPr>
        <w:t>日～</w:t>
      </w:r>
      <w:r>
        <w:rPr>
          <w:rFonts w:hint="eastAsia"/>
          <w:szCs w:val="21"/>
        </w:rPr>
        <w:t>26</w:t>
      </w:r>
      <w:r>
        <w:rPr>
          <w:szCs w:val="21"/>
        </w:rPr>
        <w:t>日</w:t>
      </w:r>
      <w:r>
        <w:rPr>
          <w:rFonts w:hint="eastAsia"/>
          <w:szCs w:val="21"/>
        </w:rPr>
        <w:t>，全国有色金属标准化技术委员会在浙江省杭州市</w:t>
      </w:r>
      <w:r>
        <w:rPr>
          <w:szCs w:val="21"/>
        </w:rPr>
        <w:t>召开了</w:t>
      </w:r>
      <w:r>
        <w:rPr>
          <w:rFonts w:hint="eastAsia"/>
          <w:szCs w:val="21"/>
        </w:rPr>
        <w:t>轻金属、重金属、稀有金属、粉末冶金、贵金属分标委会全体会议（有色标委</w:t>
      </w:r>
      <w:r>
        <w:rPr>
          <w:rFonts w:hint="eastAsia"/>
          <w:szCs w:val="21"/>
        </w:rPr>
        <w:t>[2017]32</w:t>
      </w:r>
      <w:r>
        <w:rPr>
          <w:rFonts w:hint="eastAsia"/>
          <w:szCs w:val="21"/>
        </w:rPr>
        <w:t>号），会议确定了本标准制定的起草单位和参与验证单位，落实了标准计划项目的进度安排和分工，项目编号（工信厅科</w:t>
      </w:r>
      <w:r>
        <w:rPr>
          <w:rFonts w:hint="eastAsia"/>
          <w:szCs w:val="21"/>
        </w:rPr>
        <w:t>[2017]40</w:t>
      </w:r>
      <w:r>
        <w:rPr>
          <w:rFonts w:hint="eastAsia"/>
          <w:szCs w:val="21"/>
        </w:rPr>
        <w:t>号</w:t>
      </w:r>
      <w:r>
        <w:rPr>
          <w:rFonts w:hint="eastAsia"/>
          <w:szCs w:val="21"/>
        </w:rPr>
        <w:t>2017-0160T-YS</w:t>
      </w:r>
      <w:r>
        <w:rPr>
          <w:rFonts w:hint="eastAsia"/>
          <w:szCs w:val="21"/>
        </w:rPr>
        <w:t>）。</w:t>
      </w:r>
    </w:p>
    <w:p w:rsidR="009125A8" w:rsidRPr="00277C57" w:rsidRDefault="007664F4">
      <w:pPr>
        <w:rPr>
          <w:rFonts w:ascii="宋体" w:hAnsi="宋体"/>
          <w:kern w:val="0"/>
          <w:sz w:val="20"/>
          <w:szCs w:val="20"/>
        </w:rPr>
      </w:pPr>
      <w:r>
        <w:rPr>
          <w:rFonts w:hint="eastAsia"/>
          <w:szCs w:val="21"/>
        </w:rPr>
        <w:t xml:space="preserve">    2</w:t>
      </w:r>
      <w:r>
        <w:rPr>
          <w:color w:val="000000"/>
          <w:szCs w:val="21"/>
        </w:rPr>
        <w:t>01</w:t>
      </w:r>
      <w:r>
        <w:rPr>
          <w:rFonts w:hint="eastAsia"/>
          <w:color w:val="000000"/>
          <w:szCs w:val="21"/>
        </w:rPr>
        <w:t>8</w:t>
      </w:r>
      <w:r>
        <w:rPr>
          <w:color w:val="000000"/>
          <w:szCs w:val="21"/>
        </w:rPr>
        <w:t>年</w:t>
      </w:r>
      <w:r>
        <w:rPr>
          <w:rFonts w:hint="eastAsia"/>
          <w:color w:val="000000"/>
          <w:szCs w:val="21"/>
        </w:rPr>
        <w:t>8</w:t>
      </w:r>
      <w:r>
        <w:rPr>
          <w:color w:val="000000"/>
          <w:szCs w:val="21"/>
        </w:rPr>
        <w:t>月</w:t>
      </w:r>
      <w:r>
        <w:rPr>
          <w:rFonts w:hint="eastAsia"/>
          <w:color w:val="000000"/>
          <w:szCs w:val="21"/>
        </w:rPr>
        <w:t>21</w:t>
      </w:r>
      <w:r>
        <w:rPr>
          <w:color w:val="000000"/>
          <w:szCs w:val="21"/>
        </w:rPr>
        <w:t>日～</w:t>
      </w:r>
      <w:r>
        <w:rPr>
          <w:rFonts w:hint="eastAsia"/>
          <w:color w:val="000000"/>
          <w:szCs w:val="21"/>
        </w:rPr>
        <w:t>23</w:t>
      </w:r>
      <w:r>
        <w:rPr>
          <w:color w:val="000000"/>
          <w:szCs w:val="21"/>
        </w:rPr>
        <w:t>日</w:t>
      </w:r>
      <w:r>
        <w:rPr>
          <w:rFonts w:hint="eastAsia"/>
          <w:color w:val="000000"/>
          <w:szCs w:val="21"/>
        </w:rPr>
        <w:t>，</w:t>
      </w:r>
      <w:r>
        <w:rPr>
          <w:rFonts w:hint="eastAsia"/>
          <w:szCs w:val="21"/>
        </w:rPr>
        <w:t>全国有色金属标准化技术委员会在</w:t>
      </w:r>
      <w:r>
        <w:rPr>
          <w:szCs w:val="21"/>
        </w:rPr>
        <w:t>宁夏回族自治区银川市召开了</w:t>
      </w:r>
      <w:r>
        <w:rPr>
          <w:szCs w:val="21"/>
        </w:rPr>
        <w:t>“</w:t>
      </w:r>
      <w:r>
        <w:rPr>
          <w:rFonts w:hint="eastAsia"/>
          <w:szCs w:val="21"/>
        </w:rPr>
        <w:t>高镍锍</w:t>
      </w:r>
      <w:r>
        <w:rPr>
          <w:szCs w:val="21"/>
        </w:rPr>
        <w:t>化学分析方法</w:t>
      </w:r>
      <w:r>
        <w:rPr>
          <w:rFonts w:hint="eastAsia"/>
          <w:szCs w:val="21"/>
        </w:rPr>
        <w:t>、二氧化碲化学分析方法等</w:t>
      </w:r>
      <w:r>
        <w:rPr>
          <w:szCs w:val="21"/>
        </w:rPr>
        <w:t>系列行业标准</w:t>
      </w:r>
      <w:r>
        <w:rPr>
          <w:szCs w:val="21"/>
        </w:rPr>
        <w:t>”</w:t>
      </w:r>
      <w:r>
        <w:rPr>
          <w:rFonts w:hint="eastAsia"/>
          <w:szCs w:val="21"/>
        </w:rPr>
        <w:t>预审会。会议对标准讨论稿、试验报告及验证报告进行分析和讨论，并安排了系列标准研究的后续工作。在此期间，各验证单位对本标准的主要修</w:t>
      </w:r>
      <w:r w:rsidRPr="00277C57">
        <w:rPr>
          <w:rFonts w:hint="eastAsia"/>
          <w:szCs w:val="21"/>
        </w:rPr>
        <w:t>改意见如下：</w:t>
      </w:r>
    </w:p>
    <w:p w:rsidR="009125A8" w:rsidRPr="00277C57" w:rsidRDefault="007664F4">
      <w:pPr>
        <w:rPr>
          <w:rFonts w:hAnsi="宋体"/>
          <w:szCs w:val="21"/>
        </w:rPr>
      </w:pPr>
      <w:r w:rsidRPr="00277C57">
        <w:rPr>
          <w:rFonts w:hAnsi="宋体" w:hint="eastAsia"/>
          <w:szCs w:val="21"/>
        </w:rPr>
        <w:t>1</w:t>
      </w:r>
      <w:r w:rsidRPr="00277C57">
        <w:rPr>
          <w:rFonts w:hAnsi="宋体" w:hint="eastAsia"/>
          <w:szCs w:val="21"/>
        </w:rPr>
        <w:t>）深圳市中金岭南有色金属股份有限公司提出：</w:t>
      </w:r>
    </w:p>
    <w:p w:rsidR="009125A8" w:rsidRPr="00277C57" w:rsidRDefault="007664F4">
      <w:pPr>
        <w:rPr>
          <w:rFonts w:hAnsi="宋体"/>
          <w:szCs w:val="21"/>
        </w:rPr>
      </w:pPr>
      <w:r w:rsidRPr="00277C57">
        <w:rPr>
          <w:rFonts w:hAnsi="宋体" w:hint="eastAsia"/>
          <w:szCs w:val="21"/>
        </w:rPr>
        <w:t>①在试验报告章节“</w:t>
      </w:r>
      <w:r w:rsidRPr="00277C57">
        <w:rPr>
          <w:rFonts w:hAnsi="宋体" w:hint="eastAsia"/>
          <w:szCs w:val="21"/>
        </w:rPr>
        <w:t>2.4</w:t>
      </w:r>
      <w:r w:rsidRPr="00277C57">
        <w:rPr>
          <w:rFonts w:hAnsi="宋体" w:hint="eastAsia"/>
          <w:szCs w:val="21"/>
        </w:rPr>
        <w:t>”中，建议银含量的计算结果以百分数表示到小数点后第</w:t>
      </w:r>
      <w:r w:rsidRPr="00277C57">
        <w:rPr>
          <w:rFonts w:hAnsi="宋体" w:hint="eastAsia"/>
          <w:szCs w:val="21"/>
        </w:rPr>
        <w:t>4</w:t>
      </w:r>
      <w:r w:rsidRPr="00277C57">
        <w:rPr>
          <w:rFonts w:hAnsi="宋体" w:hint="eastAsia"/>
          <w:szCs w:val="21"/>
        </w:rPr>
        <w:t>位。不采纳，已有的国标及行业标准中，银含量计算结果均是以</w:t>
      </w:r>
      <w:r w:rsidRPr="00277C57">
        <w:rPr>
          <w:rFonts w:hAnsi="宋体" w:hint="eastAsia"/>
          <w:szCs w:val="21"/>
        </w:rPr>
        <w:t>g/t</w:t>
      </w:r>
      <w:r w:rsidRPr="00277C57">
        <w:rPr>
          <w:rFonts w:hAnsi="宋体" w:hint="eastAsia"/>
          <w:szCs w:val="21"/>
        </w:rPr>
        <w:t>表示。</w:t>
      </w:r>
    </w:p>
    <w:p w:rsidR="009125A8" w:rsidRPr="00277C57" w:rsidRDefault="007664F4">
      <w:pPr>
        <w:rPr>
          <w:rFonts w:hAnsi="宋体"/>
          <w:szCs w:val="21"/>
        </w:rPr>
      </w:pPr>
      <w:r w:rsidRPr="00277C57">
        <w:rPr>
          <w:rFonts w:hAnsi="宋体" w:hint="eastAsia"/>
          <w:szCs w:val="21"/>
        </w:rPr>
        <w:t>②在试验报告章节“</w:t>
      </w:r>
      <w:r w:rsidRPr="00277C57">
        <w:rPr>
          <w:rFonts w:hAnsi="宋体" w:hint="eastAsia"/>
          <w:szCs w:val="21"/>
        </w:rPr>
        <w:t>3.4</w:t>
      </w:r>
      <w:r w:rsidRPr="00277C57">
        <w:rPr>
          <w:rFonts w:hAnsi="宋体" w:hint="eastAsia"/>
          <w:szCs w:val="21"/>
        </w:rPr>
        <w:t>”中，在</w:t>
      </w:r>
      <w:r w:rsidRPr="00277C57">
        <w:rPr>
          <w:rFonts w:hAnsi="宋体" w:hint="eastAsia"/>
          <w:szCs w:val="21"/>
        </w:rPr>
        <w:t>5%</w:t>
      </w:r>
      <w:r w:rsidRPr="00277C57">
        <w:rPr>
          <w:rFonts w:hAnsi="宋体" w:hint="eastAsia"/>
          <w:szCs w:val="21"/>
        </w:rPr>
        <w:t>盐酸介质中</w:t>
      </w:r>
      <w:r w:rsidRPr="00277C57">
        <w:rPr>
          <w:rFonts w:hAnsi="宋体" w:hint="eastAsia"/>
          <w:szCs w:val="21"/>
        </w:rPr>
        <w:t>1.60</w:t>
      </w:r>
      <w:r w:rsidRPr="00277C57">
        <w:rPr>
          <w:rFonts w:hAnsi="宋体"/>
          <w:szCs w:val="21"/>
        </w:rPr>
        <w:t>μ</w:t>
      </w:r>
      <w:r w:rsidRPr="00277C57">
        <w:rPr>
          <w:rFonts w:hAnsi="宋体"/>
          <w:szCs w:val="21"/>
        </w:rPr>
        <w:t>g/mL</w:t>
      </w:r>
      <w:r w:rsidRPr="00277C57">
        <w:rPr>
          <w:rFonts w:hAnsi="宋体" w:hint="eastAsia"/>
          <w:szCs w:val="21"/>
        </w:rPr>
        <w:t>的银标准溶液吸光度会偏低。不采纳，多家验证单位验证在</w:t>
      </w:r>
      <w:r w:rsidRPr="00277C57">
        <w:rPr>
          <w:rFonts w:hAnsi="宋体" w:hint="eastAsia"/>
          <w:szCs w:val="21"/>
        </w:rPr>
        <w:t>5%</w:t>
      </w:r>
      <w:r w:rsidRPr="00277C57">
        <w:rPr>
          <w:rFonts w:hAnsi="宋体"/>
          <w:szCs w:val="21"/>
        </w:rPr>
        <w:t>～</w:t>
      </w:r>
      <w:r w:rsidRPr="00277C57">
        <w:rPr>
          <w:rFonts w:hAnsi="宋体" w:hint="eastAsia"/>
          <w:szCs w:val="21"/>
        </w:rPr>
        <w:t>20%</w:t>
      </w:r>
      <w:r w:rsidRPr="00277C57">
        <w:rPr>
          <w:rFonts w:hAnsi="宋体" w:hint="eastAsia"/>
          <w:szCs w:val="21"/>
        </w:rPr>
        <w:t>盐酸介中</w:t>
      </w:r>
      <w:r w:rsidRPr="00277C57">
        <w:rPr>
          <w:rFonts w:hAnsi="宋体" w:hint="eastAsia"/>
          <w:szCs w:val="21"/>
        </w:rPr>
        <w:t>1.60</w:t>
      </w:r>
      <w:r w:rsidRPr="00277C57">
        <w:rPr>
          <w:rFonts w:hAnsi="宋体"/>
          <w:szCs w:val="21"/>
        </w:rPr>
        <w:t>μ</w:t>
      </w:r>
      <w:r w:rsidRPr="00277C57">
        <w:rPr>
          <w:rFonts w:hAnsi="宋体"/>
          <w:szCs w:val="21"/>
        </w:rPr>
        <w:t>g/mL</w:t>
      </w:r>
      <w:r w:rsidRPr="00277C57">
        <w:rPr>
          <w:rFonts w:hAnsi="宋体" w:hint="eastAsia"/>
          <w:szCs w:val="21"/>
        </w:rPr>
        <w:t>银标准溶液的吸光度基本不变。</w:t>
      </w:r>
    </w:p>
    <w:p w:rsidR="009125A8" w:rsidRPr="00277C57" w:rsidRDefault="007664F4">
      <w:pPr>
        <w:rPr>
          <w:rFonts w:hAnsi="宋体"/>
          <w:szCs w:val="21"/>
        </w:rPr>
      </w:pPr>
      <w:r w:rsidRPr="00277C57">
        <w:rPr>
          <w:rFonts w:hAnsi="宋体" w:hint="eastAsia"/>
          <w:szCs w:val="21"/>
        </w:rPr>
        <w:t>2</w:t>
      </w:r>
      <w:r w:rsidRPr="00277C57">
        <w:rPr>
          <w:rFonts w:hAnsi="宋体" w:hint="eastAsia"/>
          <w:szCs w:val="21"/>
        </w:rPr>
        <w:t>）兰州金川新材料科技股份有限公司提出：</w:t>
      </w:r>
    </w:p>
    <w:p w:rsidR="009125A8" w:rsidRPr="00277C57" w:rsidRDefault="007664F4">
      <w:pPr>
        <w:rPr>
          <w:rFonts w:hAnsi="宋体"/>
          <w:szCs w:val="21"/>
        </w:rPr>
      </w:pPr>
      <w:r w:rsidRPr="00277C57">
        <w:rPr>
          <w:rFonts w:hAnsi="宋体" w:hint="eastAsia"/>
          <w:szCs w:val="21"/>
        </w:rPr>
        <w:t>①在试验报告章节“</w:t>
      </w:r>
      <w:r w:rsidRPr="00277C57">
        <w:rPr>
          <w:rFonts w:hAnsi="宋体" w:hint="eastAsia"/>
          <w:szCs w:val="21"/>
        </w:rPr>
        <w:t>2.3.1.1</w:t>
      </w:r>
      <w:r w:rsidRPr="00277C57">
        <w:rPr>
          <w:rFonts w:hAnsi="宋体" w:hint="eastAsia"/>
          <w:szCs w:val="21"/>
        </w:rPr>
        <w:t>”中，部分样品分解完有白色沉淀物，建议增加静置或过滤环节，或者在溶样过程加入少许氟化物。不采纳，试验报告章节”</w:t>
      </w:r>
      <w:r w:rsidRPr="00277C57">
        <w:rPr>
          <w:rFonts w:hAnsi="宋体" w:hint="eastAsia"/>
          <w:szCs w:val="21"/>
        </w:rPr>
        <w:t>3.1</w:t>
      </w:r>
      <w:r w:rsidRPr="00277C57">
        <w:rPr>
          <w:rFonts w:hAnsi="宋体" w:hint="eastAsia"/>
          <w:szCs w:val="21"/>
        </w:rPr>
        <w:t>“中溶样方式二和方式一的测定结果已经证实白色沉淀物对银的测定无影响。</w:t>
      </w:r>
    </w:p>
    <w:p w:rsidR="009125A8" w:rsidRPr="00277C57" w:rsidRDefault="007664F4">
      <w:pPr>
        <w:rPr>
          <w:rFonts w:hAnsi="宋体"/>
          <w:szCs w:val="21"/>
        </w:rPr>
      </w:pPr>
      <w:r w:rsidRPr="00277C57">
        <w:rPr>
          <w:rFonts w:hAnsi="宋体" w:hint="eastAsia"/>
          <w:szCs w:val="21"/>
        </w:rPr>
        <w:t>②在试验报告章节“</w:t>
      </w:r>
      <w:r w:rsidRPr="00277C57">
        <w:rPr>
          <w:rFonts w:hAnsi="宋体" w:hint="eastAsia"/>
          <w:szCs w:val="21"/>
        </w:rPr>
        <w:t>2.3.1</w:t>
      </w:r>
      <w:r w:rsidRPr="00277C57">
        <w:rPr>
          <w:rFonts w:hAnsi="宋体" w:hint="eastAsia"/>
          <w:szCs w:val="21"/>
        </w:rPr>
        <w:t>”中，建议银含量在</w:t>
      </w:r>
      <w:r w:rsidRPr="00277C57">
        <w:rPr>
          <w:rFonts w:hAnsi="宋体" w:hint="eastAsia"/>
          <w:szCs w:val="21"/>
        </w:rPr>
        <w:t>100</w:t>
      </w:r>
      <w:r w:rsidRPr="00277C57">
        <w:rPr>
          <w:rFonts w:hAnsi="宋体" w:hint="eastAsia"/>
          <w:szCs w:val="21"/>
        </w:rPr>
        <w:t>克</w:t>
      </w:r>
      <w:r w:rsidRPr="00277C57">
        <w:rPr>
          <w:rFonts w:hAnsi="宋体" w:hint="eastAsia"/>
          <w:szCs w:val="21"/>
        </w:rPr>
        <w:t>/</w:t>
      </w:r>
      <w:r w:rsidRPr="00277C57">
        <w:rPr>
          <w:rFonts w:hAnsi="宋体" w:hint="eastAsia"/>
          <w:szCs w:val="21"/>
        </w:rPr>
        <w:t>吨以上分取测定。采纳。</w:t>
      </w:r>
    </w:p>
    <w:p w:rsidR="009125A8" w:rsidRPr="00277C57" w:rsidRDefault="007664F4">
      <w:pPr>
        <w:rPr>
          <w:rFonts w:hAnsi="宋体"/>
          <w:szCs w:val="21"/>
        </w:rPr>
      </w:pPr>
      <w:r w:rsidRPr="00277C57">
        <w:rPr>
          <w:rFonts w:hAnsi="宋体" w:hint="eastAsia"/>
          <w:szCs w:val="21"/>
        </w:rPr>
        <w:t>③试验报告章节“</w:t>
      </w:r>
      <w:r w:rsidRPr="00277C57">
        <w:rPr>
          <w:rFonts w:hAnsi="宋体" w:hint="eastAsia"/>
          <w:szCs w:val="21"/>
        </w:rPr>
        <w:t>2.3.1.1</w:t>
      </w:r>
      <w:r w:rsidRPr="00277C57">
        <w:rPr>
          <w:rFonts w:hAnsi="宋体" w:hint="eastAsia"/>
          <w:szCs w:val="21"/>
        </w:rPr>
        <w:t>”中，建议铅、锌、砷的溶样方法与本方法共用。不采纳，两个方法称样量不一致。</w:t>
      </w:r>
    </w:p>
    <w:p w:rsidR="009125A8" w:rsidRPr="00277C57" w:rsidRDefault="007664F4">
      <w:pPr>
        <w:rPr>
          <w:rFonts w:hAnsi="宋体"/>
          <w:szCs w:val="21"/>
        </w:rPr>
      </w:pPr>
      <w:r w:rsidRPr="00277C57">
        <w:rPr>
          <w:rFonts w:hAnsi="宋体" w:hint="eastAsia"/>
          <w:szCs w:val="21"/>
        </w:rPr>
        <w:t>④在试验报告章节“</w:t>
      </w:r>
      <w:r w:rsidRPr="00277C57">
        <w:rPr>
          <w:rFonts w:hAnsi="宋体" w:hint="eastAsia"/>
          <w:szCs w:val="21"/>
        </w:rPr>
        <w:t>2.3.2</w:t>
      </w:r>
      <w:r w:rsidRPr="00277C57">
        <w:rPr>
          <w:rFonts w:hAnsi="宋体" w:hint="eastAsia"/>
          <w:szCs w:val="21"/>
        </w:rPr>
        <w:t>”中，建议标准曲线延伸到</w:t>
      </w:r>
      <w:r w:rsidRPr="00277C57">
        <w:rPr>
          <w:rFonts w:hAnsi="宋体" w:hint="eastAsia"/>
          <w:szCs w:val="21"/>
        </w:rPr>
        <w:t>2.4</w:t>
      </w:r>
      <w:r w:rsidRPr="00277C57">
        <w:rPr>
          <w:rFonts w:hAnsi="宋体"/>
          <w:szCs w:val="21"/>
        </w:rPr>
        <w:t>μ</w:t>
      </w:r>
      <w:r w:rsidRPr="00277C57">
        <w:rPr>
          <w:rFonts w:hAnsi="宋体"/>
          <w:szCs w:val="21"/>
        </w:rPr>
        <w:t>g/mL</w:t>
      </w:r>
      <w:r w:rsidRPr="00277C57">
        <w:rPr>
          <w:rFonts w:hAnsi="宋体" w:hint="eastAsia"/>
          <w:szCs w:val="21"/>
        </w:rPr>
        <w:t>,</w:t>
      </w:r>
      <w:r w:rsidRPr="00277C57">
        <w:rPr>
          <w:rFonts w:hAnsi="宋体" w:hint="eastAsia"/>
          <w:szCs w:val="21"/>
        </w:rPr>
        <w:t>称样量改为</w:t>
      </w:r>
      <w:r w:rsidRPr="00277C57">
        <w:rPr>
          <w:rFonts w:hAnsi="宋体" w:hint="eastAsia"/>
          <w:szCs w:val="21"/>
        </w:rPr>
        <w:t>0.4g</w:t>
      </w:r>
      <w:r w:rsidRPr="00277C57">
        <w:rPr>
          <w:rFonts w:hAnsi="宋体" w:hint="eastAsia"/>
          <w:szCs w:val="21"/>
        </w:rPr>
        <w:t>，不分取直接测定。不采纳，标准曲线最高点到</w:t>
      </w:r>
      <w:r w:rsidRPr="00277C57">
        <w:rPr>
          <w:rFonts w:hAnsi="宋体" w:hint="eastAsia"/>
          <w:szCs w:val="21"/>
        </w:rPr>
        <w:t>2.4</w:t>
      </w:r>
      <w:r w:rsidRPr="00277C57">
        <w:rPr>
          <w:rFonts w:hAnsi="宋体"/>
          <w:szCs w:val="21"/>
        </w:rPr>
        <w:t>μ</w:t>
      </w:r>
      <w:r w:rsidRPr="00277C57">
        <w:rPr>
          <w:rFonts w:hAnsi="宋体"/>
          <w:szCs w:val="21"/>
        </w:rPr>
        <w:t>g/mL</w:t>
      </w:r>
      <w:r w:rsidRPr="00277C57">
        <w:rPr>
          <w:rFonts w:hAnsi="宋体" w:hint="eastAsia"/>
          <w:szCs w:val="21"/>
        </w:rPr>
        <w:t>会使吸光度过高，曲线弯曲导致测定结果偏低。</w:t>
      </w:r>
    </w:p>
    <w:p w:rsidR="009125A8" w:rsidRPr="00277C57" w:rsidRDefault="007664F4">
      <w:pPr>
        <w:rPr>
          <w:rFonts w:hAnsi="宋体"/>
          <w:szCs w:val="21"/>
        </w:rPr>
      </w:pPr>
      <w:r w:rsidRPr="00277C57">
        <w:rPr>
          <w:rFonts w:hAnsi="宋体" w:hint="eastAsia"/>
          <w:szCs w:val="21"/>
        </w:rPr>
        <w:t>⑤在试验报告章节“</w:t>
      </w:r>
      <w:r w:rsidRPr="00277C57">
        <w:rPr>
          <w:rFonts w:hAnsi="宋体" w:hint="eastAsia"/>
          <w:szCs w:val="21"/>
        </w:rPr>
        <w:t>3.5</w:t>
      </w:r>
      <w:r w:rsidRPr="00277C57">
        <w:rPr>
          <w:rFonts w:hAnsi="宋体" w:hint="eastAsia"/>
          <w:szCs w:val="21"/>
        </w:rPr>
        <w:t>”中，建议增加钙、镁、硅干扰试验。不采纳，试验报告章节“</w:t>
      </w:r>
      <w:r w:rsidRPr="00277C57">
        <w:rPr>
          <w:rFonts w:hAnsi="宋体" w:hint="eastAsia"/>
          <w:szCs w:val="21"/>
        </w:rPr>
        <w:t>3.1</w:t>
      </w:r>
      <w:r w:rsidRPr="00277C57">
        <w:rPr>
          <w:rFonts w:hAnsi="宋体" w:hint="eastAsia"/>
          <w:szCs w:val="21"/>
        </w:rPr>
        <w:t>”中溶样方式二加氢氟酸溶样比对试验、加标回收试验结果证实，硅对银的测定无影响，同时样品中钙镁含量很低，基本无干扰。</w:t>
      </w:r>
    </w:p>
    <w:p w:rsidR="009125A8" w:rsidRPr="00277C57" w:rsidRDefault="007664F4">
      <w:pPr>
        <w:rPr>
          <w:rFonts w:hAnsi="宋体"/>
          <w:szCs w:val="21"/>
        </w:rPr>
      </w:pPr>
      <w:r w:rsidRPr="00277C57">
        <w:rPr>
          <w:rFonts w:hAnsi="宋体" w:hint="eastAsia"/>
          <w:szCs w:val="21"/>
        </w:rPr>
        <w:t>3</w:t>
      </w:r>
      <w:r w:rsidRPr="00277C57">
        <w:rPr>
          <w:rFonts w:hAnsi="宋体" w:hint="eastAsia"/>
          <w:szCs w:val="21"/>
        </w:rPr>
        <w:t>）紫金矿业集团股份有限公司提出：</w:t>
      </w:r>
    </w:p>
    <w:p w:rsidR="009125A8" w:rsidRPr="00277C57" w:rsidRDefault="007664F4">
      <w:pPr>
        <w:rPr>
          <w:rFonts w:hAnsi="宋体"/>
          <w:szCs w:val="21"/>
        </w:rPr>
      </w:pPr>
      <w:r w:rsidRPr="00277C57">
        <w:rPr>
          <w:rFonts w:hAnsi="宋体" w:hint="eastAsia"/>
          <w:szCs w:val="21"/>
        </w:rPr>
        <w:t>①在预审稿章节“</w:t>
      </w:r>
      <w:r w:rsidRPr="00277C57">
        <w:rPr>
          <w:rFonts w:hAnsi="宋体" w:hint="eastAsia"/>
          <w:szCs w:val="21"/>
        </w:rPr>
        <w:t>1</w:t>
      </w:r>
      <w:r w:rsidRPr="00277C57">
        <w:rPr>
          <w:rFonts w:hAnsi="宋体" w:hint="eastAsia"/>
          <w:szCs w:val="21"/>
        </w:rPr>
        <w:t>”中，银的测定范围：</w:t>
      </w:r>
      <w:r w:rsidRPr="00277C57">
        <w:rPr>
          <w:rFonts w:hAnsi="宋体" w:hint="eastAsia"/>
          <w:szCs w:val="21"/>
        </w:rPr>
        <w:t>20g/t</w:t>
      </w:r>
      <w:r w:rsidRPr="00277C57">
        <w:rPr>
          <w:rFonts w:hAnsi="宋体" w:hint="eastAsia"/>
          <w:szCs w:val="21"/>
        </w:rPr>
        <w:t>～</w:t>
      </w:r>
      <w:r w:rsidRPr="00277C57">
        <w:rPr>
          <w:rFonts w:hAnsi="宋体" w:hint="eastAsia"/>
          <w:szCs w:val="21"/>
        </w:rPr>
        <w:t>300g/t</w:t>
      </w:r>
      <w:r w:rsidRPr="00277C57">
        <w:rPr>
          <w:rFonts w:hAnsi="宋体" w:hint="eastAsia"/>
          <w:szCs w:val="21"/>
        </w:rPr>
        <w:t>与任务落实会议中的测定范围：</w:t>
      </w:r>
      <w:r w:rsidRPr="00277C57">
        <w:rPr>
          <w:rFonts w:hAnsi="宋体" w:hint="eastAsia"/>
          <w:szCs w:val="21"/>
        </w:rPr>
        <w:t>10g/t</w:t>
      </w:r>
      <w:r w:rsidRPr="00277C57">
        <w:rPr>
          <w:rFonts w:hAnsi="宋体" w:hint="eastAsia"/>
          <w:szCs w:val="21"/>
        </w:rPr>
        <w:t>～</w:t>
      </w:r>
      <w:r w:rsidRPr="00277C57">
        <w:rPr>
          <w:rFonts w:hAnsi="宋体" w:hint="eastAsia"/>
          <w:szCs w:val="21"/>
        </w:rPr>
        <w:t>300g/t</w:t>
      </w:r>
      <w:r w:rsidRPr="00277C57">
        <w:rPr>
          <w:rFonts w:hAnsi="宋体" w:hint="eastAsia"/>
          <w:szCs w:val="21"/>
        </w:rPr>
        <w:t>不一致。不采纳，根据样品提供单位提供的样品中银的实际含量确定了标准方法的测定范围。</w:t>
      </w:r>
    </w:p>
    <w:p w:rsidR="009125A8" w:rsidRPr="00277C57" w:rsidRDefault="007664F4">
      <w:pPr>
        <w:rPr>
          <w:rFonts w:hAnsi="宋体"/>
          <w:szCs w:val="21"/>
        </w:rPr>
      </w:pPr>
      <w:r w:rsidRPr="00277C57">
        <w:rPr>
          <w:rFonts w:hAnsi="宋体" w:hint="eastAsia"/>
          <w:szCs w:val="21"/>
        </w:rPr>
        <w:t>②在预审稿章节“</w:t>
      </w:r>
      <w:r w:rsidRPr="00277C57">
        <w:rPr>
          <w:rFonts w:hAnsi="宋体" w:hint="eastAsia"/>
          <w:szCs w:val="21"/>
        </w:rPr>
        <w:t>5</w:t>
      </w:r>
      <w:r w:rsidRPr="00277C57">
        <w:rPr>
          <w:rFonts w:hAnsi="宋体" w:hint="eastAsia"/>
          <w:szCs w:val="21"/>
        </w:rPr>
        <w:t>”中，建议高镍锍试样粒度表述统一。采纳。</w:t>
      </w:r>
    </w:p>
    <w:p w:rsidR="009125A8" w:rsidRPr="00277C57" w:rsidRDefault="007664F4">
      <w:pPr>
        <w:pStyle w:val="-11"/>
        <w:ind w:firstLineChars="0" w:firstLine="0"/>
        <w:rPr>
          <w:rFonts w:ascii="宋体" w:hAnsi="宋体"/>
        </w:rPr>
      </w:pPr>
      <w:r w:rsidRPr="00277C57">
        <w:rPr>
          <w:rFonts w:hint="eastAsia"/>
          <w:szCs w:val="21"/>
        </w:rPr>
        <w:t xml:space="preserve">    2</w:t>
      </w:r>
      <w:r w:rsidRPr="00277C57">
        <w:rPr>
          <w:szCs w:val="21"/>
        </w:rPr>
        <w:t>01</w:t>
      </w:r>
      <w:r w:rsidRPr="00277C57">
        <w:rPr>
          <w:rFonts w:hint="eastAsia"/>
          <w:szCs w:val="21"/>
        </w:rPr>
        <w:t>8</w:t>
      </w:r>
      <w:r w:rsidRPr="00277C57">
        <w:rPr>
          <w:szCs w:val="21"/>
        </w:rPr>
        <w:t>年</w:t>
      </w:r>
      <w:r w:rsidRPr="00277C57">
        <w:rPr>
          <w:rFonts w:hint="eastAsia"/>
          <w:szCs w:val="21"/>
        </w:rPr>
        <w:t>12</w:t>
      </w:r>
      <w:r w:rsidRPr="00277C57">
        <w:rPr>
          <w:rFonts w:hint="eastAsia"/>
          <w:szCs w:val="21"/>
        </w:rPr>
        <w:t>月第二次工作会议，审定会。</w:t>
      </w:r>
    </w:p>
    <w:p w:rsidR="009125A8" w:rsidRDefault="007664F4">
      <w:pPr>
        <w:spacing w:line="360" w:lineRule="auto"/>
        <w:rPr>
          <w:rFonts w:ascii="宋体" w:hAnsi="宋体"/>
          <w:b/>
          <w:sz w:val="24"/>
        </w:rPr>
      </w:pPr>
      <w:r>
        <w:rPr>
          <w:rFonts w:ascii="宋体" w:hAnsi="宋体" w:hint="eastAsia"/>
          <w:b/>
          <w:sz w:val="24"/>
        </w:rPr>
        <w:t>二、标准编制原则</w:t>
      </w:r>
    </w:p>
    <w:p w:rsidR="009125A8" w:rsidRDefault="007664F4">
      <w:pPr>
        <w:ind w:firstLineChars="200" w:firstLine="420"/>
        <w:rPr>
          <w:szCs w:val="21"/>
        </w:rPr>
      </w:pPr>
      <w:r>
        <w:rPr>
          <w:szCs w:val="21"/>
        </w:rPr>
        <w:t>本标准是根据</w:t>
      </w:r>
      <w:r>
        <w:rPr>
          <w:szCs w:val="21"/>
        </w:rPr>
        <w:t>GB/T1.1-2009</w:t>
      </w:r>
      <w:r>
        <w:rPr>
          <w:szCs w:val="21"/>
        </w:rPr>
        <w:t>《标准化工作导则第</w:t>
      </w:r>
      <w:r>
        <w:rPr>
          <w:szCs w:val="21"/>
        </w:rPr>
        <w:t>1</w:t>
      </w:r>
      <w:r>
        <w:rPr>
          <w:szCs w:val="21"/>
        </w:rPr>
        <w:t>部分：标准的结构和编写规则》和</w:t>
      </w:r>
      <w:r>
        <w:rPr>
          <w:szCs w:val="21"/>
        </w:rPr>
        <w:t>GB/T20001.4-2001</w:t>
      </w:r>
      <w:r>
        <w:rPr>
          <w:szCs w:val="21"/>
        </w:rPr>
        <w:t>《标准编写规则第</w:t>
      </w:r>
      <w:r>
        <w:rPr>
          <w:szCs w:val="21"/>
        </w:rPr>
        <w:t>4</w:t>
      </w:r>
      <w:r>
        <w:rPr>
          <w:szCs w:val="21"/>
        </w:rPr>
        <w:t>部分：化学分析方法》的要求进行编写的。编制本标准的</w:t>
      </w:r>
      <w:r>
        <w:rPr>
          <w:rFonts w:hint="eastAsia"/>
          <w:szCs w:val="21"/>
        </w:rPr>
        <w:t>目的</w:t>
      </w:r>
      <w:r>
        <w:rPr>
          <w:szCs w:val="21"/>
        </w:rPr>
        <w:t>是</w:t>
      </w:r>
      <w:r>
        <w:rPr>
          <w:szCs w:val="21"/>
        </w:rPr>
        <w:lastRenderedPageBreak/>
        <w:t>以</w:t>
      </w:r>
      <w:r>
        <w:rPr>
          <w:rFonts w:hint="eastAsia"/>
          <w:szCs w:val="21"/>
        </w:rPr>
        <w:t>能满足高镍锍中银含量的准确快速测定要求</w:t>
      </w:r>
      <w:r>
        <w:rPr>
          <w:szCs w:val="21"/>
        </w:rPr>
        <w:t>为基础</w:t>
      </w:r>
      <w:r>
        <w:rPr>
          <w:rFonts w:hint="eastAsia"/>
          <w:szCs w:val="21"/>
        </w:rPr>
        <w:t>。</w:t>
      </w:r>
      <w:r>
        <w:rPr>
          <w:szCs w:val="21"/>
        </w:rPr>
        <w:t>编制本标准的原则</w:t>
      </w:r>
      <w:r>
        <w:rPr>
          <w:rFonts w:hint="eastAsia"/>
          <w:szCs w:val="21"/>
        </w:rPr>
        <w:t>是准确、具有一定</w:t>
      </w:r>
      <w:r>
        <w:rPr>
          <w:szCs w:val="21"/>
        </w:rPr>
        <w:t>的先进性</w:t>
      </w:r>
      <w:r>
        <w:rPr>
          <w:rFonts w:hint="eastAsia"/>
          <w:szCs w:val="21"/>
        </w:rPr>
        <w:t>和操作简单性。</w:t>
      </w:r>
      <w:r>
        <w:rPr>
          <w:szCs w:val="21"/>
        </w:rPr>
        <w:t>根据国情</w:t>
      </w:r>
      <w:r>
        <w:rPr>
          <w:rFonts w:hint="eastAsia"/>
          <w:szCs w:val="21"/>
        </w:rPr>
        <w:t>制订技术规范并力求与</w:t>
      </w:r>
      <w:r>
        <w:rPr>
          <w:szCs w:val="21"/>
        </w:rPr>
        <w:t>国外先进</w:t>
      </w:r>
      <w:r>
        <w:rPr>
          <w:rFonts w:hint="eastAsia"/>
          <w:szCs w:val="21"/>
        </w:rPr>
        <w:t>技术</w:t>
      </w:r>
      <w:r>
        <w:rPr>
          <w:szCs w:val="21"/>
        </w:rPr>
        <w:t>接轨。</w:t>
      </w:r>
    </w:p>
    <w:p w:rsidR="009125A8" w:rsidRDefault="007664F4">
      <w:pPr>
        <w:spacing w:line="360" w:lineRule="auto"/>
        <w:rPr>
          <w:rFonts w:ascii="宋体" w:hAnsi="宋体"/>
          <w:b/>
          <w:sz w:val="24"/>
        </w:rPr>
      </w:pPr>
      <w:r>
        <w:rPr>
          <w:rFonts w:ascii="宋体" w:hAnsi="宋体" w:hint="eastAsia"/>
          <w:b/>
          <w:sz w:val="24"/>
        </w:rPr>
        <w:t>三、标准主要内容的确定依据</w:t>
      </w:r>
    </w:p>
    <w:p w:rsidR="009125A8" w:rsidRDefault="007664F4">
      <w:pPr>
        <w:rPr>
          <w:szCs w:val="21"/>
        </w:rPr>
      </w:pPr>
      <w:r>
        <w:rPr>
          <w:rFonts w:ascii="黑体" w:eastAsia="黑体" w:hAnsi="黑体" w:cs="黑体" w:hint="eastAsia"/>
          <w:bCs/>
          <w:color w:val="000000"/>
          <w:szCs w:val="21"/>
        </w:rPr>
        <w:t>3.1银含量范围确定及使用检测手段确定</w:t>
      </w:r>
    </w:p>
    <w:p w:rsidR="009125A8" w:rsidRDefault="007664F4">
      <w:pPr>
        <w:ind w:firstLineChars="200" w:firstLine="420"/>
        <w:rPr>
          <w:szCs w:val="21"/>
        </w:rPr>
      </w:pPr>
      <w:r>
        <w:rPr>
          <w:rFonts w:hint="eastAsia"/>
          <w:szCs w:val="21"/>
        </w:rPr>
        <w:t>根据</w:t>
      </w:r>
      <w:r>
        <w:rPr>
          <w:rFonts w:hint="eastAsia"/>
          <w:color w:val="000000"/>
          <w:szCs w:val="21"/>
        </w:rPr>
        <w:t>金川集团股份有限公司</w:t>
      </w:r>
      <w:r>
        <w:rPr>
          <w:rFonts w:hint="eastAsia"/>
          <w:szCs w:val="21"/>
        </w:rPr>
        <w:t>等单位提供的高镍锍试样以及在实际生产中遇到的样品，确定高镍锍中银含量的测定范围为</w:t>
      </w:r>
      <w:r>
        <w:rPr>
          <w:rFonts w:hint="eastAsia"/>
          <w:szCs w:val="21"/>
        </w:rPr>
        <w:t>20g/t~300g/t</w:t>
      </w:r>
      <w:r>
        <w:rPr>
          <w:rFonts w:hint="eastAsia"/>
          <w:szCs w:val="21"/>
        </w:rPr>
        <w:t>。对于试样中</w:t>
      </w:r>
      <w:r>
        <w:rPr>
          <w:rFonts w:hint="eastAsia"/>
          <w:szCs w:val="21"/>
        </w:rPr>
        <w:t>20g/t~300g/t</w:t>
      </w:r>
      <w:r>
        <w:rPr>
          <w:rFonts w:hint="eastAsia"/>
          <w:szCs w:val="21"/>
        </w:rPr>
        <w:t>银含量的检测，从普及程度及成本方面考虑，最终选择了火焰原子吸收光谱法。</w:t>
      </w:r>
    </w:p>
    <w:p w:rsidR="009125A8" w:rsidRDefault="007664F4">
      <w:pPr>
        <w:rPr>
          <w:rFonts w:ascii="黑体" w:eastAsia="黑体" w:hAnsi="黑体"/>
          <w:szCs w:val="21"/>
        </w:rPr>
      </w:pPr>
      <w:r>
        <w:rPr>
          <w:rFonts w:ascii="黑体" w:eastAsia="黑体" w:hAnsi="黑体" w:hint="eastAsia"/>
          <w:szCs w:val="21"/>
        </w:rPr>
        <w:t>3.2溶样方式的确定</w:t>
      </w:r>
    </w:p>
    <w:p w:rsidR="009125A8" w:rsidRDefault="007664F4">
      <w:pPr>
        <w:ind w:firstLine="420"/>
        <w:rPr>
          <w:color w:val="000000"/>
          <w:szCs w:val="21"/>
        </w:rPr>
      </w:pPr>
      <w:r>
        <w:rPr>
          <w:rFonts w:hint="eastAsia"/>
          <w:color w:val="000000"/>
          <w:szCs w:val="21"/>
        </w:rPr>
        <w:t>对比了两种不同的溶样方式，测定结果基本一致，考虑到耗时及成本，从而选择了较优的溶样方式，见实验报告</w:t>
      </w:r>
      <w:r>
        <w:rPr>
          <w:rFonts w:hint="eastAsia"/>
          <w:color w:val="000000"/>
          <w:szCs w:val="21"/>
        </w:rPr>
        <w:t>3.1</w:t>
      </w:r>
      <w:r>
        <w:rPr>
          <w:rFonts w:hint="eastAsia"/>
          <w:color w:val="000000"/>
          <w:szCs w:val="21"/>
        </w:rPr>
        <w:t>。</w:t>
      </w:r>
    </w:p>
    <w:p w:rsidR="009125A8" w:rsidRDefault="007664F4">
      <w:pPr>
        <w:rPr>
          <w:rFonts w:ascii="黑体" w:eastAsia="黑体" w:hAnsi="黑体"/>
          <w:szCs w:val="21"/>
        </w:rPr>
      </w:pPr>
      <w:r>
        <w:rPr>
          <w:rFonts w:ascii="黑体" w:eastAsia="黑体" w:hAnsi="黑体" w:hint="eastAsia"/>
          <w:szCs w:val="21"/>
        </w:rPr>
        <w:t>3.3原子吸收光谱仪工作条件的确定</w:t>
      </w:r>
    </w:p>
    <w:p w:rsidR="009125A8" w:rsidRDefault="007664F4">
      <w:pPr>
        <w:rPr>
          <w:color w:val="000000"/>
          <w:szCs w:val="21"/>
        </w:rPr>
      </w:pPr>
      <w:r>
        <w:rPr>
          <w:rFonts w:hint="eastAsia"/>
          <w:color w:val="000000"/>
          <w:szCs w:val="21"/>
        </w:rPr>
        <w:t xml:space="preserve">    </w:t>
      </w:r>
      <w:r>
        <w:rPr>
          <w:rFonts w:hint="eastAsia"/>
          <w:color w:val="000000"/>
          <w:szCs w:val="21"/>
        </w:rPr>
        <w:t>根据原子吸收光谱仪的工作原理，从灯电流、乙炔流量、单色器通带、燃烧器高度四个方面进行了考察，确定了最佳工作条件，见实验报告</w:t>
      </w:r>
      <w:r>
        <w:rPr>
          <w:rFonts w:hint="eastAsia"/>
          <w:color w:val="000000"/>
          <w:szCs w:val="21"/>
        </w:rPr>
        <w:t>3.2</w:t>
      </w:r>
      <w:r>
        <w:rPr>
          <w:rFonts w:hint="eastAsia"/>
          <w:color w:val="000000"/>
          <w:szCs w:val="21"/>
        </w:rPr>
        <w:t>。并在此基础上，考察了仪器的综合性能，确定了工作曲线、特征浓度、最小稳定性、检出限。见实验报告</w:t>
      </w:r>
      <w:r>
        <w:rPr>
          <w:rFonts w:hint="eastAsia"/>
          <w:color w:val="000000"/>
          <w:szCs w:val="21"/>
        </w:rPr>
        <w:t>3.3</w:t>
      </w:r>
    </w:p>
    <w:p w:rsidR="009125A8" w:rsidRDefault="007664F4">
      <w:pPr>
        <w:rPr>
          <w:rFonts w:ascii="黑体" w:eastAsia="黑体" w:hAnsi="黑体"/>
          <w:szCs w:val="21"/>
        </w:rPr>
      </w:pPr>
      <w:r>
        <w:rPr>
          <w:rFonts w:ascii="黑体" w:eastAsia="黑体" w:hAnsi="黑体" w:hint="eastAsia"/>
          <w:szCs w:val="21"/>
        </w:rPr>
        <w:t>3.4确定了待测溶液的介质</w:t>
      </w:r>
    </w:p>
    <w:p w:rsidR="009125A8" w:rsidRDefault="007664F4">
      <w:pPr>
        <w:rPr>
          <w:color w:val="000000"/>
          <w:szCs w:val="21"/>
        </w:rPr>
      </w:pPr>
      <w:r>
        <w:rPr>
          <w:rFonts w:hint="eastAsia"/>
          <w:color w:val="000000"/>
          <w:szCs w:val="21"/>
        </w:rPr>
        <w:t xml:space="preserve">    </w:t>
      </w:r>
      <w:r>
        <w:rPr>
          <w:rFonts w:hint="eastAsia"/>
          <w:color w:val="000000"/>
          <w:szCs w:val="21"/>
        </w:rPr>
        <w:t>选择了不同浓度的盐酸介质，从测定结果来考察，确定了待测溶液的介质浓度，见实验报告</w:t>
      </w:r>
      <w:r>
        <w:rPr>
          <w:rFonts w:hint="eastAsia"/>
          <w:color w:val="000000"/>
          <w:szCs w:val="21"/>
        </w:rPr>
        <w:t>3.4</w:t>
      </w:r>
      <w:r>
        <w:rPr>
          <w:rFonts w:hint="eastAsia"/>
          <w:color w:val="000000"/>
          <w:szCs w:val="21"/>
        </w:rPr>
        <w:t>。</w:t>
      </w:r>
    </w:p>
    <w:p w:rsidR="009125A8" w:rsidRDefault="007664F4">
      <w:pPr>
        <w:spacing w:line="360" w:lineRule="auto"/>
        <w:rPr>
          <w:rFonts w:ascii="黑体" w:eastAsia="黑体" w:hAnsi="黑体"/>
          <w:szCs w:val="21"/>
        </w:rPr>
      </w:pPr>
      <w:r>
        <w:rPr>
          <w:rFonts w:ascii="黑体" w:eastAsia="黑体" w:hAnsi="黑体" w:hint="eastAsia"/>
          <w:szCs w:val="21"/>
        </w:rPr>
        <w:t>3.5干扰及消除</w:t>
      </w:r>
    </w:p>
    <w:p w:rsidR="009125A8" w:rsidRDefault="007664F4">
      <w:pPr>
        <w:ind w:firstLineChars="200" w:firstLine="420"/>
        <w:rPr>
          <w:szCs w:val="21"/>
        </w:rPr>
      </w:pPr>
      <w:r>
        <w:rPr>
          <w:rFonts w:hint="eastAsia"/>
          <w:szCs w:val="21"/>
        </w:rPr>
        <w:t>根据金川集团股份有限公司等单位提供的试样进行半定量分析发现，高镍锍中各元素的含量范围为：</w:t>
      </w:r>
      <w:r>
        <w:rPr>
          <w:rFonts w:hint="eastAsia"/>
          <w:szCs w:val="21"/>
        </w:rPr>
        <w:t>Ni 35</w:t>
      </w:r>
      <w:r>
        <w:rPr>
          <w:szCs w:val="21"/>
        </w:rPr>
        <w:t>%</w:t>
      </w:r>
      <w:r>
        <w:rPr>
          <w:rFonts w:hint="eastAsia"/>
          <w:szCs w:val="21"/>
        </w:rPr>
        <w:t>~70%</w:t>
      </w:r>
      <w:r>
        <w:rPr>
          <w:rFonts w:hint="eastAsia"/>
          <w:szCs w:val="21"/>
        </w:rPr>
        <w:t>，</w:t>
      </w:r>
      <w:r>
        <w:rPr>
          <w:szCs w:val="21"/>
        </w:rPr>
        <w:t>C</w:t>
      </w:r>
      <w:r>
        <w:rPr>
          <w:rFonts w:hint="eastAsia"/>
          <w:szCs w:val="21"/>
        </w:rPr>
        <w:t>u 5%~35%</w:t>
      </w:r>
      <w:r>
        <w:rPr>
          <w:rFonts w:hint="eastAsia"/>
          <w:szCs w:val="21"/>
        </w:rPr>
        <w:t>，</w:t>
      </w:r>
      <w:r>
        <w:rPr>
          <w:rFonts w:hint="eastAsia"/>
          <w:szCs w:val="21"/>
        </w:rPr>
        <w:t>Fe1%~ 5</w:t>
      </w:r>
      <w:r>
        <w:rPr>
          <w:szCs w:val="21"/>
        </w:rPr>
        <w:t>%</w:t>
      </w:r>
      <w:r>
        <w:rPr>
          <w:rFonts w:hint="eastAsia"/>
          <w:szCs w:val="21"/>
        </w:rPr>
        <w:t>，</w:t>
      </w:r>
      <w:r>
        <w:rPr>
          <w:rFonts w:hint="eastAsia"/>
          <w:szCs w:val="21"/>
        </w:rPr>
        <w:t>Co 1%</w:t>
      </w:r>
      <w:r>
        <w:rPr>
          <w:rFonts w:hint="eastAsia"/>
          <w:szCs w:val="21"/>
        </w:rPr>
        <w:t>左右，</w:t>
      </w:r>
      <w:r>
        <w:rPr>
          <w:szCs w:val="21"/>
        </w:rPr>
        <w:t>S</w:t>
      </w:r>
      <w:r>
        <w:rPr>
          <w:rFonts w:hint="eastAsia"/>
          <w:szCs w:val="21"/>
        </w:rPr>
        <w:t xml:space="preserve"> 25%</w:t>
      </w:r>
      <w:r>
        <w:rPr>
          <w:rFonts w:hint="eastAsia"/>
          <w:szCs w:val="21"/>
        </w:rPr>
        <w:t>左右，</w:t>
      </w:r>
      <w:r>
        <w:rPr>
          <w:szCs w:val="21"/>
        </w:rPr>
        <w:t>Pb</w:t>
      </w:r>
      <w:r>
        <w:rPr>
          <w:rFonts w:hint="eastAsia"/>
          <w:szCs w:val="21"/>
        </w:rPr>
        <w:t>、</w:t>
      </w:r>
      <w:r>
        <w:rPr>
          <w:szCs w:val="21"/>
        </w:rPr>
        <w:t>Zn</w:t>
      </w:r>
      <w:r>
        <w:rPr>
          <w:rFonts w:hint="eastAsia"/>
          <w:szCs w:val="21"/>
        </w:rPr>
        <w:t>、</w:t>
      </w:r>
      <w:r>
        <w:rPr>
          <w:szCs w:val="21"/>
        </w:rPr>
        <w:t>A</w:t>
      </w:r>
      <w:r>
        <w:rPr>
          <w:rFonts w:hint="eastAsia"/>
          <w:szCs w:val="21"/>
        </w:rPr>
        <w:t>s</w:t>
      </w:r>
      <w:r>
        <w:rPr>
          <w:rFonts w:hint="eastAsia"/>
          <w:szCs w:val="21"/>
        </w:rPr>
        <w:t>都小于</w:t>
      </w:r>
      <w:r>
        <w:rPr>
          <w:szCs w:val="21"/>
        </w:rPr>
        <w:t>1%</w:t>
      </w:r>
      <w:r>
        <w:rPr>
          <w:rFonts w:hint="eastAsia"/>
          <w:szCs w:val="21"/>
        </w:rPr>
        <w:t>。从测定结果考察了各干扰元素对银含量测定的影响，见实验报告</w:t>
      </w:r>
      <w:r>
        <w:rPr>
          <w:rFonts w:hint="eastAsia"/>
          <w:szCs w:val="21"/>
        </w:rPr>
        <w:t>3.5</w:t>
      </w:r>
      <w:r>
        <w:rPr>
          <w:rFonts w:hint="eastAsia"/>
          <w:szCs w:val="21"/>
        </w:rPr>
        <w:t>。</w:t>
      </w:r>
    </w:p>
    <w:p w:rsidR="009125A8" w:rsidRDefault="007664F4">
      <w:pPr>
        <w:spacing w:line="360" w:lineRule="auto"/>
        <w:rPr>
          <w:rFonts w:ascii="黑体" w:eastAsia="黑体" w:hAnsi="黑体"/>
          <w:szCs w:val="21"/>
        </w:rPr>
      </w:pPr>
      <w:r>
        <w:rPr>
          <w:rFonts w:ascii="黑体" w:eastAsia="黑体" w:hAnsi="黑体" w:hint="eastAsia"/>
          <w:szCs w:val="21"/>
        </w:rPr>
        <w:t>3.6重复性及再现性</w:t>
      </w:r>
    </w:p>
    <w:p w:rsidR="009125A8" w:rsidRDefault="007664F4">
      <w:pPr>
        <w:ind w:firstLine="435"/>
        <w:rPr>
          <w:sz w:val="24"/>
          <w:highlight w:val="cyan"/>
        </w:rPr>
      </w:pPr>
      <w:r>
        <w:rPr>
          <w:rFonts w:hint="eastAsia"/>
          <w:bCs/>
          <w:szCs w:val="21"/>
        </w:rPr>
        <w:t>铜冶炼分银渣中锡量测定的原始数据及原始数据统计检验过程见《</w:t>
      </w:r>
      <w:r>
        <w:rPr>
          <w:szCs w:val="21"/>
        </w:rPr>
        <w:t>实验数据</w:t>
      </w:r>
      <w:r>
        <w:rPr>
          <w:rFonts w:hint="eastAsia"/>
          <w:szCs w:val="21"/>
        </w:rPr>
        <w:t>及</w:t>
      </w:r>
      <w:r>
        <w:rPr>
          <w:szCs w:val="21"/>
        </w:rPr>
        <w:t>处理</w:t>
      </w:r>
      <w:r>
        <w:rPr>
          <w:rFonts w:hint="eastAsia"/>
          <w:bCs/>
          <w:szCs w:val="21"/>
        </w:rPr>
        <w:t>》第</w:t>
      </w:r>
      <w:r>
        <w:rPr>
          <w:rFonts w:hint="eastAsia"/>
          <w:bCs/>
          <w:szCs w:val="21"/>
        </w:rPr>
        <w:t>1</w:t>
      </w:r>
      <w:r>
        <w:rPr>
          <w:rFonts w:hint="eastAsia"/>
          <w:bCs/>
          <w:szCs w:val="21"/>
        </w:rPr>
        <w:t>部分至第</w:t>
      </w:r>
      <w:r>
        <w:rPr>
          <w:rFonts w:hint="eastAsia"/>
          <w:bCs/>
          <w:szCs w:val="21"/>
        </w:rPr>
        <w:t>3</w:t>
      </w:r>
      <w:r>
        <w:rPr>
          <w:rFonts w:hint="eastAsia"/>
          <w:bCs/>
          <w:szCs w:val="21"/>
        </w:rPr>
        <w:t>部分。</w:t>
      </w:r>
      <w:r>
        <w:rPr>
          <w:bCs/>
          <w:szCs w:val="21"/>
        </w:rPr>
        <w:t>剔除离群值后，重复性、再现性计算结果见表</w:t>
      </w:r>
      <w:r>
        <w:rPr>
          <w:rFonts w:hint="eastAsia"/>
          <w:bCs/>
          <w:szCs w:val="21"/>
        </w:rPr>
        <w:t>1</w:t>
      </w:r>
      <w:r>
        <w:rPr>
          <w:bCs/>
          <w:szCs w:val="21"/>
        </w:rPr>
        <w:t>。</w:t>
      </w:r>
    </w:p>
    <w:p w:rsidR="009125A8" w:rsidRDefault="007664F4">
      <w:pPr>
        <w:spacing w:line="360" w:lineRule="auto"/>
        <w:ind w:firstLine="480"/>
        <w:jc w:val="center"/>
        <w:rPr>
          <w:szCs w:val="21"/>
        </w:rPr>
      </w:pPr>
      <w:r>
        <w:rPr>
          <w:szCs w:val="21"/>
        </w:rPr>
        <w:t>表</w:t>
      </w:r>
      <w:r>
        <w:rPr>
          <w:rFonts w:hint="eastAsia"/>
          <w:szCs w:val="21"/>
        </w:rPr>
        <w:t>1</w:t>
      </w:r>
      <w:r>
        <w:rPr>
          <w:szCs w:val="21"/>
        </w:rPr>
        <w:t>重复性和再现性</w:t>
      </w:r>
    </w:p>
    <w:tbl>
      <w:tblPr>
        <w:tblW w:w="80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241"/>
        <w:gridCol w:w="1355"/>
        <w:gridCol w:w="1356"/>
        <w:gridCol w:w="1356"/>
        <w:gridCol w:w="1355"/>
        <w:gridCol w:w="1356"/>
      </w:tblGrid>
      <w:tr w:rsidR="009125A8">
        <w:trPr>
          <w:cantSplit/>
          <w:jc w:val="center"/>
        </w:trPr>
        <w:tc>
          <w:tcPr>
            <w:tcW w:w="1241" w:type="dxa"/>
            <w:vAlign w:val="center"/>
          </w:tcPr>
          <w:p w:rsidR="009125A8" w:rsidRDefault="009125A8">
            <w:pPr>
              <w:jc w:val="center"/>
              <w:rPr>
                <w:bCs/>
                <w:szCs w:val="21"/>
              </w:rPr>
            </w:pPr>
          </w:p>
        </w:tc>
        <w:tc>
          <w:tcPr>
            <w:tcW w:w="1355" w:type="dxa"/>
            <w:vAlign w:val="bottom"/>
          </w:tcPr>
          <w:p w:rsidR="009125A8" w:rsidRDefault="007664F4">
            <w:pPr>
              <w:jc w:val="center"/>
              <w:rPr>
                <w:bCs/>
                <w:szCs w:val="21"/>
              </w:rPr>
            </w:pPr>
            <w:r>
              <w:rPr>
                <w:rFonts w:hint="eastAsia"/>
                <w:bCs/>
                <w:szCs w:val="21"/>
              </w:rPr>
              <w:t>7#</w:t>
            </w:r>
          </w:p>
        </w:tc>
        <w:tc>
          <w:tcPr>
            <w:tcW w:w="1356" w:type="dxa"/>
            <w:vAlign w:val="bottom"/>
          </w:tcPr>
          <w:p w:rsidR="009125A8" w:rsidRDefault="007664F4">
            <w:pPr>
              <w:jc w:val="center"/>
              <w:rPr>
                <w:bCs/>
                <w:szCs w:val="21"/>
              </w:rPr>
            </w:pPr>
            <w:r>
              <w:rPr>
                <w:rFonts w:hint="eastAsia"/>
                <w:bCs/>
                <w:szCs w:val="21"/>
              </w:rPr>
              <w:t>10#</w:t>
            </w:r>
          </w:p>
        </w:tc>
        <w:tc>
          <w:tcPr>
            <w:tcW w:w="1356" w:type="dxa"/>
            <w:vAlign w:val="bottom"/>
          </w:tcPr>
          <w:p w:rsidR="009125A8" w:rsidRDefault="007664F4">
            <w:pPr>
              <w:jc w:val="center"/>
              <w:rPr>
                <w:bCs/>
                <w:szCs w:val="21"/>
              </w:rPr>
            </w:pPr>
            <w:r>
              <w:rPr>
                <w:rFonts w:hint="eastAsia"/>
                <w:bCs/>
                <w:szCs w:val="21"/>
              </w:rPr>
              <w:t>9#</w:t>
            </w:r>
          </w:p>
        </w:tc>
        <w:tc>
          <w:tcPr>
            <w:tcW w:w="1355" w:type="dxa"/>
            <w:vAlign w:val="bottom"/>
          </w:tcPr>
          <w:p w:rsidR="009125A8" w:rsidRDefault="007664F4">
            <w:pPr>
              <w:jc w:val="center"/>
              <w:rPr>
                <w:bCs/>
                <w:szCs w:val="21"/>
              </w:rPr>
            </w:pPr>
            <w:r>
              <w:rPr>
                <w:rFonts w:hint="eastAsia"/>
                <w:bCs/>
                <w:szCs w:val="21"/>
              </w:rPr>
              <w:t>6#</w:t>
            </w:r>
          </w:p>
        </w:tc>
        <w:tc>
          <w:tcPr>
            <w:tcW w:w="1356" w:type="dxa"/>
            <w:vAlign w:val="bottom"/>
          </w:tcPr>
          <w:p w:rsidR="009125A8" w:rsidRDefault="007664F4">
            <w:pPr>
              <w:jc w:val="center"/>
              <w:rPr>
                <w:bCs/>
                <w:szCs w:val="21"/>
              </w:rPr>
            </w:pPr>
            <w:r>
              <w:rPr>
                <w:rFonts w:hint="eastAsia"/>
                <w:bCs/>
                <w:szCs w:val="21"/>
              </w:rPr>
              <w:t>8#</w:t>
            </w:r>
          </w:p>
        </w:tc>
      </w:tr>
      <w:tr w:rsidR="009125A8">
        <w:trPr>
          <w:cantSplit/>
          <w:jc w:val="center"/>
        </w:trPr>
        <w:tc>
          <w:tcPr>
            <w:tcW w:w="1241" w:type="dxa"/>
            <w:vAlign w:val="center"/>
          </w:tcPr>
          <w:p w:rsidR="009125A8" w:rsidRDefault="007664F4">
            <w:pPr>
              <w:jc w:val="center"/>
              <w:rPr>
                <w:bCs/>
                <w:szCs w:val="21"/>
              </w:rPr>
            </w:pPr>
            <w:r>
              <w:rPr>
                <w:rFonts w:hint="eastAsia"/>
                <w:bCs/>
                <w:szCs w:val="21"/>
              </w:rPr>
              <w:t>T1</w:t>
            </w:r>
          </w:p>
        </w:tc>
        <w:tc>
          <w:tcPr>
            <w:tcW w:w="1355" w:type="dxa"/>
            <w:vAlign w:val="center"/>
          </w:tcPr>
          <w:p w:rsidR="009125A8" w:rsidRDefault="007664F4">
            <w:pPr>
              <w:jc w:val="center"/>
              <w:rPr>
                <w:bCs/>
                <w:szCs w:val="21"/>
              </w:rPr>
            </w:pPr>
            <w:r>
              <w:rPr>
                <w:rFonts w:hint="eastAsia"/>
                <w:bCs/>
                <w:szCs w:val="21"/>
              </w:rPr>
              <w:t>2791.70</w:t>
            </w:r>
          </w:p>
        </w:tc>
        <w:tc>
          <w:tcPr>
            <w:tcW w:w="1356" w:type="dxa"/>
            <w:vAlign w:val="center"/>
          </w:tcPr>
          <w:p w:rsidR="009125A8" w:rsidRDefault="007664F4">
            <w:pPr>
              <w:jc w:val="center"/>
              <w:rPr>
                <w:bCs/>
                <w:szCs w:val="21"/>
              </w:rPr>
            </w:pPr>
            <w:r>
              <w:rPr>
                <w:rFonts w:hint="eastAsia"/>
                <w:bCs/>
                <w:szCs w:val="21"/>
              </w:rPr>
              <w:t>8709.60</w:t>
            </w:r>
          </w:p>
        </w:tc>
        <w:tc>
          <w:tcPr>
            <w:tcW w:w="1356" w:type="dxa"/>
            <w:vAlign w:val="center"/>
          </w:tcPr>
          <w:p w:rsidR="009125A8" w:rsidRDefault="007664F4">
            <w:pPr>
              <w:jc w:val="center"/>
              <w:rPr>
                <w:bCs/>
                <w:szCs w:val="21"/>
              </w:rPr>
            </w:pPr>
            <w:r>
              <w:rPr>
                <w:rFonts w:hint="eastAsia"/>
                <w:bCs/>
                <w:szCs w:val="21"/>
              </w:rPr>
              <w:t>12883.40</w:t>
            </w:r>
          </w:p>
        </w:tc>
        <w:tc>
          <w:tcPr>
            <w:tcW w:w="1355" w:type="dxa"/>
            <w:vAlign w:val="center"/>
          </w:tcPr>
          <w:p w:rsidR="009125A8" w:rsidRDefault="007664F4">
            <w:pPr>
              <w:jc w:val="center"/>
              <w:rPr>
                <w:bCs/>
                <w:szCs w:val="21"/>
              </w:rPr>
            </w:pPr>
            <w:r>
              <w:rPr>
                <w:rFonts w:hint="eastAsia"/>
                <w:bCs/>
                <w:szCs w:val="21"/>
              </w:rPr>
              <w:t>20491.10</w:t>
            </w:r>
          </w:p>
        </w:tc>
        <w:tc>
          <w:tcPr>
            <w:tcW w:w="1356" w:type="dxa"/>
            <w:vAlign w:val="center"/>
          </w:tcPr>
          <w:p w:rsidR="009125A8" w:rsidRDefault="007664F4">
            <w:pPr>
              <w:jc w:val="center"/>
              <w:rPr>
                <w:bCs/>
                <w:szCs w:val="21"/>
              </w:rPr>
            </w:pPr>
            <w:r>
              <w:rPr>
                <w:rFonts w:hint="eastAsia"/>
                <w:bCs/>
                <w:szCs w:val="21"/>
              </w:rPr>
              <w:t>33727.60</w:t>
            </w:r>
          </w:p>
        </w:tc>
      </w:tr>
      <w:tr w:rsidR="009125A8">
        <w:trPr>
          <w:cantSplit/>
          <w:jc w:val="center"/>
        </w:trPr>
        <w:tc>
          <w:tcPr>
            <w:tcW w:w="1241" w:type="dxa"/>
            <w:vAlign w:val="center"/>
          </w:tcPr>
          <w:p w:rsidR="009125A8" w:rsidRDefault="007664F4">
            <w:pPr>
              <w:jc w:val="center"/>
              <w:rPr>
                <w:bCs/>
                <w:szCs w:val="21"/>
              </w:rPr>
            </w:pPr>
            <w:r>
              <w:rPr>
                <w:rFonts w:hint="eastAsia"/>
                <w:bCs/>
                <w:szCs w:val="21"/>
              </w:rPr>
              <w:t>T2</w:t>
            </w:r>
          </w:p>
        </w:tc>
        <w:tc>
          <w:tcPr>
            <w:tcW w:w="1355" w:type="dxa"/>
            <w:vAlign w:val="center"/>
          </w:tcPr>
          <w:p w:rsidR="009125A8" w:rsidRDefault="007664F4">
            <w:pPr>
              <w:jc w:val="center"/>
              <w:rPr>
                <w:bCs/>
                <w:szCs w:val="21"/>
              </w:rPr>
            </w:pPr>
            <w:r>
              <w:rPr>
                <w:rFonts w:hint="eastAsia"/>
                <w:bCs/>
                <w:szCs w:val="21"/>
              </w:rPr>
              <w:t>71674.23</w:t>
            </w:r>
          </w:p>
        </w:tc>
        <w:tc>
          <w:tcPr>
            <w:tcW w:w="1356" w:type="dxa"/>
            <w:vAlign w:val="center"/>
          </w:tcPr>
          <w:p w:rsidR="009125A8" w:rsidRDefault="007664F4">
            <w:pPr>
              <w:jc w:val="center"/>
              <w:rPr>
                <w:bCs/>
                <w:szCs w:val="21"/>
              </w:rPr>
            </w:pPr>
            <w:r>
              <w:rPr>
                <w:rFonts w:hint="eastAsia"/>
                <w:bCs/>
                <w:szCs w:val="21"/>
              </w:rPr>
              <w:t>632918.89</w:t>
            </w:r>
          </w:p>
        </w:tc>
        <w:tc>
          <w:tcPr>
            <w:tcW w:w="1356" w:type="dxa"/>
            <w:vAlign w:val="center"/>
          </w:tcPr>
          <w:p w:rsidR="009125A8" w:rsidRDefault="007664F4">
            <w:pPr>
              <w:jc w:val="center"/>
              <w:rPr>
                <w:bCs/>
                <w:szCs w:val="21"/>
              </w:rPr>
            </w:pPr>
            <w:r>
              <w:rPr>
                <w:rFonts w:hint="eastAsia"/>
                <w:bCs/>
                <w:szCs w:val="21"/>
              </w:rPr>
              <w:t>1383624.55</w:t>
            </w:r>
          </w:p>
        </w:tc>
        <w:tc>
          <w:tcPr>
            <w:tcW w:w="1355" w:type="dxa"/>
            <w:vAlign w:val="center"/>
          </w:tcPr>
          <w:p w:rsidR="009125A8" w:rsidRDefault="007664F4">
            <w:pPr>
              <w:jc w:val="center"/>
              <w:rPr>
                <w:bCs/>
                <w:szCs w:val="21"/>
              </w:rPr>
            </w:pPr>
            <w:r>
              <w:rPr>
                <w:rFonts w:hint="eastAsia"/>
                <w:bCs/>
                <w:szCs w:val="21"/>
              </w:rPr>
              <w:t>3853620.61</w:t>
            </w:r>
          </w:p>
        </w:tc>
        <w:tc>
          <w:tcPr>
            <w:tcW w:w="1356" w:type="dxa"/>
            <w:vAlign w:val="center"/>
          </w:tcPr>
          <w:p w:rsidR="009125A8" w:rsidRDefault="007664F4">
            <w:pPr>
              <w:jc w:val="center"/>
              <w:rPr>
                <w:bCs/>
                <w:szCs w:val="21"/>
              </w:rPr>
            </w:pPr>
            <w:r>
              <w:rPr>
                <w:rFonts w:hint="eastAsia"/>
                <w:bCs/>
                <w:szCs w:val="21"/>
              </w:rPr>
              <w:t>9482386.92</w:t>
            </w:r>
          </w:p>
        </w:tc>
      </w:tr>
      <w:tr w:rsidR="009125A8">
        <w:trPr>
          <w:cantSplit/>
          <w:jc w:val="center"/>
        </w:trPr>
        <w:tc>
          <w:tcPr>
            <w:tcW w:w="1241" w:type="dxa"/>
            <w:vAlign w:val="center"/>
          </w:tcPr>
          <w:p w:rsidR="009125A8" w:rsidRDefault="007664F4">
            <w:pPr>
              <w:jc w:val="center"/>
              <w:rPr>
                <w:bCs/>
                <w:szCs w:val="21"/>
              </w:rPr>
            </w:pPr>
            <w:r>
              <w:rPr>
                <w:rFonts w:hint="eastAsia"/>
                <w:bCs/>
                <w:szCs w:val="21"/>
              </w:rPr>
              <w:t>T3</w:t>
            </w:r>
          </w:p>
        </w:tc>
        <w:tc>
          <w:tcPr>
            <w:tcW w:w="1355" w:type="dxa"/>
            <w:vAlign w:val="center"/>
          </w:tcPr>
          <w:p w:rsidR="009125A8" w:rsidRDefault="007664F4">
            <w:pPr>
              <w:jc w:val="center"/>
              <w:rPr>
                <w:bCs/>
                <w:szCs w:val="21"/>
              </w:rPr>
            </w:pPr>
            <w:r>
              <w:rPr>
                <w:rFonts w:hint="eastAsia"/>
                <w:bCs/>
                <w:szCs w:val="21"/>
              </w:rPr>
              <w:t>109</w:t>
            </w:r>
          </w:p>
        </w:tc>
        <w:tc>
          <w:tcPr>
            <w:tcW w:w="1356" w:type="dxa"/>
            <w:vAlign w:val="center"/>
          </w:tcPr>
          <w:p w:rsidR="009125A8" w:rsidRDefault="007664F4">
            <w:pPr>
              <w:jc w:val="center"/>
              <w:rPr>
                <w:bCs/>
                <w:szCs w:val="21"/>
              </w:rPr>
            </w:pPr>
            <w:r>
              <w:rPr>
                <w:rFonts w:hint="eastAsia"/>
                <w:bCs/>
                <w:szCs w:val="21"/>
              </w:rPr>
              <w:t>120</w:t>
            </w:r>
          </w:p>
        </w:tc>
        <w:tc>
          <w:tcPr>
            <w:tcW w:w="1356" w:type="dxa"/>
            <w:vAlign w:val="center"/>
          </w:tcPr>
          <w:p w:rsidR="009125A8" w:rsidRDefault="007664F4">
            <w:pPr>
              <w:jc w:val="center"/>
              <w:rPr>
                <w:bCs/>
                <w:szCs w:val="21"/>
              </w:rPr>
            </w:pPr>
            <w:r>
              <w:rPr>
                <w:rFonts w:hint="eastAsia"/>
                <w:bCs/>
                <w:szCs w:val="21"/>
              </w:rPr>
              <w:t>120</w:t>
            </w:r>
          </w:p>
        </w:tc>
        <w:tc>
          <w:tcPr>
            <w:tcW w:w="1355" w:type="dxa"/>
            <w:vAlign w:val="center"/>
          </w:tcPr>
          <w:p w:rsidR="009125A8" w:rsidRDefault="007664F4">
            <w:pPr>
              <w:jc w:val="center"/>
              <w:rPr>
                <w:bCs/>
                <w:szCs w:val="21"/>
              </w:rPr>
            </w:pPr>
            <w:r>
              <w:rPr>
                <w:rFonts w:hint="eastAsia"/>
                <w:bCs/>
                <w:szCs w:val="21"/>
              </w:rPr>
              <w:t>109</w:t>
            </w:r>
          </w:p>
        </w:tc>
        <w:tc>
          <w:tcPr>
            <w:tcW w:w="1356" w:type="dxa"/>
            <w:vAlign w:val="center"/>
          </w:tcPr>
          <w:p w:rsidR="009125A8" w:rsidRDefault="007664F4">
            <w:pPr>
              <w:jc w:val="center"/>
              <w:rPr>
                <w:bCs/>
                <w:szCs w:val="21"/>
              </w:rPr>
            </w:pPr>
            <w:r>
              <w:rPr>
                <w:rFonts w:hint="eastAsia"/>
                <w:bCs/>
                <w:szCs w:val="21"/>
              </w:rPr>
              <w:t>120</w:t>
            </w:r>
          </w:p>
        </w:tc>
      </w:tr>
      <w:tr w:rsidR="009125A8">
        <w:trPr>
          <w:cantSplit/>
          <w:jc w:val="center"/>
        </w:trPr>
        <w:tc>
          <w:tcPr>
            <w:tcW w:w="1241" w:type="dxa"/>
            <w:vAlign w:val="center"/>
          </w:tcPr>
          <w:p w:rsidR="009125A8" w:rsidRDefault="007664F4">
            <w:pPr>
              <w:jc w:val="center"/>
              <w:rPr>
                <w:bCs/>
                <w:szCs w:val="21"/>
              </w:rPr>
            </w:pPr>
            <w:r>
              <w:rPr>
                <w:rFonts w:hint="eastAsia"/>
                <w:bCs/>
                <w:szCs w:val="21"/>
              </w:rPr>
              <w:t>T4</w:t>
            </w:r>
          </w:p>
        </w:tc>
        <w:tc>
          <w:tcPr>
            <w:tcW w:w="1355" w:type="dxa"/>
            <w:vAlign w:val="center"/>
          </w:tcPr>
          <w:p w:rsidR="009125A8" w:rsidRDefault="007664F4">
            <w:pPr>
              <w:jc w:val="center"/>
              <w:rPr>
                <w:bCs/>
                <w:szCs w:val="21"/>
              </w:rPr>
            </w:pPr>
            <w:r>
              <w:rPr>
                <w:rFonts w:hint="eastAsia"/>
                <w:bCs/>
                <w:szCs w:val="21"/>
              </w:rPr>
              <w:t>1115</w:t>
            </w:r>
          </w:p>
        </w:tc>
        <w:tc>
          <w:tcPr>
            <w:tcW w:w="1356" w:type="dxa"/>
            <w:vAlign w:val="center"/>
          </w:tcPr>
          <w:p w:rsidR="009125A8" w:rsidRDefault="007664F4">
            <w:pPr>
              <w:jc w:val="center"/>
              <w:rPr>
                <w:bCs/>
                <w:szCs w:val="21"/>
              </w:rPr>
            </w:pPr>
            <w:r>
              <w:rPr>
                <w:rFonts w:hint="eastAsia"/>
                <w:bCs/>
                <w:szCs w:val="21"/>
              </w:rPr>
              <w:t>1236</w:t>
            </w:r>
          </w:p>
        </w:tc>
        <w:tc>
          <w:tcPr>
            <w:tcW w:w="1356" w:type="dxa"/>
            <w:vAlign w:val="center"/>
          </w:tcPr>
          <w:p w:rsidR="009125A8" w:rsidRDefault="007664F4">
            <w:pPr>
              <w:jc w:val="center"/>
              <w:rPr>
                <w:bCs/>
                <w:szCs w:val="21"/>
              </w:rPr>
            </w:pPr>
            <w:r>
              <w:rPr>
                <w:rFonts w:hint="eastAsia"/>
                <w:bCs/>
                <w:szCs w:val="21"/>
              </w:rPr>
              <w:t>1236</w:t>
            </w:r>
          </w:p>
        </w:tc>
        <w:tc>
          <w:tcPr>
            <w:tcW w:w="1355" w:type="dxa"/>
            <w:vAlign w:val="center"/>
          </w:tcPr>
          <w:p w:rsidR="009125A8" w:rsidRDefault="007664F4">
            <w:pPr>
              <w:jc w:val="center"/>
              <w:rPr>
                <w:bCs/>
                <w:szCs w:val="21"/>
              </w:rPr>
            </w:pPr>
            <w:r>
              <w:rPr>
                <w:rFonts w:hint="eastAsia"/>
                <w:bCs/>
                <w:szCs w:val="21"/>
              </w:rPr>
              <w:t>1115</w:t>
            </w:r>
          </w:p>
        </w:tc>
        <w:tc>
          <w:tcPr>
            <w:tcW w:w="1356" w:type="dxa"/>
            <w:vAlign w:val="center"/>
          </w:tcPr>
          <w:p w:rsidR="009125A8" w:rsidRDefault="007664F4">
            <w:pPr>
              <w:jc w:val="center"/>
              <w:rPr>
                <w:bCs/>
                <w:szCs w:val="21"/>
              </w:rPr>
            </w:pPr>
            <w:r>
              <w:rPr>
                <w:rFonts w:hint="eastAsia"/>
                <w:bCs/>
                <w:szCs w:val="21"/>
              </w:rPr>
              <w:t>1236</w:t>
            </w:r>
          </w:p>
        </w:tc>
      </w:tr>
      <w:tr w:rsidR="009125A8">
        <w:trPr>
          <w:cantSplit/>
          <w:jc w:val="center"/>
        </w:trPr>
        <w:tc>
          <w:tcPr>
            <w:tcW w:w="1241" w:type="dxa"/>
            <w:vAlign w:val="center"/>
          </w:tcPr>
          <w:p w:rsidR="009125A8" w:rsidRDefault="007664F4">
            <w:pPr>
              <w:jc w:val="center"/>
              <w:rPr>
                <w:bCs/>
                <w:szCs w:val="21"/>
              </w:rPr>
            </w:pPr>
            <w:r>
              <w:rPr>
                <w:rFonts w:hint="eastAsia"/>
                <w:bCs/>
                <w:szCs w:val="21"/>
              </w:rPr>
              <w:t>T5</w:t>
            </w:r>
          </w:p>
        </w:tc>
        <w:tc>
          <w:tcPr>
            <w:tcW w:w="1355" w:type="dxa"/>
            <w:vAlign w:val="center"/>
          </w:tcPr>
          <w:p w:rsidR="009125A8" w:rsidRDefault="007664F4">
            <w:pPr>
              <w:jc w:val="center"/>
              <w:rPr>
                <w:bCs/>
                <w:szCs w:val="21"/>
              </w:rPr>
            </w:pPr>
            <w:r>
              <w:rPr>
                <w:rFonts w:hint="eastAsia"/>
                <w:bCs/>
                <w:szCs w:val="21"/>
              </w:rPr>
              <w:t>79.1569</w:t>
            </w:r>
          </w:p>
        </w:tc>
        <w:tc>
          <w:tcPr>
            <w:tcW w:w="1356" w:type="dxa"/>
            <w:vAlign w:val="center"/>
          </w:tcPr>
          <w:p w:rsidR="009125A8" w:rsidRDefault="007664F4">
            <w:pPr>
              <w:jc w:val="center"/>
              <w:rPr>
                <w:bCs/>
                <w:szCs w:val="21"/>
              </w:rPr>
            </w:pPr>
            <w:r>
              <w:rPr>
                <w:rFonts w:hint="eastAsia"/>
                <w:bCs/>
                <w:szCs w:val="21"/>
              </w:rPr>
              <w:t>207.9538</w:t>
            </w:r>
          </w:p>
        </w:tc>
        <w:tc>
          <w:tcPr>
            <w:tcW w:w="1356" w:type="dxa"/>
            <w:vAlign w:val="center"/>
          </w:tcPr>
          <w:p w:rsidR="009125A8" w:rsidRDefault="007664F4">
            <w:pPr>
              <w:jc w:val="center"/>
              <w:rPr>
                <w:bCs/>
                <w:szCs w:val="21"/>
              </w:rPr>
            </w:pPr>
            <w:r>
              <w:rPr>
                <w:rFonts w:hint="eastAsia"/>
                <w:bCs/>
                <w:szCs w:val="21"/>
              </w:rPr>
              <w:t>745.5730</w:t>
            </w:r>
          </w:p>
        </w:tc>
        <w:tc>
          <w:tcPr>
            <w:tcW w:w="1355" w:type="dxa"/>
            <w:vAlign w:val="center"/>
          </w:tcPr>
          <w:p w:rsidR="009125A8" w:rsidRDefault="007664F4">
            <w:pPr>
              <w:jc w:val="center"/>
              <w:rPr>
                <w:bCs/>
                <w:szCs w:val="21"/>
              </w:rPr>
            </w:pPr>
            <w:r>
              <w:rPr>
                <w:rFonts w:hint="eastAsia"/>
                <w:bCs/>
                <w:szCs w:val="21"/>
              </w:rPr>
              <w:t>2037.9561</w:t>
            </w:r>
          </w:p>
        </w:tc>
        <w:tc>
          <w:tcPr>
            <w:tcW w:w="1356" w:type="dxa"/>
            <w:vAlign w:val="center"/>
          </w:tcPr>
          <w:p w:rsidR="009125A8" w:rsidRDefault="007664F4">
            <w:pPr>
              <w:jc w:val="center"/>
              <w:rPr>
                <w:bCs/>
                <w:szCs w:val="21"/>
              </w:rPr>
            </w:pPr>
            <w:r>
              <w:rPr>
                <w:rFonts w:hint="eastAsia"/>
                <w:bCs/>
                <w:szCs w:val="21"/>
              </w:rPr>
              <w:t>3213.3364</w:t>
            </w:r>
          </w:p>
        </w:tc>
      </w:tr>
      <w:tr w:rsidR="009125A8">
        <w:trPr>
          <w:cantSplit/>
          <w:jc w:val="center"/>
        </w:trPr>
        <w:tc>
          <w:tcPr>
            <w:tcW w:w="1241" w:type="dxa"/>
            <w:vAlign w:val="center"/>
          </w:tcPr>
          <w:p w:rsidR="009125A8" w:rsidRDefault="007664F4">
            <w:pPr>
              <w:jc w:val="center"/>
              <w:rPr>
                <w:bCs/>
                <w:szCs w:val="21"/>
              </w:rPr>
            </w:pPr>
            <w:r>
              <w:rPr>
                <w:rFonts w:hint="eastAsia"/>
                <w:bCs/>
                <w:szCs w:val="21"/>
              </w:rPr>
              <w:t>Sr2</w:t>
            </w:r>
          </w:p>
        </w:tc>
        <w:tc>
          <w:tcPr>
            <w:tcW w:w="1355" w:type="dxa"/>
            <w:vAlign w:val="center"/>
          </w:tcPr>
          <w:p w:rsidR="009125A8" w:rsidRDefault="007664F4">
            <w:pPr>
              <w:jc w:val="center"/>
              <w:rPr>
                <w:bCs/>
                <w:szCs w:val="21"/>
              </w:rPr>
            </w:pPr>
            <w:r>
              <w:rPr>
                <w:rFonts w:hint="eastAsia"/>
                <w:bCs/>
                <w:szCs w:val="21"/>
              </w:rPr>
              <w:t>0.8077</w:t>
            </w:r>
          </w:p>
        </w:tc>
        <w:tc>
          <w:tcPr>
            <w:tcW w:w="1356" w:type="dxa"/>
            <w:vAlign w:val="center"/>
          </w:tcPr>
          <w:p w:rsidR="009125A8" w:rsidRDefault="007664F4">
            <w:pPr>
              <w:jc w:val="center"/>
              <w:rPr>
                <w:bCs/>
                <w:szCs w:val="21"/>
              </w:rPr>
            </w:pPr>
            <w:r>
              <w:rPr>
                <w:rFonts w:hint="eastAsia"/>
                <w:bCs/>
                <w:szCs w:val="21"/>
              </w:rPr>
              <w:t>1.9255</w:t>
            </w:r>
          </w:p>
        </w:tc>
        <w:tc>
          <w:tcPr>
            <w:tcW w:w="1356" w:type="dxa"/>
            <w:vAlign w:val="center"/>
          </w:tcPr>
          <w:p w:rsidR="009125A8" w:rsidRDefault="007664F4">
            <w:pPr>
              <w:jc w:val="center"/>
              <w:rPr>
                <w:bCs/>
                <w:szCs w:val="21"/>
              </w:rPr>
            </w:pPr>
            <w:r>
              <w:rPr>
                <w:rFonts w:hint="eastAsia"/>
                <w:bCs/>
                <w:szCs w:val="21"/>
              </w:rPr>
              <w:t>6.9035</w:t>
            </w:r>
          </w:p>
        </w:tc>
        <w:tc>
          <w:tcPr>
            <w:tcW w:w="1355" w:type="dxa"/>
            <w:vAlign w:val="center"/>
          </w:tcPr>
          <w:p w:rsidR="009125A8" w:rsidRDefault="007664F4">
            <w:pPr>
              <w:jc w:val="center"/>
              <w:rPr>
                <w:bCs/>
                <w:szCs w:val="21"/>
              </w:rPr>
            </w:pPr>
            <w:r>
              <w:rPr>
                <w:rFonts w:hint="eastAsia"/>
                <w:bCs/>
                <w:szCs w:val="21"/>
              </w:rPr>
              <w:t>20.7955</w:t>
            </w:r>
          </w:p>
        </w:tc>
        <w:tc>
          <w:tcPr>
            <w:tcW w:w="1356" w:type="dxa"/>
            <w:vAlign w:val="center"/>
          </w:tcPr>
          <w:p w:rsidR="009125A8" w:rsidRDefault="007664F4">
            <w:pPr>
              <w:jc w:val="center"/>
              <w:rPr>
                <w:bCs/>
                <w:szCs w:val="21"/>
              </w:rPr>
            </w:pPr>
            <w:r>
              <w:rPr>
                <w:rFonts w:hint="eastAsia"/>
                <w:bCs/>
                <w:szCs w:val="21"/>
              </w:rPr>
              <w:t>29.7531</w:t>
            </w:r>
          </w:p>
        </w:tc>
      </w:tr>
      <w:tr w:rsidR="009125A8">
        <w:trPr>
          <w:cantSplit/>
          <w:jc w:val="center"/>
        </w:trPr>
        <w:tc>
          <w:tcPr>
            <w:tcW w:w="1241" w:type="dxa"/>
            <w:vAlign w:val="center"/>
          </w:tcPr>
          <w:p w:rsidR="009125A8" w:rsidRDefault="007664F4">
            <w:pPr>
              <w:jc w:val="center"/>
              <w:rPr>
                <w:bCs/>
                <w:szCs w:val="21"/>
              </w:rPr>
            </w:pPr>
            <w:r>
              <w:rPr>
                <w:rFonts w:hint="eastAsia"/>
                <w:bCs/>
                <w:szCs w:val="21"/>
              </w:rPr>
              <w:t>SL2</w:t>
            </w:r>
          </w:p>
        </w:tc>
        <w:tc>
          <w:tcPr>
            <w:tcW w:w="1355" w:type="dxa"/>
            <w:vAlign w:val="center"/>
          </w:tcPr>
          <w:p w:rsidR="009125A8" w:rsidRDefault="007664F4">
            <w:pPr>
              <w:jc w:val="center"/>
              <w:rPr>
                <w:bCs/>
                <w:szCs w:val="21"/>
              </w:rPr>
            </w:pPr>
            <w:r>
              <w:rPr>
                <w:rFonts w:hint="eastAsia"/>
                <w:bCs/>
                <w:szCs w:val="21"/>
              </w:rPr>
              <w:t>1.6740</w:t>
            </w:r>
          </w:p>
        </w:tc>
        <w:tc>
          <w:tcPr>
            <w:tcW w:w="1356" w:type="dxa"/>
            <w:vAlign w:val="center"/>
          </w:tcPr>
          <w:p w:rsidR="009125A8" w:rsidRDefault="007664F4">
            <w:pPr>
              <w:jc w:val="center"/>
              <w:rPr>
                <w:bCs/>
                <w:szCs w:val="21"/>
              </w:rPr>
            </w:pPr>
            <w:r>
              <w:rPr>
                <w:rFonts w:hint="eastAsia"/>
                <w:bCs/>
                <w:szCs w:val="21"/>
              </w:rPr>
              <w:t>6.8818</w:t>
            </w:r>
          </w:p>
        </w:tc>
        <w:tc>
          <w:tcPr>
            <w:tcW w:w="1356" w:type="dxa"/>
            <w:vAlign w:val="center"/>
          </w:tcPr>
          <w:p w:rsidR="009125A8" w:rsidRDefault="007664F4">
            <w:pPr>
              <w:jc w:val="center"/>
              <w:rPr>
                <w:bCs/>
                <w:szCs w:val="21"/>
              </w:rPr>
            </w:pPr>
            <w:r>
              <w:rPr>
                <w:rFonts w:hint="eastAsia"/>
                <w:bCs/>
                <w:szCs w:val="21"/>
              </w:rPr>
              <w:t>3.3301</w:t>
            </w:r>
          </w:p>
        </w:tc>
        <w:tc>
          <w:tcPr>
            <w:tcW w:w="1355" w:type="dxa"/>
            <w:vAlign w:val="center"/>
          </w:tcPr>
          <w:p w:rsidR="009125A8" w:rsidRDefault="007664F4">
            <w:pPr>
              <w:jc w:val="center"/>
              <w:rPr>
                <w:bCs/>
                <w:szCs w:val="21"/>
              </w:rPr>
            </w:pPr>
            <w:r>
              <w:rPr>
                <w:rFonts w:hint="eastAsia"/>
                <w:bCs/>
                <w:szCs w:val="21"/>
              </w:rPr>
              <w:t>12.7067</w:t>
            </w:r>
          </w:p>
        </w:tc>
        <w:tc>
          <w:tcPr>
            <w:tcW w:w="1356" w:type="dxa"/>
            <w:vAlign w:val="center"/>
          </w:tcPr>
          <w:p w:rsidR="009125A8" w:rsidRDefault="007664F4">
            <w:pPr>
              <w:jc w:val="center"/>
              <w:rPr>
                <w:bCs/>
                <w:szCs w:val="21"/>
              </w:rPr>
            </w:pPr>
            <w:r>
              <w:rPr>
                <w:rFonts w:hint="eastAsia"/>
                <w:bCs/>
                <w:szCs w:val="21"/>
              </w:rPr>
              <w:t>22.4973</w:t>
            </w:r>
          </w:p>
        </w:tc>
      </w:tr>
      <w:tr w:rsidR="009125A8">
        <w:trPr>
          <w:cantSplit/>
          <w:jc w:val="center"/>
        </w:trPr>
        <w:tc>
          <w:tcPr>
            <w:tcW w:w="1241" w:type="dxa"/>
            <w:vAlign w:val="center"/>
          </w:tcPr>
          <w:p w:rsidR="009125A8" w:rsidRDefault="007664F4">
            <w:pPr>
              <w:jc w:val="center"/>
              <w:rPr>
                <w:bCs/>
                <w:szCs w:val="21"/>
              </w:rPr>
            </w:pPr>
            <w:r>
              <w:rPr>
                <w:rFonts w:hint="eastAsia"/>
                <w:bCs/>
                <w:szCs w:val="21"/>
              </w:rPr>
              <w:t>SR2</w:t>
            </w:r>
          </w:p>
        </w:tc>
        <w:tc>
          <w:tcPr>
            <w:tcW w:w="1355" w:type="dxa"/>
            <w:vAlign w:val="center"/>
          </w:tcPr>
          <w:p w:rsidR="009125A8" w:rsidRDefault="007664F4">
            <w:pPr>
              <w:jc w:val="center"/>
              <w:rPr>
                <w:bCs/>
                <w:szCs w:val="21"/>
              </w:rPr>
            </w:pPr>
            <w:r>
              <w:rPr>
                <w:rFonts w:hint="eastAsia"/>
                <w:bCs/>
                <w:szCs w:val="21"/>
              </w:rPr>
              <w:t>2.4817</w:t>
            </w:r>
          </w:p>
        </w:tc>
        <w:tc>
          <w:tcPr>
            <w:tcW w:w="1356" w:type="dxa"/>
            <w:vAlign w:val="center"/>
          </w:tcPr>
          <w:p w:rsidR="009125A8" w:rsidRDefault="007664F4">
            <w:pPr>
              <w:jc w:val="center"/>
              <w:rPr>
                <w:bCs/>
                <w:szCs w:val="21"/>
              </w:rPr>
            </w:pPr>
            <w:r>
              <w:rPr>
                <w:rFonts w:hint="eastAsia"/>
                <w:bCs/>
                <w:szCs w:val="21"/>
              </w:rPr>
              <w:t>8.8073</w:t>
            </w:r>
          </w:p>
        </w:tc>
        <w:tc>
          <w:tcPr>
            <w:tcW w:w="1356" w:type="dxa"/>
            <w:vAlign w:val="center"/>
          </w:tcPr>
          <w:p w:rsidR="009125A8" w:rsidRDefault="007664F4">
            <w:pPr>
              <w:jc w:val="center"/>
              <w:rPr>
                <w:bCs/>
                <w:szCs w:val="21"/>
              </w:rPr>
            </w:pPr>
            <w:r>
              <w:rPr>
                <w:rFonts w:hint="eastAsia"/>
                <w:bCs/>
                <w:szCs w:val="21"/>
              </w:rPr>
              <w:t>10.2336</w:t>
            </w:r>
          </w:p>
        </w:tc>
        <w:tc>
          <w:tcPr>
            <w:tcW w:w="1355" w:type="dxa"/>
            <w:vAlign w:val="center"/>
          </w:tcPr>
          <w:p w:rsidR="009125A8" w:rsidRDefault="007664F4">
            <w:pPr>
              <w:jc w:val="center"/>
              <w:rPr>
                <w:bCs/>
                <w:szCs w:val="21"/>
              </w:rPr>
            </w:pPr>
            <w:r>
              <w:rPr>
                <w:rFonts w:hint="eastAsia"/>
                <w:bCs/>
                <w:szCs w:val="21"/>
              </w:rPr>
              <w:t>33.5022</w:t>
            </w:r>
          </w:p>
        </w:tc>
        <w:tc>
          <w:tcPr>
            <w:tcW w:w="1356" w:type="dxa"/>
            <w:vAlign w:val="center"/>
          </w:tcPr>
          <w:p w:rsidR="009125A8" w:rsidRDefault="007664F4">
            <w:pPr>
              <w:jc w:val="center"/>
              <w:rPr>
                <w:bCs/>
                <w:szCs w:val="21"/>
              </w:rPr>
            </w:pPr>
            <w:r>
              <w:rPr>
                <w:rFonts w:hint="eastAsia"/>
                <w:bCs/>
                <w:szCs w:val="21"/>
              </w:rPr>
              <w:t>52.2505</w:t>
            </w:r>
          </w:p>
        </w:tc>
      </w:tr>
      <w:tr w:rsidR="009125A8">
        <w:trPr>
          <w:cantSplit/>
          <w:jc w:val="center"/>
        </w:trPr>
        <w:tc>
          <w:tcPr>
            <w:tcW w:w="1241" w:type="dxa"/>
            <w:vAlign w:val="center"/>
          </w:tcPr>
          <w:p w:rsidR="009125A8" w:rsidRDefault="007664F4">
            <w:pPr>
              <w:jc w:val="center"/>
              <w:rPr>
                <w:bCs/>
                <w:szCs w:val="21"/>
              </w:rPr>
            </w:pPr>
            <w:r>
              <w:rPr>
                <w:rFonts w:hint="eastAsia"/>
                <w:bCs/>
                <w:szCs w:val="21"/>
              </w:rPr>
              <w:t>Sr</w:t>
            </w:r>
          </w:p>
        </w:tc>
        <w:tc>
          <w:tcPr>
            <w:tcW w:w="1355" w:type="dxa"/>
            <w:vAlign w:val="center"/>
          </w:tcPr>
          <w:p w:rsidR="009125A8" w:rsidRDefault="007664F4">
            <w:pPr>
              <w:jc w:val="center"/>
              <w:rPr>
                <w:bCs/>
                <w:szCs w:val="21"/>
              </w:rPr>
            </w:pPr>
            <w:r>
              <w:rPr>
                <w:rFonts w:hint="eastAsia"/>
                <w:bCs/>
                <w:szCs w:val="21"/>
              </w:rPr>
              <w:t>0.8987</w:t>
            </w:r>
          </w:p>
        </w:tc>
        <w:tc>
          <w:tcPr>
            <w:tcW w:w="1356" w:type="dxa"/>
            <w:vAlign w:val="center"/>
          </w:tcPr>
          <w:p w:rsidR="009125A8" w:rsidRDefault="007664F4">
            <w:pPr>
              <w:jc w:val="center"/>
              <w:rPr>
                <w:bCs/>
                <w:szCs w:val="21"/>
              </w:rPr>
            </w:pPr>
            <w:r>
              <w:rPr>
                <w:rFonts w:hint="eastAsia"/>
                <w:bCs/>
                <w:szCs w:val="21"/>
              </w:rPr>
              <w:t>1.3876</w:t>
            </w:r>
          </w:p>
        </w:tc>
        <w:tc>
          <w:tcPr>
            <w:tcW w:w="1356" w:type="dxa"/>
            <w:vAlign w:val="center"/>
          </w:tcPr>
          <w:p w:rsidR="009125A8" w:rsidRDefault="007664F4">
            <w:pPr>
              <w:jc w:val="center"/>
              <w:rPr>
                <w:bCs/>
                <w:szCs w:val="21"/>
              </w:rPr>
            </w:pPr>
            <w:r>
              <w:rPr>
                <w:rFonts w:hint="eastAsia"/>
                <w:bCs/>
                <w:szCs w:val="21"/>
              </w:rPr>
              <w:t>2.6274</w:t>
            </w:r>
          </w:p>
        </w:tc>
        <w:tc>
          <w:tcPr>
            <w:tcW w:w="1355" w:type="dxa"/>
            <w:vAlign w:val="center"/>
          </w:tcPr>
          <w:p w:rsidR="009125A8" w:rsidRDefault="007664F4">
            <w:pPr>
              <w:jc w:val="center"/>
              <w:rPr>
                <w:bCs/>
                <w:szCs w:val="21"/>
              </w:rPr>
            </w:pPr>
            <w:r>
              <w:rPr>
                <w:rFonts w:hint="eastAsia"/>
                <w:bCs/>
                <w:szCs w:val="21"/>
              </w:rPr>
              <w:t>4.5602</w:t>
            </w:r>
          </w:p>
        </w:tc>
        <w:tc>
          <w:tcPr>
            <w:tcW w:w="1356" w:type="dxa"/>
            <w:vAlign w:val="center"/>
          </w:tcPr>
          <w:p w:rsidR="009125A8" w:rsidRDefault="007664F4">
            <w:pPr>
              <w:jc w:val="center"/>
              <w:rPr>
                <w:bCs/>
                <w:szCs w:val="21"/>
              </w:rPr>
            </w:pPr>
            <w:r>
              <w:rPr>
                <w:rFonts w:hint="eastAsia"/>
                <w:bCs/>
                <w:szCs w:val="21"/>
              </w:rPr>
              <w:t>5.4546</w:t>
            </w:r>
          </w:p>
        </w:tc>
      </w:tr>
      <w:tr w:rsidR="009125A8">
        <w:trPr>
          <w:cantSplit/>
          <w:jc w:val="center"/>
        </w:trPr>
        <w:tc>
          <w:tcPr>
            <w:tcW w:w="1241" w:type="dxa"/>
            <w:vAlign w:val="center"/>
          </w:tcPr>
          <w:p w:rsidR="009125A8" w:rsidRDefault="007664F4">
            <w:pPr>
              <w:jc w:val="center"/>
              <w:rPr>
                <w:bCs/>
                <w:szCs w:val="21"/>
              </w:rPr>
            </w:pPr>
            <w:r>
              <w:rPr>
                <w:rFonts w:hint="eastAsia"/>
                <w:bCs/>
                <w:szCs w:val="21"/>
              </w:rPr>
              <w:t>SR</w:t>
            </w:r>
          </w:p>
        </w:tc>
        <w:tc>
          <w:tcPr>
            <w:tcW w:w="1355" w:type="dxa"/>
            <w:vAlign w:val="center"/>
          </w:tcPr>
          <w:p w:rsidR="009125A8" w:rsidRDefault="007664F4">
            <w:pPr>
              <w:jc w:val="center"/>
              <w:rPr>
                <w:bCs/>
                <w:szCs w:val="21"/>
              </w:rPr>
            </w:pPr>
            <w:r>
              <w:rPr>
                <w:rFonts w:hint="eastAsia"/>
                <w:bCs/>
                <w:szCs w:val="21"/>
              </w:rPr>
              <w:t>1.5753</w:t>
            </w:r>
          </w:p>
        </w:tc>
        <w:tc>
          <w:tcPr>
            <w:tcW w:w="1356" w:type="dxa"/>
            <w:vAlign w:val="center"/>
          </w:tcPr>
          <w:p w:rsidR="009125A8" w:rsidRDefault="007664F4">
            <w:pPr>
              <w:jc w:val="center"/>
              <w:rPr>
                <w:bCs/>
                <w:szCs w:val="21"/>
              </w:rPr>
            </w:pPr>
            <w:r>
              <w:rPr>
                <w:rFonts w:hint="eastAsia"/>
                <w:bCs/>
                <w:szCs w:val="21"/>
              </w:rPr>
              <w:t>2.9677</w:t>
            </w:r>
          </w:p>
        </w:tc>
        <w:tc>
          <w:tcPr>
            <w:tcW w:w="1356" w:type="dxa"/>
            <w:vAlign w:val="center"/>
          </w:tcPr>
          <w:p w:rsidR="009125A8" w:rsidRDefault="007664F4">
            <w:pPr>
              <w:jc w:val="center"/>
              <w:rPr>
                <w:bCs/>
                <w:szCs w:val="21"/>
              </w:rPr>
            </w:pPr>
            <w:r>
              <w:rPr>
                <w:rFonts w:hint="eastAsia"/>
                <w:bCs/>
                <w:szCs w:val="21"/>
              </w:rPr>
              <w:t>3.1990</w:t>
            </w:r>
          </w:p>
        </w:tc>
        <w:tc>
          <w:tcPr>
            <w:tcW w:w="1355" w:type="dxa"/>
            <w:vAlign w:val="center"/>
          </w:tcPr>
          <w:p w:rsidR="009125A8" w:rsidRDefault="007664F4">
            <w:pPr>
              <w:jc w:val="center"/>
              <w:rPr>
                <w:bCs/>
                <w:szCs w:val="21"/>
              </w:rPr>
            </w:pPr>
            <w:r>
              <w:rPr>
                <w:rFonts w:hint="eastAsia"/>
                <w:bCs/>
                <w:szCs w:val="21"/>
              </w:rPr>
              <w:t>5.7881</w:t>
            </w:r>
          </w:p>
        </w:tc>
        <w:tc>
          <w:tcPr>
            <w:tcW w:w="1356" w:type="dxa"/>
            <w:vAlign w:val="center"/>
          </w:tcPr>
          <w:p w:rsidR="009125A8" w:rsidRDefault="007664F4">
            <w:pPr>
              <w:jc w:val="center"/>
              <w:rPr>
                <w:bCs/>
                <w:szCs w:val="21"/>
              </w:rPr>
            </w:pPr>
            <w:r>
              <w:rPr>
                <w:rFonts w:hint="eastAsia"/>
                <w:bCs/>
                <w:szCs w:val="21"/>
              </w:rPr>
              <w:t>7.2284</w:t>
            </w:r>
          </w:p>
        </w:tc>
      </w:tr>
      <w:tr w:rsidR="009125A8">
        <w:trPr>
          <w:cantSplit/>
          <w:jc w:val="center"/>
        </w:trPr>
        <w:tc>
          <w:tcPr>
            <w:tcW w:w="1241" w:type="dxa"/>
            <w:vAlign w:val="center"/>
          </w:tcPr>
          <w:p w:rsidR="009125A8" w:rsidRDefault="007664F4">
            <w:pPr>
              <w:jc w:val="center"/>
              <w:rPr>
                <w:bCs/>
                <w:szCs w:val="21"/>
              </w:rPr>
            </w:pPr>
            <w:r>
              <w:rPr>
                <w:rFonts w:hint="eastAsia"/>
                <w:bCs/>
                <w:szCs w:val="21"/>
              </w:rPr>
              <w:t>总平均值</w:t>
            </w:r>
          </w:p>
        </w:tc>
        <w:tc>
          <w:tcPr>
            <w:tcW w:w="1355" w:type="dxa"/>
            <w:vAlign w:val="center"/>
          </w:tcPr>
          <w:p w:rsidR="009125A8" w:rsidRDefault="007664F4">
            <w:pPr>
              <w:jc w:val="center"/>
              <w:rPr>
                <w:bCs/>
                <w:szCs w:val="21"/>
              </w:rPr>
            </w:pPr>
            <w:r>
              <w:rPr>
                <w:rFonts w:hint="eastAsia"/>
                <w:bCs/>
                <w:szCs w:val="21"/>
              </w:rPr>
              <w:t>25.6</w:t>
            </w:r>
          </w:p>
        </w:tc>
        <w:tc>
          <w:tcPr>
            <w:tcW w:w="1356" w:type="dxa"/>
            <w:vAlign w:val="center"/>
          </w:tcPr>
          <w:p w:rsidR="009125A8" w:rsidRDefault="007664F4">
            <w:pPr>
              <w:jc w:val="center"/>
              <w:rPr>
                <w:bCs/>
                <w:szCs w:val="21"/>
              </w:rPr>
            </w:pPr>
            <w:r>
              <w:rPr>
                <w:rFonts w:hint="eastAsia"/>
                <w:bCs/>
                <w:szCs w:val="21"/>
              </w:rPr>
              <w:t>72.6</w:t>
            </w:r>
          </w:p>
        </w:tc>
        <w:tc>
          <w:tcPr>
            <w:tcW w:w="1356" w:type="dxa"/>
            <w:vAlign w:val="center"/>
          </w:tcPr>
          <w:p w:rsidR="009125A8" w:rsidRDefault="007664F4">
            <w:pPr>
              <w:jc w:val="center"/>
              <w:rPr>
                <w:bCs/>
                <w:szCs w:val="21"/>
              </w:rPr>
            </w:pPr>
            <w:r>
              <w:rPr>
                <w:rFonts w:hint="eastAsia"/>
                <w:bCs/>
                <w:szCs w:val="21"/>
              </w:rPr>
              <w:t>107</w:t>
            </w:r>
          </w:p>
        </w:tc>
        <w:tc>
          <w:tcPr>
            <w:tcW w:w="1355" w:type="dxa"/>
            <w:vAlign w:val="center"/>
          </w:tcPr>
          <w:p w:rsidR="009125A8" w:rsidRDefault="007664F4">
            <w:pPr>
              <w:jc w:val="center"/>
              <w:rPr>
                <w:bCs/>
                <w:szCs w:val="21"/>
              </w:rPr>
            </w:pPr>
            <w:r>
              <w:rPr>
                <w:rFonts w:hint="eastAsia"/>
                <w:bCs/>
                <w:szCs w:val="21"/>
              </w:rPr>
              <w:t>188</w:t>
            </w:r>
          </w:p>
        </w:tc>
        <w:tc>
          <w:tcPr>
            <w:tcW w:w="1356" w:type="dxa"/>
            <w:vAlign w:val="center"/>
          </w:tcPr>
          <w:p w:rsidR="009125A8" w:rsidRDefault="007664F4">
            <w:pPr>
              <w:jc w:val="center"/>
              <w:rPr>
                <w:bCs/>
                <w:szCs w:val="21"/>
              </w:rPr>
            </w:pPr>
            <w:r>
              <w:rPr>
                <w:rFonts w:hint="eastAsia"/>
                <w:bCs/>
                <w:szCs w:val="21"/>
              </w:rPr>
              <w:t>281</w:t>
            </w:r>
          </w:p>
        </w:tc>
      </w:tr>
      <w:tr w:rsidR="009125A8">
        <w:trPr>
          <w:cantSplit/>
          <w:jc w:val="center"/>
        </w:trPr>
        <w:tc>
          <w:tcPr>
            <w:tcW w:w="1241" w:type="dxa"/>
            <w:vAlign w:val="center"/>
          </w:tcPr>
          <w:p w:rsidR="009125A8" w:rsidRDefault="007664F4">
            <w:pPr>
              <w:jc w:val="center"/>
              <w:rPr>
                <w:bCs/>
                <w:szCs w:val="21"/>
              </w:rPr>
            </w:pPr>
            <w:r>
              <w:rPr>
                <w:rFonts w:hint="eastAsia"/>
                <w:bCs/>
                <w:szCs w:val="21"/>
              </w:rPr>
              <w:t>r</w:t>
            </w:r>
          </w:p>
        </w:tc>
        <w:tc>
          <w:tcPr>
            <w:tcW w:w="1355" w:type="dxa"/>
            <w:vAlign w:val="center"/>
          </w:tcPr>
          <w:p w:rsidR="009125A8" w:rsidRDefault="007664F4">
            <w:pPr>
              <w:jc w:val="center"/>
              <w:rPr>
                <w:bCs/>
                <w:szCs w:val="21"/>
              </w:rPr>
            </w:pPr>
            <w:r>
              <w:rPr>
                <w:rFonts w:hint="eastAsia"/>
                <w:bCs/>
                <w:szCs w:val="21"/>
              </w:rPr>
              <w:t>2.5</w:t>
            </w:r>
          </w:p>
        </w:tc>
        <w:tc>
          <w:tcPr>
            <w:tcW w:w="1356" w:type="dxa"/>
            <w:vAlign w:val="center"/>
          </w:tcPr>
          <w:p w:rsidR="009125A8" w:rsidRDefault="007664F4">
            <w:pPr>
              <w:jc w:val="center"/>
              <w:rPr>
                <w:bCs/>
                <w:szCs w:val="21"/>
              </w:rPr>
            </w:pPr>
            <w:r>
              <w:rPr>
                <w:rFonts w:hint="eastAsia"/>
                <w:bCs/>
                <w:szCs w:val="21"/>
              </w:rPr>
              <w:t>3.9</w:t>
            </w:r>
          </w:p>
        </w:tc>
        <w:tc>
          <w:tcPr>
            <w:tcW w:w="1356" w:type="dxa"/>
            <w:vAlign w:val="center"/>
          </w:tcPr>
          <w:p w:rsidR="009125A8" w:rsidRDefault="007664F4">
            <w:pPr>
              <w:jc w:val="center"/>
              <w:rPr>
                <w:bCs/>
                <w:szCs w:val="21"/>
              </w:rPr>
            </w:pPr>
            <w:r>
              <w:rPr>
                <w:rFonts w:hint="eastAsia"/>
                <w:bCs/>
                <w:szCs w:val="21"/>
              </w:rPr>
              <w:t>7.4</w:t>
            </w:r>
          </w:p>
        </w:tc>
        <w:tc>
          <w:tcPr>
            <w:tcW w:w="1355" w:type="dxa"/>
            <w:vAlign w:val="center"/>
          </w:tcPr>
          <w:p w:rsidR="009125A8" w:rsidRDefault="007664F4">
            <w:pPr>
              <w:jc w:val="center"/>
              <w:rPr>
                <w:bCs/>
                <w:szCs w:val="21"/>
              </w:rPr>
            </w:pPr>
            <w:r>
              <w:rPr>
                <w:rFonts w:hint="eastAsia"/>
                <w:bCs/>
                <w:szCs w:val="21"/>
              </w:rPr>
              <w:t>12.9</w:t>
            </w:r>
          </w:p>
        </w:tc>
        <w:tc>
          <w:tcPr>
            <w:tcW w:w="1356" w:type="dxa"/>
            <w:vAlign w:val="center"/>
          </w:tcPr>
          <w:p w:rsidR="009125A8" w:rsidRDefault="007664F4">
            <w:pPr>
              <w:jc w:val="center"/>
              <w:rPr>
                <w:bCs/>
                <w:szCs w:val="21"/>
              </w:rPr>
            </w:pPr>
            <w:r>
              <w:rPr>
                <w:rFonts w:hint="eastAsia"/>
                <w:bCs/>
                <w:szCs w:val="21"/>
              </w:rPr>
              <w:t>15.4</w:t>
            </w:r>
          </w:p>
        </w:tc>
      </w:tr>
      <w:tr w:rsidR="009125A8">
        <w:trPr>
          <w:cantSplit/>
          <w:jc w:val="center"/>
        </w:trPr>
        <w:tc>
          <w:tcPr>
            <w:tcW w:w="1241" w:type="dxa"/>
            <w:vAlign w:val="center"/>
          </w:tcPr>
          <w:p w:rsidR="009125A8" w:rsidRDefault="007664F4">
            <w:pPr>
              <w:jc w:val="center"/>
              <w:rPr>
                <w:bCs/>
                <w:szCs w:val="21"/>
              </w:rPr>
            </w:pPr>
            <w:r>
              <w:rPr>
                <w:rFonts w:hint="eastAsia"/>
                <w:bCs/>
                <w:szCs w:val="21"/>
              </w:rPr>
              <w:t>R</w:t>
            </w:r>
          </w:p>
        </w:tc>
        <w:tc>
          <w:tcPr>
            <w:tcW w:w="1355" w:type="dxa"/>
            <w:vAlign w:val="center"/>
          </w:tcPr>
          <w:p w:rsidR="009125A8" w:rsidRDefault="007664F4">
            <w:pPr>
              <w:jc w:val="center"/>
              <w:rPr>
                <w:bCs/>
                <w:szCs w:val="21"/>
              </w:rPr>
            </w:pPr>
            <w:r>
              <w:rPr>
                <w:rFonts w:hint="eastAsia"/>
                <w:bCs/>
                <w:szCs w:val="21"/>
              </w:rPr>
              <w:t>4.5</w:t>
            </w:r>
          </w:p>
        </w:tc>
        <w:tc>
          <w:tcPr>
            <w:tcW w:w="1356" w:type="dxa"/>
            <w:vAlign w:val="center"/>
          </w:tcPr>
          <w:p w:rsidR="009125A8" w:rsidRDefault="007664F4">
            <w:pPr>
              <w:jc w:val="center"/>
              <w:rPr>
                <w:bCs/>
                <w:szCs w:val="21"/>
              </w:rPr>
            </w:pPr>
            <w:r>
              <w:rPr>
                <w:rFonts w:hint="eastAsia"/>
                <w:bCs/>
                <w:szCs w:val="21"/>
              </w:rPr>
              <w:t>8.4</w:t>
            </w:r>
          </w:p>
        </w:tc>
        <w:tc>
          <w:tcPr>
            <w:tcW w:w="1356" w:type="dxa"/>
            <w:vAlign w:val="center"/>
          </w:tcPr>
          <w:p w:rsidR="009125A8" w:rsidRDefault="007664F4">
            <w:pPr>
              <w:jc w:val="center"/>
              <w:rPr>
                <w:bCs/>
                <w:szCs w:val="21"/>
              </w:rPr>
            </w:pPr>
            <w:r>
              <w:rPr>
                <w:rFonts w:hint="eastAsia"/>
                <w:bCs/>
                <w:szCs w:val="21"/>
              </w:rPr>
              <w:t>9.1</w:t>
            </w:r>
          </w:p>
        </w:tc>
        <w:tc>
          <w:tcPr>
            <w:tcW w:w="1355" w:type="dxa"/>
            <w:vAlign w:val="center"/>
          </w:tcPr>
          <w:p w:rsidR="009125A8" w:rsidRDefault="007664F4">
            <w:pPr>
              <w:jc w:val="center"/>
              <w:rPr>
                <w:bCs/>
                <w:szCs w:val="21"/>
              </w:rPr>
            </w:pPr>
            <w:r>
              <w:rPr>
                <w:rFonts w:hint="eastAsia"/>
                <w:bCs/>
                <w:szCs w:val="21"/>
              </w:rPr>
              <w:t>16.4</w:t>
            </w:r>
          </w:p>
        </w:tc>
        <w:tc>
          <w:tcPr>
            <w:tcW w:w="1356" w:type="dxa"/>
            <w:vAlign w:val="center"/>
          </w:tcPr>
          <w:p w:rsidR="009125A8" w:rsidRDefault="007664F4">
            <w:pPr>
              <w:jc w:val="center"/>
              <w:rPr>
                <w:bCs/>
                <w:szCs w:val="21"/>
              </w:rPr>
            </w:pPr>
            <w:r>
              <w:rPr>
                <w:rFonts w:hint="eastAsia"/>
                <w:bCs/>
                <w:szCs w:val="21"/>
              </w:rPr>
              <w:t>20.5</w:t>
            </w:r>
          </w:p>
        </w:tc>
      </w:tr>
    </w:tbl>
    <w:p w:rsidR="009125A8" w:rsidRDefault="007664F4">
      <w:pPr>
        <w:spacing w:line="360" w:lineRule="auto"/>
        <w:rPr>
          <w:rFonts w:ascii="黑体" w:eastAsia="黑体" w:hAnsi="黑体"/>
          <w:szCs w:val="21"/>
        </w:rPr>
      </w:pPr>
      <w:r>
        <w:rPr>
          <w:rFonts w:ascii="黑体" w:eastAsia="黑体" w:hAnsi="黑体" w:hint="eastAsia"/>
          <w:szCs w:val="21"/>
        </w:rPr>
        <w:t>3.7 样品加标回收率</w:t>
      </w:r>
    </w:p>
    <w:p w:rsidR="009125A8" w:rsidRDefault="007664F4">
      <w:pPr>
        <w:ind w:firstLineChars="250" w:firstLine="525"/>
        <w:jc w:val="left"/>
        <w:rPr>
          <w:szCs w:val="21"/>
        </w:rPr>
      </w:pPr>
      <w:r>
        <w:rPr>
          <w:rFonts w:hint="eastAsia"/>
          <w:szCs w:val="21"/>
        </w:rPr>
        <w:t>为了考察本试验的准确度，选取了</w:t>
      </w:r>
      <w:r>
        <w:rPr>
          <w:rFonts w:hint="eastAsia"/>
          <w:szCs w:val="21"/>
        </w:rPr>
        <w:t>5</w:t>
      </w:r>
      <w:r>
        <w:rPr>
          <w:rFonts w:hint="eastAsia"/>
          <w:szCs w:val="21"/>
        </w:rPr>
        <w:t>个代表样，按照拟定的分析方法进行回收率试验，加标回收</w:t>
      </w:r>
      <w:r>
        <w:rPr>
          <w:rFonts w:hint="eastAsia"/>
          <w:szCs w:val="21"/>
        </w:rPr>
        <w:lastRenderedPageBreak/>
        <w:t>率在</w:t>
      </w:r>
      <w:r>
        <w:rPr>
          <w:rFonts w:hint="eastAsia"/>
          <w:szCs w:val="21"/>
        </w:rPr>
        <w:t>96.1%~105.0%</w:t>
      </w:r>
      <w:r>
        <w:rPr>
          <w:rFonts w:hint="eastAsia"/>
          <w:szCs w:val="21"/>
        </w:rPr>
        <w:t>之间，见表</w:t>
      </w:r>
      <w:r>
        <w:rPr>
          <w:rFonts w:hint="eastAsia"/>
          <w:szCs w:val="21"/>
        </w:rPr>
        <w:t>2</w:t>
      </w:r>
      <w:r>
        <w:rPr>
          <w:rFonts w:hint="eastAsia"/>
          <w:szCs w:val="21"/>
        </w:rPr>
        <w:t>。方法</w:t>
      </w:r>
      <w:r>
        <w:rPr>
          <w:szCs w:val="21"/>
        </w:rPr>
        <w:t>适用于</w:t>
      </w:r>
      <w:r>
        <w:rPr>
          <w:rFonts w:hint="eastAsia"/>
          <w:szCs w:val="21"/>
        </w:rPr>
        <w:t>银</w:t>
      </w:r>
      <w:r>
        <w:rPr>
          <w:szCs w:val="21"/>
        </w:rPr>
        <w:t>含量在</w:t>
      </w:r>
      <w:r>
        <w:rPr>
          <w:rFonts w:hint="eastAsia"/>
          <w:szCs w:val="21"/>
        </w:rPr>
        <w:t>20g/t~300g/t</w:t>
      </w:r>
      <w:r>
        <w:rPr>
          <w:szCs w:val="21"/>
        </w:rPr>
        <w:t>间的</w:t>
      </w:r>
      <w:r>
        <w:rPr>
          <w:rFonts w:hint="eastAsia"/>
          <w:szCs w:val="21"/>
        </w:rPr>
        <w:t>高镍锍</w:t>
      </w:r>
      <w:r>
        <w:rPr>
          <w:szCs w:val="21"/>
        </w:rPr>
        <w:t>中</w:t>
      </w:r>
      <w:r>
        <w:rPr>
          <w:rFonts w:hint="eastAsia"/>
          <w:szCs w:val="21"/>
        </w:rPr>
        <w:t>银含</w:t>
      </w:r>
      <w:r>
        <w:rPr>
          <w:szCs w:val="21"/>
        </w:rPr>
        <w:t>量的测定，可作为行业标准方法推广使用。</w:t>
      </w:r>
    </w:p>
    <w:p w:rsidR="009125A8" w:rsidRDefault="007664F4">
      <w:pPr>
        <w:jc w:val="center"/>
        <w:rPr>
          <w:szCs w:val="21"/>
        </w:rPr>
      </w:pPr>
      <w:r>
        <w:rPr>
          <w:rFonts w:hint="eastAsia"/>
          <w:szCs w:val="21"/>
        </w:rPr>
        <w:t>表</w:t>
      </w:r>
      <w:r>
        <w:rPr>
          <w:rFonts w:hint="eastAsia"/>
          <w:szCs w:val="21"/>
        </w:rPr>
        <w:t xml:space="preserve">2 </w:t>
      </w:r>
      <w:r>
        <w:rPr>
          <w:rFonts w:hint="eastAsia"/>
          <w:szCs w:val="21"/>
        </w:rPr>
        <w:t>加标回收实验</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1703"/>
        <w:gridCol w:w="1703"/>
        <w:gridCol w:w="1703"/>
        <w:gridCol w:w="1704"/>
      </w:tblGrid>
      <w:tr w:rsidR="009125A8">
        <w:trPr>
          <w:jc w:val="center"/>
        </w:trPr>
        <w:tc>
          <w:tcPr>
            <w:tcW w:w="1703" w:type="dxa"/>
            <w:vAlign w:val="center"/>
          </w:tcPr>
          <w:p w:rsidR="009125A8" w:rsidRDefault="007664F4">
            <w:pPr>
              <w:snapToGrid w:val="0"/>
              <w:spacing w:line="360" w:lineRule="auto"/>
              <w:jc w:val="center"/>
              <w:rPr>
                <w:szCs w:val="21"/>
              </w:rPr>
            </w:pPr>
            <w:r>
              <w:rPr>
                <w:rFonts w:hint="eastAsia"/>
                <w:szCs w:val="21"/>
              </w:rPr>
              <w:t>样品编号</w:t>
            </w:r>
          </w:p>
        </w:tc>
        <w:tc>
          <w:tcPr>
            <w:tcW w:w="1703" w:type="dxa"/>
            <w:vAlign w:val="center"/>
          </w:tcPr>
          <w:p w:rsidR="009125A8" w:rsidRDefault="007664F4">
            <w:pPr>
              <w:snapToGrid w:val="0"/>
              <w:spacing w:line="360" w:lineRule="auto"/>
              <w:jc w:val="center"/>
              <w:rPr>
                <w:szCs w:val="21"/>
              </w:rPr>
            </w:pPr>
            <w:r>
              <w:rPr>
                <w:rFonts w:hint="eastAsia"/>
                <w:szCs w:val="21"/>
              </w:rPr>
              <w:t>Ag</w:t>
            </w:r>
            <w:r>
              <w:rPr>
                <w:rFonts w:hint="eastAsia"/>
                <w:szCs w:val="21"/>
              </w:rPr>
              <w:t>含量</w:t>
            </w:r>
            <w:r>
              <w:rPr>
                <w:szCs w:val="21"/>
              </w:rPr>
              <w:t>μg</w:t>
            </w:r>
          </w:p>
        </w:tc>
        <w:tc>
          <w:tcPr>
            <w:tcW w:w="1703" w:type="dxa"/>
            <w:vAlign w:val="center"/>
          </w:tcPr>
          <w:p w:rsidR="009125A8" w:rsidRDefault="007664F4">
            <w:pPr>
              <w:snapToGrid w:val="0"/>
              <w:spacing w:line="360" w:lineRule="auto"/>
              <w:jc w:val="center"/>
              <w:rPr>
                <w:szCs w:val="21"/>
              </w:rPr>
            </w:pPr>
            <w:r>
              <w:rPr>
                <w:rFonts w:hint="eastAsia"/>
                <w:szCs w:val="21"/>
              </w:rPr>
              <w:t>加入量</w:t>
            </w:r>
            <w:r>
              <w:rPr>
                <w:szCs w:val="21"/>
              </w:rPr>
              <w:t>μg</w:t>
            </w:r>
          </w:p>
        </w:tc>
        <w:tc>
          <w:tcPr>
            <w:tcW w:w="1703" w:type="dxa"/>
            <w:vAlign w:val="center"/>
          </w:tcPr>
          <w:p w:rsidR="009125A8" w:rsidRDefault="007664F4">
            <w:pPr>
              <w:snapToGrid w:val="0"/>
              <w:spacing w:line="360" w:lineRule="auto"/>
              <w:jc w:val="center"/>
              <w:rPr>
                <w:szCs w:val="21"/>
              </w:rPr>
            </w:pPr>
            <w:r>
              <w:rPr>
                <w:rFonts w:hint="eastAsia"/>
                <w:szCs w:val="21"/>
              </w:rPr>
              <w:t>测得量</w:t>
            </w:r>
            <w:r>
              <w:rPr>
                <w:szCs w:val="21"/>
              </w:rPr>
              <w:t>μg</w:t>
            </w:r>
          </w:p>
        </w:tc>
        <w:tc>
          <w:tcPr>
            <w:tcW w:w="1704" w:type="dxa"/>
            <w:vAlign w:val="center"/>
          </w:tcPr>
          <w:p w:rsidR="009125A8" w:rsidRDefault="007664F4">
            <w:pPr>
              <w:snapToGrid w:val="0"/>
              <w:spacing w:line="360" w:lineRule="auto"/>
              <w:jc w:val="center"/>
              <w:rPr>
                <w:szCs w:val="21"/>
              </w:rPr>
            </w:pPr>
            <w:r>
              <w:rPr>
                <w:rFonts w:hint="eastAsia"/>
                <w:szCs w:val="21"/>
              </w:rPr>
              <w:t>回收率，</w:t>
            </w:r>
            <w:r>
              <w:rPr>
                <w:rFonts w:hint="eastAsia"/>
                <w:szCs w:val="21"/>
              </w:rPr>
              <w:t>%</w:t>
            </w:r>
          </w:p>
        </w:tc>
      </w:tr>
      <w:tr w:rsidR="009125A8">
        <w:trPr>
          <w:jc w:val="center"/>
        </w:trPr>
        <w:tc>
          <w:tcPr>
            <w:tcW w:w="1703" w:type="dxa"/>
            <w:vMerge w:val="restart"/>
            <w:vAlign w:val="center"/>
          </w:tcPr>
          <w:p w:rsidR="009125A8" w:rsidRDefault="007664F4">
            <w:pPr>
              <w:snapToGrid w:val="0"/>
              <w:spacing w:line="360" w:lineRule="auto"/>
              <w:jc w:val="center"/>
              <w:rPr>
                <w:szCs w:val="21"/>
              </w:rPr>
            </w:pPr>
            <w:r>
              <w:rPr>
                <w:rFonts w:hint="eastAsia"/>
                <w:szCs w:val="21"/>
              </w:rPr>
              <w:t>7#</w:t>
            </w:r>
          </w:p>
        </w:tc>
        <w:tc>
          <w:tcPr>
            <w:tcW w:w="1703" w:type="dxa"/>
            <w:vMerge w:val="restart"/>
            <w:vAlign w:val="center"/>
          </w:tcPr>
          <w:p w:rsidR="009125A8" w:rsidRDefault="007664F4">
            <w:pPr>
              <w:snapToGrid w:val="0"/>
              <w:spacing w:line="360" w:lineRule="auto"/>
              <w:jc w:val="center"/>
              <w:rPr>
                <w:szCs w:val="21"/>
              </w:rPr>
            </w:pPr>
            <w:r>
              <w:rPr>
                <w:rFonts w:hint="eastAsia"/>
                <w:szCs w:val="21"/>
              </w:rPr>
              <w:t>13.2</w:t>
            </w:r>
          </w:p>
        </w:tc>
        <w:tc>
          <w:tcPr>
            <w:tcW w:w="1703" w:type="dxa"/>
            <w:vAlign w:val="center"/>
          </w:tcPr>
          <w:p w:rsidR="009125A8" w:rsidRDefault="007664F4">
            <w:pPr>
              <w:snapToGrid w:val="0"/>
              <w:spacing w:line="360" w:lineRule="auto"/>
              <w:jc w:val="center"/>
              <w:rPr>
                <w:szCs w:val="21"/>
              </w:rPr>
            </w:pPr>
            <w:r>
              <w:rPr>
                <w:rFonts w:hint="eastAsia"/>
                <w:szCs w:val="21"/>
              </w:rPr>
              <w:t>6</w:t>
            </w:r>
          </w:p>
        </w:tc>
        <w:tc>
          <w:tcPr>
            <w:tcW w:w="1703" w:type="dxa"/>
            <w:vAlign w:val="center"/>
          </w:tcPr>
          <w:p w:rsidR="009125A8" w:rsidRDefault="007664F4">
            <w:pPr>
              <w:snapToGrid w:val="0"/>
              <w:spacing w:line="360" w:lineRule="auto"/>
              <w:jc w:val="center"/>
              <w:rPr>
                <w:szCs w:val="21"/>
              </w:rPr>
            </w:pPr>
            <w:r>
              <w:rPr>
                <w:rFonts w:hint="eastAsia"/>
                <w:szCs w:val="21"/>
              </w:rPr>
              <w:t>19.5</w:t>
            </w:r>
          </w:p>
        </w:tc>
        <w:tc>
          <w:tcPr>
            <w:tcW w:w="1704" w:type="dxa"/>
            <w:vAlign w:val="center"/>
          </w:tcPr>
          <w:p w:rsidR="009125A8" w:rsidRDefault="007664F4">
            <w:pPr>
              <w:snapToGrid w:val="0"/>
              <w:spacing w:line="360" w:lineRule="auto"/>
              <w:jc w:val="center"/>
              <w:rPr>
                <w:szCs w:val="21"/>
              </w:rPr>
            </w:pPr>
            <w:r>
              <w:rPr>
                <w:rFonts w:hint="eastAsia"/>
                <w:szCs w:val="21"/>
              </w:rPr>
              <w:t>105.0</w:t>
            </w:r>
          </w:p>
        </w:tc>
      </w:tr>
      <w:tr w:rsidR="009125A8">
        <w:trPr>
          <w:jc w:val="center"/>
        </w:trPr>
        <w:tc>
          <w:tcPr>
            <w:tcW w:w="1703" w:type="dxa"/>
            <w:vMerge/>
            <w:vAlign w:val="center"/>
          </w:tcPr>
          <w:p w:rsidR="009125A8" w:rsidRDefault="009125A8">
            <w:pPr>
              <w:snapToGrid w:val="0"/>
              <w:spacing w:line="360" w:lineRule="auto"/>
              <w:jc w:val="center"/>
              <w:rPr>
                <w:szCs w:val="21"/>
              </w:rPr>
            </w:pPr>
          </w:p>
        </w:tc>
        <w:tc>
          <w:tcPr>
            <w:tcW w:w="1703" w:type="dxa"/>
            <w:vMerge/>
            <w:vAlign w:val="center"/>
          </w:tcPr>
          <w:p w:rsidR="009125A8" w:rsidRDefault="009125A8">
            <w:pPr>
              <w:snapToGrid w:val="0"/>
              <w:spacing w:line="360" w:lineRule="auto"/>
              <w:jc w:val="center"/>
              <w:rPr>
                <w:szCs w:val="21"/>
              </w:rPr>
            </w:pPr>
          </w:p>
        </w:tc>
        <w:tc>
          <w:tcPr>
            <w:tcW w:w="1703" w:type="dxa"/>
            <w:vAlign w:val="center"/>
          </w:tcPr>
          <w:p w:rsidR="009125A8" w:rsidRDefault="007664F4">
            <w:pPr>
              <w:snapToGrid w:val="0"/>
              <w:spacing w:line="360" w:lineRule="auto"/>
              <w:jc w:val="center"/>
              <w:rPr>
                <w:szCs w:val="21"/>
              </w:rPr>
            </w:pPr>
            <w:r>
              <w:rPr>
                <w:rFonts w:hint="eastAsia"/>
                <w:szCs w:val="21"/>
              </w:rPr>
              <w:t>432ef30</w:t>
            </w:r>
          </w:p>
        </w:tc>
        <w:tc>
          <w:tcPr>
            <w:tcW w:w="1703" w:type="dxa"/>
            <w:vAlign w:val="center"/>
          </w:tcPr>
          <w:p w:rsidR="009125A8" w:rsidRDefault="007664F4">
            <w:pPr>
              <w:snapToGrid w:val="0"/>
              <w:spacing w:line="360" w:lineRule="auto"/>
              <w:jc w:val="center"/>
              <w:rPr>
                <w:szCs w:val="21"/>
              </w:rPr>
            </w:pPr>
            <w:r>
              <w:rPr>
                <w:rFonts w:hint="eastAsia"/>
                <w:szCs w:val="21"/>
              </w:rPr>
              <w:t>43.1</w:t>
            </w:r>
          </w:p>
        </w:tc>
        <w:tc>
          <w:tcPr>
            <w:tcW w:w="1704" w:type="dxa"/>
            <w:vAlign w:val="center"/>
          </w:tcPr>
          <w:p w:rsidR="009125A8" w:rsidRDefault="007664F4">
            <w:pPr>
              <w:snapToGrid w:val="0"/>
              <w:spacing w:line="360" w:lineRule="auto"/>
              <w:jc w:val="center"/>
              <w:rPr>
                <w:szCs w:val="21"/>
              </w:rPr>
            </w:pPr>
            <w:r>
              <w:rPr>
                <w:rFonts w:hint="eastAsia"/>
                <w:szCs w:val="21"/>
              </w:rPr>
              <w:t>99.7</w:t>
            </w:r>
          </w:p>
        </w:tc>
      </w:tr>
      <w:tr w:rsidR="009125A8">
        <w:trPr>
          <w:jc w:val="center"/>
        </w:trPr>
        <w:tc>
          <w:tcPr>
            <w:tcW w:w="1703" w:type="dxa"/>
            <w:vMerge w:val="restart"/>
            <w:vAlign w:val="center"/>
          </w:tcPr>
          <w:p w:rsidR="009125A8" w:rsidRDefault="007664F4">
            <w:pPr>
              <w:snapToGrid w:val="0"/>
              <w:spacing w:line="360" w:lineRule="auto"/>
              <w:jc w:val="center"/>
              <w:rPr>
                <w:szCs w:val="21"/>
              </w:rPr>
            </w:pPr>
            <w:r>
              <w:rPr>
                <w:rFonts w:hint="eastAsia"/>
                <w:szCs w:val="21"/>
              </w:rPr>
              <w:t>10#</w:t>
            </w:r>
          </w:p>
        </w:tc>
        <w:tc>
          <w:tcPr>
            <w:tcW w:w="1703" w:type="dxa"/>
            <w:vMerge w:val="restart"/>
            <w:vAlign w:val="center"/>
          </w:tcPr>
          <w:p w:rsidR="009125A8" w:rsidRDefault="007664F4">
            <w:pPr>
              <w:snapToGrid w:val="0"/>
              <w:spacing w:line="360" w:lineRule="auto"/>
              <w:jc w:val="center"/>
              <w:rPr>
                <w:szCs w:val="21"/>
              </w:rPr>
            </w:pPr>
            <w:r>
              <w:rPr>
                <w:rFonts w:hint="eastAsia"/>
                <w:szCs w:val="21"/>
              </w:rPr>
              <w:t>36.8</w:t>
            </w:r>
          </w:p>
        </w:tc>
        <w:tc>
          <w:tcPr>
            <w:tcW w:w="1703" w:type="dxa"/>
            <w:vAlign w:val="center"/>
          </w:tcPr>
          <w:p w:rsidR="009125A8" w:rsidRDefault="007664F4">
            <w:pPr>
              <w:snapToGrid w:val="0"/>
              <w:spacing w:line="360" w:lineRule="auto"/>
              <w:jc w:val="center"/>
              <w:rPr>
                <w:szCs w:val="21"/>
              </w:rPr>
            </w:pPr>
            <w:r>
              <w:rPr>
                <w:rFonts w:hint="eastAsia"/>
                <w:szCs w:val="21"/>
              </w:rPr>
              <w:t>18</w:t>
            </w:r>
          </w:p>
        </w:tc>
        <w:tc>
          <w:tcPr>
            <w:tcW w:w="1703" w:type="dxa"/>
            <w:vAlign w:val="center"/>
          </w:tcPr>
          <w:p w:rsidR="009125A8" w:rsidRDefault="007664F4">
            <w:pPr>
              <w:snapToGrid w:val="0"/>
              <w:spacing w:line="360" w:lineRule="auto"/>
              <w:jc w:val="center"/>
              <w:rPr>
                <w:szCs w:val="21"/>
              </w:rPr>
            </w:pPr>
            <w:r>
              <w:rPr>
                <w:rFonts w:hint="eastAsia"/>
                <w:szCs w:val="21"/>
              </w:rPr>
              <w:t>55.2</w:t>
            </w:r>
          </w:p>
        </w:tc>
        <w:tc>
          <w:tcPr>
            <w:tcW w:w="1704" w:type="dxa"/>
            <w:vAlign w:val="center"/>
          </w:tcPr>
          <w:p w:rsidR="009125A8" w:rsidRDefault="007664F4">
            <w:pPr>
              <w:snapToGrid w:val="0"/>
              <w:spacing w:line="360" w:lineRule="auto"/>
              <w:jc w:val="center"/>
              <w:rPr>
                <w:szCs w:val="21"/>
              </w:rPr>
            </w:pPr>
            <w:r>
              <w:rPr>
                <w:rFonts w:hint="eastAsia"/>
                <w:szCs w:val="21"/>
              </w:rPr>
              <w:t>102.2</w:t>
            </w:r>
          </w:p>
        </w:tc>
      </w:tr>
      <w:tr w:rsidR="009125A8">
        <w:trPr>
          <w:jc w:val="center"/>
        </w:trPr>
        <w:tc>
          <w:tcPr>
            <w:tcW w:w="1703" w:type="dxa"/>
            <w:vMerge/>
            <w:vAlign w:val="center"/>
          </w:tcPr>
          <w:p w:rsidR="009125A8" w:rsidRDefault="009125A8">
            <w:pPr>
              <w:snapToGrid w:val="0"/>
              <w:spacing w:line="360" w:lineRule="auto"/>
              <w:jc w:val="center"/>
              <w:rPr>
                <w:szCs w:val="21"/>
              </w:rPr>
            </w:pPr>
          </w:p>
        </w:tc>
        <w:tc>
          <w:tcPr>
            <w:tcW w:w="1703" w:type="dxa"/>
            <w:vMerge/>
            <w:vAlign w:val="center"/>
          </w:tcPr>
          <w:p w:rsidR="009125A8" w:rsidRDefault="009125A8">
            <w:pPr>
              <w:snapToGrid w:val="0"/>
              <w:spacing w:line="360" w:lineRule="auto"/>
              <w:jc w:val="center"/>
              <w:rPr>
                <w:szCs w:val="21"/>
              </w:rPr>
            </w:pPr>
          </w:p>
        </w:tc>
        <w:tc>
          <w:tcPr>
            <w:tcW w:w="1703" w:type="dxa"/>
            <w:vAlign w:val="center"/>
          </w:tcPr>
          <w:p w:rsidR="009125A8" w:rsidRDefault="007664F4">
            <w:pPr>
              <w:snapToGrid w:val="0"/>
              <w:spacing w:line="360" w:lineRule="auto"/>
              <w:jc w:val="center"/>
              <w:rPr>
                <w:szCs w:val="21"/>
              </w:rPr>
            </w:pPr>
            <w:r>
              <w:rPr>
                <w:rFonts w:hint="eastAsia"/>
                <w:szCs w:val="21"/>
              </w:rPr>
              <w:t>70</w:t>
            </w:r>
          </w:p>
        </w:tc>
        <w:tc>
          <w:tcPr>
            <w:tcW w:w="1703" w:type="dxa"/>
            <w:vAlign w:val="center"/>
          </w:tcPr>
          <w:p w:rsidR="009125A8" w:rsidRDefault="007664F4">
            <w:pPr>
              <w:snapToGrid w:val="0"/>
              <w:spacing w:line="360" w:lineRule="auto"/>
              <w:jc w:val="center"/>
              <w:rPr>
                <w:szCs w:val="21"/>
              </w:rPr>
            </w:pPr>
            <w:r>
              <w:rPr>
                <w:rFonts w:hint="eastAsia"/>
                <w:szCs w:val="21"/>
              </w:rPr>
              <w:t>107.2</w:t>
            </w:r>
          </w:p>
        </w:tc>
        <w:tc>
          <w:tcPr>
            <w:tcW w:w="1704" w:type="dxa"/>
            <w:vAlign w:val="center"/>
          </w:tcPr>
          <w:p w:rsidR="009125A8" w:rsidRDefault="007664F4">
            <w:pPr>
              <w:snapToGrid w:val="0"/>
              <w:spacing w:line="360" w:lineRule="auto"/>
              <w:jc w:val="center"/>
              <w:rPr>
                <w:szCs w:val="21"/>
              </w:rPr>
            </w:pPr>
            <w:r>
              <w:rPr>
                <w:rFonts w:hint="eastAsia"/>
                <w:szCs w:val="21"/>
              </w:rPr>
              <w:t>100.6</w:t>
            </w:r>
          </w:p>
        </w:tc>
      </w:tr>
      <w:tr w:rsidR="009125A8">
        <w:trPr>
          <w:jc w:val="center"/>
        </w:trPr>
        <w:tc>
          <w:tcPr>
            <w:tcW w:w="1703" w:type="dxa"/>
            <w:vMerge w:val="restart"/>
            <w:vAlign w:val="center"/>
          </w:tcPr>
          <w:p w:rsidR="009125A8" w:rsidRDefault="007664F4">
            <w:pPr>
              <w:snapToGrid w:val="0"/>
              <w:spacing w:line="360" w:lineRule="auto"/>
              <w:jc w:val="center"/>
              <w:rPr>
                <w:szCs w:val="21"/>
              </w:rPr>
            </w:pPr>
            <w:r>
              <w:rPr>
                <w:rFonts w:hint="eastAsia"/>
                <w:szCs w:val="21"/>
              </w:rPr>
              <w:t>9#</w:t>
            </w:r>
          </w:p>
        </w:tc>
        <w:tc>
          <w:tcPr>
            <w:tcW w:w="1703" w:type="dxa"/>
            <w:vMerge w:val="restart"/>
            <w:vAlign w:val="center"/>
          </w:tcPr>
          <w:p w:rsidR="009125A8" w:rsidRDefault="007664F4">
            <w:pPr>
              <w:snapToGrid w:val="0"/>
              <w:spacing w:line="360" w:lineRule="auto"/>
              <w:jc w:val="center"/>
              <w:rPr>
                <w:szCs w:val="21"/>
              </w:rPr>
            </w:pPr>
            <w:r>
              <w:rPr>
                <w:rFonts w:hint="eastAsia"/>
                <w:szCs w:val="21"/>
              </w:rPr>
              <w:t>53.0</w:t>
            </w:r>
          </w:p>
        </w:tc>
        <w:tc>
          <w:tcPr>
            <w:tcW w:w="1703" w:type="dxa"/>
            <w:vAlign w:val="center"/>
          </w:tcPr>
          <w:p w:rsidR="009125A8" w:rsidRDefault="007664F4">
            <w:pPr>
              <w:snapToGrid w:val="0"/>
              <w:spacing w:line="360" w:lineRule="auto"/>
              <w:jc w:val="center"/>
              <w:rPr>
                <w:szCs w:val="21"/>
              </w:rPr>
            </w:pPr>
            <w:r>
              <w:rPr>
                <w:rFonts w:hint="eastAsia"/>
                <w:szCs w:val="21"/>
              </w:rPr>
              <w:t>26</w:t>
            </w:r>
          </w:p>
        </w:tc>
        <w:tc>
          <w:tcPr>
            <w:tcW w:w="1703" w:type="dxa"/>
            <w:vAlign w:val="center"/>
          </w:tcPr>
          <w:p w:rsidR="009125A8" w:rsidRDefault="007664F4">
            <w:pPr>
              <w:snapToGrid w:val="0"/>
              <w:spacing w:line="360" w:lineRule="auto"/>
              <w:jc w:val="center"/>
              <w:rPr>
                <w:szCs w:val="21"/>
              </w:rPr>
            </w:pPr>
            <w:r>
              <w:rPr>
                <w:rFonts w:hint="eastAsia"/>
                <w:szCs w:val="21"/>
              </w:rPr>
              <w:t>78.2</w:t>
            </w:r>
          </w:p>
        </w:tc>
        <w:tc>
          <w:tcPr>
            <w:tcW w:w="1704" w:type="dxa"/>
            <w:vAlign w:val="center"/>
          </w:tcPr>
          <w:p w:rsidR="009125A8" w:rsidRDefault="007664F4">
            <w:pPr>
              <w:snapToGrid w:val="0"/>
              <w:spacing w:line="360" w:lineRule="auto"/>
              <w:jc w:val="center"/>
              <w:rPr>
                <w:szCs w:val="21"/>
              </w:rPr>
            </w:pPr>
            <w:r>
              <w:rPr>
                <w:rFonts w:hint="eastAsia"/>
                <w:szCs w:val="21"/>
              </w:rPr>
              <w:t>96.9</w:t>
            </w:r>
          </w:p>
        </w:tc>
      </w:tr>
      <w:tr w:rsidR="009125A8">
        <w:trPr>
          <w:jc w:val="center"/>
        </w:trPr>
        <w:tc>
          <w:tcPr>
            <w:tcW w:w="1703" w:type="dxa"/>
            <w:vMerge/>
            <w:vAlign w:val="center"/>
          </w:tcPr>
          <w:p w:rsidR="009125A8" w:rsidRDefault="009125A8">
            <w:pPr>
              <w:snapToGrid w:val="0"/>
              <w:spacing w:line="360" w:lineRule="auto"/>
              <w:jc w:val="center"/>
              <w:rPr>
                <w:szCs w:val="21"/>
              </w:rPr>
            </w:pPr>
          </w:p>
        </w:tc>
        <w:tc>
          <w:tcPr>
            <w:tcW w:w="1703" w:type="dxa"/>
            <w:vMerge/>
            <w:vAlign w:val="center"/>
          </w:tcPr>
          <w:p w:rsidR="009125A8" w:rsidRDefault="009125A8">
            <w:pPr>
              <w:snapToGrid w:val="0"/>
              <w:spacing w:line="360" w:lineRule="auto"/>
              <w:jc w:val="center"/>
              <w:rPr>
                <w:szCs w:val="21"/>
              </w:rPr>
            </w:pPr>
          </w:p>
        </w:tc>
        <w:tc>
          <w:tcPr>
            <w:tcW w:w="1703" w:type="dxa"/>
            <w:vAlign w:val="center"/>
          </w:tcPr>
          <w:p w:rsidR="009125A8" w:rsidRDefault="007664F4">
            <w:pPr>
              <w:snapToGrid w:val="0"/>
              <w:spacing w:line="360" w:lineRule="auto"/>
              <w:jc w:val="center"/>
              <w:rPr>
                <w:szCs w:val="21"/>
              </w:rPr>
            </w:pPr>
            <w:r>
              <w:rPr>
                <w:rFonts w:hint="eastAsia"/>
                <w:szCs w:val="21"/>
              </w:rPr>
              <w:t>100</w:t>
            </w:r>
          </w:p>
        </w:tc>
        <w:tc>
          <w:tcPr>
            <w:tcW w:w="1703" w:type="dxa"/>
            <w:vAlign w:val="center"/>
          </w:tcPr>
          <w:p w:rsidR="009125A8" w:rsidRDefault="007664F4">
            <w:pPr>
              <w:snapToGrid w:val="0"/>
              <w:spacing w:line="360" w:lineRule="auto"/>
              <w:jc w:val="center"/>
              <w:rPr>
                <w:szCs w:val="21"/>
              </w:rPr>
            </w:pPr>
            <w:r>
              <w:rPr>
                <w:rFonts w:hint="eastAsia"/>
                <w:szCs w:val="21"/>
              </w:rPr>
              <w:t>151.8</w:t>
            </w:r>
          </w:p>
        </w:tc>
        <w:tc>
          <w:tcPr>
            <w:tcW w:w="1704" w:type="dxa"/>
            <w:vAlign w:val="center"/>
          </w:tcPr>
          <w:p w:rsidR="009125A8" w:rsidRDefault="007664F4">
            <w:pPr>
              <w:snapToGrid w:val="0"/>
              <w:spacing w:line="360" w:lineRule="auto"/>
              <w:jc w:val="center"/>
              <w:rPr>
                <w:szCs w:val="21"/>
              </w:rPr>
            </w:pPr>
            <w:r>
              <w:rPr>
                <w:rFonts w:hint="eastAsia"/>
                <w:szCs w:val="21"/>
              </w:rPr>
              <w:t>98.8</w:t>
            </w:r>
          </w:p>
        </w:tc>
      </w:tr>
      <w:tr w:rsidR="009125A8">
        <w:trPr>
          <w:jc w:val="center"/>
        </w:trPr>
        <w:tc>
          <w:tcPr>
            <w:tcW w:w="1703" w:type="dxa"/>
            <w:vMerge w:val="restart"/>
            <w:vAlign w:val="center"/>
          </w:tcPr>
          <w:p w:rsidR="009125A8" w:rsidRDefault="007664F4">
            <w:pPr>
              <w:snapToGrid w:val="0"/>
              <w:spacing w:line="360" w:lineRule="auto"/>
              <w:jc w:val="center"/>
              <w:rPr>
                <w:szCs w:val="21"/>
              </w:rPr>
            </w:pPr>
            <w:r>
              <w:rPr>
                <w:rFonts w:hint="eastAsia"/>
                <w:szCs w:val="21"/>
              </w:rPr>
              <w:t>6#</w:t>
            </w:r>
          </w:p>
        </w:tc>
        <w:tc>
          <w:tcPr>
            <w:tcW w:w="1703" w:type="dxa"/>
            <w:vMerge w:val="restart"/>
            <w:vAlign w:val="center"/>
          </w:tcPr>
          <w:p w:rsidR="009125A8" w:rsidRDefault="007664F4">
            <w:pPr>
              <w:snapToGrid w:val="0"/>
              <w:spacing w:line="360" w:lineRule="auto"/>
              <w:jc w:val="center"/>
              <w:rPr>
                <w:szCs w:val="21"/>
              </w:rPr>
            </w:pPr>
            <w:r>
              <w:rPr>
                <w:rFonts w:hint="eastAsia"/>
                <w:szCs w:val="21"/>
              </w:rPr>
              <w:t>92.5</w:t>
            </w:r>
          </w:p>
        </w:tc>
        <w:tc>
          <w:tcPr>
            <w:tcW w:w="1703" w:type="dxa"/>
            <w:vAlign w:val="center"/>
          </w:tcPr>
          <w:p w:rsidR="009125A8" w:rsidRDefault="007664F4">
            <w:pPr>
              <w:snapToGrid w:val="0"/>
              <w:spacing w:line="360" w:lineRule="auto"/>
              <w:jc w:val="center"/>
              <w:rPr>
                <w:szCs w:val="21"/>
              </w:rPr>
            </w:pPr>
            <w:r>
              <w:rPr>
                <w:rFonts w:hint="eastAsia"/>
                <w:szCs w:val="21"/>
              </w:rPr>
              <w:t>46</w:t>
            </w:r>
          </w:p>
        </w:tc>
        <w:tc>
          <w:tcPr>
            <w:tcW w:w="1703" w:type="dxa"/>
            <w:vAlign w:val="center"/>
          </w:tcPr>
          <w:p w:rsidR="009125A8" w:rsidRDefault="007664F4">
            <w:pPr>
              <w:snapToGrid w:val="0"/>
              <w:spacing w:line="360" w:lineRule="auto"/>
              <w:jc w:val="center"/>
              <w:rPr>
                <w:szCs w:val="21"/>
              </w:rPr>
            </w:pPr>
            <w:r>
              <w:rPr>
                <w:rFonts w:hint="eastAsia"/>
                <w:szCs w:val="21"/>
              </w:rPr>
              <w:t>136.7</w:t>
            </w:r>
          </w:p>
        </w:tc>
        <w:tc>
          <w:tcPr>
            <w:tcW w:w="1704" w:type="dxa"/>
            <w:vAlign w:val="center"/>
          </w:tcPr>
          <w:p w:rsidR="009125A8" w:rsidRDefault="007664F4">
            <w:pPr>
              <w:snapToGrid w:val="0"/>
              <w:spacing w:line="360" w:lineRule="auto"/>
              <w:jc w:val="center"/>
              <w:rPr>
                <w:szCs w:val="21"/>
              </w:rPr>
            </w:pPr>
            <w:r>
              <w:rPr>
                <w:rFonts w:hint="eastAsia"/>
                <w:szCs w:val="21"/>
              </w:rPr>
              <w:t>96.1</w:t>
            </w:r>
          </w:p>
        </w:tc>
      </w:tr>
      <w:tr w:rsidR="009125A8">
        <w:trPr>
          <w:jc w:val="center"/>
        </w:trPr>
        <w:tc>
          <w:tcPr>
            <w:tcW w:w="1703" w:type="dxa"/>
            <w:vMerge/>
            <w:vAlign w:val="center"/>
          </w:tcPr>
          <w:p w:rsidR="009125A8" w:rsidRDefault="009125A8">
            <w:pPr>
              <w:snapToGrid w:val="0"/>
              <w:spacing w:line="360" w:lineRule="auto"/>
              <w:jc w:val="center"/>
              <w:rPr>
                <w:szCs w:val="21"/>
              </w:rPr>
            </w:pPr>
          </w:p>
        </w:tc>
        <w:tc>
          <w:tcPr>
            <w:tcW w:w="1703" w:type="dxa"/>
            <w:vMerge/>
            <w:vAlign w:val="center"/>
          </w:tcPr>
          <w:p w:rsidR="009125A8" w:rsidRDefault="009125A8">
            <w:pPr>
              <w:snapToGrid w:val="0"/>
              <w:spacing w:line="360" w:lineRule="auto"/>
              <w:jc w:val="center"/>
              <w:rPr>
                <w:szCs w:val="21"/>
              </w:rPr>
            </w:pPr>
          </w:p>
        </w:tc>
        <w:tc>
          <w:tcPr>
            <w:tcW w:w="1703" w:type="dxa"/>
            <w:vAlign w:val="center"/>
          </w:tcPr>
          <w:p w:rsidR="009125A8" w:rsidRDefault="007664F4">
            <w:pPr>
              <w:snapToGrid w:val="0"/>
              <w:spacing w:line="360" w:lineRule="auto"/>
              <w:jc w:val="center"/>
              <w:rPr>
                <w:szCs w:val="21"/>
              </w:rPr>
            </w:pPr>
            <w:r>
              <w:rPr>
                <w:rFonts w:hint="eastAsia"/>
                <w:szCs w:val="21"/>
              </w:rPr>
              <w:t>180</w:t>
            </w:r>
          </w:p>
        </w:tc>
        <w:tc>
          <w:tcPr>
            <w:tcW w:w="1703" w:type="dxa"/>
            <w:vAlign w:val="center"/>
          </w:tcPr>
          <w:p w:rsidR="009125A8" w:rsidRDefault="007664F4">
            <w:pPr>
              <w:snapToGrid w:val="0"/>
              <w:spacing w:line="360" w:lineRule="auto"/>
              <w:jc w:val="center"/>
              <w:rPr>
                <w:szCs w:val="21"/>
              </w:rPr>
            </w:pPr>
            <w:r>
              <w:rPr>
                <w:rFonts w:hint="eastAsia"/>
                <w:szCs w:val="21"/>
              </w:rPr>
              <w:t>274.6</w:t>
            </w:r>
          </w:p>
        </w:tc>
        <w:tc>
          <w:tcPr>
            <w:tcW w:w="1704" w:type="dxa"/>
            <w:vAlign w:val="center"/>
          </w:tcPr>
          <w:p w:rsidR="009125A8" w:rsidRDefault="007664F4">
            <w:pPr>
              <w:snapToGrid w:val="0"/>
              <w:spacing w:line="360" w:lineRule="auto"/>
              <w:jc w:val="center"/>
              <w:rPr>
                <w:szCs w:val="21"/>
              </w:rPr>
            </w:pPr>
            <w:r>
              <w:rPr>
                <w:rFonts w:hint="eastAsia"/>
                <w:szCs w:val="21"/>
              </w:rPr>
              <w:t>101.2</w:t>
            </w:r>
          </w:p>
        </w:tc>
      </w:tr>
      <w:tr w:rsidR="009125A8">
        <w:trPr>
          <w:jc w:val="center"/>
        </w:trPr>
        <w:tc>
          <w:tcPr>
            <w:tcW w:w="1703" w:type="dxa"/>
            <w:vMerge w:val="restart"/>
            <w:vAlign w:val="center"/>
          </w:tcPr>
          <w:p w:rsidR="009125A8" w:rsidRDefault="007664F4">
            <w:pPr>
              <w:snapToGrid w:val="0"/>
              <w:spacing w:line="360" w:lineRule="auto"/>
              <w:jc w:val="center"/>
              <w:rPr>
                <w:szCs w:val="21"/>
              </w:rPr>
            </w:pPr>
            <w:r>
              <w:rPr>
                <w:rFonts w:hint="eastAsia"/>
                <w:szCs w:val="21"/>
              </w:rPr>
              <w:t>8#</w:t>
            </w:r>
          </w:p>
        </w:tc>
        <w:tc>
          <w:tcPr>
            <w:tcW w:w="1703" w:type="dxa"/>
            <w:vMerge w:val="restart"/>
            <w:vAlign w:val="center"/>
          </w:tcPr>
          <w:p w:rsidR="009125A8" w:rsidRDefault="007664F4">
            <w:pPr>
              <w:snapToGrid w:val="0"/>
              <w:spacing w:line="360" w:lineRule="auto"/>
              <w:jc w:val="center"/>
              <w:rPr>
                <w:szCs w:val="21"/>
              </w:rPr>
            </w:pPr>
            <w:r>
              <w:rPr>
                <w:rFonts w:hint="eastAsia"/>
                <w:szCs w:val="21"/>
              </w:rPr>
              <w:t>139</w:t>
            </w:r>
          </w:p>
        </w:tc>
        <w:tc>
          <w:tcPr>
            <w:tcW w:w="1703" w:type="dxa"/>
            <w:vAlign w:val="center"/>
          </w:tcPr>
          <w:p w:rsidR="009125A8" w:rsidRDefault="007664F4">
            <w:pPr>
              <w:snapToGrid w:val="0"/>
              <w:spacing w:line="360" w:lineRule="auto"/>
              <w:jc w:val="center"/>
              <w:rPr>
                <w:szCs w:val="21"/>
              </w:rPr>
            </w:pPr>
            <w:r>
              <w:rPr>
                <w:rFonts w:hint="eastAsia"/>
                <w:szCs w:val="21"/>
              </w:rPr>
              <w:t>70</w:t>
            </w:r>
          </w:p>
        </w:tc>
        <w:tc>
          <w:tcPr>
            <w:tcW w:w="1703" w:type="dxa"/>
            <w:vAlign w:val="center"/>
          </w:tcPr>
          <w:p w:rsidR="009125A8" w:rsidRDefault="007664F4">
            <w:pPr>
              <w:snapToGrid w:val="0"/>
              <w:spacing w:line="360" w:lineRule="auto"/>
              <w:jc w:val="center"/>
              <w:rPr>
                <w:szCs w:val="21"/>
              </w:rPr>
            </w:pPr>
            <w:r>
              <w:rPr>
                <w:rFonts w:hint="eastAsia"/>
                <w:szCs w:val="21"/>
              </w:rPr>
              <w:t>207.4</w:t>
            </w:r>
          </w:p>
        </w:tc>
        <w:tc>
          <w:tcPr>
            <w:tcW w:w="1704" w:type="dxa"/>
            <w:vAlign w:val="center"/>
          </w:tcPr>
          <w:p w:rsidR="009125A8" w:rsidRDefault="007664F4">
            <w:pPr>
              <w:snapToGrid w:val="0"/>
              <w:spacing w:line="360" w:lineRule="auto"/>
              <w:jc w:val="center"/>
              <w:rPr>
                <w:szCs w:val="21"/>
              </w:rPr>
            </w:pPr>
            <w:r>
              <w:rPr>
                <w:rFonts w:hint="eastAsia"/>
                <w:szCs w:val="21"/>
              </w:rPr>
              <w:t>97.7</w:t>
            </w:r>
          </w:p>
        </w:tc>
      </w:tr>
      <w:tr w:rsidR="009125A8">
        <w:trPr>
          <w:jc w:val="center"/>
        </w:trPr>
        <w:tc>
          <w:tcPr>
            <w:tcW w:w="1703" w:type="dxa"/>
            <w:vMerge/>
            <w:vAlign w:val="center"/>
          </w:tcPr>
          <w:p w:rsidR="009125A8" w:rsidRDefault="009125A8">
            <w:pPr>
              <w:snapToGrid w:val="0"/>
              <w:spacing w:line="360" w:lineRule="auto"/>
              <w:jc w:val="center"/>
              <w:rPr>
                <w:szCs w:val="21"/>
              </w:rPr>
            </w:pPr>
          </w:p>
        </w:tc>
        <w:tc>
          <w:tcPr>
            <w:tcW w:w="1703" w:type="dxa"/>
            <w:vMerge/>
            <w:vAlign w:val="center"/>
          </w:tcPr>
          <w:p w:rsidR="009125A8" w:rsidRDefault="009125A8">
            <w:pPr>
              <w:snapToGrid w:val="0"/>
              <w:spacing w:line="360" w:lineRule="auto"/>
              <w:jc w:val="center"/>
              <w:rPr>
                <w:szCs w:val="21"/>
              </w:rPr>
            </w:pPr>
          </w:p>
        </w:tc>
        <w:tc>
          <w:tcPr>
            <w:tcW w:w="1703" w:type="dxa"/>
            <w:vAlign w:val="center"/>
          </w:tcPr>
          <w:p w:rsidR="009125A8" w:rsidRDefault="007664F4">
            <w:pPr>
              <w:snapToGrid w:val="0"/>
              <w:spacing w:line="360" w:lineRule="auto"/>
              <w:jc w:val="center"/>
              <w:rPr>
                <w:szCs w:val="21"/>
              </w:rPr>
            </w:pPr>
            <w:r>
              <w:rPr>
                <w:rFonts w:hint="eastAsia"/>
                <w:szCs w:val="21"/>
              </w:rPr>
              <w:t>280</w:t>
            </w:r>
          </w:p>
        </w:tc>
        <w:tc>
          <w:tcPr>
            <w:tcW w:w="1703" w:type="dxa"/>
            <w:vAlign w:val="center"/>
          </w:tcPr>
          <w:p w:rsidR="009125A8" w:rsidRDefault="007664F4">
            <w:pPr>
              <w:snapToGrid w:val="0"/>
              <w:spacing w:line="360" w:lineRule="auto"/>
              <w:jc w:val="center"/>
              <w:rPr>
                <w:szCs w:val="21"/>
              </w:rPr>
            </w:pPr>
            <w:r>
              <w:rPr>
                <w:rFonts w:hint="eastAsia"/>
                <w:szCs w:val="21"/>
              </w:rPr>
              <w:t>424.5</w:t>
            </w:r>
          </w:p>
        </w:tc>
        <w:tc>
          <w:tcPr>
            <w:tcW w:w="1704" w:type="dxa"/>
            <w:vAlign w:val="center"/>
          </w:tcPr>
          <w:p w:rsidR="009125A8" w:rsidRDefault="007664F4">
            <w:pPr>
              <w:snapToGrid w:val="0"/>
              <w:spacing w:line="360" w:lineRule="auto"/>
              <w:jc w:val="center"/>
              <w:rPr>
                <w:szCs w:val="21"/>
              </w:rPr>
            </w:pPr>
            <w:r>
              <w:rPr>
                <w:rFonts w:hint="eastAsia"/>
                <w:szCs w:val="21"/>
              </w:rPr>
              <w:t>102.0</w:t>
            </w:r>
          </w:p>
        </w:tc>
      </w:tr>
    </w:tbl>
    <w:p w:rsidR="009125A8" w:rsidRDefault="007664F4">
      <w:pPr>
        <w:spacing w:line="360" w:lineRule="auto"/>
        <w:rPr>
          <w:rFonts w:ascii="宋体" w:hAnsi="宋体"/>
          <w:b/>
          <w:sz w:val="24"/>
        </w:rPr>
      </w:pPr>
      <w:r>
        <w:rPr>
          <w:rFonts w:ascii="宋体" w:hAnsi="宋体" w:hint="eastAsia"/>
          <w:b/>
          <w:sz w:val="24"/>
        </w:rPr>
        <w:t>四、标准水平分析</w:t>
      </w:r>
    </w:p>
    <w:p w:rsidR="009125A8" w:rsidRDefault="007664F4" w:rsidP="004B0D87">
      <w:pPr>
        <w:adjustRightInd w:val="0"/>
        <w:snapToGrid w:val="0"/>
        <w:spacing w:beforeLines="50" w:afterLines="50" w:line="300" w:lineRule="auto"/>
        <w:ind w:firstLineChars="200" w:firstLine="420"/>
        <w:jc w:val="left"/>
        <w:rPr>
          <w:rFonts w:ascii="宋体" w:hAnsi="宋体"/>
          <w:szCs w:val="21"/>
        </w:rPr>
      </w:pPr>
      <w:r>
        <w:rPr>
          <w:rFonts w:ascii="宋体" w:hAnsi="宋体" w:hint="eastAsia"/>
          <w:szCs w:val="21"/>
        </w:rPr>
        <w:t>经过资料搜索，均无与高镍锍中银含量测定相关的分析标准。本标准是首次制订，填补了国际、国内高镍锍中银含量测定标准的空白。</w:t>
      </w:r>
      <w:r>
        <w:rPr>
          <w:rFonts w:hint="eastAsia"/>
          <w:szCs w:val="21"/>
        </w:rPr>
        <w:t>与会代表一致认为：《高镍锍化学分析方法》系列标准的编写符合</w:t>
      </w:r>
      <w:r>
        <w:rPr>
          <w:rFonts w:hint="eastAsia"/>
          <w:szCs w:val="21"/>
        </w:rPr>
        <w:t>GB/T 1.1-2009</w:t>
      </w:r>
      <w:r>
        <w:rPr>
          <w:rFonts w:hint="eastAsia"/>
          <w:szCs w:val="21"/>
        </w:rPr>
        <w:t>《标准化工作导则》的编制要求。该标准技术先进、可操作性强，结构合理、文字简练、条理清晰。</w:t>
      </w:r>
    </w:p>
    <w:p w:rsidR="009125A8" w:rsidRDefault="007664F4">
      <w:pPr>
        <w:spacing w:line="360" w:lineRule="auto"/>
        <w:rPr>
          <w:rFonts w:ascii="宋体" w:hAnsi="宋体"/>
          <w:b/>
          <w:sz w:val="24"/>
        </w:rPr>
      </w:pPr>
      <w:r>
        <w:rPr>
          <w:rFonts w:ascii="宋体" w:hAnsi="宋体" w:hint="eastAsia"/>
          <w:b/>
          <w:sz w:val="24"/>
        </w:rPr>
        <w:t>五、与现行法律、法规、强制性国家标准及相关标准协调配套的情况</w:t>
      </w:r>
    </w:p>
    <w:p w:rsidR="009125A8" w:rsidRDefault="007664F4">
      <w:pPr>
        <w:autoSpaceDE w:val="0"/>
        <w:autoSpaceDN w:val="0"/>
        <w:adjustRightInd w:val="0"/>
        <w:spacing w:line="360" w:lineRule="auto"/>
        <w:ind w:firstLineChars="200" w:firstLine="420"/>
        <w:jc w:val="left"/>
      </w:pPr>
      <w:r>
        <w:rPr>
          <w:rFonts w:hAnsi="宋体"/>
        </w:rPr>
        <w:t>本标准完全满足</w:t>
      </w:r>
      <w:r>
        <w:rPr>
          <w:rFonts w:ascii="宋体" w:hAnsi="宋体" w:hint="eastAsia"/>
          <w:szCs w:val="21"/>
        </w:rPr>
        <w:t>现行法律、法规等</w:t>
      </w:r>
      <w:r>
        <w:rPr>
          <w:rFonts w:ascii="宋体" w:hAnsi="宋体"/>
          <w:szCs w:val="21"/>
        </w:rPr>
        <w:t>的</w:t>
      </w:r>
      <w:r>
        <w:rPr>
          <w:rFonts w:hAnsi="宋体"/>
        </w:rPr>
        <w:t>要求，标准格式规范。</w:t>
      </w:r>
    </w:p>
    <w:p w:rsidR="009125A8" w:rsidRDefault="007664F4">
      <w:pPr>
        <w:spacing w:line="360" w:lineRule="auto"/>
        <w:rPr>
          <w:rFonts w:ascii="宋体" w:hAnsi="宋体"/>
          <w:b/>
          <w:sz w:val="24"/>
        </w:rPr>
      </w:pPr>
      <w:r>
        <w:rPr>
          <w:rFonts w:ascii="宋体" w:hAnsi="宋体" w:hint="eastAsia"/>
          <w:b/>
          <w:sz w:val="24"/>
        </w:rPr>
        <w:t>六、标准中涉及到的专利</w:t>
      </w:r>
    </w:p>
    <w:p w:rsidR="009125A8" w:rsidRDefault="007664F4">
      <w:pPr>
        <w:spacing w:line="360" w:lineRule="auto"/>
        <w:ind w:firstLine="495"/>
        <w:rPr>
          <w:rFonts w:hAnsi="宋体"/>
        </w:rPr>
      </w:pPr>
      <w:r>
        <w:rPr>
          <w:rFonts w:hAnsi="宋体" w:hint="eastAsia"/>
        </w:rPr>
        <w:t>无</w:t>
      </w:r>
    </w:p>
    <w:p w:rsidR="009125A8" w:rsidRDefault="007664F4">
      <w:pPr>
        <w:spacing w:line="360" w:lineRule="auto"/>
        <w:rPr>
          <w:rFonts w:ascii="宋体" w:hAnsi="宋体"/>
          <w:b/>
          <w:sz w:val="24"/>
        </w:rPr>
      </w:pPr>
      <w:r>
        <w:rPr>
          <w:rFonts w:ascii="宋体" w:hAnsi="宋体" w:hint="eastAsia"/>
          <w:b/>
          <w:sz w:val="24"/>
        </w:rPr>
        <w:t>七、重大分歧意见的处理经过和依据</w:t>
      </w:r>
    </w:p>
    <w:p w:rsidR="009125A8" w:rsidRDefault="007664F4">
      <w:pPr>
        <w:spacing w:line="360" w:lineRule="auto"/>
        <w:rPr>
          <w:rFonts w:ascii="宋体" w:hAnsi="宋体"/>
          <w:sz w:val="24"/>
        </w:rPr>
      </w:pPr>
      <w:r>
        <w:rPr>
          <w:rFonts w:ascii="宋体" w:hAnsi="宋体" w:hint="eastAsia"/>
          <w:sz w:val="24"/>
        </w:rPr>
        <w:t xml:space="preserve">    无</w:t>
      </w:r>
    </w:p>
    <w:p w:rsidR="009125A8" w:rsidRDefault="007664F4">
      <w:pPr>
        <w:spacing w:line="360" w:lineRule="auto"/>
        <w:rPr>
          <w:rFonts w:ascii="宋体" w:hAnsi="宋体"/>
          <w:b/>
          <w:sz w:val="24"/>
        </w:rPr>
      </w:pPr>
      <w:r>
        <w:rPr>
          <w:rFonts w:ascii="宋体" w:hAnsi="宋体" w:hint="eastAsia"/>
          <w:b/>
          <w:sz w:val="24"/>
        </w:rPr>
        <w:t>八、标准作为强制性或推荐性国家（或行业）标准的建议</w:t>
      </w:r>
    </w:p>
    <w:p w:rsidR="009125A8" w:rsidRDefault="007664F4">
      <w:pPr>
        <w:spacing w:line="360" w:lineRule="auto"/>
        <w:ind w:firstLineChars="250" w:firstLine="525"/>
        <w:rPr>
          <w:rFonts w:hAnsi="宋体"/>
        </w:rPr>
      </w:pPr>
      <w:r>
        <w:rPr>
          <w:rFonts w:hAnsi="宋体"/>
        </w:rPr>
        <w:t>建议该标准</w:t>
      </w:r>
      <w:r>
        <w:rPr>
          <w:rFonts w:hAnsi="宋体" w:hint="eastAsia"/>
        </w:rPr>
        <w:t>作</w:t>
      </w:r>
      <w:r>
        <w:rPr>
          <w:rFonts w:hAnsi="宋体"/>
        </w:rPr>
        <w:t>为推荐性</w:t>
      </w:r>
      <w:r>
        <w:rPr>
          <w:rFonts w:hAnsi="宋体" w:hint="eastAsia"/>
        </w:rPr>
        <w:t>行业</w:t>
      </w:r>
      <w:r>
        <w:rPr>
          <w:rFonts w:hAnsi="宋体"/>
        </w:rPr>
        <w:t>标准。</w:t>
      </w:r>
    </w:p>
    <w:p w:rsidR="009125A8" w:rsidRDefault="007664F4">
      <w:pPr>
        <w:spacing w:line="360" w:lineRule="auto"/>
        <w:rPr>
          <w:rFonts w:ascii="宋体" w:hAnsi="宋体"/>
          <w:b/>
          <w:sz w:val="24"/>
        </w:rPr>
      </w:pPr>
      <w:r>
        <w:rPr>
          <w:rFonts w:ascii="宋体" w:hAnsi="宋体" w:hint="eastAsia"/>
          <w:b/>
          <w:sz w:val="24"/>
        </w:rPr>
        <w:t>九、贯彻标准的要求和措施建议</w:t>
      </w:r>
    </w:p>
    <w:p w:rsidR="009125A8" w:rsidRDefault="007664F4">
      <w:pPr>
        <w:spacing w:line="360" w:lineRule="auto"/>
        <w:ind w:firstLineChars="250" w:firstLine="525"/>
        <w:rPr>
          <w:rFonts w:ascii="宋体" w:hAnsi="宋体"/>
          <w:b/>
          <w:sz w:val="24"/>
        </w:rPr>
      </w:pPr>
      <w:r>
        <w:rPr>
          <w:rFonts w:hAnsi="宋体" w:hint="eastAsia"/>
        </w:rPr>
        <w:t>无</w:t>
      </w:r>
    </w:p>
    <w:p w:rsidR="009125A8" w:rsidRDefault="007664F4">
      <w:pPr>
        <w:spacing w:line="360" w:lineRule="auto"/>
        <w:rPr>
          <w:rFonts w:ascii="宋体" w:hAnsi="宋体"/>
          <w:b/>
          <w:sz w:val="24"/>
        </w:rPr>
      </w:pPr>
      <w:r>
        <w:rPr>
          <w:rFonts w:ascii="宋体" w:hAnsi="宋体" w:hint="eastAsia"/>
          <w:b/>
          <w:sz w:val="24"/>
        </w:rPr>
        <w:t>十、废止现行有关标准的建议</w:t>
      </w:r>
    </w:p>
    <w:p w:rsidR="009125A8" w:rsidRDefault="007664F4">
      <w:pPr>
        <w:spacing w:line="360" w:lineRule="auto"/>
        <w:ind w:firstLine="495"/>
        <w:rPr>
          <w:rFonts w:hAnsi="宋体"/>
        </w:rPr>
      </w:pPr>
      <w:r>
        <w:rPr>
          <w:rFonts w:hAnsi="宋体" w:hint="eastAsia"/>
        </w:rPr>
        <w:t>本标准为首次起草，无废止</w:t>
      </w:r>
      <w:r>
        <w:rPr>
          <w:rFonts w:hAnsi="宋体" w:hint="eastAsia"/>
        </w:rPr>
        <w:t>/</w:t>
      </w:r>
      <w:r>
        <w:rPr>
          <w:rFonts w:hAnsi="宋体" w:hint="eastAsia"/>
        </w:rPr>
        <w:t>替代现行有关标准。</w:t>
      </w:r>
    </w:p>
    <w:p w:rsidR="009125A8" w:rsidRDefault="007664F4">
      <w:pPr>
        <w:spacing w:line="360" w:lineRule="auto"/>
        <w:rPr>
          <w:rFonts w:ascii="宋体" w:hAnsi="宋体"/>
          <w:b/>
          <w:sz w:val="24"/>
        </w:rPr>
      </w:pPr>
      <w:r>
        <w:rPr>
          <w:rFonts w:ascii="宋体" w:hAnsi="宋体" w:hint="eastAsia"/>
          <w:b/>
          <w:sz w:val="24"/>
        </w:rPr>
        <w:t>十一、其他应予说明的事项</w:t>
      </w:r>
    </w:p>
    <w:p w:rsidR="009125A8" w:rsidRDefault="007664F4" w:rsidP="004B0D87">
      <w:pPr>
        <w:adjustRightInd w:val="0"/>
        <w:snapToGrid w:val="0"/>
        <w:spacing w:beforeLines="50" w:afterLines="50" w:line="300" w:lineRule="auto"/>
        <w:jc w:val="left"/>
        <w:rPr>
          <w:szCs w:val="21"/>
        </w:rPr>
      </w:pPr>
      <w:r>
        <w:rPr>
          <w:rFonts w:hint="eastAsia"/>
          <w:szCs w:val="21"/>
        </w:rPr>
        <w:t xml:space="preserve">    </w:t>
      </w:r>
      <w:r>
        <w:rPr>
          <w:rFonts w:hint="eastAsia"/>
          <w:szCs w:val="21"/>
        </w:rPr>
        <w:t>本标准首次规定了高镍锍中银含量的测定方法。本标准在制定过程中，调研了国内多家冶炼企业，</w:t>
      </w:r>
      <w:r>
        <w:rPr>
          <w:rFonts w:hint="eastAsia"/>
          <w:szCs w:val="21"/>
        </w:rPr>
        <w:lastRenderedPageBreak/>
        <w:t>标准技术先进，具有充分的可操作性、适用性，综合水平达到了</w:t>
      </w:r>
      <w:r>
        <w:rPr>
          <w:rFonts w:hint="eastAsia"/>
          <w:szCs w:val="21"/>
        </w:rPr>
        <w:t xml:space="preserve">   </w:t>
      </w:r>
      <w:r>
        <w:rPr>
          <w:rFonts w:hint="eastAsia"/>
          <w:szCs w:val="21"/>
        </w:rPr>
        <w:t>水平，完全能够满足国内外用户、市场的需求。本标准为高镍锍中银含量的测定提供依据，有利于企业提高对高镍锍的综合利用，实现资源循环利用及有价金属材料生产。</w:t>
      </w:r>
    </w:p>
    <w:p w:rsidR="009125A8" w:rsidRDefault="009125A8">
      <w:pPr>
        <w:ind w:right="318"/>
        <w:rPr>
          <w:rFonts w:ascii="宋体" w:hAnsi="宋体"/>
          <w:szCs w:val="21"/>
        </w:rPr>
      </w:pPr>
    </w:p>
    <w:sectPr w:rsidR="009125A8" w:rsidSect="009125A8">
      <w:pgSz w:w="11907" w:h="16840"/>
      <w:pgMar w:top="1418" w:right="1134" w:bottom="1134" w:left="1418" w:header="851" w:footer="851" w:gutter="0"/>
      <w:pgNumType w:start="1"/>
      <w:cols w:space="720"/>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A12" w:rsidRDefault="00121A12" w:rsidP="00634068">
      <w:r>
        <w:separator/>
      </w:r>
    </w:p>
  </w:endnote>
  <w:endnote w:type="continuationSeparator" w:id="1">
    <w:p w:rsidR="00121A12" w:rsidRDefault="00121A12" w:rsidP="00634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auto"/>
    <w:pitch w:val="default"/>
    <w:sig w:usb0="A10006FF" w:usb1="4000205B" w:usb2="00000010" w:usb3="00000000" w:csb0="2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A12" w:rsidRDefault="00121A12" w:rsidP="00634068">
      <w:r>
        <w:separator/>
      </w:r>
    </w:p>
  </w:footnote>
  <w:footnote w:type="continuationSeparator" w:id="1">
    <w:p w:rsidR="00121A12" w:rsidRDefault="00121A12" w:rsidP="006340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62"/>
  <w:noPunctuationKerning/>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6AE4"/>
    <w:rsid w:val="000006CE"/>
    <w:rsid w:val="00004420"/>
    <w:rsid w:val="0000548B"/>
    <w:rsid w:val="000135F1"/>
    <w:rsid w:val="00015788"/>
    <w:rsid w:val="000174F0"/>
    <w:rsid w:val="00021470"/>
    <w:rsid w:val="00024B93"/>
    <w:rsid w:val="00025563"/>
    <w:rsid w:val="00025ADA"/>
    <w:rsid w:val="00026387"/>
    <w:rsid w:val="000269C1"/>
    <w:rsid w:val="00032F22"/>
    <w:rsid w:val="00034C1F"/>
    <w:rsid w:val="000358FB"/>
    <w:rsid w:val="00040DD9"/>
    <w:rsid w:val="00041139"/>
    <w:rsid w:val="00043091"/>
    <w:rsid w:val="00046A52"/>
    <w:rsid w:val="0005734B"/>
    <w:rsid w:val="00061EBB"/>
    <w:rsid w:val="00062DBB"/>
    <w:rsid w:val="000641EC"/>
    <w:rsid w:val="00064392"/>
    <w:rsid w:val="00064A3D"/>
    <w:rsid w:val="00065B12"/>
    <w:rsid w:val="00070530"/>
    <w:rsid w:val="00072074"/>
    <w:rsid w:val="00075BF6"/>
    <w:rsid w:val="00076C7D"/>
    <w:rsid w:val="00077464"/>
    <w:rsid w:val="000841F3"/>
    <w:rsid w:val="00093281"/>
    <w:rsid w:val="00093910"/>
    <w:rsid w:val="000963EB"/>
    <w:rsid w:val="000A230E"/>
    <w:rsid w:val="000B08FB"/>
    <w:rsid w:val="000B70BA"/>
    <w:rsid w:val="000C0194"/>
    <w:rsid w:val="000C1C3C"/>
    <w:rsid w:val="000C1E0F"/>
    <w:rsid w:val="000D0EDF"/>
    <w:rsid w:val="000D17B3"/>
    <w:rsid w:val="000D34F8"/>
    <w:rsid w:val="000D47AA"/>
    <w:rsid w:val="000F0A86"/>
    <w:rsid w:val="000F2B19"/>
    <w:rsid w:val="000F4344"/>
    <w:rsid w:val="000F7838"/>
    <w:rsid w:val="00100192"/>
    <w:rsid w:val="001004BF"/>
    <w:rsid w:val="00106A87"/>
    <w:rsid w:val="00107176"/>
    <w:rsid w:val="001130BB"/>
    <w:rsid w:val="00114D04"/>
    <w:rsid w:val="00121A12"/>
    <w:rsid w:val="001221AD"/>
    <w:rsid w:val="001228F8"/>
    <w:rsid w:val="00124060"/>
    <w:rsid w:val="00131776"/>
    <w:rsid w:val="0013390B"/>
    <w:rsid w:val="00133F8B"/>
    <w:rsid w:val="001341B8"/>
    <w:rsid w:val="00134BA7"/>
    <w:rsid w:val="00141C02"/>
    <w:rsid w:val="001453F8"/>
    <w:rsid w:val="00154ED7"/>
    <w:rsid w:val="001620AF"/>
    <w:rsid w:val="00163DAF"/>
    <w:rsid w:val="001646C9"/>
    <w:rsid w:val="00164C14"/>
    <w:rsid w:val="00172FAE"/>
    <w:rsid w:val="00175CEB"/>
    <w:rsid w:val="00176CD4"/>
    <w:rsid w:val="00187248"/>
    <w:rsid w:val="0019109D"/>
    <w:rsid w:val="0019227A"/>
    <w:rsid w:val="00193730"/>
    <w:rsid w:val="00194B67"/>
    <w:rsid w:val="00196508"/>
    <w:rsid w:val="00196D02"/>
    <w:rsid w:val="001972DA"/>
    <w:rsid w:val="00197B0A"/>
    <w:rsid w:val="001A2A7A"/>
    <w:rsid w:val="001A65CB"/>
    <w:rsid w:val="001B10ED"/>
    <w:rsid w:val="001B587E"/>
    <w:rsid w:val="001B5913"/>
    <w:rsid w:val="001C4960"/>
    <w:rsid w:val="001D0368"/>
    <w:rsid w:val="001D3A7C"/>
    <w:rsid w:val="001D5F84"/>
    <w:rsid w:val="001D639E"/>
    <w:rsid w:val="001E2250"/>
    <w:rsid w:val="001E2777"/>
    <w:rsid w:val="001E4F77"/>
    <w:rsid w:val="001F1FD6"/>
    <w:rsid w:val="00203B39"/>
    <w:rsid w:val="002106C0"/>
    <w:rsid w:val="00210BE4"/>
    <w:rsid w:val="002117C5"/>
    <w:rsid w:val="00212DC5"/>
    <w:rsid w:val="0021487A"/>
    <w:rsid w:val="00215658"/>
    <w:rsid w:val="00216300"/>
    <w:rsid w:val="00216B60"/>
    <w:rsid w:val="00222B4B"/>
    <w:rsid w:val="00225BEB"/>
    <w:rsid w:val="002311BB"/>
    <w:rsid w:val="00231237"/>
    <w:rsid w:val="00244120"/>
    <w:rsid w:val="002457D3"/>
    <w:rsid w:val="002473EB"/>
    <w:rsid w:val="002513D5"/>
    <w:rsid w:val="00255561"/>
    <w:rsid w:val="0025739D"/>
    <w:rsid w:val="00261A9C"/>
    <w:rsid w:val="002623DB"/>
    <w:rsid w:val="00267491"/>
    <w:rsid w:val="00267F49"/>
    <w:rsid w:val="00277C57"/>
    <w:rsid w:val="00280527"/>
    <w:rsid w:val="002817E9"/>
    <w:rsid w:val="00283E96"/>
    <w:rsid w:val="0028416C"/>
    <w:rsid w:val="00287ADF"/>
    <w:rsid w:val="002A22A9"/>
    <w:rsid w:val="002A286B"/>
    <w:rsid w:val="002A3D37"/>
    <w:rsid w:val="002A5EB8"/>
    <w:rsid w:val="002A6F78"/>
    <w:rsid w:val="002B32DC"/>
    <w:rsid w:val="002B372E"/>
    <w:rsid w:val="002B3E66"/>
    <w:rsid w:val="002C213D"/>
    <w:rsid w:val="002C516F"/>
    <w:rsid w:val="002C6FE4"/>
    <w:rsid w:val="002D0EFD"/>
    <w:rsid w:val="002D227B"/>
    <w:rsid w:val="002D343A"/>
    <w:rsid w:val="002D7DC9"/>
    <w:rsid w:val="002E2ABE"/>
    <w:rsid w:val="002E2D92"/>
    <w:rsid w:val="002F0142"/>
    <w:rsid w:val="002F092F"/>
    <w:rsid w:val="002F39A9"/>
    <w:rsid w:val="002F3C73"/>
    <w:rsid w:val="002F4A8A"/>
    <w:rsid w:val="002F52E0"/>
    <w:rsid w:val="002F6968"/>
    <w:rsid w:val="00301407"/>
    <w:rsid w:val="00312098"/>
    <w:rsid w:val="0031306D"/>
    <w:rsid w:val="00315184"/>
    <w:rsid w:val="00320E58"/>
    <w:rsid w:val="00320E86"/>
    <w:rsid w:val="0032151F"/>
    <w:rsid w:val="003240BF"/>
    <w:rsid w:val="00324312"/>
    <w:rsid w:val="003253C9"/>
    <w:rsid w:val="00326701"/>
    <w:rsid w:val="00327F40"/>
    <w:rsid w:val="003449A6"/>
    <w:rsid w:val="0034617C"/>
    <w:rsid w:val="00346FA8"/>
    <w:rsid w:val="0035174A"/>
    <w:rsid w:val="00352B53"/>
    <w:rsid w:val="00354118"/>
    <w:rsid w:val="003542D0"/>
    <w:rsid w:val="00354DB2"/>
    <w:rsid w:val="003644F1"/>
    <w:rsid w:val="00364D1B"/>
    <w:rsid w:val="00365A11"/>
    <w:rsid w:val="00372B2D"/>
    <w:rsid w:val="00372D0B"/>
    <w:rsid w:val="00372E66"/>
    <w:rsid w:val="003816A1"/>
    <w:rsid w:val="003820E9"/>
    <w:rsid w:val="0038211F"/>
    <w:rsid w:val="00383DD1"/>
    <w:rsid w:val="0038662A"/>
    <w:rsid w:val="003871C5"/>
    <w:rsid w:val="00387DE5"/>
    <w:rsid w:val="003A0118"/>
    <w:rsid w:val="003A02F4"/>
    <w:rsid w:val="003A24A4"/>
    <w:rsid w:val="003A552B"/>
    <w:rsid w:val="003A708C"/>
    <w:rsid w:val="003C4C01"/>
    <w:rsid w:val="003C5103"/>
    <w:rsid w:val="003C51E0"/>
    <w:rsid w:val="003C73E1"/>
    <w:rsid w:val="003D0E16"/>
    <w:rsid w:val="003D3938"/>
    <w:rsid w:val="003D72E1"/>
    <w:rsid w:val="003D7AF0"/>
    <w:rsid w:val="003E6EE4"/>
    <w:rsid w:val="003E7416"/>
    <w:rsid w:val="003F14CE"/>
    <w:rsid w:val="00401C66"/>
    <w:rsid w:val="00403B9E"/>
    <w:rsid w:val="004043B0"/>
    <w:rsid w:val="00405695"/>
    <w:rsid w:val="00411C21"/>
    <w:rsid w:val="004130A2"/>
    <w:rsid w:val="00413907"/>
    <w:rsid w:val="00415088"/>
    <w:rsid w:val="004200D0"/>
    <w:rsid w:val="00423BBF"/>
    <w:rsid w:val="004265B9"/>
    <w:rsid w:val="00430D7E"/>
    <w:rsid w:val="004327C3"/>
    <w:rsid w:val="00433B55"/>
    <w:rsid w:val="00434BBD"/>
    <w:rsid w:val="004352DE"/>
    <w:rsid w:val="00440979"/>
    <w:rsid w:val="004417CC"/>
    <w:rsid w:val="004446BB"/>
    <w:rsid w:val="00447BD9"/>
    <w:rsid w:val="00450225"/>
    <w:rsid w:val="00452085"/>
    <w:rsid w:val="00454113"/>
    <w:rsid w:val="00455025"/>
    <w:rsid w:val="004562D4"/>
    <w:rsid w:val="00460067"/>
    <w:rsid w:val="004600D1"/>
    <w:rsid w:val="00463308"/>
    <w:rsid w:val="00465DBF"/>
    <w:rsid w:val="004674C1"/>
    <w:rsid w:val="004679BF"/>
    <w:rsid w:val="004705C9"/>
    <w:rsid w:val="0047249A"/>
    <w:rsid w:val="00473277"/>
    <w:rsid w:val="00473C19"/>
    <w:rsid w:val="004747D5"/>
    <w:rsid w:val="004747E7"/>
    <w:rsid w:val="004747FC"/>
    <w:rsid w:val="0047549C"/>
    <w:rsid w:val="00477661"/>
    <w:rsid w:val="00477A0C"/>
    <w:rsid w:val="00481BFB"/>
    <w:rsid w:val="00482547"/>
    <w:rsid w:val="00490871"/>
    <w:rsid w:val="00490B9B"/>
    <w:rsid w:val="00493A12"/>
    <w:rsid w:val="004946ED"/>
    <w:rsid w:val="004953E1"/>
    <w:rsid w:val="004960CF"/>
    <w:rsid w:val="004A2DA9"/>
    <w:rsid w:val="004B0D87"/>
    <w:rsid w:val="004B48F6"/>
    <w:rsid w:val="004B513F"/>
    <w:rsid w:val="004B5AAA"/>
    <w:rsid w:val="004B6F82"/>
    <w:rsid w:val="004C2CC3"/>
    <w:rsid w:val="004C45AE"/>
    <w:rsid w:val="004C7943"/>
    <w:rsid w:val="004D3884"/>
    <w:rsid w:val="004D4469"/>
    <w:rsid w:val="004D4ED7"/>
    <w:rsid w:val="004D5C7C"/>
    <w:rsid w:val="004F06C8"/>
    <w:rsid w:val="00501017"/>
    <w:rsid w:val="00504EA3"/>
    <w:rsid w:val="00512069"/>
    <w:rsid w:val="00515796"/>
    <w:rsid w:val="005212D4"/>
    <w:rsid w:val="00524131"/>
    <w:rsid w:val="00525BB2"/>
    <w:rsid w:val="0052738C"/>
    <w:rsid w:val="0053036C"/>
    <w:rsid w:val="0053290F"/>
    <w:rsid w:val="005338AA"/>
    <w:rsid w:val="00534477"/>
    <w:rsid w:val="005374CC"/>
    <w:rsid w:val="0054179D"/>
    <w:rsid w:val="00541FAF"/>
    <w:rsid w:val="005445BA"/>
    <w:rsid w:val="00545628"/>
    <w:rsid w:val="00547493"/>
    <w:rsid w:val="005518BE"/>
    <w:rsid w:val="00565086"/>
    <w:rsid w:val="005673AB"/>
    <w:rsid w:val="00567515"/>
    <w:rsid w:val="00570043"/>
    <w:rsid w:val="005705F1"/>
    <w:rsid w:val="00576FC0"/>
    <w:rsid w:val="005848B1"/>
    <w:rsid w:val="00585160"/>
    <w:rsid w:val="00585FF8"/>
    <w:rsid w:val="00591C9A"/>
    <w:rsid w:val="00593EE1"/>
    <w:rsid w:val="00594AA0"/>
    <w:rsid w:val="005964FD"/>
    <w:rsid w:val="005A02D1"/>
    <w:rsid w:val="005A0B20"/>
    <w:rsid w:val="005A2227"/>
    <w:rsid w:val="005A2692"/>
    <w:rsid w:val="005A3E0D"/>
    <w:rsid w:val="005A632A"/>
    <w:rsid w:val="005B02F6"/>
    <w:rsid w:val="005B0F90"/>
    <w:rsid w:val="005B1A4F"/>
    <w:rsid w:val="005B217C"/>
    <w:rsid w:val="005B36B4"/>
    <w:rsid w:val="005C7914"/>
    <w:rsid w:val="005C7CE5"/>
    <w:rsid w:val="005D285C"/>
    <w:rsid w:val="005D62E0"/>
    <w:rsid w:val="005D6A3C"/>
    <w:rsid w:val="005E320C"/>
    <w:rsid w:val="005E58C4"/>
    <w:rsid w:val="005E6C91"/>
    <w:rsid w:val="005F19C3"/>
    <w:rsid w:val="00601C7C"/>
    <w:rsid w:val="006023B2"/>
    <w:rsid w:val="00605326"/>
    <w:rsid w:val="00611A5D"/>
    <w:rsid w:val="006152D2"/>
    <w:rsid w:val="00621D54"/>
    <w:rsid w:val="00632231"/>
    <w:rsid w:val="00634068"/>
    <w:rsid w:val="00634B2C"/>
    <w:rsid w:val="0063608C"/>
    <w:rsid w:val="00646375"/>
    <w:rsid w:val="00646C16"/>
    <w:rsid w:val="00651498"/>
    <w:rsid w:val="00651C31"/>
    <w:rsid w:val="00653D6B"/>
    <w:rsid w:val="00654A29"/>
    <w:rsid w:val="00656A2C"/>
    <w:rsid w:val="00656D6F"/>
    <w:rsid w:val="00656D90"/>
    <w:rsid w:val="00662A16"/>
    <w:rsid w:val="0066731B"/>
    <w:rsid w:val="00675E55"/>
    <w:rsid w:val="00676AE4"/>
    <w:rsid w:val="006807F6"/>
    <w:rsid w:val="00680F19"/>
    <w:rsid w:val="0068177D"/>
    <w:rsid w:val="00682020"/>
    <w:rsid w:val="00685717"/>
    <w:rsid w:val="00686DEC"/>
    <w:rsid w:val="006874F6"/>
    <w:rsid w:val="00694F14"/>
    <w:rsid w:val="00697813"/>
    <w:rsid w:val="006A0A2D"/>
    <w:rsid w:val="006A2B54"/>
    <w:rsid w:val="006A4339"/>
    <w:rsid w:val="006A45DD"/>
    <w:rsid w:val="006A5D10"/>
    <w:rsid w:val="006A6E2A"/>
    <w:rsid w:val="006B387D"/>
    <w:rsid w:val="006B3E09"/>
    <w:rsid w:val="006C3F6A"/>
    <w:rsid w:val="006C5450"/>
    <w:rsid w:val="006C61C8"/>
    <w:rsid w:val="006D2853"/>
    <w:rsid w:val="006D4E2A"/>
    <w:rsid w:val="006D745B"/>
    <w:rsid w:val="006D7665"/>
    <w:rsid w:val="006E04C5"/>
    <w:rsid w:val="006E1C04"/>
    <w:rsid w:val="006F0278"/>
    <w:rsid w:val="006F3100"/>
    <w:rsid w:val="006F62F0"/>
    <w:rsid w:val="007000B8"/>
    <w:rsid w:val="0071289D"/>
    <w:rsid w:val="00714CBD"/>
    <w:rsid w:val="0071793E"/>
    <w:rsid w:val="00721714"/>
    <w:rsid w:val="00742E27"/>
    <w:rsid w:val="00751DEA"/>
    <w:rsid w:val="00752A9C"/>
    <w:rsid w:val="0076187A"/>
    <w:rsid w:val="00761A5E"/>
    <w:rsid w:val="00762040"/>
    <w:rsid w:val="00763725"/>
    <w:rsid w:val="00763794"/>
    <w:rsid w:val="007646BB"/>
    <w:rsid w:val="007664F4"/>
    <w:rsid w:val="007706F9"/>
    <w:rsid w:val="0077250D"/>
    <w:rsid w:val="00772EA6"/>
    <w:rsid w:val="00774CF4"/>
    <w:rsid w:val="00774FE7"/>
    <w:rsid w:val="00784C3C"/>
    <w:rsid w:val="00791239"/>
    <w:rsid w:val="00791520"/>
    <w:rsid w:val="00792BAA"/>
    <w:rsid w:val="007A3E3A"/>
    <w:rsid w:val="007A4E8A"/>
    <w:rsid w:val="007A79AA"/>
    <w:rsid w:val="007B3477"/>
    <w:rsid w:val="007B7848"/>
    <w:rsid w:val="007C4AA3"/>
    <w:rsid w:val="007C55D4"/>
    <w:rsid w:val="007C5966"/>
    <w:rsid w:val="007D1245"/>
    <w:rsid w:val="007D2A12"/>
    <w:rsid w:val="007D5490"/>
    <w:rsid w:val="007D67C6"/>
    <w:rsid w:val="007E08E6"/>
    <w:rsid w:val="007E3F36"/>
    <w:rsid w:val="007F2C88"/>
    <w:rsid w:val="007F54FA"/>
    <w:rsid w:val="007F70C7"/>
    <w:rsid w:val="0080037D"/>
    <w:rsid w:val="00810BA5"/>
    <w:rsid w:val="00812DD1"/>
    <w:rsid w:val="008229FA"/>
    <w:rsid w:val="00831BE0"/>
    <w:rsid w:val="00831FCA"/>
    <w:rsid w:val="00832E3C"/>
    <w:rsid w:val="00833DD0"/>
    <w:rsid w:val="00836181"/>
    <w:rsid w:val="00836274"/>
    <w:rsid w:val="0084176B"/>
    <w:rsid w:val="00843B68"/>
    <w:rsid w:val="00857050"/>
    <w:rsid w:val="008637C3"/>
    <w:rsid w:val="00867631"/>
    <w:rsid w:val="00871D11"/>
    <w:rsid w:val="00874368"/>
    <w:rsid w:val="0087501C"/>
    <w:rsid w:val="0087525C"/>
    <w:rsid w:val="0088342E"/>
    <w:rsid w:val="008859AA"/>
    <w:rsid w:val="00894DCD"/>
    <w:rsid w:val="008A3EEB"/>
    <w:rsid w:val="008A414B"/>
    <w:rsid w:val="008A477A"/>
    <w:rsid w:val="008A6153"/>
    <w:rsid w:val="008A7F74"/>
    <w:rsid w:val="008B39D3"/>
    <w:rsid w:val="008B49E3"/>
    <w:rsid w:val="008B53FA"/>
    <w:rsid w:val="008B55E6"/>
    <w:rsid w:val="008B7761"/>
    <w:rsid w:val="008C128A"/>
    <w:rsid w:val="008C385D"/>
    <w:rsid w:val="008C546B"/>
    <w:rsid w:val="008D04F9"/>
    <w:rsid w:val="008D140A"/>
    <w:rsid w:val="008D5B81"/>
    <w:rsid w:val="008D5BF0"/>
    <w:rsid w:val="008D612A"/>
    <w:rsid w:val="008D7127"/>
    <w:rsid w:val="008E0044"/>
    <w:rsid w:val="008E1391"/>
    <w:rsid w:val="008E2931"/>
    <w:rsid w:val="008E6CC7"/>
    <w:rsid w:val="008F13F6"/>
    <w:rsid w:val="008F474D"/>
    <w:rsid w:val="008F6793"/>
    <w:rsid w:val="00900ED0"/>
    <w:rsid w:val="00905205"/>
    <w:rsid w:val="00906E23"/>
    <w:rsid w:val="00910880"/>
    <w:rsid w:val="009125A8"/>
    <w:rsid w:val="00914101"/>
    <w:rsid w:val="00921A9F"/>
    <w:rsid w:val="00922970"/>
    <w:rsid w:val="0092481F"/>
    <w:rsid w:val="00926821"/>
    <w:rsid w:val="009270B8"/>
    <w:rsid w:val="009278A9"/>
    <w:rsid w:val="00931A6B"/>
    <w:rsid w:val="00931A6C"/>
    <w:rsid w:val="0093640F"/>
    <w:rsid w:val="00936921"/>
    <w:rsid w:val="00937587"/>
    <w:rsid w:val="00937F92"/>
    <w:rsid w:val="0094624C"/>
    <w:rsid w:val="0094648A"/>
    <w:rsid w:val="00947291"/>
    <w:rsid w:val="009510F3"/>
    <w:rsid w:val="0095447E"/>
    <w:rsid w:val="0095551F"/>
    <w:rsid w:val="009557BB"/>
    <w:rsid w:val="00961AED"/>
    <w:rsid w:val="00965652"/>
    <w:rsid w:val="00966152"/>
    <w:rsid w:val="00966E16"/>
    <w:rsid w:val="009770BA"/>
    <w:rsid w:val="009803C4"/>
    <w:rsid w:val="00983C56"/>
    <w:rsid w:val="00983E78"/>
    <w:rsid w:val="009920D1"/>
    <w:rsid w:val="009A6A10"/>
    <w:rsid w:val="009A6EF3"/>
    <w:rsid w:val="009B0095"/>
    <w:rsid w:val="009B1DC0"/>
    <w:rsid w:val="009B300A"/>
    <w:rsid w:val="009B62D5"/>
    <w:rsid w:val="009C2864"/>
    <w:rsid w:val="009D0A76"/>
    <w:rsid w:val="009D104A"/>
    <w:rsid w:val="009D2DC3"/>
    <w:rsid w:val="009D4F71"/>
    <w:rsid w:val="009E4142"/>
    <w:rsid w:val="009F2301"/>
    <w:rsid w:val="00A15936"/>
    <w:rsid w:val="00A1715B"/>
    <w:rsid w:val="00A17D4C"/>
    <w:rsid w:val="00A235DE"/>
    <w:rsid w:val="00A2502F"/>
    <w:rsid w:val="00A267E4"/>
    <w:rsid w:val="00A27F6F"/>
    <w:rsid w:val="00A32A12"/>
    <w:rsid w:val="00A32FA6"/>
    <w:rsid w:val="00A3622E"/>
    <w:rsid w:val="00A44769"/>
    <w:rsid w:val="00A44B4D"/>
    <w:rsid w:val="00A475BC"/>
    <w:rsid w:val="00A47880"/>
    <w:rsid w:val="00A50BAF"/>
    <w:rsid w:val="00A54BEF"/>
    <w:rsid w:val="00A5631D"/>
    <w:rsid w:val="00A56981"/>
    <w:rsid w:val="00A607A0"/>
    <w:rsid w:val="00A6165F"/>
    <w:rsid w:val="00A6378F"/>
    <w:rsid w:val="00A64A32"/>
    <w:rsid w:val="00A75FC4"/>
    <w:rsid w:val="00A82358"/>
    <w:rsid w:val="00A84FBA"/>
    <w:rsid w:val="00A8538D"/>
    <w:rsid w:val="00A93E45"/>
    <w:rsid w:val="00A96781"/>
    <w:rsid w:val="00A96E39"/>
    <w:rsid w:val="00A975B5"/>
    <w:rsid w:val="00AA2147"/>
    <w:rsid w:val="00AA2FCC"/>
    <w:rsid w:val="00AA5E29"/>
    <w:rsid w:val="00AB1BC4"/>
    <w:rsid w:val="00AC0345"/>
    <w:rsid w:val="00AC24C4"/>
    <w:rsid w:val="00AC38F0"/>
    <w:rsid w:val="00AC595B"/>
    <w:rsid w:val="00AC6BA3"/>
    <w:rsid w:val="00AD4D36"/>
    <w:rsid w:val="00AE28C6"/>
    <w:rsid w:val="00AE3025"/>
    <w:rsid w:val="00AE42D8"/>
    <w:rsid w:val="00AE70C9"/>
    <w:rsid w:val="00AE7A77"/>
    <w:rsid w:val="00AF4292"/>
    <w:rsid w:val="00AF4336"/>
    <w:rsid w:val="00AF477A"/>
    <w:rsid w:val="00AF60B4"/>
    <w:rsid w:val="00B11418"/>
    <w:rsid w:val="00B1449D"/>
    <w:rsid w:val="00B14E36"/>
    <w:rsid w:val="00B16128"/>
    <w:rsid w:val="00B24819"/>
    <w:rsid w:val="00B301B8"/>
    <w:rsid w:val="00B32752"/>
    <w:rsid w:val="00B3292B"/>
    <w:rsid w:val="00B33996"/>
    <w:rsid w:val="00B35C91"/>
    <w:rsid w:val="00B401F1"/>
    <w:rsid w:val="00B4613F"/>
    <w:rsid w:val="00B469DF"/>
    <w:rsid w:val="00B52F0F"/>
    <w:rsid w:val="00B54D67"/>
    <w:rsid w:val="00B635EB"/>
    <w:rsid w:val="00B6468A"/>
    <w:rsid w:val="00B662D6"/>
    <w:rsid w:val="00B75581"/>
    <w:rsid w:val="00B77651"/>
    <w:rsid w:val="00B81EF1"/>
    <w:rsid w:val="00B82227"/>
    <w:rsid w:val="00B833AD"/>
    <w:rsid w:val="00B959FA"/>
    <w:rsid w:val="00BA0934"/>
    <w:rsid w:val="00BA631E"/>
    <w:rsid w:val="00BB05F9"/>
    <w:rsid w:val="00BB269D"/>
    <w:rsid w:val="00BC1AD8"/>
    <w:rsid w:val="00BD0712"/>
    <w:rsid w:val="00BD1F90"/>
    <w:rsid w:val="00BD2A2C"/>
    <w:rsid w:val="00BD6D3F"/>
    <w:rsid w:val="00BF1C43"/>
    <w:rsid w:val="00BF4A2B"/>
    <w:rsid w:val="00BF7739"/>
    <w:rsid w:val="00C02A66"/>
    <w:rsid w:val="00C02FC8"/>
    <w:rsid w:val="00C07137"/>
    <w:rsid w:val="00C076BF"/>
    <w:rsid w:val="00C14D81"/>
    <w:rsid w:val="00C253EE"/>
    <w:rsid w:val="00C25AEE"/>
    <w:rsid w:val="00C26FF9"/>
    <w:rsid w:val="00C42688"/>
    <w:rsid w:val="00C43D0F"/>
    <w:rsid w:val="00C47DE5"/>
    <w:rsid w:val="00C53735"/>
    <w:rsid w:val="00C53EE9"/>
    <w:rsid w:val="00C553EB"/>
    <w:rsid w:val="00C62DE9"/>
    <w:rsid w:val="00C742E6"/>
    <w:rsid w:val="00C747F7"/>
    <w:rsid w:val="00C80FEF"/>
    <w:rsid w:val="00C836BC"/>
    <w:rsid w:val="00C928E4"/>
    <w:rsid w:val="00C93B40"/>
    <w:rsid w:val="00C94D4C"/>
    <w:rsid w:val="00C97113"/>
    <w:rsid w:val="00CB0F5C"/>
    <w:rsid w:val="00CB1A4D"/>
    <w:rsid w:val="00CB2774"/>
    <w:rsid w:val="00CB4CF9"/>
    <w:rsid w:val="00CB5B5D"/>
    <w:rsid w:val="00CC1508"/>
    <w:rsid w:val="00CC272E"/>
    <w:rsid w:val="00CC53F1"/>
    <w:rsid w:val="00CC5FDF"/>
    <w:rsid w:val="00CD1CD2"/>
    <w:rsid w:val="00CD5D2E"/>
    <w:rsid w:val="00CD62E4"/>
    <w:rsid w:val="00CE67D2"/>
    <w:rsid w:val="00CE76AD"/>
    <w:rsid w:val="00CF0056"/>
    <w:rsid w:val="00CF1E33"/>
    <w:rsid w:val="00CF326B"/>
    <w:rsid w:val="00CF5920"/>
    <w:rsid w:val="00D028A8"/>
    <w:rsid w:val="00D14253"/>
    <w:rsid w:val="00D154F5"/>
    <w:rsid w:val="00D177CA"/>
    <w:rsid w:val="00D21BDF"/>
    <w:rsid w:val="00D23F4E"/>
    <w:rsid w:val="00D3495F"/>
    <w:rsid w:val="00D52970"/>
    <w:rsid w:val="00D55069"/>
    <w:rsid w:val="00D578A2"/>
    <w:rsid w:val="00D6241B"/>
    <w:rsid w:val="00D66B9A"/>
    <w:rsid w:val="00D7277F"/>
    <w:rsid w:val="00D72D38"/>
    <w:rsid w:val="00D7503F"/>
    <w:rsid w:val="00D7542A"/>
    <w:rsid w:val="00D808F3"/>
    <w:rsid w:val="00D812B2"/>
    <w:rsid w:val="00D87536"/>
    <w:rsid w:val="00D9118E"/>
    <w:rsid w:val="00D93B9F"/>
    <w:rsid w:val="00D93DA3"/>
    <w:rsid w:val="00D956C0"/>
    <w:rsid w:val="00D95BF0"/>
    <w:rsid w:val="00D97B81"/>
    <w:rsid w:val="00DA0144"/>
    <w:rsid w:val="00DA3C52"/>
    <w:rsid w:val="00DA4BD6"/>
    <w:rsid w:val="00DA665C"/>
    <w:rsid w:val="00DA72C0"/>
    <w:rsid w:val="00DC08C6"/>
    <w:rsid w:val="00DC1900"/>
    <w:rsid w:val="00DC4CB6"/>
    <w:rsid w:val="00DC5B88"/>
    <w:rsid w:val="00DC72A3"/>
    <w:rsid w:val="00DE226C"/>
    <w:rsid w:val="00DE672C"/>
    <w:rsid w:val="00DF498A"/>
    <w:rsid w:val="00E02A69"/>
    <w:rsid w:val="00E11051"/>
    <w:rsid w:val="00E139A7"/>
    <w:rsid w:val="00E215BE"/>
    <w:rsid w:val="00E224E0"/>
    <w:rsid w:val="00E234B0"/>
    <w:rsid w:val="00E24A10"/>
    <w:rsid w:val="00E26081"/>
    <w:rsid w:val="00E344A5"/>
    <w:rsid w:val="00E41A44"/>
    <w:rsid w:val="00E431C0"/>
    <w:rsid w:val="00E44A9B"/>
    <w:rsid w:val="00E527A4"/>
    <w:rsid w:val="00E539D5"/>
    <w:rsid w:val="00E54C1F"/>
    <w:rsid w:val="00E621B0"/>
    <w:rsid w:val="00E62EAD"/>
    <w:rsid w:val="00E6317C"/>
    <w:rsid w:val="00E63276"/>
    <w:rsid w:val="00E637C5"/>
    <w:rsid w:val="00E65141"/>
    <w:rsid w:val="00E70D6E"/>
    <w:rsid w:val="00E83441"/>
    <w:rsid w:val="00E865EF"/>
    <w:rsid w:val="00E86C49"/>
    <w:rsid w:val="00E90826"/>
    <w:rsid w:val="00E91109"/>
    <w:rsid w:val="00E91410"/>
    <w:rsid w:val="00EA34CB"/>
    <w:rsid w:val="00EA738B"/>
    <w:rsid w:val="00EB396B"/>
    <w:rsid w:val="00EB4501"/>
    <w:rsid w:val="00EB4B70"/>
    <w:rsid w:val="00EB7C9C"/>
    <w:rsid w:val="00EC0C1E"/>
    <w:rsid w:val="00EC55D6"/>
    <w:rsid w:val="00ED6E74"/>
    <w:rsid w:val="00EE0FB3"/>
    <w:rsid w:val="00EE395F"/>
    <w:rsid w:val="00F009AC"/>
    <w:rsid w:val="00F00B08"/>
    <w:rsid w:val="00F00DA7"/>
    <w:rsid w:val="00F02E3D"/>
    <w:rsid w:val="00F03D9B"/>
    <w:rsid w:val="00F1482D"/>
    <w:rsid w:val="00F14D17"/>
    <w:rsid w:val="00F15334"/>
    <w:rsid w:val="00F16D15"/>
    <w:rsid w:val="00F16DFE"/>
    <w:rsid w:val="00F17C22"/>
    <w:rsid w:val="00F21F9B"/>
    <w:rsid w:val="00F22F8C"/>
    <w:rsid w:val="00F23361"/>
    <w:rsid w:val="00F2490E"/>
    <w:rsid w:val="00F2578E"/>
    <w:rsid w:val="00F26794"/>
    <w:rsid w:val="00F275D7"/>
    <w:rsid w:val="00F31209"/>
    <w:rsid w:val="00F33418"/>
    <w:rsid w:val="00F365F0"/>
    <w:rsid w:val="00F402C0"/>
    <w:rsid w:val="00F414E3"/>
    <w:rsid w:val="00F46331"/>
    <w:rsid w:val="00F525B0"/>
    <w:rsid w:val="00F53812"/>
    <w:rsid w:val="00F571C1"/>
    <w:rsid w:val="00F60108"/>
    <w:rsid w:val="00F616C2"/>
    <w:rsid w:val="00F66222"/>
    <w:rsid w:val="00F72595"/>
    <w:rsid w:val="00F74001"/>
    <w:rsid w:val="00F804A0"/>
    <w:rsid w:val="00F814A4"/>
    <w:rsid w:val="00F87147"/>
    <w:rsid w:val="00F918E4"/>
    <w:rsid w:val="00F94EF1"/>
    <w:rsid w:val="00F9578B"/>
    <w:rsid w:val="00F95D5D"/>
    <w:rsid w:val="00F975EF"/>
    <w:rsid w:val="00FA1095"/>
    <w:rsid w:val="00FA5C20"/>
    <w:rsid w:val="00FA6A5A"/>
    <w:rsid w:val="00FA78CA"/>
    <w:rsid w:val="00FA7C76"/>
    <w:rsid w:val="00FB525E"/>
    <w:rsid w:val="00FC0C07"/>
    <w:rsid w:val="00FC0D82"/>
    <w:rsid w:val="00FC0DBC"/>
    <w:rsid w:val="00FC4BA2"/>
    <w:rsid w:val="00FD0FE9"/>
    <w:rsid w:val="00FD1770"/>
    <w:rsid w:val="00FD1B9B"/>
    <w:rsid w:val="00FD1DA3"/>
    <w:rsid w:val="00FD463D"/>
    <w:rsid w:val="00FE055C"/>
    <w:rsid w:val="00FE4A90"/>
    <w:rsid w:val="00FE7624"/>
    <w:rsid w:val="00FF1206"/>
    <w:rsid w:val="00FF2347"/>
    <w:rsid w:val="00FF4304"/>
    <w:rsid w:val="00FF5B18"/>
    <w:rsid w:val="00FF5BB8"/>
    <w:rsid w:val="04A226AA"/>
    <w:rsid w:val="14BF2FD0"/>
    <w:rsid w:val="23215388"/>
    <w:rsid w:val="23A9638D"/>
    <w:rsid w:val="2B2B5065"/>
    <w:rsid w:val="34255A9B"/>
    <w:rsid w:val="3C7B6ECA"/>
    <w:rsid w:val="3DED132A"/>
    <w:rsid w:val="54360081"/>
    <w:rsid w:val="642A0293"/>
    <w:rsid w:val="660C5D78"/>
    <w:rsid w:val="6A6A5EAB"/>
    <w:rsid w:val="723B77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5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9125A8"/>
    <w:pPr>
      <w:ind w:firstLineChars="200" w:firstLine="420"/>
    </w:pPr>
  </w:style>
  <w:style w:type="paragraph" w:styleId="a4">
    <w:name w:val="Date"/>
    <w:basedOn w:val="a"/>
    <w:next w:val="a"/>
    <w:link w:val="Char"/>
    <w:rsid w:val="009125A8"/>
    <w:pPr>
      <w:ind w:leftChars="2500" w:left="100"/>
    </w:pPr>
  </w:style>
  <w:style w:type="paragraph" w:styleId="a5">
    <w:name w:val="Balloon Text"/>
    <w:basedOn w:val="a"/>
    <w:link w:val="Char0"/>
    <w:qFormat/>
    <w:rsid w:val="009125A8"/>
    <w:rPr>
      <w:sz w:val="18"/>
      <w:szCs w:val="18"/>
    </w:rPr>
  </w:style>
  <w:style w:type="paragraph" w:styleId="a6">
    <w:name w:val="footer"/>
    <w:basedOn w:val="a"/>
    <w:link w:val="Char1"/>
    <w:rsid w:val="009125A8"/>
    <w:pPr>
      <w:tabs>
        <w:tab w:val="center" w:pos="4153"/>
        <w:tab w:val="right" w:pos="8306"/>
      </w:tabs>
      <w:snapToGrid w:val="0"/>
      <w:ind w:rightChars="100" w:right="210"/>
      <w:jc w:val="right"/>
    </w:pPr>
    <w:rPr>
      <w:sz w:val="18"/>
      <w:szCs w:val="18"/>
    </w:rPr>
  </w:style>
  <w:style w:type="paragraph" w:styleId="a7">
    <w:name w:val="header"/>
    <w:basedOn w:val="a"/>
    <w:link w:val="Char2"/>
    <w:rsid w:val="009125A8"/>
    <w:pPr>
      <w:tabs>
        <w:tab w:val="center" w:pos="4153"/>
        <w:tab w:val="right" w:pos="8306"/>
      </w:tabs>
      <w:snapToGrid w:val="0"/>
      <w:jc w:val="center"/>
    </w:pPr>
    <w:rPr>
      <w:sz w:val="18"/>
      <w:szCs w:val="18"/>
    </w:rPr>
  </w:style>
  <w:style w:type="character" w:styleId="a8">
    <w:name w:val="page number"/>
    <w:rsid w:val="009125A8"/>
    <w:rPr>
      <w:rFonts w:ascii="Times New Roman" w:eastAsia="宋体" w:hAnsi="Times New Roman"/>
      <w:sz w:val="18"/>
    </w:rPr>
  </w:style>
  <w:style w:type="table" w:styleId="a9">
    <w:name w:val="Table Grid"/>
    <w:basedOn w:val="a1"/>
    <w:uiPriority w:val="59"/>
    <w:qFormat/>
    <w:rsid w:val="00912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link w:val="a5"/>
    <w:rsid w:val="009125A8"/>
    <w:rPr>
      <w:kern w:val="2"/>
      <w:sz w:val="18"/>
      <w:szCs w:val="18"/>
    </w:rPr>
  </w:style>
  <w:style w:type="character" w:customStyle="1" w:styleId="Char2">
    <w:name w:val="页眉 Char"/>
    <w:link w:val="a7"/>
    <w:locked/>
    <w:rsid w:val="009125A8"/>
    <w:rPr>
      <w:kern w:val="2"/>
      <w:sz w:val="18"/>
      <w:szCs w:val="18"/>
    </w:rPr>
  </w:style>
  <w:style w:type="character" w:customStyle="1" w:styleId="CharChar">
    <w:name w:val="段 Char Char"/>
    <w:link w:val="aa"/>
    <w:rsid w:val="009125A8"/>
    <w:rPr>
      <w:rFonts w:ascii="宋体" w:hAnsi="宋体"/>
      <w:sz w:val="21"/>
      <w:lang w:val="en-US" w:eastAsia="zh-CN" w:bidi="ar-SA"/>
    </w:rPr>
  </w:style>
  <w:style w:type="paragraph" w:customStyle="1" w:styleId="aa">
    <w:name w:val="段"/>
    <w:link w:val="CharChar"/>
    <w:qFormat/>
    <w:rsid w:val="009125A8"/>
    <w:pPr>
      <w:autoSpaceDE w:val="0"/>
      <w:autoSpaceDN w:val="0"/>
      <w:ind w:firstLineChars="200" w:firstLine="200"/>
      <w:jc w:val="both"/>
    </w:pPr>
    <w:rPr>
      <w:rFonts w:ascii="宋体" w:hAnsi="宋体"/>
      <w:sz w:val="21"/>
    </w:rPr>
  </w:style>
  <w:style w:type="character" w:customStyle="1" w:styleId="Char">
    <w:name w:val="日期 Char"/>
    <w:link w:val="a4"/>
    <w:rsid w:val="009125A8"/>
    <w:rPr>
      <w:kern w:val="2"/>
      <w:sz w:val="21"/>
      <w:szCs w:val="24"/>
    </w:rPr>
  </w:style>
  <w:style w:type="character" w:customStyle="1" w:styleId="Char3">
    <w:name w:val="段 Char"/>
    <w:locked/>
    <w:rsid w:val="009125A8"/>
    <w:rPr>
      <w:rFonts w:ascii="宋体"/>
      <w:sz w:val="21"/>
      <w:lang w:val="en-US" w:eastAsia="zh-CN" w:bidi="ar-SA"/>
    </w:rPr>
  </w:style>
  <w:style w:type="character" w:customStyle="1" w:styleId="font11">
    <w:name w:val="font11"/>
    <w:rsid w:val="009125A8"/>
    <w:rPr>
      <w:rFonts w:ascii="宋体" w:eastAsia="宋体" w:hAnsi="宋体" w:hint="eastAsia"/>
      <w:color w:val="000000"/>
      <w:sz w:val="21"/>
      <w:szCs w:val="21"/>
      <w:u w:val="none"/>
    </w:rPr>
  </w:style>
  <w:style w:type="character" w:customStyle="1" w:styleId="Char1">
    <w:name w:val="页脚 Char"/>
    <w:link w:val="a6"/>
    <w:locked/>
    <w:rsid w:val="009125A8"/>
    <w:rPr>
      <w:kern w:val="2"/>
      <w:sz w:val="18"/>
      <w:szCs w:val="18"/>
    </w:rPr>
  </w:style>
  <w:style w:type="character" w:customStyle="1" w:styleId="font21">
    <w:name w:val="font21"/>
    <w:rsid w:val="009125A8"/>
    <w:rPr>
      <w:rFonts w:ascii="Times New Roman" w:hAnsi="Times New Roman" w:cs="Times New Roman" w:hint="default"/>
      <w:color w:val="000000"/>
      <w:sz w:val="21"/>
      <w:szCs w:val="21"/>
      <w:u w:val="none"/>
    </w:rPr>
  </w:style>
  <w:style w:type="paragraph" w:customStyle="1" w:styleId="1">
    <w:name w:val="样式1"/>
    <w:basedOn w:val="a"/>
    <w:rsid w:val="009125A8"/>
    <w:pPr>
      <w:tabs>
        <w:tab w:val="left" w:pos="525"/>
      </w:tabs>
    </w:pPr>
    <w:rPr>
      <w:rFonts w:ascii="宋体" w:hAnsi="宋体"/>
      <w:szCs w:val="21"/>
    </w:rPr>
  </w:style>
  <w:style w:type="paragraph" w:customStyle="1" w:styleId="ab">
    <w:name w:val="标准书脚_奇数页"/>
    <w:rsid w:val="009125A8"/>
    <w:pPr>
      <w:spacing w:before="120"/>
      <w:jc w:val="right"/>
    </w:pPr>
    <w:rPr>
      <w:sz w:val="18"/>
    </w:rPr>
  </w:style>
  <w:style w:type="paragraph" w:customStyle="1" w:styleId="10">
    <w:name w:val="列出段落1"/>
    <w:basedOn w:val="a"/>
    <w:qFormat/>
    <w:rsid w:val="009125A8"/>
    <w:pPr>
      <w:ind w:firstLineChars="200" w:firstLine="420"/>
    </w:pPr>
    <w:rPr>
      <w:b/>
      <w:bCs/>
      <w:kern w:val="44"/>
      <w:sz w:val="32"/>
      <w:szCs w:val="32"/>
    </w:rPr>
  </w:style>
  <w:style w:type="paragraph" w:customStyle="1" w:styleId="2">
    <w:name w:val="列出段落2"/>
    <w:basedOn w:val="a"/>
    <w:qFormat/>
    <w:rsid w:val="009125A8"/>
    <w:pPr>
      <w:ind w:firstLineChars="200" w:firstLine="420"/>
    </w:pPr>
  </w:style>
  <w:style w:type="paragraph" w:customStyle="1" w:styleId="-11">
    <w:name w:val="彩色列表 - 强调文字颜色 11"/>
    <w:basedOn w:val="a"/>
    <w:uiPriority w:val="34"/>
    <w:qFormat/>
    <w:rsid w:val="009125A8"/>
    <w:pPr>
      <w:ind w:firstLineChars="200" w:firstLine="420"/>
    </w:pPr>
    <w:rPr>
      <w:rFonts w:ascii="Calibri" w:hAnsi="Calibri"/>
      <w:szCs w:val="22"/>
    </w:rPr>
  </w:style>
  <w:style w:type="paragraph" w:customStyle="1" w:styleId="CharCharChar1CharCharCharCharCharCharCharCharCharChar">
    <w:name w:val="Char Char Char1 Char Char Char Char Char Char Char Char Char Char"/>
    <w:basedOn w:val="a"/>
    <w:qFormat/>
    <w:rsid w:val="009125A8"/>
    <w:pPr>
      <w:widowControl/>
      <w:spacing w:after="160" w:line="240" w:lineRule="exact"/>
      <w:jc w:val="left"/>
    </w:pPr>
    <w:rPr>
      <w:rFonts w:ascii="Verdana" w:hAnsi="Verdana"/>
      <w:kern w:val="0"/>
      <w:sz w:val="18"/>
      <w:szCs w:val="20"/>
      <w:lang w:eastAsia="en-US"/>
    </w:rPr>
  </w:style>
  <w:style w:type="paragraph" w:customStyle="1" w:styleId="ac">
    <w:name w:val="封面标准英文名称"/>
    <w:qFormat/>
    <w:rsid w:val="009125A8"/>
    <w:pPr>
      <w:widowControl w:val="0"/>
      <w:spacing w:before="370" w:line="400" w:lineRule="exact"/>
      <w:jc w:val="center"/>
    </w:pPr>
    <w:rPr>
      <w:sz w:val="28"/>
    </w:rPr>
  </w:style>
  <w:style w:type="paragraph" w:customStyle="1" w:styleId="ad">
    <w:name w:val="章标题"/>
    <w:next w:val="a"/>
    <w:qFormat/>
    <w:rsid w:val="009125A8"/>
    <w:pPr>
      <w:tabs>
        <w:tab w:val="left" w:pos="675"/>
      </w:tabs>
      <w:spacing w:beforeLines="100" w:afterLines="100"/>
      <w:ind w:left="675" w:hanging="360"/>
      <w:jc w:val="both"/>
      <w:outlineLvl w:val="1"/>
    </w:pPr>
    <w:rPr>
      <w:rFonts w:ascii="黑体" w:eastAsia="黑体"/>
      <w:sz w:val="21"/>
      <w:szCs w:val="22"/>
    </w:rPr>
  </w:style>
  <w:style w:type="paragraph" w:customStyle="1" w:styleId="ae">
    <w:name w:val="标准书眉_奇数页"/>
    <w:next w:val="a"/>
    <w:rsid w:val="009125A8"/>
    <w:pPr>
      <w:tabs>
        <w:tab w:val="center" w:pos="4154"/>
        <w:tab w:val="right" w:pos="8306"/>
      </w:tabs>
      <w:spacing w:after="120"/>
      <w:jc w:val="right"/>
    </w:pPr>
    <w:rPr>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1EB28B-F278-4E58-942C-3E2B4CE383FC}">
  <ds:schemaRefs>
    <ds:schemaRef ds:uri="http://www.yonyou.com/datasource"/>
  </ds:schemaRefs>
</ds:datastoreItem>
</file>

<file path=customXml/itemProps3.xml><?xml version="1.0" encoding="utf-8"?>
<ds:datastoreItem xmlns:ds="http://schemas.openxmlformats.org/officeDocument/2006/customXml" ds:itemID="{46285C85-9C37-4B15-9DE5-1E026C318BFF}">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747</Words>
  <Characters>4262</Characters>
  <Application>Microsoft Office Word</Application>
  <DocSecurity>0</DocSecurity>
  <Lines>35</Lines>
  <Paragraphs>9</Paragraphs>
  <ScaleCrop>false</ScaleCrop>
  <Company>DEEPIN</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锡铅焊料化学分析方法</dc:title>
  <dc:creator>冯振华</dc:creator>
  <cp:lastModifiedBy>ruanguise</cp:lastModifiedBy>
  <cp:revision>17</cp:revision>
  <dcterms:created xsi:type="dcterms:W3CDTF">2018-11-15T10:31:00Z</dcterms:created>
  <dcterms:modified xsi:type="dcterms:W3CDTF">2018-11-27T02:27:00Z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