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280035</wp:posOffset>
                </wp:positionV>
                <wp:extent cx="6057900" cy="0"/>
                <wp:effectExtent l="0" t="0" r="19050" b="1905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2.05pt;height:0pt;width:477pt;z-index:251669504;mso-width-relative:page;mso-height-relative:page;" filled="f" stroked="t" coordsize="21600,21600" o:gfxdata="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ChO4z0wAAAAYBAAAPAAAAAAAAAAEAIAAAACIAAABkcnMvZG93bnJl&#10;di54bWxQSwECFAAUAAAACACHTuJAVfBP18kBAABeAwAADgAAAAAAAAABACAAAAAiAQAAZHJzL2Uy&#10;b0RvYy54bWxQSwUGAAAAAAYABgBZAQAAX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pStyle w:val="81"/>
        <w:ind w:firstLine="630"/>
        <w:sectPr>
          <w:headerReference r:id="rId3" w:type="default"/>
          <w:headerReference r:id="rId4" w:type="even"/>
          <w:footerReference r:id="rId5" w:type="even"/>
          <w:pgSz w:w="11907" w:h="16839"/>
          <w:pgMar w:top="567" w:right="851" w:bottom="1361" w:left="1418" w:header="0" w:footer="0" w:gutter="0"/>
          <w:pgNumType w:fmt="upperRoman" w:start="1"/>
          <w:cols w:space="720" w:num="1"/>
          <w:titlePg/>
          <w:docGrid w:type="lines" w:linePitch="312" w:charSpace="0"/>
        </w:sectPr>
      </w:pPr>
      <w:bookmarkStart w:id="0" w:name="SectionMark0"/>
      <w: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4376420</wp:posOffset>
                </wp:positionH>
                <wp:positionV relativeFrom="paragraph">
                  <wp:posOffset>5985510</wp:posOffset>
                </wp:positionV>
                <wp:extent cx="600075" cy="420370"/>
                <wp:effectExtent l="0" t="0" r="9525" b="0"/>
                <wp:wrapNone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发布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44.6pt;margin-top:471.3pt;height:33.1pt;width:47.25pt;z-index:251671552;mso-width-relative:page;mso-height-relative:page;" fillcolor="#FFFFFF" filled="t" stroked="f" coordsize="21600,21600" o:gfxdata="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O9+XyHZ&#10;AAAADAEAAA8AAAAAAAAAAQAgAAAAIgAAAGRycy9kb3ducmV2LnhtbFBLAQIUABQAAAAIAIdO4kB1&#10;0MVkHwIAAAUEAAAOAAAAAAAAAAEAIAAAACgBAABkcnMvZTJvRG9jLnhtbFBLBQYAAAAABgAGAFkB&#10;AAC5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发布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5815330</wp:posOffset>
                </wp:positionV>
                <wp:extent cx="6121400" cy="0"/>
                <wp:effectExtent l="0" t="0" r="31750" b="1905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0008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5pt;margin-top:457.9pt;height:0pt;width:482pt;z-index:251666432;mso-width-relative:page;mso-height-relative:page;" filled="f" stroked="t" coordsize="21600,21600" o:gfxdata="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SZKGg1QAAAAoBAAAPAAAAAAAAAAEAIAAAACIAAABkcnMvZG93&#10;bnJldi54bWxQSwECFAAUAAAACACHTuJAvJTkocoBAABfAwAADgAAAAAAAAABACAAAAAkAQAAZHJz&#10;L2Uyb0RvYy54bWxQSwUGAAAAAAYABgBZAQAAYAUAAAAA&#10;">
                <v:fill on="f" focussize="0,0"/>
                <v:stroke weight="1pt" color="#800008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1" layoutInCell="1" allowOverlap="1">
                <wp:simplePos x="0" y="0"/>
                <wp:positionH relativeFrom="margin">
                  <wp:posOffset>2673350</wp:posOffset>
                </wp:positionH>
                <wp:positionV relativeFrom="margin">
                  <wp:posOffset>107315</wp:posOffset>
                </wp:positionV>
                <wp:extent cx="3175000" cy="720090"/>
                <wp:effectExtent l="0" t="0" r="6350" b="381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64"/>
                              <w:ind w:firstLine="210"/>
                            </w:pPr>
                            <w:r>
                              <w:t>T</w:t>
                            </w:r>
                            <w:r>
                              <w:rPr>
                                <w:rFonts w:hint="eastAsia"/>
                              </w:rPr>
                              <w:t>/CNIA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0.5pt;margin-top:8.45pt;height:56.7pt;width:250pt;mso-position-horizontal-relative:margin;mso-position-vertical-relative:margin;z-index:251668480;mso-width-relative:page;mso-height-relative:page;" fillcolor="#FFFFFF" filled="t" stroked="f" coordsize="21600,21600" o:gfxdata="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EUDN9HXAAAACgEAAA8AAAAAAAAAAQAgAAAAIgAAAGRy&#10;cy9kb3ducmV2LnhtbFBLAQIUABQAAAAIAIdO4kAtVdAyBgIAAOIDAAAOAAAAAAAAAAEAIAAAACYB&#10;AABkcnMvZTJvRG9jLnhtbFBLBQYAAAAABgAGAFkBAACe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64"/>
                        <w:ind w:firstLine="210"/>
                      </w:pPr>
                      <w:r>
                        <w:t>T</w:t>
                      </w:r>
                      <w:r>
                        <w:rPr>
                          <w:rFonts w:hint="eastAsia"/>
                        </w:rPr>
                        <w:t>/CNIA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8890000</wp:posOffset>
                </wp:positionV>
                <wp:extent cx="6121400" cy="0"/>
                <wp:effectExtent l="14605" t="8890" r="7620" b="1016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0008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700pt;height:0pt;width:482pt;z-index:251667456;mso-width-relative:page;mso-height-relative:page;" filled="f" stroked="t" coordsize="21600,21600" o:gfxdata="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sS+VjSAAAACgEAAA8AAAAAAAAAAQAgAAAAIgAAAGRycy9kb3ducmV2&#10;LnhtbFBLAQIUABQAAAAIAIdO4kCB7lp/yQEAAF8DAAAOAAAAAAAAAAEAIAAAACEBAABkcnMvZTJv&#10;RG9jLnhtbFBLBQYAAAAABgAGAFkBAABcBQAAAAA=&#10;">
                <v:fill on="f" focussize="0,0"/>
                <v:stroke weight="1pt" color="#800008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1" layoutInCell="1" allowOverlap="1">
                <wp:simplePos x="0" y="0"/>
                <wp:positionH relativeFrom="margin">
                  <wp:posOffset>1195070</wp:posOffset>
                </wp:positionH>
                <wp:positionV relativeFrom="margin">
                  <wp:posOffset>9107805</wp:posOffset>
                </wp:positionV>
                <wp:extent cx="3514725" cy="514350"/>
                <wp:effectExtent l="0" t="0" r="9525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2"/>
                              <w:spacing w:line="340" w:lineRule="exact"/>
                              <w:rPr>
                                <w:rFonts w:ascii="黑体" w:eastAsia="黑体"/>
                                <w:b w:val="0"/>
                                <w:bCs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bCs/>
                              </w:rPr>
                              <w:t>中国有色金属工业协会</w:t>
                            </w:r>
                          </w:p>
                          <w:p>
                            <w:pPr>
                              <w:pStyle w:val="23"/>
                              <w:ind w:firstLine="0" w:firstLineChars="0"/>
                              <w:jc w:val="center"/>
                            </w:pPr>
                            <w:r>
                              <w:rPr>
                                <w:rFonts w:hint="eastAsia" w:ascii="黑体" w:eastAsia="黑体"/>
                                <w:b/>
                                <w:bCs/>
                                <w:spacing w:val="20"/>
                                <w:w w:val="135"/>
                                <w:sz w:val="28"/>
                              </w:rPr>
                              <w:t>中国有色金属协会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4.1pt;margin-top:717.15pt;height:40.5pt;width:276.75pt;mso-position-horizontal-relative:margin;mso-position-vertical-relative:margin;z-index:251665408;mso-width-relative:page;mso-height-relative:page;" fillcolor="#FFFFFF" filled="t" stroked="f" coordsize="21600,21600" o:gfxdata="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E7kAv3bAAAADQEAAA8AAAAAAAAAAQAgAAAAIgAA&#10;AGRycy9kb3ducmV2LnhtbFBLAQIUABQAAAAIAIdO4kCK5PasBQIAAOIDAAAOAAAAAAAAAAEAIAAA&#10;ACoBAABkcnMvZTJvRG9jLnhtbFBLBQYAAAAABgAGAFkBAACh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72"/>
                        <w:spacing w:line="340" w:lineRule="exact"/>
                        <w:rPr>
                          <w:rFonts w:ascii="黑体" w:eastAsia="黑体"/>
                          <w:b w:val="0"/>
                          <w:bCs/>
                        </w:rPr>
                      </w:pPr>
                      <w:r>
                        <w:rPr>
                          <w:rFonts w:hint="eastAsia" w:ascii="黑体" w:eastAsia="黑体"/>
                          <w:bCs/>
                        </w:rPr>
                        <w:t>中国有色金属工业协会</w:t>
                      </w:r>
                    </w:p>
                    <w:p>
                      <w:pPr>
                        <w:pStyle w:val="23"/>
                        <w:ind w:firstLine="0" w:firstLineChars="0"/>
                        <w:jc w:val="center"/>
                      </w:pPr>
                      <w:r>
                        <w:rPr>
                          <w:rFonts w:hint="eastAsia" w:ascii="黑体" w:eastAsia="黑体"/>
                          <w:b/>
                          <w:bCs/>
                          <w:spacing w:val="20"/>
                          <w:w w:val="135"/>
                          <w:sz w:val="28"/>
                        </w:rPr>
                        <w:t>中国有色金属协会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1" layoutInCell="1" allowOverlap="1">
                <wp:simplePos x="0" y="0"/>
                <wp:positionH relativeFrom="margin">
                  <wp:posOffset>4100830</wp:posOffset>
                </wp:positionH>
                <wp:positionV relativeFrom="margin">
                  <wp:posOffset>8563610</wp:posOffset>
                </wp:positionV>
                <wp:extent cx="2019300" cy="312420"/>
                <wp:effectExtent l="635" t="0" r="0" b="317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12"/>
                            </w:pPr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  <w: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×-××-××实施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2.9pt;margin-top:674.3pt;height:24.6pt;width:159pt;mso-position-horizontal-relative:margin;mso-position-vertical-relative:margin;z-index:251664384;mso-width-relative:page;mso-height-relative:page;" fillcolor="#FFFFFF" filled="t" stroked="f" coordsize="21600,21600" o:gfxdata="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C/arX2gAAAA0BAAAPAAAAAAAAAAEAIAAAACIAAABk&#10;cnMvZG93bnJldi54bWxQSwECFAAUAAAACACHTuJAwcaYkQQCAADiAwAADgAAAAAAAAABACAAAAAp&#10;AQAAZHJzL2Uyb0RvYy54bWxQSwUGAAAAAAYABgBZAQAAnw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12"/>
                      </w:pPr>
                      <w:r>
                        <w:rPr>
                          <w:rFonts w:hint="eastAsia"/>
                        </w:rPr>
                        <w:t>20</w:t>
                      </w:r>
                      <w:r>
                        <w:t>1</w:t>
                      </w:r>
                      <w:r>
                        <w:rPr>
                          <w:rFonts w:hint="eastAsia"/>
                        </w:rPr>
                        <w:t>×-××-××实施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8563610</wp:posOffset>
                </wp:positionV>
                <wp:extent cx="2019300" cy="312420"/>
                <wp:effectExtent l="0" t="0" r="4445" b="317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3"/>
                            </w:pPr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  <w: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×-××-××发布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674.3pt;height:24.6pt;width:159pt;mso-position-horizontal-relative:margin;mso-position-vertical-relative:margin;z-index:251663360;mso-width-relative:page;mso-height-relative:page;" fillcolor="#FFFFFF" filled="t" stroked="f" coordsize="21600,21600" o:gfxdata="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XzbKiNgAAAAKAQAADwAAAAAAAAABACAAAAAiAAAAZHJz&#10;L2Rvd25yZXYueG1sUEsBAhQAFAAAAAgAh07iQDNqtSUEAgAA4AMAAA4AAAAAAAAAAQAgAAAAJwEA&#10;AGRycy9lMm9Eb2MueG1sUEsFBgAAAAAGAAYAWQEAAJ0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73"/>
                      </w:pPr>
                      <w:r>
                        <w:rPr>
                          <w:rFonts w:hint="eastAsia"/>
                        </w:rPr>
                        <w:t>20</w:t>
                      </w:r>
                      <w:r>
                        <w:t>1</w:t>
                      </w:r>
                      <w:r>
                        <w:rPr>
                          <w:rFonts w:hint="eastAsia"/>
                        </w:rPr>
                        <w:t>×-××-××发布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2971800</wp:posOffset>
                </wp:positionV>
                <wp:extent cx="5969000" cy="5344795"/>
                <wp:effectExtent l="0" t="0" r="0" b="63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0" cy="534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6"/>
                              <w:spacing w:line="240" w:lineRule="auto"/>
                            </w:pPr>
                          </w:p>
                          <w:p>
                            <w:pPr>
                              <w:pStyle w:val="76"/>
                              <w:spacing w:line="240" w:lineRule="auto"/>
                            </w:pPr>
                            <w:r>
                              <w:rPr>
                                <w:rFonts w:hint="eastAsia"/>
                              </w:rPr>
                              <w:t>镍钴湿法冶炼中间品</w:t>
                            </w:r>
                          </w:p>
                          <w:p>
                            <w:pPr>
                              <w:pStyle w:val="76"/>
                              <w:spacing w:line="240" w:lineRule="auto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77"/>
                            </w:pPr>
                            <w:r>
                              <w:rPr>
                                <w:rFonts w:ascii="黑体" w:cs="Arial"/>
                              </w:rPr>
                              <w:t>Intermediate products of nickel-cobalt metallurgy by wet process</w:t>
                            </w:r>
                          </w:p>
                          <w:p>
                            <w:pPr>
                              <w:pStyle w:val="78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送审稿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>
                            <w:pPr>
                              <w:pStyle w:val="80"/>
                              <w:spacing w:before="78" w:after="7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234pt;height:420.85pt;width:470pt;mso-position-horizontal-relative:margin;mso-position-vertical-relative:margin;z-index:251662336;mso-width-relative:page;mso-height-relative:page;" fillcolor="#FFFFFF" filled="t" stroked="f" coordsize="21600,21600" o:gfxdata="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whU9ZNgAAAAJAQAADwAAAAAAAAABACAAAAAiAAAA&#10;ZHJzL2Rvd25yZXYueG1sUEsBAhQAFAAAAAgAh07iQHN1bCsHAgAA4QMAAA4AAAAAAAAAAQAgAAAA&#10;JwEAAGRycy9lMm9Eb2MueG1sUEsFBgAAAAAGAAYAWQEAAKA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76"/>
                        <w:spacing w:line="240" w:lineRule="auto"/>
                      </w:pPr>
                    </w:p>
                    <w:p>
                      <w:pPr>
                        <w:pStyle w:val="76"/>
                        <w:spacing w:line="240" w:lineRule="auto"/>
                      </w:pPr>
                      <w:r>
                        <w:rPr>
                          <w:rFonts w:hint="eastAsia"/>
                        </w:rPr>
                        <w:t>镍钴湿法冶炼中间品</w:t>
                      </w:r>
                    </w:p>
                    <w:p>
                      <w:pPr>
                        <w:pStyle w:val="76"/>
                        <w:spacing w:line="240" w:lineRule="auto"/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  <w:p>
                      <w:pPr>
                        <w:pStyle w:val="77"/>
                      </w:pPr>
                      <w:r>
                        <w:rPr>
                          <w:rFonts w:ascii="黑体" w:cs="Arial"/>
                        </w:rPr>
                        <w:t>Intermediate products of nickel-cobalt metallurgy by wet process</w:t>
                      </w:r>
                    </w:p>
                    <w:p>
                      <w:pPr>
                        <w:pStyle w:val="78"/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  <w:lang w:eastAsia="zh-CN"/>
                        </w:rPr>
                        <w:t>送审稿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>
                      <w:pPr>
                        <w:pStyle w:val="80"/>
                        <w:spacing w:before="78" w:after="78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1401445</wp:posOffset>
                </wp:positionV>
                <wp:extent cx="5802630" cy="860425"/>
                <wp:effectExtent l="0" t="0" r="254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2630" cy="86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5"/>
                              <w:wordWrap w:val="0"/>
                            </w:pPr>
                            <w:r>
                              <w:t>T/CNIA</w:t>
                            </w:r>
                            <w:r>
                              <w:rPr>
                                <w:rFonts w:hint="eastAsia"/>
                              </w:rPr>
                              <w:t xml:space="preserve"> xxx </w:t>
                            </w:r>
                            <w:r>
                              <w:t>—20</w:t>
                            </w:r>
                            <w:r>
                              <w:rPr>
                                <w:rFonts w:hint="eastAsia"/>
                              </w:rPr>
                              <w:t>1x</w:t>
                            </w:r>
                          </w:p>
                          <w:p>
                            <w:pPr>
                              <w:pStyle w:val="45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     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110.35pt;height:67.75pt;width:456.9pt;mso-position-horizontal-relative:margin;mso-position-vertical-relative:margin;z-index:251661312;mso-width-relative:page;mso-height-relative:page;" fillcolor="#FFFFFF" filled="t" stroked="f" coordsize="21600,21600" o:gfxdata="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FAaT72AAAAAgBAAAPAAAAAAAAAAEAIAAAACIAAABk&#10;cnMvZG93bnJldi54bWxQSwECFAAUAAAACACHTuJA+E2CBAYCAADgAwAADgAAAAAAAAABACAAAAAn&#10;AQAAZHJzL2Uyb0RvYy54bWxQSwUGAAAAAAYABgBZAQAAnw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45"/>
                        <w:wordWrap w:val="0"/>
                      </w:pPr>
                      <w:r>
                        <w:t>T/CNIA</w:t>
                      </w:r>
                      <w:r>
                        <w:rPr>
                          <w:rFonts w:hint="eastAsia"/>
                        </w:rPr>
                        <w:t xml:space="preserve"> xxx </w:t>
                      </w:r>
                      <w:r>
                        <w:t>—20</w:t>
                      </w:r>
                      <w:r>
                        <w:rPr>
                          <w:rFonts w:hint="eastAsia"/>
                        </w:rPr>
                        <w:t>1x</w:t>
                      </w:r>
                    </w:p>
                    <w:p>
                      <w:pPr>
                        <w:pStyle w:val="45"/>
                        <w:jc w:val="center"/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</w:rPr>
                        <w:t xml:space="preserve">                                            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posOffset>4445</wp:posOffset>
                </wp:positionH>
                <wp:positionV relativeFrom="margin">
                  <wp:posOffset>1011555</wp:posOffset>
                </wp:positionV>
                <wp:extent cx="6121400" cy="391160"/>
                <wp:effectExtent l="0" t="0" r="0" b="889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8"/>
                            </w:pPr>
                            <w:r>
                              <w:rPr>
                                <w:rFonts w:hint="eastAsia"/>
                              </w:rPr>
                              <w:t>中国有色金属工业协会标准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35pt;margin-top:79.65pt;height:30.8pt;width:482pt;mso-position-horizontal-relative:margin;mso-position-vertical-relative:margin;z-index:251660288;mso-width-relative:page;mso-height-relative:page;" fillcolor="#FFFFFF" filled="t" stroked="f" coordsize="21600,21600" o:gfxdata="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v0+YDdcAAAAIAQAADwAAAAAAAAABACAAAAAiAAAAZHJz&#10;L2Rvd25yZXYueG1sUEsBAhQAFAAAAAgAh07iQGGHTIIFAgAA4AMAAA4AAAAAAAAAAQAgAAAAJgEA&#10;AGRycy9lMm9Eb2MueG1sUEsFBgAAAAAGAAYAWQEAAJ0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08"/>
                      </w:pPr>
                      <w:r>
                        <w:rPr>
                          <w:rFonts w:hint="eastAsia"/>
                        </w:rPr>
                        <w:t>中国有色金属工业协会标准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540000" cy="657860"/>
                <wp:effectExtent l="0" t="0" r="0" b="127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21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ICS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73.060</w:t>
                            </w:r>
                          </w:p>
                          <w:p>
                            <w:pPr>
                              <w:pStyle w:val="121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XXX</w:t>
                            </w:r>
                          </w:p>
                          <w:p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0pt;height:51.8pt;width:200pt;mso-position-horizontal-relative:margin;mso-position-vertical-relative:margin;z-index:251659264;mso-width-relative:page;mso-height-relative:page;" fillcolor="#FFFFFF" filled="t" stroked="f" coordsize="21600,21600" o:gfxdata="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F7Mvg0wAAAAUBAAAPAAAAAAAAAAEAIAAAACIAAABkcnMvZG93&#10;bnJldi54bWxQSwECFAAUAAAACACHTuJAOp6D5AUCAADgAwAADgAAAAAAAAABACAAAAAiAQAAZHJz&#10;L2Uyb0RvYy54bWxQSwUGAAAAAAYABgBZAQAAmQ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21"/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ICS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/>
                        </w:rPr>
                        <w:t>73.060</w:t>
                      </w:r>
                    </w:p>
                    <w:p>
                      <w:pPr>
                        <w:pStyle w:val="121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XXX</w:t>
                      </w:r>
                    </w:p>
                    <w:p/>
                  </w:txbxContent>
                </v:textbox>
                <w10:anchorlock/>
              </v:shape>
            </w:pict>
          </mc:Fallback>
        </mc:AlternateContent>
      </w:r>
    </w:p>
    <w:bookmarkEnd w:id="0"/>
    <w:p>
      <w:pPr>
        <w:pStyle w:val="110"/>
      </w:pPr>
      <w:r>
        <w:rPr>
          <w:rFonts w:hint="eastAsia"/>
        </w:rPr>
        <w:t>前</w:t>
      </w:r>
      <w:r>
        <w:t>  </w:t>
      </w:r>
      <w:r>
        <w:rPr>
          <w:rFonts w:hint="eastAsia"/>
        </w:rPr>
        <w:t>言</w:t>
      </w:r>
    </w:p>
    <w:p>
      <w:pPr>
        <w:tabs>
          <w:tab w:val="center" w:pos="4201"/>
          <w:tab w:val="right" w:leader="dot" w:pos="9298"/>
        </w:tabs>
        <w:autoSpaceDE w:val="0"/>
        <w:autoSpaceDN w:val="0"/>
        <w:adjustRightInd w:val="0"/>
        <w:spacing w:line="400" w:lineRule="exact"/>
        <w:ind w:firstLine="480" w:firstLineChars="200"/>
        <w:rPr>
          <w:kern w:val="0"/>
          <w:sz w:val="24"/>
        </w:rPr>
      </w:pPr>
      <w:r>
        <w:rPr>
          <w:kern w:val="0"/>
          <w:sz w:val="24"/>
          <w:lang w:val="zh-CN"/>
        </w:rPr>
        <w:t>本标准按照</w:t>
      </w:r>
      <w:r>
        <w:rPr>
          <w:kern w:val="0"/>
          <w:sz w:val="24"/>
        </w:rPr>
        <w:t>GB/T 1.1</w:t>
      </w:r>
      <w:r>
        <w:rPr>
          <w:rFonts w:hint="eastAsia"/>
          <w:kern w:val="0"/>
          <w:sz w:val="24"/>
          <w:lang w:val="zh-CN"/>
        </w:rPr>
        <w:t>-</w:t>
      </w:r>
      <w:r>
        <w:rPr>
          <w:kern w:val="0"/>
          <w:sz w:val="24"/>
        </w:rPr>
        <w:t>2009</w:t>
      </w:r>
      <w:r>
        <w:rPr>
          <w:kern w:val="0"/>
          <w:sz w:val="24"/>
          <w:lang w:val="zh-CN"/>
        </w:rPr>
        <w:t>给出的规则起草。</w:t>
      </w:r>
    </w:p>
    <w:p>
      <w:pPr>
        <w:autoSpaceDE w:val="0"/>
        <w:autoSpaceDN w:val="0"/>
        <w:adjustRightInd w:val="0"/>
        <w:spacing w:line="400" w:lineRule="exact"/>
        <w:ind w:firstLine="480" w:firstLineChars="200"/>
        <w:rPr>
          <w:sz w:val="24"/>
        </w:rPr>
      </w:pPr>
      <w:r>
        <w:rPr>
          <w:sz w:val="24"/>
          <w:lang w:val="zh-CN"/>
        </w:rPr>
        <w:t>本标准由全国有色金属标准化技术委员会（SAC/T 243）提出并归口。</w:t>
      </w:r>
    </w:p>
    <w:p>
      <w:pPr>
        <w:autoSpaceDE w:val="0"/>
        <w:autoSpaceDN w:val="0"/>
        <w:adjustRightInd w:val="0"/>
        <w:spacing w:line="400" w:lineRule="exact"/>
        <w:ind w:firstLine="480" w:firstLineChars="200"/>
        <w:rPr>
          <w:sz w:val="24"/>
          <w:lang w:val="zh-CN"/>
        </w:rPr>
      </w:pPr>
      <w:r>
        <w:rPr>
          <w:sz w:val="24"/>
          <w:lang w:val="zh-CN"/>
        </w:rPr>
        <w:t>本标准起草单位：衢州华友钴新材料有限公司、浙江华友钴业股份有限公司、湖南邦普循环科技有限公司、格林美股份有限公司、金川集团股份有限公司</w:t>
      </w:r>
      <w:r>
        <w:rPr>
          <w:rFonts w:hint="eastAsia"/>
          <w:sz w:val="24"/>
          <w:lang w:val="zh-CN"/>
        </w:rPr>
        <w:t>、清远佳致新材料研究院有限公司、广东佳钠能源科技有限公司</w:t>
      </w:r>
      <w:r>
        <w:rPr>
          <w:sz w:val="24"/>
          <w:lang w:val="zh-CN"/>
        </w:rPr>
        <w:t>等</w:t>
      </w:r>
    </w:p>
    <w:p>
      <w:pPr>
        <w:pStyle w:val="23"/>
        <w:spacing w:line="400" w:lineRule="exact"/>
        <w:ind w:firstLine="480"/>
        <w:rPr>
          <w:rFonts w:ascii="Times New Roman"/>
          <w:kern w:val="2"/>
          <w:sz w:val="24"/>
          <w:szCs w:val="24"/>
          <w:lang w:val="zh-CN"/>
        </w:rPr>
      </w:pPr>
      <w:r>
        <w:rPr>
          <w:rFonts w:ascii="Times New Roman"/>
          <w:kern w:val="2"/>
          <w:sz w:val="24"/>
          <w:szCs w:val="24"/>
          <w:lang w:val="zh-CN"/>
        </w:rPr>
        <w:t>本标准主要起草人：</w:t>
      </w:r>
    </w:p>
    <w:p>
      <w:pPr>
        <w:pStyle w:val="23"/>
        <w:ind w:firstLine="0" w:firstLineChars="0"/>
      </w:pPr>
    </w:p>
    <w:p>
      <w:pPr>
        <w:pStyle w:val="48"/>
        <w:rPr>
          <w:rFonts w:ascii="Times New Roman"/>
        </w:rPr>
      </w:pPr>
      <w:r>
        <w:rPr>
          <w:rFonts w:hint="eastAsia" w:ascii="Times New Roman"/>
        </w:rPr>
        <w:t>镍、钴湿法冶炼中间品</w:t>
      </w:r>
    </w:p>
    <w:p>
      <w:pPr>
        <w:pStyle w:val="43"/>
        <w:spacing w:before="156" w:beforeLines="50" w:after="156" w:afterLines="50" w:line="360" w:lineRule="exact"/>
        <w:ind w:left="0"/>
        <w:rPr>
          <w:rFonts w:ascii="Times New Roman"/>
          <w:sz w:val="24"/>
          <w:szCs w:val="24"/>
        </w:rPr>
      </w:pPr>
      <w:r>
        <w:rPr>
          <w:rFonts w:hint="eastAsia" w:ascii="Times New Roman"/>
          <w:sz w:val="24"/>
          <w:szCs w:val="24"/>
        </w:rPr>
        <w:t>范围</w:t>
      </w:r>
    </w:p>
    <w:p>
      <w:pPr>
        <w:pStyle w:val="43"/>
        <w:numPr>
          <w:ilvl w:val="0"/>
          <w:numId w:val="0"/>
        </w:numPr>
        <w:spacing w:before="0" w:beforeLines="0" w:after="0" w:afterLines="0" w:line="400" w:lineRule="exact"/>
        <w:ind w:firstLine="480" w:firstLineChars="200"/>
        <w:rPr>
          <w:rFonts w:ascii="Times New Roman"/>
          <w:sz w:val="24"/>
          <w:szCs w:val="24"/>
        </w:rPr>
      </w:pPr>
      <w:r>
        <w:rPr>
          <w:rFonts w:hint="eastAsia" w:ascii="Times New Roman" w:eastAsia="宋体"/>
          <w:sz w:val="24"/>
          <w:szCs w:val="24"/>
        </w:rPr>
        <w:t>本标准规定了镍、钴湿法冶炼中间品的要求、试验方法、检验规则和标志、包装、运输、贮存、质量证明书及订货单（或合同）内容。</w:t>
      </w:r>
    </w:p>
    <w:p>
      <w:pPr>
        <w:pStyle w:val="43"/>
        <w:numPr>
          <w:ilvl w:val="0"/>
          <w:numId w:val="0"/>
        </w:numPr>
        <w:spacing w:before="0" w:beforeLines="0" w:after="0" w:afterLines="0" w:line="400" w:lineRule="exact"/>
        <w:ind w:firstLine="480" w:firstLineChars="200"/>
        <w:rPr>
          <w:rFonts w:ascii="Times New Roman"/>
          <w:sz w:val="24"/>
          <w:szCs w:val="24"/>
        </w:rPr>
      </w:pPr>
      <w:r>
        <w:rPr>
          <w:rFonts w:hint="eastAsia" w:ascii="Times New Roman" w:eastAsia="宋体"/>
          <w:sz w:val="24"/>
          <w:szCs w:val="24"/>
        </w:rPr>
        <w:t>本标准适用于湿法回收废电池（仅指含镍元素或钴元素的锂离子电池、镍氢电池及电芯）处理得到的镍、钴湿法冶炼中间品，供生产钴镍高纯化学品、钴镍金属制品及相关材料。其他含镍元素的电池（如镉镍电池、锌镍电池、铁镍电池等）可参照执行。</w:t>
      </w:r>
    </w:p>
    <w:p>
      <w:pPr>
        <w:pStyle w:val="43"/>
        <w:spacing w:before="156" w:beforeLines="50" w:after="156" w:afterLines="50" w:line="360" w:lineRule="exact"/>
        <w:ind w:left="0"/>
        <w:rPr>
          <w:rFonts w:ascii="Times New Roman"/>
          <w:sz w:val="24"/>
          <w:szCs w:val="24"/>
        </w:rPr>
      </w:pPr>
      <w:r>
        <w:rPr>
          <w:rFonts w:hint="eastAsia" w:ascii="Times New Roman"/>
          <w:sz w:val="24"/>
          <w:szCs w:val="24"/>
        </w:rPr>
        <w:t>规范性引用文件</w:t>
      </w:r>
    </w:p>
    <w:p>
      <w:pPr>
        <w:pStyle w:val="23"/>
        <w:spacing w:line="400" w:lineRule="exact"/>
        <w:ind w:firstLine="480"/>
        <w:rPr>
          <w:rFonts w:ascii="Times New Roman"/>
          <w:sz w:val="24"/>
          <w:szCs w:val="24"/>
        </w:rPr>
      </w:pPr>
      <w:r>
        <w:rPr>
          <w:rFonts w:hint="eastAsia" w:ascii="Times New Roman"/>
          <w:sz w:val="24"/>
          <w:szCs w:val="24"/>
        </w:rPr>
        <w:t>下列文件对于本文件的应用是必不可少的。凡是注日期的引用文件，仅所注日期的版本适用于本文件。凡是不注日期的引用文件，其最新版本（包括所有的修改单）适用于本文件。</w:t>
      </w:r>
    </w:p>
    <w:p>
      <w:pPr>
        <w:pStyle w:val="23"/>
        <w:spacing w:line="400" w:lineRule="exact"/>
        <w:ind w:firstLine="48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GB 5085.3-2007 </w:t>
      </w:r>
      <w:r>
        <w:rPr>
          <w:rFonts w:hint="eastAsia" w:ascii="Times New Roman"/>
          <w:sz w:val="24"/>
          <w:szCs w:val="24"/>
        </w:rPr>
        <w:t>危险废物鉴别标准 浸出毒性鉴别</w:t>
      </w:r>
    </w:p>
    <w:p>
      <w:pPr>
        <w:pStyle w:val="23"/>
        <w:spacing w:line="400" w:lineRule="exact"/>
        <w:ind w:firstLine="48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GB/T 6678  </w:t>
      </w:r>
      <w:r>
        <w:rPr>
          <w:rFonts w:hint="eastAsia" w:ascii="Times New Roman"/>
          <w:sz w:val="24"/>
          <w:szCs w:val="24"/>
        </w:rPr>
        <w:t>化工产品采样总则</w:t>
      </w:r>
    </w:p>
    <w:p>
      <w:pPr>
        <w:pStyle w:val="23"/>
        <w:spacing w:line="400" w:lineRule="exact"/>
        <w:ind w:firstLine="48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GB/T 8170  </w:t>
      </w:r>
      <w:r>
        <w:rPr>
          <w:rFonts w:hint="eastAsia" w:ascii="Times New Roman"/>
          <w:sz w:val="24"/>
          <w:szCs w:val="24"/>
        </w:rPr>
        <w:t>数值修约规则与极限数值的表示和判定</w:t>
      </w:r>
    </w:p>
    <w:p>
      <w:pPr>
        <w:pStyle w:val="23"/>
        <w:spacing w:line="400" w:lineRule="exact"/>
        <w:ind w:firstLine="48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YS/T 1152  </w:t>
      </w:r>
      <w:r>
        <w:rPr>
          <w:rFonts w:hint="eastAsia" w:ascii="Times New Roman"/>
          <w:sz w:val="24"/>
          <w:szCs w:val="24"/>
        </w:rPr>
        <w:t>粗氢氧化钴</w:t>
      </w:r>
    </w:p>
    <w:p>
      <w:pPr>
        <w:pStyle w:val="23"/>
        <w:spacing w:line="400" w:lineRule="exact"/>
        <w:ind w:firstLine="48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YS/T 1157</w:t>
      </w:r>
      <w:r>
        <w:rPr>
          <w:rFonts w:hint="eastAsia" w:ascii="Times New Roman"/>
          <w:sz w:val="24"/>
          <w:szCs w:val="24"/>
        </w:rPr>
        <w:t xml:space="preserve">  粗氢氧化钴化学分析方法（所有部分）</w:t>
      </w:r>
    </w:p>
    <w:p>
      <w:pPr>
        <w:pStyle w:val="23"/>
        <w:spacing w:line="400" w:lineRule="exact"/>
        <w:ind w:firstLine="48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YS/T 1228</w:t>
      </w:r>
      <w:r>
        <w:rPr>
          <w:rFonts w:hint="eastAsia" w:ascii="Times New Roman"/>
          <w:sz w:val="24"/>
          <w:szCs w:val="24"/>
        </w:rPr>
        <w:t xml:space="preserve">  粗氢氧化镍</w:t>
      </w:r>
    </w:p>
    <w:p>
      <w:pPr>
        <w:pStyle w:val="23"/>
        <w:spacing w:line="400" w:lineRule="exact"/>
        <w:ind w:firstLine="48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YS/T 1229</w:t>
      </w:r>
      <w:r>
        <w:rPr>
          <w:rFonts w:hint="eastAsia" w:ascii="Times New Roman"/>
          <w:sz w:val="24"/>
          <w:szCs w:val="24"/>
        </w:rPr>
        <w:t xml:space="preserve">  粗氢氧化镍化学分析方法（所有部分）</w:t>
      </w:r>
    </w:p>
    <w:p>
      <w:pPr>
        <w:pStyle w:val="23"/>
        <w:spacing w:line="400" w:lineRule="exact"/>
        <w:ind w:firstLine="48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HG/T 5019-2016 </w:t>
      </w:r>
      <w:r>
        <w:rPr>
          <w:rFonts w:hint="eastAsia" w:ascii="Times New Roman"/>
          <w:sz w:val="24"/>
          <w:szCs w:val="24"/>
        </w:rPr>
        <w:t>废电池中镍钴回收方法</w:t>
      </w:r>
    </w:p>
    <w:p>
      <w:pPr>
        <w:pStyle w:val="43"/>
        <w:spacing w:before="156" w:beforeLines="50" w:after="156" w:afterLines="50" w:line="360" w:lineRule="exact"/>
        <w:ind w:left="0"/>
        <w:rPr>
          <w:rFonts w:ascii="Times New Roman"/>
          <w:sz w:val="24"/>
          <w:szCs w:val="24"/>
        </w:rPr>
      </w:pPr>
      <w:r>
        <w:rPr>
          <w:rFonts w:hint="eastAsia" w:ascii="Times New Roman"/>
          <w:sz w:val="24"/>
          <w:szCs w:val="24"/>
        </w:rPr>
        <w:t>要求</w:t>
      </w:r>
    </w:p>
    <w:p>
      <w:pPr>
        <w:pStyle w:val="43"/>
        <w:numPr>
          <w:ilvl w:val="0"/>
          <w:numId w:val="0"/>
        </w:numPr>
        <w:spacing w:before="0" w:beforeLines="0" w:after="0" w:afterLines="0" w:line="400" w:lineRule="exact"/>
        <w:outlineLvl w:val="2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3.1 </w:t>
      </w:r>
      <w:r>
        <w:rPr>
          <w:rFonts w:hint="eastAsia" w:ascii="Times New Roman"/>
          <w:sz w:val="24"/>
          <w:szCs w:val="24"/>
        </w:rPr>
        <w:t>化学成分</w:t>
      </w:r>
    </w:p>
    <w:p>
      <w:pPr>
        <w:pStyle w:val="23"/>
        <w:spacing w:before="156" w:beforeLines="50" w:line="400" w:lineRule="exact"/>
        <w:ind w:firstLine="480"/>
        <w:rPr>
          <w:rFonts w:ascii="Times New Roman"/>
          <w:sz w:val="24"/>
          <w:szCs w:val="24"/>
        </w:rPr>
      </w:pPr>
      <w:r>
        <w:rPr>
          <w:rFonts w:hint="eastAsia" w:ascii="Times New Roman"/>
          <w:sz w:val="24"/>
          <w:szCs w:val="24"/>
        </w:rPr>
        <w:t>产品（干基）的化学成分应符合表</w:t>
      </w:r>
      <w:r>
        <w:rPr>
          <w:rFonts w:ascii="Times New Roman"/>
          <w:sz w:val="24"/>
          <w:szCs w:val="24"/>
        </w:rPr>
        <w:t>1的规定。</w:t>
      </w:r>
    </w:p>
    <w:p>
      <w:pPr>
        <w:pStyle w:val="23"/>
        <w:spacing w:before="156" w:beforeLines="50" w:line="400" w:lineRule="exact"/>
        <w:ind w:firstLine="0" w:firstLineChars="0"/>
        <w:jc w:val="center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表1 </w:t>
      </w:r>
      <w:r>
        <w:rPr>
          <w:rFonts w:hint="eastAsia" w:ascii="Times New Roman"/>
          <w:sz w:val="24"/>
          <w:szCs w:val="24"/>
        </w:rPr>
        <w:t>产品的化学成分</w:t>
      </w:r>
    </w:p>
    <w:tbl>
      <w:tblPr>
        <w:tblStyle w:val="38"/>
        <w:tblW w:w="833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8"/>
        <w:gridCol w:w="2064"/>
        <w:gridCol w:w="1699"/>
        <w:gridCol w:w="1557"/>
        <w:gridCol w:w="15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8" w:type="dxa"/>
            <w:vMerge w:val="restart"/>
            <w:vAlign w:val="center"/>
          </w:tcPr>
          <w:p>
            <w:pPr>
              <w:pStyle w:val="23"/>
              <w:ind w:firstLine="0" w:firstLineChars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化学成分</w:t>
            </w:r>
          </w:p>
        </w:tc>
        <w:tc>
          <w:tcPr>
            <w:tcW w:w="3763" w:type="dxa"/>
            <w:gridSpan w:val="2"/>
            <w:vAlign w:val="center"/>
          </w:tcPr>
          <w:p>
            <w:pPr>
              <w:pStyle w:val="23"/>
              <w:ind w:firstLine="0" w:firstLineChars="0"/>
              <w:jc w:val="center"/>
              <w:rPr>
                <w:rFonts w:hint="eastAsia" w:ascii="Times New Roman" w:eastAsia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/>
                <w:sz w:val="24"/>
                <w:szCs w:val="24"/>
                <w:lang w:eastAsia="zh-CN"/>
              </w:rPr>
              <w:t>成份</w:t>
            </w:r>
          </w:p>
        </w:tc>
        <w:tc>
          <w:tcPr>
            <w:tcW w:w="1557" w:type="dxa"/>
          </w:tcPr>
          <w:p>
            <w:pPr>
              <w:pStyle w:val="23"/>
              <w:ind w:firstLine="0" w:firstLineChars="0"/>
              <w:jc w:val="center"/>
              <w:rPr>
                <w:rFonts w:hint="eastAsia" w:ascii="Times New Roman" w:eastAsia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/>
                <w:sz w:val="24"/>
                <w:szCs w:val="24"/>
                <w:lang w:eastAsia="zh-CN"/>
              </w:rPr>
              <w:t>二等品</w:t>
            </w:r>
          </w:p>
        </w:tc>
        <w:tc>
          <w:tcPr>
            <w:tcW w:w="1540" w:type="dxa"/>
          </w:tcPr>
          <w:p>
            <w:pPr>
              <w:pStyle w:val="23"/>
              <w:ind w:firstLine="0" w:firstLineChars="0"/>
              <w:jc w:val="center"/>
              <w:rPr>
                <w:rFonts w:hint="eastAsia" w:ascii="Times New Roman" w:eastAsia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/>
                <w:sz w:val="24"/>
                <w:szCs w:val="24"/>
                <w:lang w:eastAsia="zh-CN"/>
              </w:rPr>
              <w:t>一等品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8" w:type="dxa"/>
            <w:vMerge w:val="continue"/>
            <w:vAlign w:val="center"/>
          </w:tcPr>
          <w:p>
            <w:pPr>
              <w:pStyle w:val="23"/>
              <w:ind w:firstLine="0" w:firstLineChars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763" w:type="dxa"/>
            <w:gridSpan w:val="2"/>
            <w:vAlign w:val="center"/>
          </w:tcPr>
          <w:p>
            <w:pPr>
              <w:pStyle w:val="23"/>
              <w:ind w:firstLine="0" w:firstLineChars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Co+Ni，%</w:t>
            </w:r>
          </w:p>
        </w:tc>
        <w:tc>
          <w:tcPr>
            <w:tcW w:w="1557" w:type="dxa"/>
            <w:vAlign w:val="top"/>
          </w:tcPr>
          <w:p>
            <w:pPr>
              <w:pStyle w:val="23"/>
              <w:ind w:firstLine="0" w:firstLineChars="0"/>
              <w:jc w:val="center"/>
              <w:rPr>
                <w:rFonts w:hint="eastAsia"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≥20</w:t>
            </w:r>
          </w:p>
        </w:tc>
        <w:tc>
          <w:tcPr>
            <w:tcW w:w="1540" w:type="dxa"/>
            <w:vAlign w:val="top"/>
          </w:tcPr>
          <w:p>
            <w:pPr>
              <w:pStyle w:val="23"/>
              <w:ind w:firstLine="0" w:firstLineChars="0"/>
              <w:jc w:val="center"/>
              <w:rPr>
                <w:rFonts w:hint="eastAsia" w:asci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szCs w:val="24"/>
                <w:lang w:eastAsia="zh-CN"/>
              </w:rPr>
              <w:t>≥</w:t>
            </w:r>
            <w:r>
              <w:rPr>
                <w:rFonts w:hint="eastAsia" w:ascii="Times New Roman"/>
                <w:sz w:val="24"/>
                <w:szCs w:val="24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8" w:type="dxa"/>
            <w:vMerge w:val="continue"/>
          </w:tcPr>
          <w:p>
            <w:pPr>
              <w:pStyle w:val="23"/>
              <w:ind w:firstLine="0" w:firstLineChars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064" w:type="dxa"/>
            <w:vMerge w:val="restart"/>
            <w:vAlign w:val="center"/>
          </w:tcPr>
          <w:p>
            <w:pPr>
              <w:pStyle w:val="23"/>
              <w:ind w:firstLine="0" w:firstLineChars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杂质含量， %</w:t>
            </w:r>
          </w:p>
        </w:tc>
        <w:tc>
          <w:tcPr>
            <w:tcW w:w="1699" w:type="dxa"/>
          </w:tcPr>
          <w:p>
            <w:pPr>
              <w:pStyle w:val="23"/>
              <w:ind w:firstLine="0" w:firstLineChars="0"/>
              <w:jc w:val="center"/>
              <w:rPr>
                <w:rFonts w:ascii="Times New Roman"/>
                <w:bCs/>
                <w:sz w:val="24"/>
                <w:szCs w:val="24"/>
              </w:rPr>
            </w:pPr>
            <w:r>
              <w:rPr>
                <w:rFonts w:ascii="Times New Roman"/>
                <w:bCs/>
                <w:sz w:val="24"/>
                <w:szCs w:val="24"/>
              </w:rPr>
              <w:t>Al</w:t>
            </w:r>
          </w:p>
        </w:tc>
        <w:tc>
          <w:tcPr>
            <w:tcW w:w="1557" w:type="dxa"/>
          </w:tcPr>
          <w:p>
            <w:pPr>
              <w:pStyle w:val="23"/>
              <w:ind w:firstLine="0" w:firstLineChars="0"/>
              <w:jc w:val="center"/>
              <w:rPr>
                <w:rFonts w:ascii="Times New Roman"/>
                <w:bCs/>
                <w:sz w:val="24"/>
                <w:szCs w:val="24"/>
              </w:rPr>
            </w:pPr>
            <w:r>
              <w:rPr>
                <w:rFonts w:hint="eastAsia" w:ascii="Times New Roman"/>
                <w:bCs/>
                <w:sz w:val="24"/>
                <w:szCs w:val="24"/>
              </w:rPr>
              <w:t>≤</w:t>
            </w:r>
            <w:r>
              <w:rPr>
                <w:rFonts w:ascii="Times New Roman"/>
                <w:bCs/>
                <w:sz w:val="24"/>
                <w:szCs w:val="24"/>
              </w:rPr>
              <w:t>1.00</w:t>
            </w:r>
          </w:p>
        </w:tc>
        <w:tc>
          <w:tcPr>
            <w:tcW w:w="1540" w:type="dxa"/>
            <w:vAlign w:val="top"/>
          </w:tcPr>
          <w:p>
            <w:pPr>
              <w:pStyle w:val="23"/>
              <w:ind w:firstLine="0" w:firstLineChars="0"/>
              <w:jc w:val="center"/>
              <w:rPr>
                <w:rFonts w:hint="eastAsia" w:ascii="Times New Roman"/>
                <w:bCs/>
                <w:sz w:val="24"/>
                <w:szCs w:val="24"/>
              </w:rPr>
            </w:pPr>
            <w:r>
              <w:rPr>
                <w:rFonts w:hint="eastAsia" w:ascii="Times New Roman"/>
                <w:bCs/>
                <w:sz w:val="24"/>
                <w:szCs w:val="24"/>
              </w:rPr>
              <w:t>≤</w:t>
            </w:r>
            <w:r>
              <w:rPr>
                <w:rFonts w:ascii="Times New Roman"/>
                <w:bCs/>
                <w:sz w:val="24"/>
                <w:szCs w:val="24"/>
              </w:rPr>
              <w:t>1.00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8" w:type="dxa"/>
            <w:vMerge w:val="continue"/>
          </w:tcPr>
          <w:p>
            <w:pPr>
              <w:pStyle w:val="23"/>
              <w:ind w:firstLine="0" w:firstLineChars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064" w:type="dxa"/>
            <w:vMerge w:val="continue"/>
          </w:tcPr>
          <w:p>
            <w:pPr>
              <w:pStyle w:val="23"/>
              <w:ind w:firstLine="0" w:firstLineChars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3"/>
              <w:ind w:firstLine="0" w:firstLineChars="0"/>
              <w:jc w:val="center"/>
              <w:rPr>
                <w:rFonts w:ascii="Times New Roman"/>
                <w:bCs/>
                <w:sz w:val="24"/>
                <w:szCs w:val="24"/>
              </w:rPr>
            </w:pPr>
            <w:r>
              <w:rPr>
                <w:rFonts w:ascii="Times New Roman"/>
                <w:bCs/>
                <w:sz w:val="24"/>
                <w:szCs w:val="24"/>
              </w:rPr>
              <w:t>Li</w:t>
            </w:r>
          </w:p>
        </w:tc>
        <w:tc>
          <w:tcPr>
            <w:tcW w:w="1557" w:type="dxa"/>
          </w:tcPr>
          <w:p>
            <w:pPr>
              <w:pStyle w:val="23"/>
              <w:ind w:firstLine="0" w:firstLineChars="0"/>
              <w:jc w:val="center"/>
              <w:rPr>
                <w:rFonts w:ascii="Times New Roman"/>
                <w:bCs/>
                <w:sz w:val="24"/>
                <w:szCs w:val="24"/>
              </w:rPr>
            </w:pPr>
            <w:r>
              <w:rPr>
                <w:rFonts w:hint="eastAsia" w:ascii="Times New Roman"/>
                <w:bCs/>
                <w:sz w:val="24"/>
                <w:szCs w:val="24"/>
              </w:rPr>
              <w:t>≤</w:t>
            </w:r>
            <w:r>
              <w:rPr>
                <w:rFonts w:ascii="Times New Roman"/>
                <w:bCs/>
                <w:sz w:val="24"/>
                <w:szCs w:val="24"/>
              </w:rPr>
              <w:t>1.00</w:t>
            </w:r>
          </w:p>
        </w:tc>
        <w:tc>
          <w:tcPr>
            <w:tcW w:w="1540" w:type="dxa"/>
            <w:vAlign w:val="top"/>
          </w:tcPr>
          <w:p>
            <w:pPr>
              <w:pStyle w:val="23"/>
              <w:ind w:firstLine="0" w:firstLineChars="0"/>
              <w:jc w:val="center"/>
              <w:rPr>
                <w:rFonts w:hint="eastAsia" w:ascii="Times New Roman"/>
                <w:bCs/>
                <w:sz w:val="24"/>
                <w:szCs w:val="24"/>
              </w:rPr>
            </w:pPr>
            <w:r>
              <w:rPr>
                <w:rFonts w:hint="eastAsia" w:ascii="Times New Roman"/>
                <w:bCs/>
                <w:sz w:val="24"/>
                <w:szCs w:val="24"/>
              </w:rPr>
              <w:t>≤</w:t>
            </w:r>
            <w:r>
              <w:rPr>
                <w:rFonts w:ascii="Times New Roman"/>
                <w:bCs/>
                <w:sz w:val="24"/>
                <w:szCs w:val="24"/>
              </w:rPr>
              <w:t>1.00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8" w:type="dxa"/>
            <w:vMerge w:val="continue"/>
          </w:tcPr>
          <w:p>
            <w:pPr>
              <w:pStyle w:val="23"/>
              <w:ind w:firstLine="0" w:firstLineChars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064" w:type="dxa"/>
            <w:vMerge w:val="continue"/>
          </w:tcPr>
          <w:p>
            <w:pPr>
              <w:pStyle w:val="23"/>
              <w:ind w:firstLine="0" w:firstLineChars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3"/>
              <w:ind w:firstLine="0" w:firstLineChars="0"/>
              <w:jc w:val="center"/>
              <w:rPr>
                <w:rFonts w:ascii="Times New Roman"/>
                <w:bCs/>
                <w:sz w:val="24"/>
                <w:szCs w:val="24"/>
              </w:rPr>
            </w:pPr>
            <w:r>
              <w:rPr>
                <w:rFonts w:ascii="Times New Roman"/>
                <w:bCs/>
                <w:sz w:val="24"/>
                <w:szCs w:val="24"/>
              </w:rPr>
              <w:t>F</w:t>
            </w:r>
          </w:p>
        </w:tc>
        <w:tc>
          <w:tcPr>
            <w:tcW w:w="1557" w:type="dxa"/>
          </w:tcPr>
          <w:p>
            <w:pPr>
              <w:pStyle w:val="23"/>
              <w:ind w:firstLine="0" w:firstLineChars="0"/>
              <w:jc w:val="center"/>
              <w:rPr>
                <w:rFonts w:ascii="Times New Roman"/>
                <w:bCs/>
                <w:sz w:val="24"/>
                <w:szCs w:val="24"/>
              </w:rPr>
            </w:pPr>
            <w:r>
              <w:rPr>
                <w:rFonts w:hint="eastAsia" w:ascii="Times New Roman"/>
                <w:bCs/>
                <w:sz w:val="24"/>
                <w:szCs w:val="24"/>
              </w:rPr>
              <w:t>≤</w:t>
            </w:r>
            <w:r>
              <w:rPr>
                <w:rFonts w:ascii="Times New Roman"/>
                <w:bCs/>
                <w:sz w:val="24"/>
                <w:szCs w:val="24"/>
              </w:rPr>
              <w:t>0.5</w:t>
            </w:r>
            <w:r>
              <w:rPr>
                <w:rFonts w:hint="eastAsia" w:asci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40" w:type="dxa"/>
            <w:vAlign w:val="top"/>
          </w:tcPr>
          <w:p>
            <w:pPr>
              <w:pStyle w:val="23"/>
              <w:ind w:firstLine="0" w:firstLineChars="0"/>
              <w:jc w:val="center"/>
              <w:rPr>
                <w:rFonts w:hint="eastAsia" w:ascii="Times New Roman"/>
                <w:bCs/>
                <w:sz w:val="24"/>
                <w:szCs w:val="24"/>
              </w:rPr>
            </w:pPr>
            <w:r>
              <w:rPr>
                <w:rFonts w:hint="eastAsia" w:ascii="Times New Roman"/>
                <w:bCs/>
                <w:sz w:val="24"/>
                <w:szCs w:val="24"/>
              </w:rPr>
              <w:t>≤</w:t>
            </w:r>
            <w:r>
              <w:rPr>
                <w:rFonts w:ascii="Times New Roman"/>
                <w:bCs/>
                <w:sz w:val="24"/>
                <w:szCs w:val="24"/>
              </w:rPr>
              <w:t>0.5</w:t>
            </w:r>
            <w:r>
              <w:rPr>
                <w:rFonts w:hint="eastAsia" w:ascii="Times New Roman"/>
                <w:bCs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8" w:type="dxa"/>
            <w:vMerge w:val="continue"/>
          </w:tcPr>
          <w:p>
            <w:pPr>
              <w:pStyle w:val="23"/>
              <w:ind w:firstLine="0" w:firstLineChars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064" w:type="dxa"/>
            <w:vMerge w:val="restart"/>
            <w:vAlign w:val="center"/>
          </w:tcPr>
          <w:p>
            <w:pPr>
              <w:pStyle w:val="23"/>
              <w:ind w:firstLine="0" w:firstLineChars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其他有害元素，</w:t>
            </w:r>
            <w:r>
              <w:rPr>
                <w:rFonts w:ascii="Times New Roman"/>
                <w:sz w:val="24"/>
                <w:szCs w:val="24"/>
              </w:rPr>
              <w:t>%</w:t>
            </w:r>
          </w:p>
        </w:tc>
        <w:tc>
          <w:tcPr>
            <w:tcW w:w="1699" w:type="dxa"/>
          </w:tcPr>
          <w:p>
            <w:pPr>
              <w:pStyle w:val="23"/>
              <w:ind w:firstLine="0" w:firstLineChars="0"/>
              <w:jc w:val="center"/>
              <w:rPr>
                <w:rFonts w:ascii="Times New Roman"/>
                <w:bCs/>
                <w:sz w:val="24"/>
                <w:szCs w:val="24"/>
              </w:rPr>
            </w:pPr>
            <w:r>
              <w:rPr>
                <w:rFonts w:ascii="Times New Roman"/>
                <w:bCs/>
                <w:sz w:val="24"/>
                <w:szCs w:val="24"/>
              </w:rPr>
              <w:t>Pb</w:t>
            </w:r>
          </w:p>
        </w:tc>
        <w:tc>
          <w:tcPr>
            <w:tcW w:w="1557" w:type="dxa"/>
          </w:tcPr>
          <w:p>
            <w:pPr>
              <w:pStyle w:val="23"/>
              <w:ind w:firstLine="0" w:firstLineChars="0"/>
              <w:jc w:val="center"/>
              <w:rPr>
                <w:rFonts w:ascii="Times New Roman"/>
                <w:bCs/>
                <w:sz w:val="24"/>
                <w:szCs w:val="24"/>
              </w:rPr>
            </w:pPr>
            <w:r>
              <w:rPr>
                <w:rFonts w:hint="eastAsia" w:ascii="Times New Roman"/>
                <w:bCs/>
                <w:sz w:val="24"/>
                <w:szCs w:val="24"/>
              </w:rPr>
              <w:t>≤</w:t>
            </w:r>
            <w:r>
              <w:rPr>
                <w:rFonts w:ascii="Times New Roman"/>
                <w:bCs/>
                <w:sz w:val="24"/>
                <w:szCs w:val="24"/>
              </w:rPr>
              <w:t>0.00</w:t>
            </w:r>
            <w:r>
              <w:rPr>
                <w:rFonts w:hint="eastAsia" w:asci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40" w:type="dxa"/>
            <w:vAlign w:val="top"/>
          </w:tcPr>
          <w:p>
            <w:pPr>
              <w:pStyle w:val="23"/>
              <w:ind w:firstLine="0" w:firstLineChars="0"/>
              <w:jc w:val="center"/>
              <w:rPr>
                <w:rFonts w:ascii="Times New Roman"/>
                <w:bCs/>
                <w:sz w:val="24"/>
                <w:szCs w:val="24"/>
              </w:rPr>
            </w:pPr>
            <w:r>
              <w:rPr>
                <w:rFonts w:hint="eastAsia" w:ascii="Times New Roman"/>
                <w:bCs/>
                <w:sz w:val="24"/>
                <w:szCs w:val="24"/>
              </w:rPr>
              <w:t>≤</w:t>
            </w:r>
            <w:r>
              <w:rPr>
                <w:rFonts w:ascii="Times New Roman"/>
                <w:bCs/>
                <w:sz w:val="24"/>
                <w:szCs w:val="24"/>
              </w:rPr>
              <w:t>0.00</w:t>
            </w:r>
            <w:r>
              <w:rPr>
                <w:rFonts w:hint="eastAsia" w:ascii="Times New Roman"/>
                <w:bCs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Times New Roman"/>
                <w:bCs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8" w:type="dxa"/>
            <w:vMerge w:val="continue"/>
          </w:tcPr>
          <w:p>
            <w:pPr>
              <w:pStyle w:val="23"/>
              <w:ind w:firstLine="0" w:firstLineChars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064" w:type="dxa"/>
            <w:vMerge w:val="continue"/>
          </w:tcPr>
          <w:p>
            <w:pPr>
              <w:pStyle w:val="23"/>
              <w:ind w:firstLine="0" w:firstLineChars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3"/>
              <w:ind w:firstLine="0" w:firstLineChars="0"/>
              <w:jc w:val="center"/>
              <w:rPr>
                <w:rFonts w:ascii="Times New Roman"/>
                <w:bCs/>
                <w:sz w:val="24"/>
                <w:szCs w:val="24"/>
              </w:rPr>
            </w:pPr>
            <w:r>
              <w:rPr>
                <w:rFonts w:ascii="Times New Roman"/>
                <w:bCs/>
                <w:sz w:val="24"/>
                <w:szCs w:val="24"/>
              </w:rPr>
              <w:t>Cd</w:t>
            </w:r>
          </w:p>
        </w:tc>
        <w:tc>
          <w:tcPr>
            <w:tcW w:w="1557" w:type="dxa"/>
          </w:tcPr>
          <w:p>
            <w:pPr>
              <w:pStyle w:val="23"/>
              <w:ind w:firstLine="0" w:firstLineChars="0"/>
              <w:jc w:val="center"/>
              <w:rPr>
                <w:rFonts w:ascii="Times New Roman"/>
                <w:bCs/>
                <w:sz w:val="24"/>
                <w:szCs w:val="24"/>
              </w:rPr>
            </w:pPr>
            <w:r>
              <w:rPr>
                <w:rFonts w:hint="eastAsia" w:ascii="Times New Roman"/>
                <w:bCs/>
                <w:sz w:val="24"/>
                <w:szCs w:val="24"/>
              </w:rPr>
              <w:t>≤</w:t>
            </w:r>
            <w:r>
              <w:rPr>
                <w:rFonts w:ascii="Times New Roman"/>
                <w:bCs/>
                <w:sz w:val="24"/>
                <w:szCs w:val="24"/>
              </w:rPr>
              <w:t>0.00</w:t>
            </w:r>
            <w:r>
              <w:rPr>
                <w:rFonts w:hint="eastAsia" w:asci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40" w:type="dxa"/>
            <w:vAlign w:val="top"/>
          </w:tcPr>
          <w:p>
            <w:pPr>
              <w:pStyle w:val="23"/>
              <w:ind w:firstLine="0" w:firstLineChars="0"/>
              <w:jc w:val="center"/>
              <w:rPr>
                <w:rFonts w:ascii="Times New Roman"/>
                <w:bCs/>
                <w:sz w:val="24"/>
                <w:szCs w:val="24"/>
              </w:rPr>
            </w:pPr>
            <w:r>
              <w:rPr>
                <w:rFonts w:hint="eastAsia" w:ascii="Times New Roman"/>
                <w:bCs/>
                <w:sz w:val="24"/>
                <w:szCs w:val="24"/>
              </w:rPr>
              <w:t>≤</w:t>
            </w:r>
            <w:r>
              <w:rPr>
                <w:rFonts w:ascii="Times New Roman"/>
                <w:bCs/>
                <w:sz w:val="24"/>
                <w:szCs w:val="24"/>
              </w:rPr>
              <w:t>0.00</w:t>
            </w:r>
            <w:r>
              <w:rPr>
                <w:rFonts w:hint="eastAsia" w:ascii="Times New Roman"/>
                <w:bCs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Times New Roman"/>
                <w:bCs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8" w:type="dxa"/>
            <w:vMerge w:val="continue"/>
          </w:tcPr>
          <w:p>
            <w:pPr>
              <w:pStyle w:val="23"/>
              <w:ind w:firstLine="0" w:firstLineChars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064" w:type="dxa"/>
            <w:vMerge w:val="continue"/>
          </w:tcPr>
          <w:p>
            <w:pPr>
              <w:pStyle w:val="23"/>
              <w:ind w:firstLine="0" w:firstLineChars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3"/>
              <w:ind w:firstLine="0" w:firstLineChars="0"/>
              <w:jc w:val="center"/>
              <w:rPr>
                <w:rFonts w:ascii="Times New Roman"/>
                <w:bCs/>
                <w:sz w:val="24"/>
                <w:szCs w:val="24"/>
              </w:rPr>
            </w:pPr>
            <w:r>
              <w:rPr>
                <w:rFonts w:ascii="Times New Roman"/>
                <w:bCs/>
                <w:sz w:val="24"/>
                <w:szCs w:val="24"/>
              </w:rPr>
              <w:t>Cr</w:t>
            </w:r>
          </w:p>
        </w:tc>
        <w:tc>
          <w:tcPr>
            <w:tcW w:w="1557" w:type="dxa"/>
          </w:tcPr>
          <w:p>
            <w:pPr>
              <w:pStyle w:val="23"/>
              <w:ind w:firstLine="0" w:firstLineChars="0"/>
              <w:jc w:val="center"/>
              <w:rPr>
                <w:rFonts w:ascii="Times New Roman"/>
                <w:bCs/>
                <w:sz w:val="24"/>
                <w:szCs w:val="24"/>
              </w:rPr>
            </w:pPr>
            <w:r>
              <w:rPr>
                <w:rFonts w:hint="eastAsia" w:ascii="Times New Roman"/>
                <w:bCs/>
                <w:sz w:val="24"/>
                <w:szCs w:val="24"/>
              </w:rPr>
              <w:t>≤</w:t>
            </w:r>
            <w:r>
              <w:rPr>
                <w:rFonts w:ascii="Times New Roman"/>
                <w:bCs/>
                <w:sz w:val="24"/>
                <w:szCs w:val="24"/>
              </w:rPr>
              <w:t>0.005</w:t>
            </w:r>
          </w:p>
        </w:tc>
        <w:tc>
          <w:tcPr>
            <w:tcW w:w="1540" w:type="dxa"/>
            <w:vAlign w:val="top"/>
          </w:tcPr>
          <w:p>
            <w:pPr>
              <w:pStyle w:val="23"/>
              <w:ind w:firstLine="0" w:firstLineChars="0"/>
              <w:jc w:val="center"/>
              <w:rPr>
                <w:rFonts w:hint="eastAsia" w:ascii="Times New Roman"/>
                <w:bCs/>
                <w:sz w:val="24"/>
                <w:szCs w:val="24"/>
              </w:rPr>
            </w:pPr>
            <w:r>
              <w:rPr>
                <w:rFonts w:hint="eastAsia" w:ascii="Times New Roman"/>
                <w:bCs/>
                <w:sz w:val="24"/>
                <w:szCs w:val="24"/>
              </w:rPr>
              <w:t>≤</w:t>
            </w:r>
            <w:r>
              <w:rPr>
                <w:rFonts w:ascii="Times New Roman"/>
                <w:bCs/>
                <w:sz w:val="24"/>
                <w:szCs w:val="24"/>
              </w:rPr>
              <w:t>0.005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8" w:type="dxa"/>
            <w:vMerge w:val="continue"/>
          </w:tcPr>
          <w:p>
            <w:pPr>
              <w:pStyle w:val="23"/>
              <w:ind w:firstLine="0" w:firstLineChars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064" w:type="dxa"/>
            <w:vMerge w:val="continue"/>
          </w:tcPr>
          <w:p>
            <w:pPr>
              <w:pStyle w:val="23"/>
              <w:ind w:firstLine="0" w:firstLineChars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pStyle w:val="23"/>
              <w:ind w:firstLine="0" w:firstLineChars="0"/>
              <w:jc w:val="center"/>
              <w:rPr>
                <w:rFonts w:ascii="Times New Roman"/>
                <w:bCs/>
                <w:sz w:val="24"/>
                <w:szCs w:val="24"/>
              </w:rPr>
            </w:pPr>
            <w:r>
              <w:rPr>
                <w:rFonts w:ascii="Times New Roman"/>
                <w:bCs/>
                <w:sz w:val="24"/>
                <w:szCs w:val="24"/>
              </w:rPr>
              <w:t>As</w:t>
            </w:r>
          </w:p>
        </w:tc>
        <w:tc>
          <w:tcPr>
            <w:tcW w:w="1557" w:type="dxa"/>
          </w:tcPr>
          <w:p>
            <w:pPr>
              <w:pStyle w:val="23"/>
              <w:ind w:firstLine="0" w:firstLineChars="0"/>
              <w:jc w:val="center"/>
              <w:rPr>
                <w:rFonts w:ascii="Times New Roman"/>
                <w:bCs/>
                <w:sz w:val="24"/>
                <w:szCs w:val="24"/>
              </w:rPr>
            </w:pPr>
            <w:r>
              <w:rPr>
                <w:rFonts w:hint="eastAsia" w:ascii="Times New Roman"/>
                <w:bCs/>
                <w:sz w:val="24"/>
                <w:szCs w:val="24"/>
              </w:rPr>
              <w:t>≤</w:t>
            </w:r>
            <w:r>
              <w:rPr>
                <w:rFonts w:ascii="Times New Roman"/>
                <w:bCs/>
                <w:sz w:val="24"/>
                <w:szCs w:val="24"/>
              </w:rPr>
              <w:t>0.00</w:t>
            </w:r>
            <w:r>
              <w:rPr>
                <w:rFonts w:hint="eastAsia" w:asci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40" w:type="dxa"/>
            <w:vAlign w:val="top"/>
          </w:tcPr>
          <w:p>
            <w:pPr>
              <w:pStyle w:val="23"/>
              <w:ind w:firstLine="0" w:firstLineChars="0"/>
              <w:jc w:val="center"/>
              <w:rPr>
                <w:rFonts w:ascii="Times New Roman"/>
                <w:bCs/>
                <w:sz w:val="24"/>
                <w:szCs w:val="24"/>
              </w:rPr>
            </w:pPr>
            <w:r>
              <w:rPr>
                <w:rFonts w:hint="eastAsia" w:ascii="Times New Roman"/>
                <w:bCs/>
                <w:sz w:val="24"/>
                <w:szCs w:val="24"/>
              </w:rPr>
              <w:t>≤</w:t>
            </w:r>
            <w:r>
              <w:rPr>
                <w:rFonts w:ascii="Times New Roman"/>
                <w:bCs/>
                <w:sz w:val="24"/>
                <w:szCs w:val="24"/>
              </w:rPr>
              <w:t>0.00</w:t>
            </w:r>
            <w:r>
              <w:rPr>
                <w:rFonts w:hint="eastAsia" w:ascii="Times New Roman"/>
                <w:bCs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Times New Roman"/>
                <w:bCs/>
                <w:sz w:val="24"/>
                <w:szCs w:val="24"/>
              </w:rPr>
              <w:t>1</w:t>
            </w:r>
          </w:p>
        </w:tc>
      </w:tr>
    </w:tbl>
    <w:p>
      <w:pPr>
        <w:pStyle w:val="43"/>
        <w:numPr>
          <w:ilvl w:val="0"/>
          <w:numId w:val="0"/>
        </w:numPr>
        <w:spacing w:before="0" w:beforeLines="0" w:after="0" w:afterLines="0" w:line="400" w:lineRule="exact"/>
        <w:outlineLvl w:val="2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3.2 </w:t>
      </w:r>
      <w:r>
        <w:rPr>
          <w:rFonts w:hint="eastAsia" w:ascii="Times New Roman"/>
          <w:sz w:val="24"/>
          <w:szCs w:val="24"/>
        </w:rPr>
        <w:t>水分</w:t>
      </w:r>
    </w:p>
    <w:p>
      <w:pPr>
        <w:pStyle w:val="23"/>
        <w:spacing w:line="400" w:lineRule="exact"/>
        <w:ind w:firstLine="480"/>
        <w:rPr>
          <w:rFonts w:ascii="Times New Roman"/>
          <w:sz w:val="24"/>
          <w:szCs w:val="24"/>
        </w:rPr>
      </w:pPr>
      <w:r>
        <w:rPr>
          <w:rFonts w:hint="eastAsia" w:ascii="Times New Roman"/>
          <w:sz w:val="24"/>
          <w:szCs w:val="24"/>
        </w:rPr>
        <w:t>产品中水分（质量分数）不大于60%，若客户对水分有其它要求，根据双方协商后干燥至客户要求的量。</w:t>
      </w:r>
    </w:p>
    <w:p>
      <w:pPr>
        <w:pStyle w:val="43"/>
        <w:numPr>
          <w:ilvl w:val="0"/>
          <w:numId w:val="0"/>
        </w:numPr>
        <w:spacing w:before="0" w:beforeLines="0" w:after="0" w:afterLines="0" w:line="400" w:lineRule="exact"/>
        <w:outlineLvl w:val="2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3.3 其他</w:t>
      </w:r>
    </w:p>
    <w:p>
      <w:pPr>
        <w:pStyle w:val="23"/>
        <w:spacing w:line="400" w:lineRule="exact"/>
        <w:ind w:firstLine="480"/>
        <w:rPr>
          <w:rFonts w:ascii="Times New Roman"/>
          <w:sz w:val="24"/>
          <w:szCs w:val="24"/>
        </w:rPr>
      </w:pPr>
      <w:r>
        <w:rPr>
          <w:rFonts w:hint="eastAsia" w:ascii="Times New Roman"/>
          <w:sz w:val="24"/>
          <w:szCs w:val="24"/>
        </w:rPr>
        <w:t>如需方对产品有其他要求，由供需双方协商确定并在订货单（或合同）中注明。</w:t>
      </w:r>
    </w:p>
    <w:p>
      <w:pPr>
        <w:pStyle w:val="43"/>
        <w:spacing w:before="156" w:beforeLines="50" w:after="156" w:afterLines="50" w:line="360" w:lineRule="exact"/>
        <w:ind w:left="0"/>
        <w:rPr>
          <w:rFonts w:ascii="Times New Roman"/>
          <w:sz w:val="24"/>
          <w:szCs w:val="24"/>
        </w:rPr>
      </w:pPr>
      <w:r>
        <w:rPr>
          <w:rFonts w:hint="eastAsia" w:ascii="Times New Roman"/>
          <w:sz w:val="24"/>
          <w:szCs w:val="24"/>
        </w:rPr>
        <w:t>试验方法</w:t>
      </w:r>
    </w:p>
    <w:p>
      <w:pPr>
        <w:pStyle w:val="43"/>
        <w:numPr>
          <w:ilvl w:val="0"/>
          <w:numId w:val="0"/>
        </w:numPr>
        <w:spacing w:before="0" w:beforeLines="0" w:after="0" w:afterLines="0" w:line="400" w:lineRule="exact"/>
        <w:outlineLvl w:val="2"/>
        <w:rPr>
          <w:rFonts w:ascii="Times New Roman" w:eastAsia="宋体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4.1 </w:t>
      </w:r>
      <w:r>
        <w:rPr>
          <w:rFonts w:hint="eastAsia" w:ascii="Times New Roman" w:eastAsia="宋体"/>
          <w:sz w:val="24"/>
          <w:szCs w:val="24"/>
        </w:rPr>
        <w:t>产品化学成分中的Co、Ni分别按照</w:t>
      </w:r>
      <w:r>
        <w:rPr>
          <w:rFonts w:hint="eastAsia" w:ascii="Times New Roman"/>
          <w:sz w:val="24"/>
          <w:szCs w:val="24"/>
        </w:rPr>
        <w:t xml:space="preserve">YS/T 1157、YS/T </w:t>
      </w:r>
      <w:r>
        <w:rPr>
          <w:rFonts w:ascii="Times New Roman" w:eastAsia="宋体"/>
          <w:sz w:val="24"/>
          <w:szCs w:val="24"/>
        </w:rPr>
        <w:t>122</w:t>
      </w:r>
      <w:r>
        <w:rPr>
          <w:rFonts w:hint="eastAsia" w:ascii="Times New Roman" w:eastAsia="宋体"/>
          <w:sz w:val="24"/>
          <w:szCs w:val="24"/>
        </w:rPr>
        <w:t>9的规定进行测定。</w:t>
      </w:r>
    </w:p>
    <w:p>
      <w:pPr>
        <w:pStyle w:val="43"/>
        <w:numPr>
          <w:ilvl w:val="0"/>
          <w:numId w:val="0"/>
        </w:numPr>
        <w:spacing w:before="0" w:beforeLines="0" w:after="0" w:afterLines="0" w:line="400" w:lineRule="exact"/>
        <w:outlineLvl w:val="2"/>
        <w:rPr>
          <w:rFonts w:ascii="Times New Roman" w:eastAsia="宋体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4.2 </w:t>
      </w:r>
      <w:r>
        <w:rPr>
          <w:rFonts w:hint="eastAsia" w:ascii="Times New Roman" w:eastAsia="宋体"/>
          <w:sz w:val="24"/>
          <w:szCs w:val="24"/>
        </w:rPr>
        <w:t>产品中水分、Li、Al、F的测定由供需双方协商确定。</w:t>
      </w:r>
    </w:p>
    <w:p>
      <w:pPr>
        <w:pStyle w:val="43"/>
        <w:numPr>
          <w:ilvl w:val="0"/>
          <w:numId w:val="0"/>
        </w:numPr>
        <w:spacing w:before="0" w:beforeLines="0" w:after="0" w:afterLines="0" w:line="400" w:lineRule="exact"/>
        <w:outlineLvl w:val="2"/>
        <w:rPr>
          <w:rFonts w:hint="eastAsia"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4.3 </w:t>
      </w:r>
      <w:r>
        <w:rPr>
          <w:rFonts w:hint="eastAsia" w:ascii="Times New Roman" w:eastAsia="宋体"/>
          <w:sz w:val="24"/>
          <w:szCs w:val="24"/>
        </w:rPr>
        <w:t>产品中铅、铬、镉、砷的测定按照GB</w:t>
      </w:r>
      <w:r>
        <w:rPr>
          <w:rFonts w:ascii="Times New Roman" w:eastAsia="宋体"/>
          <w:sz w:val="24"/>
          <w:szCs w:val="24"/>
        </w:rPr>
        <w:t xml:space="preserve"> </w:t>
      </w:r>
      <w:r>
        <w:rPr>
          <w:rFonts w:hint="eastAsia" w:ascii="Times New Roman" w:eastAsia="宋体"/>
          <w:sz w:val="24"/>
          <w:szCs w:val="24"/>
        </w:rPr>
        <w:t>5085.3的规定</w:t>
      </w:r>
      <w:bookmarkStart w:id="2" w:name="_GoBack"/>
      <w:r>
        <w:rPr>
          <w:rFonts w:hint="eastAsia" w:ascii="Times New Roman"/>
          <w:sz w:val="24"/>
          <w:szCs w:val="24"/>
        </w:rPr>
        <w:t>4.4 产品的外观质量由目视法检验。</w:t>
      </w:r>
    </w:p>
    <w:bookmarkEnd w:id="2"/>
    <w:p>
      <w:pPr>
        <w:pStyle w:val="43"/>
        <w:numPr>
          <w:ilvl w:val="0"/>
          <w:numId w:val="0"/>
        </w:numPr>
        <w:spacing w:before="0" w:beforeLines="0" w:after="0" w:afterLines="0" w:line="400" w:lineRule="exact"/>
        <w:outlineLvl w:val="2"/>
        <w:rPr>
          <w:rFonts w:ascii="Times New Roman"/>
          <w:sz w:val="24"/>
          <w:szCs w:val="24"/>
        </w:rPr>
      </w:pPr>
      <w:r>
        <w:rPr>
          <w:rFonts w:hint="eastAsia" w:ascii="Times New Roman" w:eastAsia="宋体"/>
          <w:sz w:val="24"/>
          <w:szCs w:val="24"/>
        </w:rPr>
        <w:t>进行测定。</w:t>
      </w:r>
    </w:p>
    <w:p>
      <w:pPr>
        <w:pStyle w:val="43"/>
        <w:spacing w:before="156" w:beforeLines="50" w:after="156" w:afterLines="50" w:line="360" w:lineRule="exact"/>
        <w:ind w:left="0"/>
        <w:rPr>
          <w:rFonts w:ascii="Times New Roman"/>
          <w:sz w:val="24"/>
          <w:szCs w:val="24"/>
        </w:rPr>
      </w:pPr>
      <w:r>
        <w:rPr>
          <w:rFonts w:hint="eastAsia" w:ascii="Times New Roman"/>
          <w:sz w:val="24"/>
          <w:szCs w:val="24"/>
        </w:rPr>
        <w:t>检验规则</w:t>
      </w:r>
    </w:p>
    <w:p>
      <w:pPr>
        <w:pStyle w:val="43"/>
        <w:numPr>
          <w:ilvl w:val="0"/>
          <w:numId w:val="0"/>
        </w:numPr>
        <w:spacing w:before="0" w:beforeLines="0" w:after="0" w:afterLines="0" w:line="400" w:lineRule="exact"/>
        <w:outlineLvl w:val="2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5.1 </w:t>
      </w:r>
      <w:r>
        <w:rPr>
          <w:rFonts w:hint="eastAsia" w:ascii="Times New Roman"/>
          <w:sz w:val="24"/>
          <w:szCs w:val="24"/>
        </w:rPr>
        <w:t>检查与验收</w:t>
      </w:r>
    </w:p>
    <w:p>
      <w:pPr>
        <w:widowControl/>
        <w:spacing w:line="440" w:lineRule="exact"/>
        <w:rPr>
          <w:sz w:val="24"/>
        </w:rPr>
      </w:pPr>
      <w:r>
        <w:rPr>
          <w:rFonts w:eastAsia="黑体"/>
          <w:sz w:val="24"/>
        </w:rPr>
        <w:t>5.1.1</w:t>
      </w:r>
      <w:r>
        <w:rPr>
          <w:sz w:val="24"/>
        </w:rPr>
        <w:t xml:space="preserve"> </w:t>
      </w:r>
      <w:r>
        <w:rPr>
          <w:rFonts w:hint="eastAsia"/>
          <w:kern w:val="0"/>
          <w:sz w:val="24"/>
        </w:rPr>
        <w:t>产品应由供方技术监督部门进行检验，保证产品质量符合本标准或订货单（或合同）的规定，并填写质量证明书。</w:t>
      </w:r>
    </w:p>
    <w:p>
      <w:pPr>
        <w:widowControl/>
        <w:spacing w:line="440" w:lineRule="exact"/>
        <w:rPr>
          <w:kern w:val="0"/>
          <w:sz w:val="24"/>
        </w:rPr>
      </w:pPr>
      <w:r>
        <w:rPr>
          <w:rFonts w:eastAsia="黑体"/>
          <w:sz w:val="24"/>
        </w:rPr>
        <w:t>5.1.2</w:t>
      </w:r>
      <w:r>
        <w:rPr>
          <w:sz w:val="24"/>
        </w:rPr>
        <w:t xml:space="preserve"> </w:t>
      </w:r>
      <w:r>
        <w:rPr>
          <w:rFonts w:hint="eastAsia"/>
          <w:kern w:val="0"/>
          <w:sz w:val="24"/>
        </w:rPr>
        <w:t>需方可对收到的产品按本标准的规定进行检验，如检验结果与本标准或订货单（或合同）的规定不符时，应在收到产品之日起</w:t>
      </w:r>
      <w:r>
        <w:rPr>
          <w:kern w:val="0"/>
          <w:sz w:val="24"/>
        </w:rPr>
        <w:t>30</w:t>
      </w:r>
      <w:r>
        <w:rPr>
          <w:rFonts w:hint="eastAsia"/>
          <w:kern w:val="0"/>
          <w:sz w:val="24"/>
        </w:rPr>
        <w:t>天内向供方提出，由供需双方协商解决。如需仲裁，由供需双方协商解决。</w:t>
      </w:r>
    </w:p>
    <w:p>
      <w:pPr>
        <w:pStyle w:val="43"/>
        <w:numPr>
          <w:ilvl w:val="0"/>
          <w:numId w:val="0"/>
        </w:numPr>
        <w:spacing w:before="0" w:beforeLines="0" w:after="0" w:afterLines="0" w:line="400" w:lineRule="exact"/>
        <w:outlineLvl w:val="2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5.2 </w:t>
      </w:r>
      <w:r>
        <w:rPr>
          <w:rFonts w:hint="eastAsia" w:ascii="Times New Roman"/>
          <w:sz w:val="24"/>
          <w:szCs w:val="24"/>
        </w:rPr>
        <w:t>组批</w:t>
      </w:r>
    </w:p>
    <w:p>
      <w:pPr>
        <w:widowControl/>
        <w:spacing w:line="440" w:lineRule="exact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产品应成批提交检验，每批应由同一供应商的产品组成。组批方式按照供方来料批次进行或由供需双方现场协商确定。</w:t>
      </w:r>
    </w:p>
    <w:p>
      <w:pPr>
        <w:pStyle w:val="43"/>
        <w:numPr>
          <w:ilvl w:val="0"/>
          <w:numId w:val="0"/>
        </w:numPr>
        <w:spacing w:before="0" w:beforeLines="0" w:after="0" w:afterLines="0" w:line="400" w:lineRule="exact"/>
        <w:outlineLvl w:val="2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5.3 </w:t>
      </w:r>
      <w:r>
        <w:rPr>
          <w:rFonts w:hint="eastAsia" w:ascii="Times New Roman"/>
          <w:sz w:val="24"/>
          <w:szCs w:val="24"/>
        </w:rPr>
        <w:t>取样与制样</w:t>
      </w:r>
    </w:p>
    <w:p>
      <w:pPr>
        <w:pStyle w:val="40"/>
        <w:numPr>
          <w:ilvl w:val="0"/>
          <w:numId w:val="0"/>
        </w:numPr>
        <w:spacing w:before="0" w:beforeLines="0" w:after="0" w:afterLines="0" w:line="400" w:lineRule="exact"/>
        <w:outlineLvl w:val="9"/>
        <w:rPr>
          <w:rFonts w:ascii="Times New Roman" w:eastAsia="宋体"/>
          <w:kern w:val="2"/>
          <w:sz w:val="24"/>
          <w:szCs w:val="24"/>
        </w:rPr>
      </w:pPr>
      <w:r>
        <w:rPr>
          <w:rFonts w:ascii="Times New Roman"/>
          <w:kern w:val="2"/>
          <w:sz w:val="24"/>
          <w:szCs w:val="24"/>
        </w:rPr>
        <w:t>5.3.1</w:t>
      </w:r>
      <w:r>
        <w:rPr>
          <w:rFonts w:hint="eastAsia" w:ascii="Times New Roman" w:eastAsia="宋体"/>
          <w:kern w:val="2"/>
          <w:sz w:val="24"/>
          <w:szCs w:val="24"/>
        </w:rPr>
        <w:t xml:space="preserve"> 取样工具：样钎、样铲、大锤等。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5.3.2 </w:t>
      </w:r>
      <w:r>
        <w:rPr>
          <w:rFonts w:hint="eastAsia"/>
          <w:sz w:val="24"/>
        </w:rPr>
        <w:t>每个批次按</w:t>
      </w:r>
      <w:r>
        <w:rPr>
          <w:sz w:val="24"/>
        </w:rPr>
        <w:t>100 %取样，每袋取样量</w:t>
      </w:r>
      <w:r>
        <w:rPr>
          <w:rFonts w:hint="eastAsia"/>
          <w:sz w:val="24"/>
        </w:rPr>
        <w:t>不小于</w:t>
      </w:r>
      <w:r>
        <w:rPr>
          <w:sz w:val="24"/>
        </w:rPr>
        <w:t>4 ‰</w:t>
      </w:r>
      <w:r>
        <w:rPr>
          <w:rFonts w:hint="eastAsia"/>
          <w:sz w:val="24"/>
        </w:rPr>
        <w:t>，</w:t>
      </w:r>
      <w:r>
        <w:rPr>
          <w:sz w:val="24"/>
        </w:rPr>
        <w:t>份样量不小于4 kg。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5.3.3 </w:t>
      </w:r>
      <w:bookmarkStart w:id="1" w:name="OLE_LINK3"/>
      <w:r>
        <w:rPr>
          <w:rFonts w:hint="eastAsia"/>
          <w:sz w:val="24"/>
        </w:rPr>
        <w:t>每袋抽取份样的点位应按包装袋侧面任一对角线均匀分布成顶部、中间、底部三个点，</w:t>
      </w:r>
      <w:r>
        <w:rPr>
          <w:sz w:val="24"/>
        </w:rPr>
        <w:t>样钎插入深度应超过包装袋直径的三分之二，样钎抽出时装料应饱满。样包数量小于10袋，应双倍抽取份样。</w:t>
      </w:r>
      <w:bookmarkEnd w:id="1"/>
    </w:p>
    <w:p>
      <w:pPr>
        <w:pStyle w:val="23"/>
        <w:spacing w:line="400" w:lineRule="exact"/>
        <w:ind w:firstLine="0" w:firstLineChars="0"/>
        <w:rPr>
          <w:rFonts w:ascii="Times New Roman"/>
          <w:kern w:val="2"/>
          <w:sz w:val="24"/>
          <w:szCs w:val="24"/>
        </w:rPr>
      </w:pPr>
      <w:r>
        <w:rPr>
          <w:rFonts w:ascii="Times New Roman" w:eastAsia="黑体"/>
          <w:sz w:val="24"/>
          <w:szCs w:val="24"/>
        </w:rPr>
        <w:t>5.3.4</w:t>
      </w:r>
      <w:r>
        <w:rPr>
          <w:rFonts w:hint="eastAsia" w:ascii="Times New Roman"/>
          <w:sz w:val="24"/>
          <w:szCs w:val="24"/>
        </w:rPr>
        <w:t xml:space="preserve"> </w:t>
      </w:r>
      <w:r>
        <w:rPr>
          <w:rFonts w:hint="eastAsia" w:ascii="Times New Roman"/>
          <w:kern w:val="2"/>
          <w:sz w:val="24"/>
          <w:szCs w:val="24"/>
        </w:rPr>
        <w:t>物料结块结实不易取样时，可用手锤辅助样钎取样，或用辅助设备破包击碎结块后，用取样铲按料堆均匀取与袋要求数量相等的份样，每铲取样量基本一致，份样量不小于300</w:t>
      </w:r>
      <w:r>
        <w:rPr>
          <w:rFonts w:ascii="Times New Roman"/>
          <w:kern w:val="2"/>
          <w:sz w:val="24"/>
          <w:szCs w:val="24"/>
        </w:rPr>
        <w:t xml:space="preserve">0 </w:t>
      </w:r>
      <w:r>
        <w:rPr>
          <w:rFonts w:hint="eastAsia" w:ascii="Times New Roman"/>
          <w:kern w:val="2"/>
          <w:sz w:val="24"/>
          <w:szCs w:val="24"/>
        </w:rPr>
        <w:t>g。</w:t>
      </w:r>
    </w:p>
    <w:p>
      <w:pPr>
        <w:pStyle w:val="23"/>
        <w:spacing w:line="400" w:lineRule="exact"/>
        <w:ind w:firstLine="0" w:firstLineChars="0"/>
        <w:rPr>
          <w:rFonts w:ascii="Times New Roman"/>
          <w:sz w:val="24"/>
          <w:szCs w:val="24"/>
        </w:rPr>
      </w:pPr>
      <w:r>
        <w:rPr>
          <w:rFonts w:ascii="Times New Roman" w:eastAsia="黑体"/>
          <w:sz w:val="24"/>
          <w:szCs w:val="24"/>
        </w:rPr>
        <w:t>5.3.5</w:t>
      </w:r>
      <w:r>
        <w:rPr>
          <w:rFonts w:hint="eastAsia" w:ascii="Times New Roman"/>
          <w:sz w:val="24"/>
          <w:szCs w:val="24"/>
        </w:rPr>
        <w:t xml:space="preserve"> 所取样品应及时装入塑料袋并封口，整批样品装入编织袋中并封口。</w:t>
      </w:r>
    </w:p>
    <w:p>
      <w:pPr>
        <w:pStyle w:val="23"/>
        <w:spacing w:line="400" w:lineRule="exact"/>
        <w:ind w:firstLine="0" w:firstLineChars="0"/>
        <w:rPr>
          <w:rFonts w:ascii="Times New Roman"/>
          <w:sz w:val="24"/>
          <w:szCs w:val="24"/>
        </w:rPr>
      </w:pPr>
      <w:r>
        <w:rPr>
          <w:rFonts w:ascii="Times New Roman" w:eastAsia="黑体"/>
          <w:sz w:val="24"/>
          <w:szCs w:val="24"/>
        </w:rPr>
        <w:t>5.3.6</w:t>
      </w:r>
      <w:r>
        <w:rPr>
          <w:rFonts w:hint="eastAsia" w:ascii="Times New Roman"/>
          <w:sz w:val="24"/>
          <w:szCs w:val="24"/>
        </w:rPr>
        <w:t xml:space="preserve"> 每批的所有样品充分混匀，用网格法缩分出不少于2</w:t>
      </w:r>
      <w:r>
        <w:rPr>
          <w:rFonts w:ascii="Times New Roman"/>
          <w:sz w:val="24"/>
          <w:szCs w:val="24"/>
        </w:rPr>
        <w:t xml:space="preserve"> </w:t>
      </w:r>
      <w:r>
        <w:rPr>
          <w:rFonts w:hint="eastAsia" w:ascii="Times New Roman"/>
          <w:sz w:val="24"/>
          <w:szCs w:val="24"/>
        </w:rPr>
        <w:t>kg的样品测定水分及制备成分试样，成分试样全部研磨过</w:t>
      </w:r>
      <w:r>
        <w:rPr>
          <w:rFonts w:ascii="Times New Roman"/>
          <w:sz w:val="24"/>
          <w:szCs w:val="24"/>
        </w:rPr>
        <w:t>0.150 mm</w:t>
      </w:r>
      <w:r>
        <w:rPr>
          <w:rFonts w:hint="eastAsia" w:ascii="Times New Roman"/>
          <w:sz w:val="24"/>
          <w:szCs w:val="24"/>
        </w:rPr>
        <w:t>的标准筛，每份样量不小于100</w:t>
      </w:r>
      <w:r>
        <w:rPr>
          <w:rFonts w:ascii="Times New Roman"/>
          <w:sz w:val="24"/>
          <w:szCs w:val="24"/>
        </w:rPr>
        <w:t xml:space="preserve"> </w:t>
      </w:r>
      <w:r>
        <w:rPr>
          <w:rFonts w:hint="eastAsia" w:ascii="Times New Roman"/>
          <w:sz w:val="24"/>
          <w:szCs w:val="24"/>
        </w:rPr>
        <w:t>g。</w:t>
      </w:r>
    </w:p>
    <w:p>
      <w:pPr>
        <w:pStyle w:val="23"/>
        <w:spacing w:line="400" w:lineRule="exact"/>
        <w:ind w:firstLine="0" w:firstLineChars="0"/>
        <w:rPr>
          <w:rFonts w:ascii="Times New Roman"/>
          <w:sz w:val="24"/>
          <w:szCs w:val="24"/>
        </w:rPr>
      </w:pPr>
      <w:r>
        <w:rPr>
          <w:rFonts w:ascii="Times New Roman" w:eastAsia="黑体"/>
          <w:sz w:val="24"/>
          <w:szCs w:val="24"/>
        </w:rPr>
        <w:t>5.3.7</w:t>
      </w:r>
      <w:r>
        <w:rPr>
          <w:rFonts w:ascii="Times New Roman"/>
          <w:sz w:val="24"/>
          <w:szCs w:val="24"/>
        </w:rPr>
        <w:t xml:space="preserve"> 制备样品</w:t>
      </w:r>
      <w:r>
        <w:rPr>
          <w:rFonts w:hint="eastAsia" w:ascii="Times New Roman"/>
          <w:sz w:val="24"/>
          <w:szCs w:val="24"/>
        </w:rPr>
        <w:t>份数由供需双方要求进行分配，一份交需方，一份交供方，一份双方现场签字确认</w:t>
      </w:r>
      <w:r>
        <w:rPr>
          <w:rFonts w:ascii="Times New Roman"/>
          <w:sz w:val="24"/>
          <w:szCs w:val="24"/>
        </w:rPr>
        <w:t>留</w:t>
      </w:r>
      <w:r>
        <w:rPr>
          <w:rFonts w:hint="eastAsia" w:ascii="Times New Roman"/>
          <w:sz w:val="24"/>
          <w:szCs w:val="24"/>
        </w:rPr>
        <w:t>做仲裁，一份备用。仲裁及备用样品由需方保存，保存期限为三个月。</w:t>
      </w:r>
    </w:p>
    <w:p>
      <w:pPr>
        <w:pStyle w:val="23"/>
        <w:spacing w:line="400" w:lineRule="exact"/>
        <w:ind w:firstLine="0" w:firstLineChars="0"/>
        <w:rPr>
          <w:rFonts w:ascii="Times New Roman"/>
          <w:sz w:val="24"/>
          <w:szCs w:val="24"/>
        </w:rPr>
      </w:pPr>
      <w:r>
        <w:rPr>
          <w:rFonts w:ascii="Times New Roman" w:eastAsia="黑体"/>
          <w:sz w:val="24"/>
          <w:szCs w:val="24"/>
        </w:rPr>
        <w:t>5.3.8</w:t>
      </w:r>
      <w:r>
        <w:rPr>
          <w:rFonts w:hint="eastAsia" w:ascii="Times New Roman"/>
          <w:sz w:val="24"/>
          <w:szCs w:val="24"/>
        </w:rPr>
        <w:t xml:space="preserve"> 供方如对检验结果有异议时，应在仲裁样品保存期限内提出，由供需双方协商解决；如需仲裁，仲裁分析在供需双方认定的机构进行，以仲裁结果为判定依据。</w:t>
      </w:r>
    </w:p>
    <w:p>
      <w:pPr>
        <w:pStyle w:val="43"/>
        <w:numPr>
          <w:ilvl w:val="0"/>
          <w:numId w:val="0"/>
        </w:numPr>
        <w:spacing w:before="0" w:beforeLines="0" w:after="0" w:afterLines="0" w:line="400" w:lineRule="exact"/>
        <w:outlineLvl w:val="2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5.4 </w:t>
      </w:r>
      <w:r>
        <w:rPr>
          <w:rFonts w:hint="eastAsia" w:ascii="Times New Roman"/>
          <w:sz w:val="24"/>
          <w:szCs w:val="24"/>
        </w:rPr>
        <w:t>检测结果判定</w:t>
      </w:r>
    </w:p>
    <w:p>
      <w:pPr>
        <w:pStyle w:val="40"/>
        <w:numPr>
          <w:ilvl w:val="0"/>
          <w:numId w:val="0"/>
        </w:numPr>
        <w:spacing w:before="0" w:beforeLines="0" w:after="0" w:afterLines="0" w:line="400" w:lineRule="exact"/>
        <w:outlineLvl w:val="3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5.4.1 </w:t>
      </w:r>
      <w:r>
        <w:rPr>
          <w:rFonts w:ascii="Times New Roman" w:eastAsia="宋体"/>
          <w:sz w:val="24"/>
          <w:szCs w:val="24"/>
        </w:rPr>
        <w:t>检测结果的数值修约及判定，按GB/T 8170 的规定进行。</w:t>
      </w:r>
    </w:p>
    <w:p>
      <w:pPr>
        <w:pStyle w:val="40"/>
        <w:numPr>
          <w:ilvl w:val="0"/>
          <w:numId w:val="0"/>
        </w:numPr>
        <w:spacing w:before="0" w:beforeLines="0" w:after="0" w:afterLines="0" w:line="400" w:lineRule="exact"/>
        <w:outlineLvl w:val="9"/>
        <w:rPr>
          <w:rFonts w:ascii="Times New Roman" w:eastAsia="宋体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5.4.2 </w:t>
      </w:r>
      <w:r>
        <w:rPr>
          <w:rFonts w:hint="eastAsia" w:ascii="Times New Roman" w:eastAsia="宋体"/>
          <w:sz w:val="24"/>
          <w:szCs w:val="24"/>
        </w:rPr>
        <w:t>产品的化学成分、水分与本标准规定不相符时，判该批产品不合格。</w:t>
      </w:r>
    </w:p>
    <w:p>
      <w:pPr>
        <w:pStyle w:val="23"/>
        <w:spacing w:line="400" w:lineRule="exact"/>
        <w:ind w:firstLine="0" w:firstLineChars="0"/>
        <w:rPr>
          <w:rFonts w:ascii="Times New Roman"/>
          <w:sz w:val="24"/>
          <w:szCs w:val="24"/>
        </w:rPr>
      </w:pPr>
      <w:r>
        <w:rPr>
          <w:rFonts w:ascii="Times New Roman" w:eastAsia="黑体"/>
          <w:sz w:val="24"/>
          <w:szCs w:val="24"/>
        </w:rPr>
        <w:t>5.4.3</w:t>
      </w:r>
      <w:r>
        <w:rPr>
          <w:rFonts w:ascii="Times New Roman"/>
          <w:sz w:val="24"/>
          <w:szCs w:val="24"/>
        </w:rPr>
        <w:t xml:space="preserve"> </w:t>
      </w:r>
      <w:r>
        <w:rPr>
          <w:rFonts w:hint="eastAsia" w:ascii="Times New Roman"/>
          <w:sz w:val="24"/>
          <w:szCs w:val="24"/>
        </w:rPr>
        <w:t>产品外观质量与本标准规定不符时，判该包不合格。</w:t>
      </w:r>
    </w:p>
    <w:p>
      <w:pPr>
        <w:pStyle w:val="43"/>
        <w:spacing w:before="156" w:beforeLines="50" w:after="156" w:afterLines="50" w:line="360" w:lineRule="exact"/>
        <w:ind w:left="0"/>
        <w:rPr>
          <w:rFonts w:ascii="Times New Roman" w:eastAsia="宋体"/>
          <w:sz w:val="24"/>
          <w:szCs w:val="24"/>
        </w:rPr>
      </w:pPr>
      <w:r>
        <w:rPr>
          <w:rFonts w:hint="eastAsia" w:ascii="Times New Roman"/>
          <w:sz w:val="24"/>
          <w:szCs w:val="24"/>
        </w:rPr>
        <w:t>包装</w:t>
      </w:r>
      <w:r>
        <w:rPr>
          <w:rFonts w:hint="eastAsia" w:ascii="Times New Roman" w:eastAsia="宋体"/>
          <w:sz w:val="24"/>
          <w:szCs w:val="24"/>
        </w:rPr>
        <w:t>、</w:t>
      </w:r>
      <w:r>
        <w:rPr>
          <w:rFonts w:hint="eastAsia" w:ascii="Times New Roman"/>
          <w:sz w:val="24"/>
          <w:szCs w:val="24"/>
        </w:rPr>
        <w:t>标志、运输、贮存和质量预报单</w:t>
      </w:r>
    </w:p>
    <w:p>
      <w:pPr>
        <w:pStyle w:val="43"/>
        <w:numPr>
          <w:ilvl w:val="0"/>
          <w:numId w:val="0"/>
        </w:numPr>
        <w:spacing w:before="0" w:beforeLines="0" w:after="0" w:afterLines="0" w:line="400" w:lineRule="exact"/>
        <w:outlineLvl w:val="2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6.1 </w:t>
      </w:r>
      <w:r>
        <w:rPr>
          <w:rFonts w:hint="eastAsia" w:ascii="Times New Roman"/>
          <w:sz w:val="24"/>
          <w:szCs w:val="24"/>
        </w:rPr>
        <w:t>包装</w:t>
      </w:r>
    </w:p>
    <w:p>
      <w:pPr>
        <w:pStyle w:val="23"/>
        <w:spacing w:line="400" w:lineRule="exact"/>
        <w:ind w:firstLine="480"/>
        <w:rPr>
          <w:rFonts w:ascii="Times New Roman"/>
          <w:sz w:val="24"/>
          <w:szCs w:val="24"/>
        </w:rPr>
      </w:pPr>
      <w:r>
        <w:rPr>
          <w:rFonts w:hint="eastAsia" w:ascii="Times New Roman"/>
          <w:sz w:val="24"/>
          <w:szCs w:val="24"/>
        </w:rPr>
        <w:t>产品采用集装袋（吨袋），并封口，每包净重0.8</w:t>
      </w:r>
      <w:r>
        <w:rPr>
          <w:rFonts w:ascii="Times New Roman"/>
          <w:sz w:val="24"/>
          <w:szCs w:val="24"/>
        </w:rPr>
        <w:t xml:space="preserve"> </w:t>
      </w:r>
      <w:r>
        <w:rPr>
          <w:rFonts w:hint="eastAsia" w:ascii="Times New Roman"/>
          <w:sz w:val="24"/>
          <w:szCs w:val="24"/>
        </w:rPr>
        <w:t>t</w:t>
      </w:r>
      <w:r>
        <w:rPr>
          <w:rFonts w:ascii="Times New Roman"/>
          <w:sz w:val="24"/>
          <w:szCs w:val="24"/>
        </w:rPr>
        <w:t>~</w:t>
      </w:r>
      <w:r>
        <w:rPr>
          <w:rFonts w:hint="eastAsia" w:ascii="Times New Roman"/>
          <w:sz w:val="24"/>
          <w:szCs w:val="24"/>
        </w:rPr>
        <w:t>1.2</w:t>
      </w:r>
      <w:r>
        <w:rPr>
          <w:rFonts w:ascii="Times New Roman"/>
          <w:sz w:val="24"/>
          <w:szCs w:val="24"/>
        </w:rPr>
        <w:t xml:space="preserve"> </w:t>
      </w:r>
      <w:r>
        <w:rPr>
          <w:rFonts w:hint="eastAsia" w:ascii="Times New Roman"/>
          <w:sz w:val="24"/>
          <w:szCs w:val="24"/>
        </w:rPr>
        <w:t>t。</w:t>
      </w:r>
    </w:p>
    <w:p>
      <w:pPr>
        <w:pStyle w:val="43"/>
        <w:numPr>
          <w:ilvl w:val="0"/>
          <w:numId w:val="0"/>
        </w:numPr>
        <w:spacing w:before="0" w:beforeLines="0" w:after="0" w:afterLines="0" w:line="400" w:lineRule="exact"/>
        <w:outlineLvl w:val="2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6.2 </w:t>
      </w:r>
      <w:r>
        <w:rPr>
          <w:rFonts w:hint="eastAsia" w:ascii="Times New Roman"/>
          <w:sz w:val="24"/>
          <w:szCs w:val="24"/>
        </w:rPr>
        <w:t>标志</w:t>
      </w:r>
    </w:p>
    <w:p>
      <w:pPr>
        <w:pStyle w:val="23"/>
        <w:spacing w:line="400" w:lineRule="exact"/>
        <w:ind w:firstLine="480"/>
        <w:rPr>
          <w:rFonts w:ascii="Times New Roman"/>
          <w:sz w:val="24"/>
          <w:szCs w:val="24"/>
        </w:rPr>
      </w:pPr>
      <w:r>
        <w:rPr>
          <w:rFonts w:hint="eastAsia" w:ascii="Times New Roman"/>
          <w:sz w:val="24"/>
          <w:szCs w:val="24"/>
        </w:rPr>
        <w:t>产品外包装应印有产品名称、批号、净重、供方名称、厂址、并有“防雨”“防刮”等字样或标志。</w:t>
      </w:r>
    </w:p>
    <w:p>
      <w:pPr>
        <w:pStyle w:val="43"/>
        <w:numPr>
          <w:ilvl w:val="0"/>
          <w:numId w:val="0"/>
        </w:numPr>
        <w:spacing w:before="0" w:beforeLines="0" w:after="0" w:afterLines="0" w:line="400" w:lineRule="exact"/>
        <w:outlineLvl w:val="2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6.3 </w:t>
      </w:r>
      <w:r>
        <w:rPr>
          <w:rFonts w:hint="eastAsia" w:ascii="Times New Roman"/>
          <w:sz w:val="24"/>
          <w:szCs w:val="24"/>
        </w:rPr>
        <w:t>运输</w:t>
      </w:r>
    </w:p>
    <w:p>
      <w:pPr>
        <w:pStyle w:val="23"/>
        <w:spacing w:line="400" w:lineRule="exact"/>
        <w:ind w:firstLine="480"/>
        <w:rPr>
          <w:rFonts w:ascii="Times New Roman"/>
          <w:sz w:val="24"/>
          <w:szCs w:val="24"/>
        </w:rPr>
      </w:pPr>
      <w:r>
        <w:rPr>
          <w:rFonts w:hint="eastAsia" w:ascii="Times New Roman"/>
          <w:sz w:val="24"/>
          <w:szCs w:val="24"/>
        </w:rPr>
        <w:t>产品运输时应小心轻放，并做好防护，防止包装破裂及雨水浸湿等，且应与其他物品分开堆放运输。</w:t>
      </w:r>
    </w:p>
    <w:p>
      <w:pPr>
        <w:pStyle w:val="43"/>
        <w:numPr>
          <w:ilvl w:val="0"/>
          <w:numId w:val="0"/>
        </w:numPr>
        <w:spacing w:before="0" w:beforeLines="0" w:after="0" w:afterLines="0" w:line="400" w:lineRule="exact"/>
        <w:outlineLvl w:val="2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6.4 </w:t>
      </w:r>
      <w:r>
        <w:rPr>
          <w:rFonts w:hint="eastAsia" w:ascii="Times New Roman"/>
          <w:sz w:val="24"/>
          <w:szCs w:val="24"/>
        </w:rPr>
        <w:t>贮存</w:t>
      </w:r>
    </w:p>
    <w:p>
      <w:pPr>
        <w:pStyle w:val="23"/>
        <w:spacing w:line="400" w:lineRule="exact"/>
        <w:ind w:firstLine="480"/>
        <w:rPr>
          <w:rFonts w:ascii="Times New Roman"/>
          <w:sz w:val="24"/>
          <w:szCs w:val="24"/>
        </w:rPr>
      </w:pPr>
      <w:r>
        <w:rPr>
          <w:rFonts w:hint="eastAsia" w:ascii="Times New Roman"/>
          <w:sz w:val="24"/>
          <w:szCs w:val="24"/>
        </w:rPr>
        <w:t>产品应贮存在干燥、通风、没有腐蚀性物品仓库中，不得与酸、碱、油类等化学品贮存在一起，严防受潮、腐蚀等。</w:t>
      </w:r>
    </w:p>
    <w:p>
      <w:pPr>
        <w:pStyle w:val="43"/>
        <w:numPr>
          <w:ilvl w:val="0"/>
          <w:numId w:val="0"/>
        </w:numPr>
        <w:spacing w:before="0" w:beforeLines="0" w:after="0" w:afterLines="0" w:line="400" w:lineRule="exact"/>
        <w:outlineLvl w:val="2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6.5 </w:t>
      </w:r>
      <w:r>
        <w:rPr>
          <w:rFonts w:hint="eastAsia" w:ascii="Times New Roman"/>
          <w:sz w:val="24"/>
          <w:szCs w:val="24"/>
        </w:rPr>
        <w:t>质量证明书</w:t>
      </w:r>
    </w:p>
    <w:p>
      <w:pPr>
        <w:pStyle w:val="23"/>
        <w:spacing w:line="400" w:lineRule="exact"/>
        <w:ind w:firstLine="480"/>
        <w:rPr>
          <w:rFonts w:ascii="Times New Roman"/>
          <w:sz w:val="24"/>
          <w:szCs w:val="24"/>
        </w:rPr>
      </w:pPr>
      <w:r>
        <w:rPr>
          <w:rFonts w:hint="eastAsia" w:ascii="Times New Roman"/>
          <w:sz w:val="24"/>
          <w:szCs w:val="24"/>
        </w:rPr>
        <w:t>每批产品应附有质量证明书，其上注明：</w:t>
      </w:r>
    </w:p>
    <w:p>
      <w:pPr>
        <w:pStyle w:val="23"/>
        <w:spacing w:line="400" w:lineRule="exact"/>
        <w:ind w:firstLine="48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a) </w:t>
      </w:r>
      <w:r>
        <w:rPr>
          <w:rFonts w:hint="eastAsia" w:ascii="Times New Roman"/>
          <w:sz w:val="24"/>
          <w:szCs w:val="24"/>
        </w:rPr>
        <w:t>供方名称、地址、电话、传真；</w:t>
      </w:r>
    </w:p>
    <w:p>
      <w:pPr>
        <w:pStyle w:val="23"/>
        <w:spacing w:line="400" w:lineRule="exact"/>
        <w:ind w:firstLine="48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b) </w:t>
      </w:r>
      <w:r>
        <w:rPr>
          <w:rFonts w:hint="eastAsia" w:ascii="Times New Roman"/>
          <w:sz w:val="24"/>
          <w:szCs w:val="24"/>
        </w:rPr>
        <w:t>产品名称；</w:t>
      </w:r>
    </w:p>
    <w:p>
      <w:pPr>
        <w:pStyle w:val="23"/>
        <w:spacing w:line="400" w:lineRule="exact"/>
        <w:ind w:firstLine="48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c) </w:t>
      </w:r>
      <w:r>
        <w:rPr>
          <w:rFonts w:hint="eastAsia" w:ascii="Times New Roman"/>
          <w:sz w:val="24"/>
          <w:szCs w:val="24"/>
        </w:rPr>
        <w:t>品级；</w:t>
      </w:r>
    </w:p>
    <w:p>
      <w:pPr>
        <w:pStyle w:val="23"/>
        <w:spacing w:line="400" w:lineRule="exact"/>
        <w:ind w:firstLine="48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d) </w:t>
      </w:r>
      <w:r>
        <w:rPr>
          <w:rFonts w:hint="eastAsia" w:ascii="Times New Roman"/>
          <w:sz w:val="24"/>
          <w:szCs w:val="24"/>
        </w:rPr>
        <w:t>批号；</w:t>
      </w:r>
    </w:p>
    <w:p>
      <w:pPr>
        <w:pStyle w:val="23"/>
        <w:spacing w:line="400" w:lineRule="exact"/>
        <w:ind w:firstLine="48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e) </w:t>
      </w:r>
      <w:r>
        <w:rPr>
          <w:rFonts w:hint="eastAsia" w:ascii="Times New Roman"/>
          <w:sz w:val="24"/>
          <w:szCs w:val="24"/>
        </w:rPr>
        <w:t>净重；</w:t>
      </w:r>
    </w:p>
    <w:p>
      <w:pPr>
        <w:pStyle w:val="23"/>
        <w:spacing w:line="400" w:lineRule="exact"/>
        <w:ind w:firstLine="48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f) </w:t>
      </w:r>
      <w:r>
        <w:rPr>
          <w:rFonts w:hint="eastAsia" w:ascii="Times New Roman"/>
          <w:sz w:val="24"/>
          <w:szCs w:val="24"/>
        </w:rPr>
        <w:t>发货日期和发货地点；</w:t>
      </w:r>
    </w:p>
    <w:p>
      <w:pPr>
        <w:pStyle w:val="23"/>
        <w:spacing w:line="400" w:lineRule="exact"/>
        <w:ind w:firstLine="48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g) </w:t>
      </w:r>
      <w:r>
        <w:rPr>
          <w:rFonts w:hint="eastAsia" w:ascii="Times New Roman"/>
          <w:sz w:val="24"/>
          <w:szCs w:val="24"/>
        </w:rPr>
        <w:t>本标准号。</w:t>
      </w:r>
    </w:p>
    <w:p>
      <w:pPr>
        <w:pStyle w:val="43"/>
        <w:spacing w:before="156" w:beforeLines="50" w:after="156" w:afterLines="50" w:line="360" w:lineRule="exact"/>
        <w:ind w:left="0"/>
        <w:rPr>
          <w:rFonts w:ascii="Times New Roman"/>
          <w:sz w:val="24"/>
          <w:szCs w:val="24"/>
        </w:rPr>
      </w:pPr>
      <w:r>
        <w:rPr>
          <w:rFonts w:hint="eastAsia" w:ascii="Times New Roman"/>
          <w:sz w:val="24"/>
          <w:szCs w:val="24"/>
        </w:rPr>
        <w:t>订货单（或合同）</w:t>
      </w:r>
    </w:p>
    <w:p>
      <w:pPr>
        <w:pStyle w:val="43"/>
        <w:numPr>
          <w:ilvl w:val="0"/>
          <w:numId w:val="0"/>
        </w:numPr>
        <w:spacing w:before="0" w:beforeLines="0" w:after="0" w:afterLines="0" w:line="400" w:lineRule="exact"/>
        <w:ind w:firstLine="480" w:firstLineChars="200"/>
        <w:outlineLvl w:val="2"/>
        <w:rPr>
          <w:rFonts w:ascii="Times New Roman" w:eastAsia="宋体"/>
          <w:sz w:val="24"/>
          <w:szCs w:val="24"/>
        </w:rPr>
      </w:pPr>
      <w:r>
        <w:rPr>
          <w:rFonts w:hint="eastAsia" w:ascii="Times New Roman" w:eastAsia="宋体"/>
          <w:sz w:val="24"/>
          <w:szCs w:val="24"/>
        </w:rPr>
        <w:t>镍、钴冶炼中间品的订货单（或合同）应包括下列内容：</w:t>
      </w:r>
    </w:p>
    <w:p>
      <w:pPr>
        <w:pStyle w:val="43"/>
        <w:numPr>
          <w:ilvl w:val="0"/>
          <w:numId w:val="0"/>
        </w:numPr>
        <w:spacing w:before="0" w:beforeLines="0" w:after="0" w:afterLines="0" w:line="400" w:lineRule="exact"/>
        <w:ind w:firstLine="480" w:firstLineChars="200"/>
        <w:outlineLvl w:val="2"/>
        <w:rPr>
          <w:rFonts w:ascii="Times New Roman" w:eastAsia="宋体"/>
          <w:sz w:val="24"/>
          <w:szCs w:val="24"/>
        </w:rPr>
      </w:pPr>
      <w:r>
        <w:rPr>
          <w:rFonts w:ascii="Times New Roman" w:eastAsia="宋体"/>
          <w:sz w:val="24"/>
          <w:szCs w:val="24"/>
        </w:rPr>
        <w:t xml:space="preserve">a) </w:t>
      </w:r>
      <w:r>
        <w:rPr>
          <w:rFonts w:hint="eastAsia" w:ascii="Times New Roman" w:eastAsia="宋体"/>
          <w:sz w:val="24"/>
          <w:szCs w:val="24"/>
        </w:rPr>
        <w:t>产品名称；</w:t>
      </w:r>
    </w:p>
    <w:p>
      <w:pPr>
        <w:pStyle w:val="43"/>
        <w:numPr>
          <w:ilvl w:val="0"/>
          <w:numId w:val="0"/>
        </w:numPr>
        <w:spacing w:before="0" w:beforeLines="0" w:after="0" w:afterLines="0" w:line="400" w:lineRule="exact"/>
        <w:ind w:firstLine="480" w:firstLineChars="200"/>
        <w:outlineLvl w:val="2"/>
        <w:rPr>
          <w:rFonts w:ascii="Times New Roman" w:eastAsia="宋体"/>
          <w:sz w:val="24"/>
          <w:szCs w:val="24"/>
        </w:rPr>
      </w:pPr>
      <w:r>
        <w:rPr>
          <w:rFonts w:ascii="Times New Roman" w:eastAsia="宋体"/>
          <w:sz w:val="24"/>
          <w:szCs w:val="24"/>
        </w:rPr>
        <w:t xml:space="preserve">b) </w:t>
      </w:r>
      <w:r>
        <w:rPr>
          <w:rFonts w:hint="eastAsia" w:ascii="Times New Roman" w:eastAsia="宋体"/>
          <w:sz w:val="24"/>
          <w:szCs w:val="24"/>
        </w:rPr>
        <w:t>品级；</w:t>
      </w:r>
    </w:p>
    <w:p>
      <w:pPr>
        <w:pStyle w:val="43"/>
        <w:numPr>
          <w:ilvl w:val="0"/>
          <w:numId w:val="0"/>
        </w:numPr>
        <w:spacing w:before="0" w:beforeLines="0" w:after="0" w:afterLines="0" w:line="400" w:lineRule="exact"/>
        <w:ind w:firstLine="480" w:firstLineChars="200"/>
        <w:outlineLvl w:val="2"/>
        <w:rPr>
          <w:rFonts w:ascii="Times New Roman" w:eastAsia="宋体"/>
          <w:sz w:val="24"/>
          <w:szCs w:val="24"/>
        </w:rPr>
      </w:pPr>
      <w:r>
        <w:rPr>
          <w:rFonts w:ascii="Times New Roman" w:eastAsia="宋体"/>
          <w:sz w:val="24"/>
          <w:szCs w:val="24"/>
        </w:rPr>
        <w:t xml:space="preserve">c) </w:t>
      </w:r>
      <w:r>
        <w:rPr>
          <w:rFonts w:hint="eastAsia" w:ascii="Times New Roman" w:eastAsia="宋体"/>
          <w:sz w:val="24"/>
          <w:szCs w:val="24"/>
        </w:rPr>
        <w:t>化学成分（特殊要求）；</w:t>
      </w:r>
    </w:p>
    <w:p>
      <w:pPr>
        <w:pStyle w:val="43"/>
        <w:numPr>
          <w:ilvl w:val="0"/>
          <w:numId w:val="0"/>
        </w:numPr>
        <w:spacing w:before="0" w:beforeLines="0" w:after="0" w:afterLines="0" w:line="400" w:lineRule="exact"/>
        <w:ind w:firstLine="480" w:firstLineChars="200"/>
        <w:outlineLvl w:val="2"/>
        <w:rPr>
          <w:rFonts w:ascii="Times New Roman" w:eastAsia="宋体"/>
          <w:sz w:val="24"/>
          <w:szCs w:val="24"/>
        </w:rPr>
      </w:pPr>
      <w:r>
        <w:rPr>
          <w:rFonts w:ascii="Times New Roman" w:eastAsia="宋体"/>
          <w:sz w:val="24"/>
          <w:szCs w:val="24"/>
        </w:rPr>
        <w:t xml:space="preserve">d) </w:t>
      </w:r>
      <w:r>
        <w:rPr>
          <w:rFonts w:hint="eastAsia" w:ascii="Times New Roman" w:eastAsia="宋体"/>
          <w:sz w:val="24"/>
          <w:szCs w:val="24"/>
        </w:rPr>
        <w:t>净重；</w:t>
      </w:r>
    </w:p>
    <w:p>
      <w:pPr>
        <w:pStyle w:val="43"/>
        <w:numPr>
          <w:ilvl w:val="0"/>
          <w:numId w:val="0"/>
        </w:numPr>
        <w:spacing w:before="0" w:beforeLines="0" w:after="0" w:afterLines="0" w:line="400" w:lineRule="exact"/>
        <w:ind w:firstLine="480" w:firstLineChars="200"/>
        <w:outlineLvl w:val="2"/>
        <w:rPr>
          <w:rFonts w:ascii="Times New Roman" w:eastAsia="宋体"/>
          <w:sz w:val="24"/>
          <w:szCs w:val="24"/>
        </w:rPr>
      </w:pPr>
      <w:r>
        <w:rPr>
          <w:rFonts w:ascii="Times New Roman" w:eastAsia="宋体"/>
          <w:sz w:val="24"/>
          <w:szCs w:val="24"/>
        </w:rPr>
        <w:t xml:space="preserve">e) </w:t>
      </w:r>
      <w:r>
        <w:rPr>
          <w:rFonts w:hint="eastAsia" w:ascii="Times New Roman" w:eastAsia="宋体"/>
          <w:sz w:val="24"/>
          <w:szCs w:val="24"/>
        </w:rPr>
        <w:t>本标准编号；</w:t>
      </w:r>
    </w:p>
    <w:p>
      <w:pPr>
        <w:pStyle w:val="43"/>
        <w:numPr>
          <w:ilvl w:val="0"/>
          <w:numId w:val="0"/>
        </w:numPr>
        <w:spacing w:before="0" w:beforeLines="0" w:after="0" w:afterLines="0" w:line="400" w:lineRule="exact"/>
        <w:ind w:firstLine="480" w:firstLineChars="200"/>
        <w:outlineLvl w:val="2"/>
        <w:rPr>
          <w:sz w:val="24"/>
          <w:szCs w:val="24"/>
        </w:rPr>
      </w:pPr>
      <w:r>
        <w:rPr>
          <w:rFonts w:ascii="Times New Roman" w:eastAsia="宋体"/>
          <w:sz w:val="24"/>
          <w:szCs w:val="24"/>
        </w:rPr>
        <w:t>f</w:t>
      </w:r>
      <w:r>
        <w:rPr>
          <w:rFonts w:hint="eastAsia" w:ascii="宋体" w:hAnsi="宋体" w:eastAsia="宋体"/>
          <w:sz w:val="24"/>
          <w:szCs w:val="24"/>
        </w:rPr>
        <w:t xml:space="preserve">) 其他。 </w:t>
      </w:r>
    </w:p>
    <w:sectPr>
      <w:headerReference r:id="rId6" w:type="default"/>
      <w:footerReference r:id="rId7" w:type="default"/>
      <w:pgSz w:w="11906" w:h="16838"/>
      <w:pgMar w:top="567" w:right="1134" w:bottom="1134" w:left="1418" w:header="1418" w:footer="1134" w:gutter="0"/>
      <w:pgNumType w:start="1"/>
      <w:cols w:space="425" w:num="1"/>
      <w:formProt w:val="0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6"/>
      <w:rPr>
        <w:rStyle w:val="34"/>
      </w:rPr>
    </w:pPr>
    <w:r>
      <w:fldChar w:fldCharType="begin"/>
    </w:r>
    <w:r>
      <w:rPr>
        <w:rStyle w:val="34"/>
      </w:rPr>
      <w:instrText xml:space="preserve">PAGE  </w:instrText>
    </w:r>
    <w:r>
      <w:fldChar w:fldCharType="separate"/>
    </w:r>
    <w:r>
      <w:rPr>
        <w:rStyle w:val="34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1"/>
    </w:pPr>
    <w:r>
      <w:fldChar w:fldCharType="begin"/>
    </w:r>
    <w:r>
      <w:instrText xml:space="preserve"> PAGE  \* MERGEFORMAT </w:instrText>
    </w:r>
    <w:r>
      <w:fldChar w:fldCharType="separate"/>
    </w:r>
    <w:r>
      <w:t>3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7"/>
    </w:pPr>
    <w:r>
      <w:rPr>
        <w:rFonts w:hint="eastAsia"/>
      </w:rPr>
      <w:t>××××—××××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5"/>
      <w:framePr w:w="0" w:hRule="auto" w:hSpace="0" w:wrap="auto" w:vAnchor="margin" w:hAnchor="text" w:xAlign="left" w:yAlign="inline"/>
      <w:wordWrap w:val="0"/>
      <w:spacing w:before="0"/>
      <w:rPr>
        <w:rFonts w:ascii="Times New Roman"/>
        <w:sz w:val="24"/>
        <w:szCs w:val="24"/>
      </w:rPr>
    </w:pPr>
    <w:r>
      <w:rPr>
        <w:rFonts w:ascii="Times New Roman"/>
        <w:sz w:val="24"/>
        <w:szCs w:val="24"/>
      </w:rPr>
      <w:t>T/CNIA</w:t>
    </w:r>
    <w:r>
      <w:rPr>
        <w:rFonts w:hint="eastAsia" w:ascii="Times New Roman"/>
        <w:sz w:val="24"/>
        <w:szCs w:val="24"/>
      </w:rPr>
      <w:t xml:space="preserve"> xxx </w:t>
    </w:r>
    <w:r>
      <w:rPr>
        <w:rFonts w:ascii="Times New Roman"/>
        <w:sz w:val="24"/>
        <w:szCs w:val="24"/>
      </w:rPr>
      <w:t>—20</w:t>
    </w:r>
    <w:r>
      <w:rPr>
        <w:rFonts w:hint="eastAsia" w:ascii="Times New Roman"/>
        <w:sz w:val="24"/>
        <w:szCs w:val="24"/>
      </w:rPr>
      <w:t>1</w:t>
    </w:r>
    <w:r>
      <w:rPr>
        <w:rFonts w:ascii="Times New Roman"/>
        <w:sz w:val="24"/>
        <w:szCs w:val="24"/>
      </w:rPr>
      <w:t>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02AD"/>
    <w:multiLevelType w:val="multilevel"/>
    <w:tmpl w:val="079102AD"/>
    <w:lvl w:ilvl="0" w:tentative="0">
      <w:start w:val="1"/>
      <w:numFmt w:val="decimal"/>
      <w:pStyle w:val="56"/>
      <w:suff w:val="nothing"/>
      <w:lvlText w:val="注%1："/>
      <w:lvlJc w:val="left"/>
      <w:pPr>
        <w:ind w:left="811" w:hanging="448"/>
      </w:pPr>
      <w:rPr>
        <w:rFonts w:hint="eastAsia" w:ascii="黑体" w:eastAsia="黑体"/>
        <w:b w:val="0"/>
        <w:i w:val="0"/>
        <w:sz w:val="18"/>
        <w:lang w:val="en-US"/>
      </w:rPr>
    </w:lvl>
    <w:lvl w:ilvl="1" w:tentative="0">
      <w:start w:val="1"/>
      <w:numFmt w:val="lowerLetter"/>
      <w:lvlText w:val="%2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</w:rPr>
    </w:lvl>
  </w:abstractNum>
  <w:abstractNum w:abstractNumId="1">
    <w:nsid w:val="093C6778"/>
    <w:multiLevelType w:val="multilevel"/>
    <w:tmpl w:val="093C6778"/>
    <w:lvl w:ilvl="0" w:tentative="0">
      <w:start w:val="1"/>
      <w:numFmt w:val="decimal"/>
      <w:pStyle w:val="114"/>
      <w:suff w:val="nothing"/>
      <w:lvlText w:val="示例%1："/>
      <w:lvlJc w:val="left"/>
      <w:pPr>
        <w:ind w:left="0" w:firstLine="397"/>
      </w:pPr>
      <w:rPr>
        <w:rFonts w:hint="eastAsia" w:ascii="黑体" w:eastAsia="黑体"/>
        <w:sz w:val="18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>
    <w:nsid w:val="0AE367E9"/>
    <w:multiLevelType w:val="multilevel"/>
    <w:tmpl w:val="0AE367E9"/>
    <w:lvl w:ilvl="0" w:tentative="0">
      <w:start w:val="1"/>
      <w:numFmt w:val="none"/>
      <w:pStyle w:val="50"/>
      <w:suff w:val="nothing"/>
      <w:lvlText w:val="%1示例："/>
      <w:lvlJc w:val="left"/>
      <w:pPr>
        <w:ind w:left="0" w:firstLine="363"/>
      </w:pPr>
      <w:rPr>
        <w:rFonts w:hint="eastAsia" w:ascii="黑体" w:eastAsia="黑体"/>
        <w:b w:val="0"/>
        <w:i w:val="0"/>
        <w:sz w:val="18"/>
        <w:szCs w:val="18"/>
      </w:rPr>
    </w:lvl>
    <w:lvl w:ilvl="1" w:tentative="0">
      <w:start w:val="1"/>
      <w:numFmt w:val="lowerLetter"/>
      <w:lvlText w:val="%2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"/>
        </w:tabs>
        <w:ind w:left="0" w:firstLine="363"/>
      </w:pPr>
      <w:rPr>
        <w:rFonts w:hint="eastAsia"/>
      </w:rPr>
    </w:lvl>
  </w:abstractNum>
  <w:abstractNum w:abstractNumId="3">
    <w:nsid w:val="0DDE2B46"/>
    <w:multiLevelType w:val="multilevel"/>
    <w:tmpl w:val="0DDE2B46"/>
    <w:lvl w:ilvl="0" w:tentative="0">
      <w:start w:val="1"/>
      <w:numFmt w:val="lowerLetter"/>
      <w:pStyle w:val="119"/>
      <w:suff w:val="nothing"/>
      <w:lvlText w:val="%1   "/>
      <w:lvlJc w:val="left"/>
      <w:pPr>
        <w:ind w:left="544" w:hanging="181"/>
      </w:pPr>
      <w:rPr>
        <w:rFonts w:hint="eastAsia" w:ascii="宋体" w:eastAsia="宋体"/>
        <w:b w:val="0"/>
        <w:i w:val="0"/>
        <w:sz w:val="18"/>
        <w:vertAlign w:val="superscript"/>
      </w:rPr>
    </w:lvl>
    <w:lvl w:ilvl="1" w:tentative="0">
      <w:start w:val="1"/>
      <w:numFmt w:val="lowerLetter"/>
      <w:lvlText w:val="%2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57"/>
        </w:tabs>
        <w:ind w:left="363" w:hanging="363"/>
      </w:pPr>
      <w:rPr>
        <w:rFonts w:hint="eastAsia"/>
      </w:rPr>
    </w:lvl>
  </w:abstractNum>
  <w:abstractNum w:abstractNumId="4">
    <w:nsid w:val="1DBF583A"/>
    <w:multiLevelType w:val="multilevel"/>
    <w:tmpl w:val="1DBF583A"/>
    <w:lvl w:ilvl="0" w:tentative="0">
      <w:start w:val="1"/>
      <w:numFmt w:val="decimal"/>
      <w:pStyle w:val="63"/>
      <w:suff w:val="nothing"/>
      <w:lvlText w:val="注%1："/>
      <w:lvlJc w:val="left"/>
      <w:pPr>
        <w:ind w:left="811" w:hanging="448"/>
      </w:pPr>
      <w:rPr>
        <w:rFonts w:hint="eastAsia" w:ascii="黑体" w:eastAsia="黑体"/>
        <w:b w:val="0"/>
        <w:i w:val="0"/>
        <w:sz w:val="18"/>
        <w:szCs w:val="18"/>
        <w:vertAlign w:val="baseline"/>
      </w:rPr>
    </w:lvl>
    <w:lvl w:ilvl="1" w:tentative="0">
      <w:start w:val="1"/>
      <w:numFmt w:val="lowerLetter"/>
      <w:lvlText w:val="%2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2" w:tentative="0">
      <w:start w:val="1"/>
      <w:numFmt w:val="lowerRoman"/>
      <w:lvlText w:val="%3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3" w:tentative="0">
      <w:start w:val="1"/>
      <w:numFmt w:val="decimal"/>
      <w:lvlText w:val="%4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4" w:tentative="0">
      <w:start w:val="1"/>
      <w:numFmt w:val="lowerLetter"/>
      <w:lvlText w:val="%5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5" w:tentative="0">
      <w:start w:val="1"/>
      <w:numFmt w:val="lowerRoman"/>
      <w:lvlText w:val="%6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6" w:tentative="0">
      <w:start w:val="1"/>
      <w:numFmt w:val="decimal"/>
      <w:lvlText w:val="%7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7" w:tentative="0">
      <w:start w:val="1"/>
      <w:numFmt w:val="lowerLetter"/>
      <w:lvlText w:val="%8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8" w:tentative="0">
      <w:start w:val="1"/>
      <w:numFmt w:val="lowerRoman"/>
      <w:lvlText w:val="%9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</w:abstractNum>
  <w:abstractNum w:abstractNumId="5">
    <w:nsid w:val="1FC91163"/>
    <w:multiLevelType w:val="multilevel"/>
    <w:tmpl w:val="1FC91163"/>
    <w:lvl w:ilvl="0" w:tentative="0">
      <w:start w:val="1"/>
      <w:numFmt w:val="decimal"/>
      <w:pStyle w:val="43"/>
      <w:suff w:val="nothing"/>
      <w:lvlText w:val="%1　"/>
      <w:lvlJc w:val="left"/>
      <w:pPr>
        <w:ind w:left="426" w:firstLine="0"/>
      </w:pPr>
      <w:rPr>
        <w:rFonts w:hint="eastAsia" w:ascii="黑体" w:hAnsi="Times New Roman" w:eastAsia="黑体"/>
        <w:b w:val="0"/>
        <w:i w:val="0"/>
        <w:sz w:val="24"/>
        <w:szCs w:val="24"/>
      </w:rPr>
    </w:lvl>
    <w:lvl w:ilvl="1" w:tentative="0">
      <w:start w:val="1"/>
      <w:numFmt w:val="decimal"/>
      <w:pStyle w:val="40"/>
      <w:suff w:val="nothing"/>
      <w:lvlText w:val="%1.%2　"/>
      <w:lvlJc w:val="left"/>
      <w:pPr>
        <w:ind w:left="1842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2" w:tentative="0">
      <w:start w:val="1"/>
      <w:numFmt w:val="decimal"/>
      <w:pStyle w:val="44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49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53"/>
      <w:suff w:val="nothing"/>
      <w:lvlText w:val="%1.%2.%3.%4.%5　"/>
      <w:lvlJc w:val="left"/>
      <w:pPr>
        <w:ind w:left="1135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54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6">
    <w:nsid w:val="2A8F7113"/>
    <w:multiLevelType w:val="multilevel"/>
    <w:tmpl w:val="2A8F7113"/>
    <w:lvl w:ilvl="0" w:tentative="0">
      <w:start w:val="1"/>
      <w:numFmt w:val="upperLetter"/>
      <w:pStyle w:val="96"/>
      <w:suff w:val="space"/>
      <w:lvlText w:val="%1"/>
      <w:lvlJc w:val="left"/>
      <w:pPr>
        <w:ind w:left="623" w:hanging="425"/>
      </w:pPr>
      <w:rPr>
        <w:rFonts w:hint="eastAsia"/>
      </w:rPr>
    </w:lvl>
    <w:lvl w:ilvl="1" w:tentative="0">
      <w:start w:val="1"/>
      <w:numFmt w:val="decimal"/>
      <w:pStyle w:val="97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7">
    <w:nsid w:val="2C5917C3"/>
    <w:multiLevelType w:val="multilevel"/>
    <w:tmpl w:val="2C5917C3"/>
    <w:lvl w:ilvl="0" w:tentative="0">
      <w:start w:val="1"/>
      <w:numFmt w:val="none"/>
      <w:pStyle w:val="46"/>
      <w:suff w:val="nothing"/>
      <w:lvlText w:val="%1——"/>
      <w:lvlJc w:val="left"/>
      <w:pPr>
        <w:ind w:left="833" w:hanging="408"/>
      </w:pPr>
      <w:rPr>
        <w:rFonts w:hint="eastAsia"/>
      </w:rPr>
    </w:lvl>
    <w:lvl w:ilvl="1" w:tentative="0">
      <w:start w:val="1"/>
      <w:numFmt w:val="bullet"/>
      <w:pStyle w:val="47"/>
      <w:lvlText w:val=""/>
      <w:lvlJc w:val="left"/>
      <w:pPr>
        <w:tabs>
          <w:tab w:val="left" w:pos="760"/>
        </w:tabs>
        <w:ind w:left="1264" w:hanging="413"/>
      </w:pPr>
      <w:rPr>
        <w:rFonts w:hint="default" w:ascii="Symbol" w:hAnsi="Symbol"/>
        <w:color w:val="auto"/>
      </w:rPr>
    </w:lvl>
    <w:lvl w:ilvl="2" w:tentative="0">
      <w:start w:val="1"/>
      <w:numFmt w:val="bullet"/>
      <w:pStyle w:val="58"/>
      <w:lvlText w:val=""/>
      <w:lvlJc w:val="left"/>
      <w:pPr>
        <w:tabs>
          <w:tab w:val="left" w:pos="1678"/>
        </w:tabs>
        <w:ind w:left="1678" w:hanging="414"/>
      </w:pPr>
      <w:rPr>
        <w:rFonts w:hint="default" w:ascii="Symbol" w:hAnsi="Symbol"/>
        <w:color w:val="auto"/>
      </w:rPr>
    </w:lvl>
    <w:lvl w:ilvl="3" w:tentative="0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/>
      </w:rPr>
    </w:lvl>
  </w:abstractNum>
  <w:abstractNum w:abstractNumId="8">
    <w:nsid w:val="3D733618"/>
    <w:multiLevelType w:val="multilevel"/>
    <w:tmpl w:val="3D733618"/>
    <w:lvl w:ilvl="0" w:tentative="0">
      <w:start w:val="1"/>
      <w:numFmt w:val="decimal"/>
      <w:pStyle w:val="24"/>
      <w:lvlText w:val="%1)"/>
      <w:lvlJc w:val="left"/>
      <w:pPr>
        <w:tabs>
          <w:tab w:val="left" w:pos="0"/>
        </w:tabs>
        <w:ind w:left="720" w:hanging="357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504"/>
        </w:tabs>
        <w:ind w:left="544" w:hanging="544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532"/>
        </w:tabs>
        <w:ind w:left="544" w:hanging="544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560"/>
        </w:tabs>
        <w:ind w:left="544" w:hanging="544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588"/>
        </w:tabs>
        <w:ind w:left="544" w:hanging="544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616"/>
        </w:tabs>
        <w:ind w:left="544" w:hanging="544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644"/>
        </w:tabs>
        <w:ind w:left="544" w:hanging="544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672"/>
        </w:tabs>
        <w:ind w:left="544" w:hanging="544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700"/>
        </w:tabs>
        <w:ind w:left="544" w:hanging="544"/>
      </w:pPr>
      <w:rPr>
        <w:rFonts w:hint="eastAsia"/>
      </w:rPr>
    </w:lvl>
  </w:abstractNum>
  <w:abstractNum w:abstractNumId="9">
    <w:nsid w:val="44C50F90"/>
    <w:multiLevelType w:val="multilevel"/>
    <w:tmpl w:val="44C50F90"/>
    <w:lvl w:ilvl="0" w:tentative="0">
      <w:start w:val="1"/>
      <w:numFmt w:val="lowerLetter"/>
      <w:pStyle w:val="57"/>
      <w:lvlText w:val="%1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  <w:szCs w:val="21"/>
      </w:rPr>
    </w:lvl>
    <w:lvl w:ilvl="1" w:tentative="0">
      <w:start w:val="1"/>
      <w:numFmt w:val="decimal"/>
      <w:pStyle w:val="52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 w:tentative="0">
      <w:start w:val="1"/>
      <w:numFmt w:val="decimal"/>
      <w:pStyle w:val="59"/>
      <w:lvlText w:val="(%3)"/>
      <w:lvlJc w:val="left"/>
      <w:pPr>
        <w:tabs>
          <w:tab w:val="left" w:pos="0"/>
        </w:tabs>
        <w:ind w:left="1679" w:hanging="420"/>
      </w:pPr>
      <w:rPr>
        <w:rFonts w:hint="eastAsia" w:ascii="宋体" w:eastAsia="宋体"/>
        <w:b w:val="0"/>
        <w:i w:val="0"/>
        <w:sz w:val="21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abstractNum w:abstractNumId="10">
    <w:nsid w:val="4B733A5F"/>
    <w:multiLevelType w:val="multilevel"/>
    <w:tmpl w:val="4B733A5F"/>
    <w:lvl w:ilvl="0" w:tentative="0">
      <w:start w:val="1"/>
      <w:numFmt w:val="decimal"/>
      <w:pStyle w:val="60"/>
      <w:suff w:val="nothing"/>
      <w:lvlText w:val="示例%1："/>
      <w:lvlJc w:val="left"/>
      <w:pPr>
        <w:ind w:left="0" w:firstLine="363"/>
      </w:pPr>
      <w:rPr>
        <w:rFonts w:hint="eastAsia" w:ascii="黑体" w:hAnsi="Times New Roman" w:eastAsia="黑体"/>
        <w:b w:val="0"/>
        <w:i w:val="0"/>
        <w:sz w:val="18"/>
        <w:szCs w:val="18"/>
        <w:vertAlign w:val="baseline"/>
      </w:rPr>
    </w:lvl>
    <w:lvl w:ilvl="1" w:tentative="0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 w:tentative="0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</w:abstractNum>
  <w:abstractNum w:abstractNumId="11">
    <w:nsid w:val="557C2AF5"/>
    <w:multiLevelType w:val="multilevel"/>
    <w:tmpl w:val="557C2AF5"/>
    <w:lvl w:ilvl="0" w:tentative="0">
      <w:start w:val="1"/>
      <w:numFmt w:val="decimal"/>
      <w:pStyle w:val="127"/>
      <w:suff w:val="nothing"/>
      <w:lvlText w:val="图%1　"/>
      <w:lvlJc w:val="left"/>
      <w:pPr>
        <w:ind w:left="420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suff w:val="nothing"/>
      <w:lvlText w:val="%1%2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2">
    <w:nsid w:val="60B55DC2"/>
    <w:multiLevelType w:val="multilevel"/>
    <w:tmpl w:val="60B55DC2"/>
    <w:lvl w:ilvl="0" w:tentative="0">
      <w:start w:val="1"/>
      <w:numFmt w:val="upperLetter"/>
      <w:pStyle w:val="84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 w:tentative="0">
      <w:start w:val="1"/>
      <w:numFmt w:val="decimal"/>
      <w:pStyle w:val="85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13">
    <w:nsid w:val="646260FA"/>
    <w:multiLevelType w:val="multilevel"/>
    <w:tmpl w:val="646260FA"/>
    <w:lvl w:ilvl="0" w:tentative="0">
      <w:start w:val="1"/>
      <w:numFmt w:val="decimal"/>
      <w:pStyle w:val="125"/>
      <w:suff w:val="nothing"/>
      <w:lvlText w:val="表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4">
    <w:nsid w:val="657D3FBC"/>
    <w:multiLevelType w:val="multilevel"/>
    <w:tmpl w:val="657D3FBC"/>
    <w:lvl w:ilvl="0" w:tentative="0">
      <w:start w:val="1"/>
      <w:numFmt w:val="upperLetter"/>
      <w:pStyle w:val="82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pacing w:val="0"/>
        <w:w w:val="100"/>
        <w:sz w:val="21"/>
      </w:rPr>
    </w:lvl>
    <w:lvl w:ilvl="1" w:tentative="0">
      <w:start w:val="1"/>
      <w:numFmt w:val="decimal"/>
      <w:pStyle w:val="100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pStyle w:val="101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86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91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94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pStyle w:val="98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5">
    <w:nsid w:val="6D6C07CD"/>
    <w:multiLevelType w:val="multilevel"/>
    <w:tmpl w:val="6D6C07CD"/>
    <w:lvl w:ilvl="0" w:tentative="0">
      <w:start w:val="1"/>
      <w:numFmt w:val="lowerLetter"/>
      <w:pStyle w:val="103"/>
      <w:lvlText w:val="%1)"/>
      <w:lvlJc w:val="left"/>
      <w:pPr>
        <w:tabs>
          <w:tab w:val="left" w:pos="839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1" w:tentative="0">
      <w:start w:val="1"/>
      <w:numFmt w:val="decimal"/>
      <w:pStyle w:val="93"/>
      <w:lvlText w:val="%2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59" w:hanging="419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7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1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3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79" w:hanging="419"/>
      </w:pPr>
      <w:rPr>
        <w:rFonts w:hint="eastAsia"/>
      </w:rPr>
    </w:lvl>
  </w:abstractNum>
  <w:abstractNum w:abstractNumId="16">
    <w:nsid w:val="6DBF04F4"/>
    <w:multiLevelType w:val="multilevel"/>
    <w:tmpl w:val="6DBF04F4"/>
    <w:lvl w:ilvl="0" w:tentative="0">
      <w:start w:val="1"/>
      <w:numFmt w:val="none"/>
      <w:pStyle w:val="55"/>
      <w:suff w:val="nothing"/>
      <w:lvlText w:val="%1注："/>
      <w:lvlJc w:val="left"/>
      <w:pPr>
        <w:ind w:left="726" w:hanging="363"/>
      </w:pPr>
      <w:rPr>
        <w:rFonts w:hint="eastAsia" w:ascii="黑体" w:hAnsi="Times New Roman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2"/>
  </w:num>
  <w:num w:numId="5">
    <w:abstractNumId w:val="9"/>
  </w:num>
  <w:num w:numId="6">
    <w:abstractNumId w:val="16"/>
  </w:num>
  <w:num w:numId="7">
    <w:abstractNumId w:val="0"/>
  </w:num>
  <w:num w:numId="8">
    <w:abstractNumId w:val="10"/>
  </w:num>
  <w:num w:numId="9">
    <w:abstractNumId w:val="4"/>
  </w:num>
  <w:num w:numId="10">
    <w:abstractNumId w:val="14"/>
  </w:num>
  <w:num w:numId="11">
    <w:abstractNumId w:val="12"/>
  </w:num>
  <w:num w:numId="12">
    <w:abstractNumId w:val="15"/>
  </w:num>
  <w:num w:numId="13">
    <w:abstractNumId w:val="6"/>
  </w:num>
  <w:num w:numId="14">
    <w:abstractNumId w:val="1"/>
  </w:num>
  <w:num w:numId="15">
    <w:abstractNumId w:val="3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removePersonalInformation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25"/>
    <w:rsid w:val="00000244"/>
    <w:rsid w:val="00000957"/>
    <w:rsid w:val="0000185F"/>
    <w:rsid w:val="0000586F"/>
    <w:rsid w:val="00013D86"/>
    <w:rsid w:val="00013E02"/>
    <w:rsid w:val="0002143C"/>
    <w:rsid w:val="000218A2"/>
    <w:rsid w:val="00025A65"/>
    <w:rsid w:val="00026C31"/>
    <w:rsid w:val="00027280"/>
    <w:rsid w:val="000320A7"/>
    <w:rsid w:val="00035925"/>
    <w:rsid w:val="00050A75"/>
    <w:rsid w:val="00067CDF"/>
    <w:rsid w:val="00074FBE"/>
    <w:rsid w:val="00083A09"/>
    <w:rsid w:val="0009005E"/>
    <w:rsid w:val="00092857"/>
    <w:rsid w:val="000A20A9"/>
    <w:rsid w:val="000A3515"/>
    <w:rsid w:val="000A48B1"/>
    <w:rsid w:val="000A63FE"/>
    <w:rsid w:val="000B3143"/>
    <w:rsid w:val="000B3A23"/>
    <w:rsid w:val="000C51A4"/>
    <w:rsid w:val="000C6B05"/>
    <w:rsid w:val="000C6DD6"/>
    <w:rsid w:val="000C73D4"/>
    <w:rsid w:val="000D3D4C"/>
    <w:rsid w:val="000D4F51"/>
    <w:rsid w:val="000D718B"/>
    <w:rsid w:val="000E0C46"/>
    <w:rsid w:val="000E3D9F"/>
    <w:rsid w:val="000F030C"/>
    <w:rsid w:val="000F129C"/>
    <w:rsid w:val="001056DE"/>
    <w:rsid w:val="00105FA8"/>
    <w:rsid w:val="00111865"/>
    <w:rsid w:val="001124C0"/>
    <w:rsid w:val="00127702"/>
    <w:rsid w:val="0013175F"/>
    <w:rsid w:val="0013481C"/>
    <w:rsid w:val="00147191"/>
    <w:rsid w:val="001512B4"/>
    <w:rsid w:val="00151CC3"/>
    <w:rsid w:val="001620A5"/>
    <w:rsid w:val="001624E6"/>
    <w:rsid w:val="00164E53"/>
    <w:rsid w:val="0016699D"/>
    <w:rsid w:val="00175159"/>
    <w:rsid w:val="00176208"/>
    <w:rsid w:val="00180897"/>
    <w:rsid w:val="00181C36"/>
    <w:rsid w:val="0018211B"/>
    <w:rsid w:val="00182C51"/>
    <w:rsid w:val="001840D3"/>
    <w:rsid w:val="001854AD"/>
    <w:rsid w:val="00185EF3"/>
    <w:rsid w:val="001900F8"/>
    <w:rsid w:val="00191258"/>
    <w:rsid w:val="00192680"/>
    <w:rsid w:val="00193037"/>
    <w:rsid w:val="00193A2C"/>
    <w:rsid w:val="001A288E"/>
    <w:rsid w:val="001B34FD"/>
    <w:rsid w:val="001B40E8"/>
    <w:rsid w:val="001B6DC2"/>
    <w:rsid w:val="001C149C"/>
    <w:rsid w:val="001C21AC"/>
    <w:rsid w:val="001C47BA"/>
    <w:rsid w:val="001C59EA"/>
    <w:rsid w:val="001C61D5"/>
    <w:rsid w:val="001D406C"/>
    <w:rsid w:val="001D41EE"/>
    <w:rsid w:val="001E0380"/>
    <w:rsid w:val="001E13B1"/>
    <w:rsid w:val="001E5ACB"/>
    <w:rsid w:val="001E7AB6"/>
    <w:rsid w:val="001F3A19"/>
    <w:rsid w:val="002027AB"/>
    <w:rsid w:val="00204DE8"/>
    <w:rsid w:val="00215A70"/>
    <w:rsid w:val="00216141"/>
    <w:rsid w:val="00227F6D"/>
    <w:rsid w:val="00234467"/>
    <w:rsid w:val="00235722"/>
    <w:rsid w:val="00236ED2"/>
    <w:rsid w:val="00237D8D"/>
    <w:rsid w:val="00241DA2"/>
    <w:rsid w:val="00243EA1"/>
    <w:rsid w:val="00247FEE"/>
    <w:rsid w:val="00250E7D"/>
    <w:rsid w:val="002565D5"/>
    <w:rsid w:val="00260A3A"/>
    <w:rsid w:val="002622C0"/>
    <w:rsid w:val="00274E92"/>
    <w:rsid w:val="002778AE"/>
    <w:rsid w:val="0028269A"/>
    <w:rsid w:val="00283590"/>
    <w:rsid w:val="00286973"/>
    <w:rsid w:val="00294E70"/>
    <w:rsid w:val="002A1924"/>
    <w:rsid w:val="002A7420"/>
    <w:rsid w:val="002A7AEE"/>
    <w:rsid w:val="002B0F12"/>
    <w:rsid w:val="002B1308"/>
    <w:rsid w:val="002B4554"/>
    <w:rsid w:val="002B5A91"/>
    <w:rsid w:val="002C72D8"/>
    <w:rsid w:val="002D11FA"/>
    <w:rsid w:val="002E0DDF"/>
    <w:rsid w:val="002E1B5A"/>
    <w:rsid w:val="002E2906"/>
    <w:rsid w:val="002E5635"/>
    <w:rsid w:val="002E64C3"/>
    <w:rsid w:val="002E6A2C"/>
    <w:rsid w:val="002F1D8C"/>
    <w:rsid w:val="002F21DA"/>
    <w:rsid w:val="00300A4D"/>
    <w:rsid w:val="00301F39"/>
    <w:rsid w:val="00311072"/>
    <w:rsid w:val="00314E03"/>
    <w:rsid w:val="00325926"/>
    <w:rsid w:val="00327A8A"/>
    <w:rsid w:val="00334A72"/>
    <w:rsid w:val="00336610"/>
    <w:rsid w:val="00343F73"/>
    <w:rsid w:val="00345060"/>
    <w:rsid w:val="00347EAB"/>
    <w:rsid w:val="0035323B"/>
    <w:rsid w:val="00355A9F"/>
    <w:rsid w:val="003609D2"/>
    <w:rsid w:val="00363F22"/>
    <w:rsid w:val="00375564"/>
    <w:rsid w:val="00383191"/>
    <w:rsid w:val="003844AE"/>
    <w:rsid w:val="00386DED"/>
    <w:rsid w:val="003912E7"/>
    <w:rsid w:val="00392A4E"/>
    <w:rsid w:val="00393947"/>
    <w:rsid w:val="003A17E1"/>
    <w:rsid w:val="003A2275"/>
    <w:rsid w:val="003A5DED"/>
    <w:rsid w:val="003A6A4F"/>
    <w:rsid w:val="003A7088"/>
    <w:rsid w:val="003B00DF"/>
    <w:rsid w:val="003B1275"/>
    <w:rsid w:val="003B1778"/>
    <w:rsid w:val="003C1009"/>
    <w:rsid w:val="003C11CB"/>
    <w:rsid w:val="003C1763"/>
    <w:rsid w:val="003C75F3"/>
    <w:rsid w:val="003C78A3"/>
    <w:rsid w:val="003E1867"/>
    <w:rsid w:val="003E1B66"/>
    <w:rsid w:val="003E5729"/>
    <w:rsid w:val="003F4EE0"/>
    <w:rsid w:val="003F7A3A"/>
    <w:rsid w:val="00402153"/>
    <w:rsid w:val="00402FC1"/>
    <w:rsid w:val="00413351"/>
    <w:rsid w:val="004137C6"/>
    <w:rsid w:val="00425082"/>
    <w:rsid w:val="00431DEB"/>
    <w:rsid w:val="0043257E"/>
    <w:rsid w:val="00434BEA"/>
    <w:rsid w:val="0044082E"/>
    <w:rsid w:val="00446B29"/>
    <w:rsid w:val="0044734E"/>
    <w:rsid w:val="00453F9A"/>
    <w:rsid w:val="004565BB"/>
    <w:rsid w:val="00456CDF"/>
    <w:rsid w:val="00471E91"/>
    <w:rsid w:val="00474675"/>
    <w:rsid w:val="0047470C"/>
    <w:rsid w:val="004A35F9"/>
    <w:rsid w:val="004B24C1"/>
    <w:rsid w:val="004C292F"/>
    <w:rsid w:val="00501185"/>
    <w:rsid w:val="00510280"/>
    <w:rsid w:val="005126E4"/>
    <w:rsid w:val="00513D73"/>
    <w:rsid w:val="00514A43"/>
    <w:rsid w:val="005174E5"/>
    <w:rsid w:val="00522393"/>
    <w:rsid w:val="00522620"/>
    <w:rsid w:val="00525656"/>
    <w:rsid w:val="00534C02"/>
    <w:rsid w:val="0054264B"/>
    <w:rsid w:val="00543786"/>
    <w:rsid w:val="005533D7"/>
    <w:rsid w:val="005703DE"/>
    <w:rsid w:val="00577E7A"/>
    <w:rsid w:val="0058464E"/>
    <w:rsid w:val="0059398D"/>
    <w:rsid w:val="005972FD"/>
    <w:rsid w:val="005A01CB"/>
    <w:rsid w:val="005A58FF"/>
    <w:rsid w:val="005A5EAF"/>
    <w:rsid w:val="005A64C0"/>
    <w:rsid w:val="005B3C11"/>
    <w:rsid w:val="005C1C28"/>
    <w:rsid w:val="005C62AF"/>
    <w:rsid w:val="005C6DB5"/>
    <w:rsid w:val="005D2482"/>
    <w:rsid w:val="005E19E7"/>
    <w:rsid w:val="005E3E7B"/>
    <w:rsid w:val="0061716C"/>
    <w:rsid w:val="006243A1"/>
    <w:rsid w:val="00624EE9"/>
    <w:rsid w:val="00632E56"/>
    <w:rsid w:val="00635CBA"/>
    <w:rsid w:val="0064338B"/>
    <w:rsid w:val="00646542"/>
    <w:rsid w:val="006504F4"/>
    <w:rsid w:val="00653183"/>
    <w:rsid w:val="006538E0"/>
    <w:rsid w:val="00654BC9"/>
    <w:rsid w:val="006552FD"/>
    <w:rsid w:val="0065539A"/>
    <w:rsid w:val="00663AF3"/>
    <w:rsid w:val="00666B6C"/>
    <w:rsid w:val="00672A7D"/>
    <w:rsid w:val="00682682"/>
    <w:rsid w:val="00682702"/>
    <w:rsid w:val="00692368"/>
    <w:rsid w:val="006A209C"/>
    <w:rsid w:val="006A2EBC"/>
    <w:rsid w:val="006A5EA0"/>
    <w:rsid w:val="006A783B"/>
    <w:rsid w:val="006A7B33"/>
    <w:rsid w:val="006B4E13"/>
    <w:rsid w:val="006B75DD"/>
    <w:rsid w:val="006C19C7"/>
    <w:rsid w:val="006C61A6"/>
    <w:rsid w:val="006C67E0"/>
    <w:rsid w:val="006C7954"/>
    <w:rsid w:val="006C7ABA"/>
    <w:rsid w:val="006D0D60"/>
    <w:rsid w:val="006D1122"/>
    <w:rsid w:val="006D3C00"/>
    <w:rsid w:val="006E3675"/>
    <w:rsid w:val="006E4A7F"/>
    <w:rsid w:val="00704DF6"/>
    <w:rsid w:val="0070651C"/>
    <w:rsid w:val="007132A3"/>
    <w:rsid w:val="00716421"/>
    <w:rsid w:val="00724EFB"/>
    <w:rsid w:val="00737D7C"/>
    <w:rsid w:val="007419C3"/>
    <w:rsid w:val="00744B0C"/>
    <w:rsid w:val="007467A7"/>
    <w:rsid w:val="007469DD"/>
    <w:rsid w:val="0074741B"/>
    <w:rsid w:val="0074759E"/>
    <w:rsid w:val="007478EA"/>
    <w:rsid w:val="0075415C"/>
    <w:rsid w:val="00755B0D"/>
    <w:rsid w:val="00763502"/>
    <w:rsid w:val="00787B88"/>
    <w:rsid w:val="007913AB"/>
    <w:rsid w:val="007914F7"/>
    <w:rsid w:val="007A0300"/>
    <w:rsid w:val="007A3CE9"/>
    <w:rsid w:val="007A3F6A"/>
    <w:rsid w:val="007A5AF4"/>
    <w:rsid w:val="007A6D63"/>
    <w:rsid w:val="007B1625"/>
    <w:rsid w:val="007B41A5"/>
    <w:rsid w:val="007B706E"/>
    <w:rsid w:val="007B71EB"/>
    <w:rsid w:val="007C6205"/>
    <w:rsid w:val="007C686A"/>
    <w:rsid w:val="007C728E"/>
    <w:rsid w:val="007D2C53"/>
    <w:rsid w:val="007D3271"/>
    <w:rsid w:val="007D3D60"/>
    <w:rsid w:val="007E1980"/>
    <w:rsid w:val="007E4B76"/>
    <w:rsid w:val="007E5EA8"/>
    <w:rsid w:val="007E743B"/>
    <w:rsid w:val="007F0CF1"/>
    <w:rsid w:val="007F12A5"/>
    <w:rsid w:val="007F4CF1"/>
    <w:rsid w:val="007F758D"/>
    <w:rsid w:val="007F7D52"/>
    <w:rsid w:val="0080654C"/>
    <w:rsid w:val="008071C6"/>
    <w:rsid w:val="00817A00"/>
    <w:rsid w:val="00827D3A"/>
    <w:rsid w:val="0083582E"/>
    <w:rsid w:val="00835DB3"/>
    <w:rsid w:val="0083617B"/>
    <w:rsid w:val="008371BD"/>
    <w:rsid w:val="008440E7"/>
    <w:rsid w:val="00846306"/>
    <w:rsid w:val="00846725"/>
    <w:rsid w:val="008504A8"/>
    <w:rsid w:val="0085282E"/>
    <w:rsid w:val="0087198C"/>
    <w:rsid w:val="00872C1F"/>
    <w:rsid w:val="00873B42"/>
    <w:rsid w:val="008856D8"/>
    <w:rsid w:val="00892E82"/>
    <w:rsid w:val="008A7CEE"/>
    <w:rsid w:val="008B3845"/>
    <w:rsid w:val="008B7EB5"/>
    <w:rsid w:val="008C1B58"/>
    <w:rsid w:val="008C39AE"/>
    <w:rsid w:val="008C590D"/>
    <w:rsid w:val="008E031B"/>
    <w:rsid w:val="008E1A91"/>
    <w:rsid w:val="008E7029"/>
    <w:rsid w:val="008E7EF6"/>
    <w:rsid w:val="008F1F98"/>
    <w:rsid w:val="008F6758"/>
    <w:rsid w:val="00903F49"/>
    <w:rsid w:val="009040DD"/>
    <w:rsid w:val="00904158"/>
    <w:rsid w:val="00905B47"/>
    <w:rsid w:val="0091331C"/>
    <w:rsid w:val="00914E59"/>
    <w:rsid w:val="009200F9"/>
    <w:rsid w:val="009257C7"/>
    <w:rsid w:val="009273FC"/>
    <w:rsid w:val="009279DE"/>
    <w:rsid w:val="00930116"/>
    <w:rsid w:val="00940F33"/>
    <w:rsid w:val="0094212C"/>
    <w:rsid w:val="00954689"/>
    <w:rsid w:val="009617C9"/>
    <w:rsid w:val="00961C93"/>
    <w:rsid w:val="00965324"/>
    <w:rsid w:val="00967B71"/>
    <w:rsid w:val="0097091E"/>
    <w:rsid w:val="009760D3"/>
    <w:rsid w:val="00977132"/>
    <w:rsid w:val="00981605"/>
    <w:rsid w:val="00981A4B"/>
    <w:rsid w:val="00982501"/>
    <w:rsid w:val="009877D3"/>
    <w:rsid w:val="00993038"/>
    <w:rsid w:val="009940B5"/>
    <w:rsid w:val="00994E8F"/>
    <w:rsid w:val="009951DC"/>
    <w:rsid w:val="009959BB"/>
    <w:rsid w:val="00997158"/>
    <w:rsid w:val="009A3A7C"/>
    <w:rsid w:val="009B2ADB"/>
    <w:rsid w:val="009B603A"/>
    <w:rsid w:val="009C2D0E"/>
    <w:rsid w:val="009C3DAC"/>
    <w:rsid w:val="009C42E0"/>
    <w:rsid w:val="009D5362"/>
    <w:rsid w:val="009E1415"/>
    <w:rsid w:val="009E6116"/>
    <w:rsid w:val="00A02E43"/>
    <w:rsid w:val="00A065F9"/>
    <w:rsid w:val="00A07F34"/>
    <w:rsid w:val="00A22154"/>
    <w:rsid w:val="00A25C38"/>
    <w:rsid w:val="00A36BBE"/>
    <w:rsid w:val="00A41258"/>
    <w:rsid w:val="00A42D5F"/>
    <w:rsid w:val="00A4307A"/>
    <w:rsid w:val="00A47EBB"/>
    <w:rsid w:val="00A51CDD"/>
    <w:rsid w:val="00A527CA"/>
    <w:rsid w:val="00A537D2"/>
    <w:rsid w:val="00A57B98"/>
    <w:rsid w:val="00A65993"/>
    <w:rsid w:val="00A6730D"/>
    <w:rsid w:val="00A71625"/>
    <w:rsid w:val="00A71B9B"/>
    <w:rsid w:val="00A751C7"/>
    <w:rsid w:val="00A84892"/>
    <w:rsid w:val="00A87844"/>
    <w:rsid w:val="00AA038C"/>
    <w:rsid w:val="00AA30B2"/>
    <w:rsid w:val="00AA7304"/>
    <w:rsid w:val="00AA7A09"/>
    <w:rsid w:val="00AB3B50"/>
    <w:rsid w:val="00AC05B1"/>
    <w:rsid w:val="00AD2733"/>
    <w:rsid w:val="00AD356C"/>
    <w:rsid w:val="00AE2914"/>
    <w:rsid w:val="00AE6D15"/>
    <w:rsid w:val="00AF005D"/>
    <w:rsid w:val="00AF070E"/>
    <w:rsid w:val="00AF3EFD"/>
    <w:rsid w:val="00B04182"/>
    <w:rsid w:val="00B07AE3"/>
    <w:rsid w:val="00B07F8D"/>
    <w:rsid w:val="00B11430"/>
    <w:rsid w:val="00B30EC5"/>
    <w:rsid w:val="00B353EB"/>
    <w:rsid w:val="00B36EB0"/>
    <w:rsid w:val="00B439C4"/>
    <w:rsid w:val="00B4535E"/>
    <w:rsid w:val="00B45B68"/>
    <w:rsid w:val="00B46D95"/>
    <w:rsid w:val="00B52A8C"/>
    <w:rsid w:val="00B610D3"/>
    <w:rsid w:val="00B636A8"/>
    <w:rsid w:val="00B656CD"/>
    <w:rsid w:val="00B665C6"/>
    <w:rsid w:val="00B71229"/>
    <w:rsid w:val="00B805AF"/>
    <w:rsid w:val="00B86066"/>
    <w:rsid w:val="00B869EC"/>
    <w:rsid w:val="00B9111F"/>
    <w:rsid w:val="00B9397A"/>
    <w:rsid w:val="00B95010"/>
    <w:rsid w:val="00B95868"/>
    <w:rsid w:val="00B9633D"/>
    <w:rsid w:val="00B97A5C"/>
    <w:rsid w:val="00BA18EB"/>
    <w:rsid w:val="00BA2EBE"/>
    <w:rsid w:val="00BB0F28"/>
    <w:rsid w:val="00BB458A"/>
    <w:rsid w:val="00BB7D93"/>
    <w:rsid w:val="00BC4DF4"/>
    <w:rsid w:val="00BD00D3"/>
    <w:rsid w:val="00BD1659"/>
    <w:rsid w:val="00BD3AA9"/>
    <w:rsid w:val="00BD4A18"/>
    <w:rsid w:val="00BD6DB2"/>
    <w:rsid w:val="00BE08D9"/>
    <w:rsid w:val="00BE11CF"/>
    <w:rsid w:val="00BE21AB"/>
    <w:rsid w:val="00BE3064"/>
    <w:rsid w:val="00BE55CB"/>
    <w:rsid w:val="00BF2E47"/>
    <w:rsid w:val="00BF3405"/>
    <w:rsid w:val="00BF617A"/>
    <w:rsid w:val="00C0379D"/>
    <w:rsid w:val="00C03931"/>
    <w:rsid w:val="00C05FE3"/>
    <w:rsid w:val="00C15931"/>
    <w:rsid w:val="00C15A4C"/>
    <w:rsid w:val="00C15BB1"/>
    <w:rsid w:val="00C20A2D"/>
    <w:rsid w:val="00C2136D"/>
    <w:rsid w:val="00C214EE"/>
    <w:rsid w:val="00C2314B"/>
    <w:rsid w:val="00C240DC"/>
    <w:rsid w:val="00C24971"/>
    <w:rsid w:val="00C26BE5"/>
    <w:rsid w:val="00C26E4D"/>
    <w:rsid w:val="00C27909"/>
    <w:rsid w:val="00C27B03"/>
    <w:rsid w:val="00C314E1"/>
    <w:rsid w:val="00C34397"/>
    <w:rsid w:val="00C4095D"/>
    <w:rsid w:val="00C41836"/>
    <w:rsid w:val="00C426BC"/>
    <w:rsid w:val="00C51FF3"/>
    <w:rsid w:val="00C52B22"/>
    <w:rsid w:val="00C560A1"/>
    <w:rsid w:val="00C601D2"/>
    <w:rsid w:val="00C657AB"/>
    <w:rsid w:val="00C65BCC"/>
    <w:rsid w:val="00C66970"/>
    <w:rsid w:val="00C804B7"/>
    <w:rsid w:val="00C81637"/>
    <w:rsid w:val="00C8691C"/>
    <w:rsid w:val="00CA168A"/>
    <w:rsid w:val="00CA357E"/>
    <w:rsid w:val="00CA44F9"/>
    <w:rsid w:val="00CA4A69"/>
    <w:rsid w:val="00CB6A52"/>
    <w:rsid w:val="00CC3E0C"/>
    <w:rsid w:val="00CC58D3"/>
    <w:rsid w:val="00CC7402"/>
    <w:rsid w:val="00CC784D"/>
    <w:rsid w:val="00CD5B11"/>
    <w:rsid w:val="00CF651C"/>
    <w:rsid w:val="00D005B8"/>
    <w:rsid w:val="00D0337B"/>
    <w:rsid w:val="00D075C8"/>
    <w:rsid w:val="00D079B2"/>
    <w:rsid w:val="00D114E9"/>
    <w:rsid w:val="00D15693"/>
    <w:rsid w:val="00D31614"/>
    <w:rsid w:val="00D37738"/>
    <w:rsid w:val="00D40C8C"/>
    <w:rsid w:val="00D429C6"/>
    <w:rsid w:val="00D470A5"/>
    <w:rsid w:val="00D47748"/>
    <w:rsid w:val="00D516E6"/>
    <w:rsid w:val="00D54CC3"/>
    <w:rsid w:val="00D6041A"/>
    <w:rsid w:val="00D62E76"/>
    <w:rsid w:val="00D633EB"/>
    <w:rsid w:val="00D63AAE"/>
    <w:rsid w:val="00D76760"/>
    <w:rsid w:val="00D76977"/>
    <w:rsid w:val="00D82FF7"/>
    <w:rsid w:val="00D83AFB"/>
    <w:rsid w:val="00D847FE"/>
    <w:rsid w:val="00D95061"/>
    <w:rsid w:val="00D964EA"/>
    <w:rsid w:val="00D966D0"/>
    <w:rsid w:val="00DA0C59"/>
    <w:rsid w:val="00DA3991"/>
    <w:rsid w:val="00DB73E5"/>
    <w:rsid w:val="00DB7E6C"/>
    <w:rsid w:val="00DD5A29"/>
    <w:rsid w:val="00DD5D9D"/>
    <w:rsid w:val="00DE35CB"/>
    <w:rsid w:val="00DF21E9"/>
    <w:rsid w:val="00E00F14"/>
    <w:rsid w:val="00E06386"/>
    <w:rsid w:val="00E2170B"/>
    <w:rsid w:val="00E24EB4"/>
    <w:rsid w:val="00E25F2F"/>
    <w:rsid w:val="00E26274"/>
    <w:rsid w:val="00E275D9"/>
    <w:rsid w:val="00E320ED"/>
    <w:rsid w:val="00E33AFB"/>
    <w:rsid w:val="00E34218"/>
    <w:rsid w:val="00E46282"/>
    <w:rsid w:val="00E4743F"/>
    <w:rsid w:val="00E5216E"/>
    <w:rsid w:val="00E627CC"/>
    <w:rsid w:val="00E661F7"/>
    <w:rsid w:val="00E72046"/>
    <w:rsid w:val="00E73F78"/>
    <w:rsid w:val="00E82344"/>
    <w:rsid w:val="00E8325F"/>
    <w:rsid w:val="00E84C82"/>
    <w:rsid w:val="00E84D64"/>
    <w:rsid w:val="00E87408"/>
    <w:rsid w:val="00E914C4"/>
    <w:rsid w:val="00E934F5"/>
    <w:rsid w:val="00E9657F"/>
    <w:rsid w:val="00E96961"/>
    <w:rsid w:val="00EA1B7D"/>
    <w:rsid w:val="00EA72EC"/>
    <w:rsid w:val="00EB11CB"/>
    <w:rsid w:val="00EB13F3"/>
    <w:rsid w:val="00EB275A"/>
    <w:rsid w:val="00EB786A"/>
    <w:rsid w:val="00EC1578"/>
    <w:rsid w:val="00EC1C72"/>
    <w:rsid w:val="00EC3CC9"/>
    <w:rsid w:val="00EC680A"/>
    <w:rsid w:val="00EE1247"/>
    <w:rsid w:val="00EE2BED"/>
    <w:rsid w:val="00EE374B"/>
    <w:rsid w:val="00EF130B"/>
    <w:rsid w:val="00F02E03"/>
    <w:rsid w:val="00F0560A"/>
    <w:rsid w:val="00F0620E"/>
    <w:rsid w:val="00F11BB5"/>
    <w:rsid w:val="00F1417B"/>
    <w:rsid w:val="00F15BF5"/>
    <w:rsid w:val="00F23FAD"/>
    <w:rsid w:val="00F34B99"/>
    <w:rsid w:val="00F52DAB"/>
    <w:rsid w:val="00F543F0"/>
    <w:rsid w:val="00F54765"/>
    <w:rsid w:val="00F601F1"/>
    <w:rsid w:val="00F81D29"/>
    <w:rsid w:val="00F91C4D"/>
    <w:rsid w:val="00F92FD9"/>
    <w:rsid w:val="00FA0731"/>
    <w:rsid w:val="00FA6684"/>
    <w:rsid w:val="00FA731E"/>
    <w:rsid w:val="00FB0650"/>
    <w:rsid w:val="00FB26CD"/>
    <w:rsid w:val="00FB2B38"/>
    <w:rsid w:val="00FC6358"/>
    <w:rsid w:val="00FD320D"/>
    <w:rsid w:val="00FD55C2"/>
    <w:rsid w:val="00FE23DE"/>
    <w:rsid w:val="00FF1E40"/>
    <w:rsid w:val="00FF7A34"/>
    <w:rsid w:val="06A15D0D"/>
    <w:rsid w:val="07C77DC4"/>
    <w:rsid w:val="09976767"/>
    <w:rsid w:val="0A4E77B0"/>
    <w:rsid w:val="17143684"/>
    <w:rsid w:val="39533277"/>
    <w:rsid w:val="39D14DFF"/>
    <w:rsid w:val="4F941A19"/>
    <w:rsid w:val="501B330E"/>
    <w:rsid w:val="515E2DDD"/>
    <w:rsid w:val="517B22FE"/>
    <w:rsid w:val="56E14293"/>
    <w:rsid w:val="5A782CB7"/>
    <w:rsid w:val="60095860"/>
    <w:rsid w:val="65E4623C"/>
    <w:rsid w:val="68794283"/>
    <w:rsid w:val="692108AB"/>
    <w:rsid w:val="74656CAF"/>
    <w:rsid w:val="7AED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qFormat="1" w:unhideWhenUsed="0" w:uiPriority="0" w:name="toc 1"/>
    <w:lsdException w:qFormat="1" w:unhideWhenUsed="0" w:uiPriority="0" w:name="toc 2"/>
    <w:lsdException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unhideWhenUsed="0" w:uiPriority="0" w:name="toc 7"/>
    <w:lsdException w:qFormat="1" w:unhideWhenUsed="0" w:uiPriority="0" w:name="toc 8"/>
    <w:lsdException w:qFormat="1" w:unhideWhenUsed="0" w:uiPriority="0" w:name="toc 9"/>
    <w:lsdException w:uiPriority="0" w:name="Normal Indent"/>
    <w:lsdException w:qFormat="1" w:unhideWhenUsed="0" w:uiPriority="99" w:semiHidden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qFormat="1" w:unhideWhenUsed="0" w:uiPriority="0" w:name="endnote reference"/>
    <w:lsdException w:unhideWhenUsed="0"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37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31">
    <w:name w:val="Default Paragraph Font"/>
    <w:semiHidden/>
    <w:unhideWhenUsed/>
    <w:uiPriority w:val="1"/>
  </w:style>
  <w:style w:type="table" w:default="1" w:styleId="3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7"/>
    <w:basedOn w:val="1"/>
    <w:next w:val="1"/>
    <w:semiHidden/>
    <w:uiPriority w:val="0"/>
    <w:pPr>
      <w:tabs>
        <w:tab w:val="right" w:leader="dot" w:pos="9241"/>
      </w:tabs>
      <w:ind w:firstLine="500" w:firstLineChars="500"/>
      <w:jc w:val="left"/>
    </w:pPr>
    <w:rPr>
      <w:rFonts w:ascii="宋体"/>
      <w:szCs w:val="21"/>
    </w:rPr>
  </w:style>
  <w:style w:type="paragraph" w:styleId="4">
    <w:name w:val="index 8"/>
    <w:basedOn w:val="1"/>
    <w:next w:val="1"/>
    <w:uiPriority w:val="0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5">
    <w:name w:val="caption"/>
    <w:basedOn w:val="1"/>
    <w:next w:val="1"/>
    <w:qFormat/>
    <w:uiPriority w:val="0"/>
    <w:pPr>
      <w:spacing w:before="152" w:after="160"/>
    </w:pPr>
    <w:rPr>
      <w:rFonts w:ascii="Arial" w:hAnsi="Arial" w:eastAsia="黑体" w:cs="Arial"/>
      <w:sz w:val="20"/>
      <w:szCs w:val="20"/>
    </w:rPr>
  </w:style>
  <w:style w:type="paragraph" w:styleId="6">
    <w:name w:val="index 5"/>
    <w:basedOn w:val="1"/>
    <w:next w:val="1"/>
    <w:uiPriority w:val="0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7">
    <w:name w:val="Document Map"/>
    <w:basedOn w:val="1"/>
    <w:semiHidden/>
    <w:qFormat/>
    <w:uiPriority w:val="0"/>
    <w:pPr>
      <w:shd w:val="clear" w:color="auto" w:fill="000080"/>
    </w:pPr>
  </w:style>
  <w:style w:type="paragraph" w:styleId="8">
    <w:name w:val="index 6"/>
    <w:basedOn w:val="1"/>
    <w:next w:val="1"/>
    <w:qFormat/>
    <w:uiPriority w:val="0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9">
    <w:name w:val="index 4"/>
    <w:basedOn w:val="1"/>
    <w:next w:val="1"/>
    <w:uiPriority w:val="0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10">
    <w:name w:val="toc 5"/>
    <w:basedOn w:val="1"/>
    <w:next w:val="1"/>
    <w:semiHidden/>
    <w:qFormat/>
    <w:uiPriority w:val="0"/>
    <w:pPr>
      <w:tabs>
        <w:tab w:val="right" w:leader="dot" w:pos="9241"/>
      </w:tabs>
      <w:ind w:firstLine="300" w:firstLineChars="300"/>
      <w:jc w:val="left"/>
    </w:pPr>
    <w:rPr>
      <w:rFonts w:ascii="宋体"/>
      <w:szCs w:val="21"/>
    </w:rPr>
  </w:style>
  <w:style w:type="paragraph" w:styleId="11">
    <w:name w:val="toc 3"/>
    <w:basedOn w:val="1"/>
    <w:next w:val="1"/>
    <w:semiHidden/>
    <w:uiPriority w:val="0"/>
    <w:pPr>
      <w:tabs>
        <w:tab w:val="right" w:leader="dot" w:pos="9241"/>
      </w:tabs>
      <w:ind w:firstLine="100" w:firstLineChars="100"/>
      <w:jc w:val="left"/>
    </w:pPr>
    <w:rPr>
      <w:rFonts w:ascii="宋体"/>
      <w:szCs w:val="21"/>
    </w:rPr>
  </w:style>
  <w:style w:type="paragraph" w:styleId="12">
    <w:name w:val="Plain Text"/>
    <w:basedOn w:val="1"/>
    <w:link w:val="136"/>
    <w:uiPriority w:val="0"/>
    <w:rPr>
      <w:rFonts w:ascii="宋体" w:hAnsi="Courier New"/>
      <w:szCs w:val="20"/>
    </w:rPr>
  </w:style>
  <w:style w:type="paragraph" w:styleId="13">
    <w:name w:val="toc 8"/>
    <w:basedOn w:val="1"/>
    <w:next w:val="1"/>
    <w:semiHidden/>
    <w:qFormat/>
    <w:uiPriority w:val="0"/>
    <w:pPr>
      <w:tabs>
        <w:tab w:val="right" w:leader="dot" w:pos="9241"/>
      </w:tabs>
      <w:ind w:firstLine="607" w:firstLineChars="600"/>
      <w:jc w:val="left"/>
    </w:pPr>
    <w:rPr>
      <w:rFonts w:ascii="宋体"/>
      <w:szCs w:val="21"/>
    </w:rPr>
  </w:style>
  <w:style w:type="paragraph" w:styleId="14">
    <w:name w:val="index 3"/>
    <w:basedOn w:val="1"/>
    <w:next w:val="1"/>
    <w:qFormat/>
    <w:uiPriority w:val="0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15">
    <w:name w:val="endnote text"/>
    <w:basedOn w:val="1"/>
    <w:semiHidden/>
    <w:uiPriority w:val="0"/>
    <w:pPr>
      <w:snapToGrid w:val="0"/>
      <w:jc w:val="left"/>
    </w:pPr>
  </w:style>
  <w:style w:type="paragraph" w:styleId="16">
    <w:name w:val="Balloon Text"/>
    <w:basedOn w:val="1"/>
    <w:link w:val="140"/>
    <w:qFormat/>
    <w:uiPriority w:val="0"/>
    <w:rPr>
      <w:sz w:val="18"/>
      <w:szCs w:val="18"/>
    </w:rPr>
  </w:style>
  <w:style w:type="paragraph" w:styleId="17">
    <w:name w:val="footer"/>
    <w:basedOn w:val="1"/>
    <w:qFormat/>
    <w:uiPriority w:val="0"/>
    <w:pPr>
      <w:snapToGrid w:val="0"/>
      <w:ind w:right="210" w:rightChars="100"/>
      <w:jc w:val="right"/>
    </w:pPr>
    <w:rPr>
      <w:sz w:val="18"/>
      <w:szCs w:val="18"/>
    </w:rPr>
  </w:style>
  <w:style w:type="paragraph" w:styleId="18">
    <w:name w:val="header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19">
    <w:name w:val="toc 1"/>
    <w:basedOn w:val="1"/>
    <w:next w:val="1"/>
    <w:semiHidden/>
    <w:qFormat/>
    <w:uiPriority w:val="0"/>
    <w:pPr>
      <w:tabs>
        <w:tab w:val="right" w:leader="dot" w:pos="9242"/>
      </w:tabs>
      <w:spacing w:before="25" w:beforeLines="25" w:after="25" w:afterLines="25"/>
      <w:jc w:val="left"/>
    </w:pPr>
    <w:rPr>
      <w:rFonts w:ascii="宋体"/>
      <w:szCs w:val="21"/>
    </w:rPr>
  </w:style>
  <w:style w:type="paragraph" w:styleId="20">
    <w:name w:val="toc 4"/>
    <w:basedOn w:val="1"/>
    <w:next w:val="1"/>
    <w:semiHidden/>
    <w:qFormat/>
    <w:uiPriority w:val="0"/>
    <w:pPr>
      <w:tabs>
        <w:tab w:val="right" w:leader="dot" w:pos="9241"/>
      </w:tabs>
      <w:ind w:firstLine="200" w:firstLineChars="200"/>
      <w:jc w:val="left"/>
    </w:pPr>
    <w:rPr>
      <w:rFonts w:ascii="宋体"/>
      <w:szCs w:val="21"/>
    </w:rPr>
  </w:style>
  <w:style w:type="paragraph" w:styleId="21">
    <w:name w:val="index heading"/>
    <w:basedOn w:val="1"/>
    <w:next w:val="22"/>
    <w:qFormat/>
    <w:uiPriority w:val="0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22">
    <w:name w:val="index 1"/>
    <w:basedOn w:val="1"/>
    <w:next w:val="23"/>
    <w:qFormat/>
    <w:uiPriority w:val="0"/>
    <w:pPr>
      <w:tabs>
        <w:tab w:val="right" w:leader="dot" w:pos="9299"/>
      </w:tabs>
      <w:jc w:val="left"/>
    </w:pPr>
    <w:rPr>
      <w:rFonts w:ascii="宋体"/>
      <w:szCs w:val="21"/>
    </w:rPr>
  </w:style>
  <w:style w:type="paragraph" w:customStyle="1" w:styleId="23">
    <w:name w:val="段"/>
    <w:link w:val="39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styleId="24">
    <w:name w:val="footnote text"/>
    <w:basedOn w:val="1"/>
    <w:link w:val="139"/>
    <w:qFormat/>
    <w:uiPriority w:val="99"/>
    <w:pPr>
      <w:numPr>
        <w:ilvl w:val="0"/>
        <w:numId w:val="1"/>
      </w:numPr>
      <w:snapToGrid w:val="0"/>
      <w:jc w:val="left"/>
    </w:pPr>
    <w:rPr>
      <w:rFonts w:ascii="宋体"/>
      <w:sz w:val="18"/>
      <w:szCs w:val="18"/>
      <w:lang w:val="zh-CN"/>
    </w:rPr>
  </w:style>
  <w:style w:type="paragraph" w:styleId="25">
    <w:name w:val="toc 6"/>
    <w:basedOn w:val="1"/>
    <w:next w:val="1"/>
    <w:semiHidden/>
    <w:qFormat/>
    <w:uiPriority w:val="0"/>
    <w:pPr>
      <w:tabs>
        <w:tab w:val="right" w:leader="dot" w:pos="9241"/>
      </w:tabs>
      <w:ind w:firstLine="400" w:firstLineChars="400"/>
      <w:jc w:val="left"/>
    </w:pPr>
    <w:rPr>
      <w:rFonts w:ascii="宋体"/>
      <w:szCs w:val="21"/>
    </w:rPr>
  </w:style>
  <w:style w:type="paragraph" w:styleId="26">
    <w:name w:val="index 7"/>
    <w:basedOn w:val="1"/>
    <w:next w:val="1"/>
    <w:qFormat/>
    <w:uiPriority w:val="0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27">
    <w:name w:val="index 9"/>
    <w:basedOn w:val="1"/>
    <w:next w:val="1"/>
    <w:qFormat/>
    <w:uiPriority w:val="0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28">
    <w:name w:val="toc 2"/>
    <w:basedOn w:val="1"/>
    <w:next w:val="1"/>
    <w:semiHidden/>
    <w:qFormat/>
    <w:uiPriority w:val="0"/>
    <w:pPr>
      <w:tabs>
        <w:tab w:val="right" w:leader="dot" w:pos="9242"/>
      </w:tabs>
    </w:pPr>
    <w:rPr>
      <w:rFonts w:ascii="宋体"/>
      <w:szCs w:val="21"/>
    </w:rPr>
  </w:style>
  <w:style w:type="paragraph" w:styleId="29">
    <w:name w:val="toc 9"/>
    <w:basedOn w:val="1"/>
    <w:next w:val="1"/>
    <w:semiHidden/>
    <w:qFormat/>
    <w:uiPriority w:val="0"/>
    <w:pPr>
      <w:ind w:left="1470"/>
      <w:jc w:val="left"/>
    </w:pPr>
    <w:rPr>
      <w:sz w:val="20"/>
      <w:szCs w:val="20"/>
    </w:rPr>
  </w:style>
  <w:style w:type="paragraph" w:styleId="30">
    <w:name w:val="index 2"/>
    <w:basedOn w:val="1"/>
    <w:next w:val="1"/>
    <w:qFormat/>
    <w:uiPriority w:val="0"/>
    <w:pPr>
      <w:ind w:left="420" w:hanging="210"/>
      <w:jc w:val="left"/>
    </w:pPr>
    <w:rPr>
      <w:rFonts w:ascii="Calibri" w:hAnsi="Calibri"/>
      <w:sz w:val="20"/>
      <w:szCs w:val="20"/>
    </w:rPr>
  </w:style>
  <w:style w:type="character" w:styleId="32">
    <w:name w:val="Strong"/>
    <w:qFormat/>
    <w:uiPriority w:val="22"/>
    <w:rPr>
      <w:b/>
      <w:bCs/>
    </w:rPr>
  </w:style>
  <w:style w:type="character" w:styleId="33">
    <w:name w:val="endnote reference"/>
    <w:semiHidden/>
    <w:qFormat/>
    <w:uiPriority w:val="0"/>
    <w:rPr>
      <w:vertAlign w:val="superscript"/>
    </w:rPr>
  </w:style>
  <w:style w:type="character" w:styleId="34">
    <w:name w:val="page number"/>
    <w:qFormat/>
    <w:uiPriority w:val="0"/>
    <w:rPr>
      <w:rFonts w:ascii="Times New Roman" w:hAnsi="Times New Roman" w:eastAsia="宋体"/>
      <w:sz w:val="18"/>
    </w:rPr>
  </w:style>
  <w:style w:type="character" w:styleId="35">
    <w:name w:val="Hyperlink"/>
    <w:qFormat/>
    <w:uiPriority w:val="0"/>
    <w:rPr>
      <w:color w:val="0000FF"/>
      <w:spacing w:val="0"/>
      <w:w w:val="100"/>
      <w:szCs w:val="21"/>
      <w:u w:val="single"/>
    </w:rPr>
  </w:style>
  <w:style w:type="character" w:styleId="36">
    <w:name w:val="footnote reference"/>
    <w:semiHidden/>
    <w:qFormat/>
    <w:uiPriority w:val="0"/>
    <w:rPr>
      <w:vertAlign w:val="superscript"/>
    </w:rPr>
  </w:style>
  <w:style w:type="table" w:styleId="38">
    <w:name w:val="Table Grid"/>
    <w:basedOn w:val="37"/>
    <w:qFormat/>
    <w:uiPriority w:val="0"/>
    <w:rPr>
      <w:rFonts w:ascii="宋体"/>
      <w:sz w:val="18"/>
      <w:szCs w:val="18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9">
    <w:name w:val="段 Char"/>
    <w:link w:val="23"/>
    <w:qFormat/>
    <w:uiPriority w:val="0"/>
    <w:rPr>
      <w:rFonts w:ascii="宋体"/>
      <w:sz w:val="21"/>
      <w:lang w:val="en-US" w:eastAsia="zh-CN" w:bidi="ar-SA"/>
    </w:rPr>
  </w:style>
  <w:style w:type="paragraph" w:customStyle="1" w:styleId="40">
    <w:name w:val="一级条标题"/>
    <w:next w:val="23"/>
    <w:link w:val="138"/>
    <w:qFormat/>
    <w:uiPriority w:val="0"/>
    <w:pPr>
      <w:numPr>
        <w:ilvl w:val="1"/>
        <w:numId w:val="2"/>
      </w:numPr>
      <w:spacing w:before="156" w:beforeLines="50" w:after="156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41">
    <w:name w:val="标准书脚_奇数页"/>
    <w:qFormat/>
    <w:uiPriority w:val="0"/>
    <w:pPr>
      <w:spacing w:before="120"/>
      <w:ind w:right="198"/>
      <w:jc w:val="right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42">
    <w:name w:val="标准书眉_奇数页"/>
    <w:next w:val="1"/>
    <w:qFormat/>
    <w:uiPriority w:val="0"/>
    <w:pPr>
      <w:tabs>
        <w:tab w:val="center" w:pos="4154"/>
        <w:tab w:val="right" w:pos="8306"/>
      </w:tabs>
      <w:spacing w:after="220"/>
      <w:jc w:val="right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43">
    <w:name w:val="章标题"/>
    <w:next w:val="23"/>
    <w:qFormat/>
    <w:uiPriority w:val="0"/>
    <w:pPr>
      <w:numPr>
        <w:ilvl w:val="0"/>
        <w:numId w:val="2"/>
      </w:numPr>
      <w:spacing w:before="312" w:beforeLines="100" w:after="312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44">
    <w:name w:val="二级条标题"/>
    <w:basedOn w:val="40"/>
    <w:next w:val="23"/>
    <w:qFormat/>
    <w:uiPriority w:val="0"/>
    <w:pPr>
      <w:numPr>
        <w:ilvl w:val="2"/>
      </w:numPr>
      <w:spacing w:before="50" w:after="50"/>
      <w:outlineLvl w:val="3"/>
    </w:pPr>
  </w:style>
  <w:style w:type="paragraph" w:customStyle="1" w:styleId="45">
    <w:name w:val="封面标准号2"/>
    <w:qFormat/>
    <w:uiPriority w:val="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hAnsi="Times New Roman" w:eastAsia="黑体" w:cs="Times New Roman"/>
      <w:sz w:val="28"/>
      <w:szCs w:val="28"/>
      <w:lang w:val="en-US" w:eastAsia="zh-CN" w:bidi="ar-SA"/>
    </w:rPr>
  </w:style>
  <w:style w:type="paragraph" w:customStyle="1" w:styleId="46">
    <w:name w:val="列项——（一级）"/>
    <w:qFormat/>
    <w:uiPriority w:val="0"/>
    <w:pPr>
      <w:widowControl w:val="0"/>
      <w:numPr>
        <w:ilvl w:val="0"/>
        <w:numId w:val="3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47">
    <w:name w:val="列项●（二级）"/>
    <w:qFormat/>
    <w:uiPriority w:val="0"/>
    <w:pPr>
      <w:numPr>
        <w:ilvl w:val="1"/>
        <w:numId w:val="3"/>
      </w:numPr>
      <w:tabs>
        <w:tab w:val="left" w:pos="840"/>
      </w:tabs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48">
    <w:name w:val="目次、标准名称标题"/>
    <w:basedOn w:val="1"/>
    <w:next w:val="23"/>
    <w:qFormat/>
    <w:uiPriority w:val="99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49">
    <w:name w:val="三级条标题"/>
    <w:basedOn w:val="44"/>
    <w:next w:val="23"/>
    <w:qFormat/>
    <w:uiPriority w:val="0"/>
    <w:pPr>
      <w:numPr>
        <w:ilvl w:val="3"/>
      </w:numPr>
      <w:outlineLvl w:val="4"/>
    </w:pPr>
  </w:style>
  <w:style w:type="paragraph" w:customStyle="1" w:styleId="50">
    <w:name w:val="示例"/>
    <w:next w:val="51"/>
    <w:qFormat/>
    <w:uiPriority w:val="0"/>
    <w:pPr>
      <w:widowControl w:val="0"/>
      <w:numPr>
        <w:ilvl w:val="0"/>
        <w:numId w:val="4"/>
      </w:numPr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51">
    <w:name w:val="示例内容"/>
    <w:qFormat/>
    <w:uiPriority w:val="0"/>
    <w:pPr>
      <w:ind w:firstLine="200" w:firstLineChars="200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52">
    <w:name w:val="数字编号列项（二级）"/>
    <w:qFormat/>
    <w:uiPriority w:val="0"/>
    <w:pPr>
      <w:numPr>
        <w:ilvl w:val="1"/>
        <w:numId w:val="5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3">
    <w:name w:val="四级条标题"/>
    <w:basedOn w:val="49"/>
    <w:next w:val="23"/>
    <w:qFormat/>
    <w:uiPriority w:val="0"/>
    <w:pPr>
      <w:numPr>
        <w:ilvl w:val="4"/>
      </w:numPr>
      <w:outlineLvl w:val="5"/>
    </w:pPr>
  </w:style>
  <w:style w:type="paragraph" w:customStyle="1" w:styleId="54">
    <w:name w:val="五级条标题"/>
    <w:basedOn w:val="53"/>
    <w:next w:val="23"/>
    <w:qFormat/>
    <w:uiPriority w:val="0"/>
    <w:pPr>
      <w:numPr>
        <w:ilvl w:val="5"/>
      </w:numPr>
      <w:outlineLvl w:val="6"/>
    </w:pPr>
  </w:style>
  <w:style w:type="paragraph" w:customStyle="1" w:styleId="55">
    <w:name w:val="注："/>
    <w:next w:val="23"/>
    <w:qFormat/>
    <w:uiPriority w:val="0"/>
    <w:pPr>
      <w:widowControl w:val="0"/>
      <w:numPr>
        <w:ilvl w:val="0"/>
        <w:numId w:val="6"/>
      </w:numPr>
      <w:autoSpaceDE w:val="0"/>
      <w:autoSpaceDN w:val="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56">
    <w:name w:val="注×："/>
    <w:qFormat/>
    <w:uiPriority w:val="0"/>
    <w:pPr>
      <w:widowControl w:val="0"/>
      <w:numPr>
        <w:ilvl w:val="0"/>
        <w:numId w:val="7"/>
      </w:numPr>
      <w:autoSpaceDE w:val="0"/>
      <w:autoSpaceDN w:val="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57">
    <w:name w:val="字母编号列项（一级）"/>
    <w:qFormat/>
    <w:uiPriority w:val="0"/>
    <w:pPr>
      <w:numPr>
        <w:ilvl w:val="0"/>
        <w:numId w:val="5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8">
    <w:name w:val="列项◆（三级）"/>
    <w:basedOn w:val="1"/>
    <w:qFormat/>
    <w:uiPriority w:val="0"/>
    <w:pPr>
      <w:numPr>
        <w:ilvl w:val="2"/>
        <w:numId w:val="3"/>
      </w:numPr>
    </w:pPr>
    <w:rPr>
      <w:rFonts w:ascii="宋体"/>
      <w:szCs w:val="21"/>
    </w:rPr>
  </w:style>
  <w:style w:type="paragraph" w:customStyle="1" w:styleId="59">
    <w:name w:val="编号列项（三级）"/>
    <w:qFormat/>
    <w:uiPriority w:val="0"/>
    <w:pPr>
      <w:numPr>
        <w:ilvl w:val="2"/>
        <w:numId w:val="5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60">
    <w:name w:val="示例×："/>
    <w:basedOn w:val="43"/>
    <w:qFormat/>
    <w:uiPriority w:val="0"/>
    <w:pPr>
      <w:numPr>
        <w:numId w:val="8"/>
      </w:numPr>
      <w:spacing w:before="0" w:beforeLines="0" w:after="0" w:afterLines="0"/>
      <w:outlineLvl w:val="9"/>
    </w:pPr>
    <w:rPr>
      <w:rFonts w:ascii="宋体" w:eastAsia="宋体"/>
      <w:sz w:val="18"/>
      <w:szCs w:val="18"/>
    </w:rPr>
  </w:style>
  <w:style w:type="paragraph" w:customStyle="1" w:styleId="61">
    <w:name w:val="二级无"/>
    <w:basedOn w:val="44"/>
    <w:qFormat/>
    <w:uiPriority w:val="0"/>
    <w:pPr>
      <w:spacing w:before="0" w:beforeLines="0" w:after="0" w:afterLines="0"/>
    </w:pPr>
    <w:rPr>
      <w:rFonts w:ascii="宋体" w:eastAsia="宋体"/>
    </w:rPr>
  </w:style>
  <w:style w:type="paragraph" w:customStyle="1" w:styleId="62">
    <w:name w:val="注：（正文）"/>
    <w:basedOn w:val="55"/>
    <w:next w:val="23"/>
    <w:qFormat/>
    <w:uiPriority w:val="0"/>
  </w:style>
  <w:style w:type="paragraph" w:customStyle="1" w:styleId="63">
    <w:name w:val="注×：（正文）"/>
    <w:qFormat/>
    <w:uiPriority w:val="0"/>
    <w:pPr>
      <w:numPr>
        <w:ilvl w:val="0"/>
        <w:numId w:val="9"/>
      </w:numPr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64">
    <w:name w:val="标准标志"/>
    <w:next w:val="1"/>
    <w:qFormat/>
    <w:uiPriority w:val="0"/>
    <w:pPr>
      <w:framePr w:w="2546" w:h="1389" w:hRule="exact" w:hSpace="181" w:vSpace="181" w:wrap="around" w:vAnchor="margin" w:hAnchor="margin" w:x="6522" w:y="398" w:anchorLock="1"/>
      <w:shd w:val="solid" w:color="FFFFFF" w:fill="FFFFFF"/>
      <w:spacing w:line="0" w:lineRule="atLeast"/>
      <w:jc w:val="right"/>
    </w:pPr>
    <w:rPr>
      <w:rFonts w:ascii="Times New Roman" w:hAnsi="Times New Roman" w:eastAsia="宋体" w:cs="Times New Roman"/>
      <w:b/>
      <w:w w:val="170"/>
      <w:sz w:val="96"/>
      <w:szCs w:val="96"/>
      <w:lang w:val="en-US" w:eastAsia="zh-CN" w:bidi="ar-SA"/>
    </w:rPr>
  </w:style>
  <w:style w:type="paragraph" w:customStyle="1" w:styleId="65">
    <w:name w:val="标准称谓"/>
    <w:next w:val="1"/>
    <w:qFormat/>
    <w:uiPriority w:val="0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eastAsia="宋体" w:cs="Times New Roman"/>
      <w:b/>
      <w:bCs/>
      <w:spacing w:val="20"/>
      <w:w w:val="148"/>
      <w:sz w:val="48"/>
      <w:lang w:val="en-US" w:eastAsia="zh-CN" w:bidi="ar-SA"/>
    </w:rPr>
  </w:style>
  <w:style w:type="paragraph" w:customStyle="1" w:styleId="66">
    <w:name w:val="标准书脚_偶数页"/>
    <w:qFormat/>
    <w:uiPriority w:val="0"/>
    <w:pPr>
      <w:spacing w:before="120"/>
      <w:ind w:left="221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67">
    <w:name w:val="标准书眉_偶数页"/>
    <w:basedOn w:val="42"/>
    <w:next w:val="1"/>
    <w:qFormat/>
    <w:uiPriority w:val="0"/>
    <w:pPr>
      <w:jc w:val="left"/>
    </w:pPr>
  </w:style>
  <w:style w:type="paragraph" w:customStyle="1" w:styleId="68">
    <w:name w:val="标准书眉一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69">
    <w:name w:val="参考文献"/>
    <w:basedOn w:val="1"/>
    <w:next w:val="23"/>
    <w:qFormat/>
    <w:uiPriority w:val="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70">
    <w:name w:val="参考文献、索引标题"/>
    <w:basedOn w:val="1"/>
    <w:next w:val="23"/>
    <w:qFormat/>
    <w:uiPriority w:val="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character" w:customStyle="1" w:styleId="71">
    <w:name w:val="发布"/>
    <w:qFormat/>
    <w:uiPriority w:val="0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72">
    <w:name w:val="发布部门"/>
    <w:next w:val="23"/>
    <w:qFormat/>
    <w:uiPriority w:val="0"/>
    <w:pPr>
      <w:framePr w:w="7938" w:h="1134" w:hRule="exact" w:hSpace="125" w:vSpace="181" w:wrap="around" w:vAnchor="page" w:hAnchor="page" w:x="2150" w:y="14630" w:anchorLock="1"/>
      <w:jc w:val="center"/>
    </w:pPr>
    <w:rPr>
      <w:rFonts w:ascii="宋体" w:hAnsi="Times New Roman" w:eastAsia="宋体" w:cs="Times New Roman"/>
      <w:b/>
      <w:spacing w:val="20"/>
      <w:w w:val="135"/>
      <w:sz w:val="28"/>
      <w:lang w:val="en-US" w:eastAsia="zh-CN" w:bidi="ar-SA"/>
    </w:rPr>
  </w:style>
  <w:style w:type="paragraph" w:customStyle="1" w:styleId="73">
    <w:name w:val="发布日期"/>
    <w:qFormat/>
    <w:uiPriority w:val="0"/>
    <w:pPr>
      <w:framePr w:w="3997" w:h="471" w:hRule="exact" w:vSpace="181" w:wrap="around" w:vAnchor="margin" w:hAnchor="page" w:x="7089" w:y="14097" w:anchorLock="1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74">
    <w:name w:val="封面标准代替信息"/>
    <w:qFormat/>
    <w:uiPriority w:val="0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hAnsi="Times New Roman" w:eastAsia="宋体" w:cs="Times New Roman"/>
      <w:sz w:val="21"/>
      <w:szCs w:val="21"/>
      <w:lang w:val="en-US" w:eastAsia="zh-CN" w:bidi="ar-SA"/>
    </w:rPr>
  </w:style>
  <w:style w:type="paragraph" w:customStyle="1" w:styleId="75">
    <w:name w:val="封面标准号1"/>
    <w:qFormat/>
    <w:uiPriority w:val="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76">
    <w:name w:val="封面标准名称"/>
    <w:qFormat/>
    <w:uiPriority w:val="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77">
    <w:name w:val="封面标准英文名称"/>
    <w:basedOn w:val="76"/>
    <w:qFormat/>
    <w:uiPriority w:val="0"/>
    <w:pPr>
      <w:framePr/>
      <w:spacing w:before="370" w:line="400" w:lineRule="exact"/>
    </w:pPr>
    <w:rPr>
      <w:rFonts w:ascii="Times New Roman"/>
      <w:sz w:val="28"/>
      <w:szCs w:val="28"/>
    </w:rPr>
  </w:style>
  <w:style w:type="paragraph" w:customStyle="1" w:styleId="78">
    <w:name w:val="封面一致性程度标识"/>
    <w:basedOn w:val="77"/>
    <w:qFormat/>
    <w:uiPriority w:val="0"/>
    <w:pPr>
      <w:framePr/>
      <w:spacing w:before="440"/>
    </w:pPr>
    <w:rPr>
      <w:rFonts w:ascii="宋体" w:eastAsia="宋体"/>
    </w:rPr>
  </w:style>
  <w:style w:type="paragraph" w:customStyle="1" w:styleId="79">
    <w:name w:val="封面标准文稿类别"/>
    <w:basedOn w:val="78"/>
    <w:qFormat/>
    <w:uiPriority w:val="0"/>
    <w:pPr>
      <w:framePr/>
      <w:spacing w:after="160" w:line="240" w:lineRule="auto"/>
    </w:pPr>
    <w:rPr>
      <w:sz w:val="24"/>
    </w:rPr>
  </w:style>
  <w:style w:type="paragraph" w:customStyle="1" w:styleId="80">
    <w:name w:val="封面标准文稿编辑信息"/>
    <w:basedOn w:val="79"/>
    <w:qFormat/>
    <w:uiPriority w:val="0"/>
    <w:pPr>
      <w:framePr/>
      <w:spacing w:before="180" w:line="180" w:lineRule="exact"/>
    </w:pPr>
    <w:rPr>
      <w:sz w:val="21"/>
    </w:rPr>
  </w:style>
  <w:style w:type="paragraph" w:customStyle="1" w:styleId="81">
    <w:name w:val="封面正文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82">
    <w:name w:val="附录标识"/>
    <w:basedOn w:val="1"/>
    <w:next w:val="23"/>
    <w:qFormat/>
    <w:uiPriority w:val="0"/>
    <w:pPr>
      <w:keepNext/>
      <w:widowControl/>
      <w:numPr>
        <w:ilvl w:val="0"/>
        <w:numId w:val="10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83">
    <w:name w:val="附录标题"/>
    <w:basedOn w:val="23"/>
    <w:next w:val="23"/>
    <w:qFormat/>
    <w:uiPriority w:val="0"/>
    <w:pPr>
      <w:ind w:firstLine="0" w:firstLineChars="0"/>
      <w:jc w:val="center"/>
    </w:pPr>
    <w:rPr>
      <w:rFonts w:ascii="黑体" w:eastAsia="黑体"/>
    </w:rPr>
  </w:style>
  <w:style w:type="paragraph" w:customStyle="1" w:styleId="84">
    <w:name w:val="附录表标号"/>
    <w:basedOn w:val="1"/>
    <w:next w:val="23"/>
    <w:qFormat/>
    <w:uiPriority w:val="99"/>
    <w:pPr>
      <w:numPr>
        <w:ilvl w:val="0"/>
        <w:numId w:val="11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85">
    <w:name w:val="附录表标题"/>
    <w:basedOn w:val="1"/>
    <w:next w:val="23"/>
    <w:qFormat/>
    <w:uiPriority w:val="99"/>
    <w:pPr>
      <w:numPr>
        <w:ilvl w:val="1"/>
        <w:numId w:val="11"/>
      </w:numPr>
      <w:tabs>
        <w:tab w:val="left" w:pos="180"/>
      </w:tabs>
      <w:spacing w:before="50" w:beforeLines="50" w:after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86">
    <w:name w:val="附录二级条标题"/>
    <w:basedOn w:val="1"/>
    <w:next w:val="23"/>
    <w:qFormat/>
    <w:uiPriority w:val="0"/>
    <w:pPr>
      <w:widowControl/>
      <w:numPr>
        <w:ilvl w:val="3"/>
        <w:numId w:val="10"/>
      </w:numPr>
      <w:tabs>
        <w:tab w:val="left" w:pos="360"/>
      </w:tabs>
      <w:wordWrap w:val="0"/>
      <w:overflowPunct w:val="0"/>
      <w:autoSpaceDE w:val="0"/>
      <w:autoSpaceDN w:val="0"/>
      <w:spacing w:before="50" w:beforeLines="50" w:after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87">
    <w:name w:val="附录二级无"/>
    <w:basedOn w:val="86"/>
    <w:qFormat/>
    <w:uiPriority w:val="0"/>
    <w:pPr>
      <w:tabs>
        <w:tab w:val="clear" w:pos="360"/>
      </w:tabs>
      <w:spacing w:before="0" w:beforeLines="0" w:after="0" w:afterLines="0"/>
    </w:pPr>
    <w:rPr>
      <w:rFonts w:ascii="宋体" w:eastAsia="宋体"/>
      <w:szCs w:val="21"/>
    </w:rPr>
  </w:style>
  <w:style w:type="paragraph" w:customStyle="1" w:styleId="88">
    <w:name w:val="附录公式"/>
    <w:basedOn w:val="23"/>
    <w:next w:val="23"/>
    <w:link w:val="89"/>
    <w:qFormat/>
    <w:uiPriority w:val="0"/>
  </w:style>
  <w:style w:type="character" w:customStyle="1" w:styleId="89">
    <w:name w:val="附录公式 Char"/>
    <w:basedOn w:val="39"/>
    <w:link w:val="88"/>
    <w:qFormat/>
    <w:uiPriority w:val="0"/>
    <w:rPr>
      <w:rFonts w:ascii="宋体"/>
      <w:sz w:val="21"/>
      <w:lang w:val="en-US" w:eastAsia="zh-CN" w:bidi="ar-SA"/>
    </w:rPr>
  </w:style>
  <w:style w:type="paragraph" w:customStyle="1" w:styleId="90">
    <w:name w:val="附录公式编号制表符"/>
    <w:basedOn w:val="1"/>
    <w:next w:val="23"/>
    <w:qFormat/>
    <w:uiPriority w:val="0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</w:rPr>
  </w:style>
  <w:style w:type="paragraph" w:customStyle="1" w:styleId="91">
    <w:name w:val="附录三级条标题"/>
    <w:basedOn w:val="86"/>
    <w:next w:val="23"/>
    <w:qFormat/>
    <w:uiPriority w:val="0"/>
    <w:pPr>
      <w:numPr>
        <w:ilvl w:val="4"/>
      </w:numPr>
      <w:outlineLvl w:val="4"/>
    </w:pPr>
  </w:style>
  <w:style w:type="paragraph" w:customStyle="1" w:styleId="92">
    <w:name w:val="附录三级无"/>
    <w:basedOn w:val="91"/>
    <w:qFormat/>
    <w:uiPriority w:val="0"/>
    <w:pPr>
      <w:tabs>
        <w:tab w:val="clear" w:pos="360"/>
      </w:tabs>
      <w:spacing w:before="0" w:beforeLines="0" w:after="0" w:afterLines="0"/>
    </w:pPr>
    <w:rPr>
      <w:rFonts w:ascii="宋体" w:eastAsia="宋体"/>
      <w:szCs w:val="21"/>
    </w:rPr>
  </w:style>
  <w:style w:type="paragraph" w:customStyle="1" w:styleId="93">
    <w:name w:val="附录数字编号列项（二级）"/>
    <w:qFormat/>
    <w:uiPriority w:val="0"/>
    <w:pPr>
      <w:numPr>
        <w:ilvl w:val="1"/>
        <w:numId w:val="12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94">
    <w:name w:val="附录四级条标题"/>
    <w:basedOn w:val="91"/>
    <w:next w:val="23"/>
    <w:qFormat/>
    <w:uiPriority w:val="0"/>
    <w:pPr>
      <w:numPr>
        <w:ilvl w:val="5"/>
      </w:numPr>
      <w:outlineLvl w:val="5"/>
    </w:pPr>
  </w:style>
  <w:style w:type="paragraph" w:customStyle="1" w:styleId="95">
    <w:name w:val="附录四级无"/>
    <w:basedOn w:val="94"/>
    <w:qFormat/>
    <w:uiPriority w:val="0"/>
    <w:pPr>
      <w:tabs>
        <w:tab w:val="clear" w:pos="360"/>
      </w:tabs>
      <w:spacing w:before="0" w:beforeLines="0" w:after="0" w:afterLines="0"/>
    </w:pPr>
    <w:rPr>
      <w:rFonts w:ascii="宋体" w:eastAsia="宋体"/>
      <w:szCs w:val="21"/>
    </w:rPr>
  </w:style>
  <w:style w:type="paragraph" w:customStyle="1" w:styleId="96">
    <w:name w:val="附录图标号"/>
    <w:basedOn w:val="1"/>
    <w:qFormat/>
    <w:uiPriority w:val="99"/>
    <w:pPr>
      <w:keepNext/>
      <w:pageBreakBefore/>
      <w:widowControl/>
      <w:numPr>
        <w:ilvl w:val="0"/>
        <w:numId w:val="13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97">
    <w:name w:val="附录图标题"/>
    <w:basedOn w:val="1"/>
    <w:next w:val="23"/>
    <w:qFormat/>
    <w:uiPriority w:val="99"/>
    <w:pPr>
      <w:numPr>
        <w:ilvl w:val="1"/>
        <w:numId w:val="13"/>
      </w:numPr>
      <w:tabs>
        <w:tab w:val="left" w:pos="363"/>
      </w:tabs>
      <w:spacing w:before="50" w:beforeLines="50" w:after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98">
    <w:name w:val="附录五级条标题"/>
    <w:basedOn w:val="94"/>
    <w:next w:val="23"/>
    <w:qFormat/>
    <w:uiPriority w:val="0"/>
    <w:pPr>
      <w:numPr>
        <w:ilvl w:val="6"/>
      </w:numPr>
      <w:outlineLvl w:val="6"/>
    </w:pPr>
  </w:style>
  <w:style w:type="paragraph" w:customStyle="1" w:styleId="99">
    <w:name w:val="附录五级无"/>
    <w:basedOn w:val="98"/>
    <w:qFormat/>
    <w:uiPriority w:val="0"/>
    <w:pPr>
      <w:tabs>
        <w:tab w:val="clear" w:pos="360"/>
      </w:tabs>
      <w:spacing w:before="0" w:beforeLines="0" w:after="0" w:afterLines="0"/>
    </w:pPr>
    <w:rPr>
      <w:rFonts w:ascii="宋体" w:eastAsia="宋体"/>
      <w:szCs w:val="21"/>
    </w:rPr>
  </w:style>
  <w:style w:type="paragraph" w:customStyle="1" w:styleId="100">
    <w:name w:val="附录章标题"/>
    <w:next w:val="23"/>
    <w:qFormat/>
    <w:uiPriority w:val="0"/>
    <w:pPr>
      <w:numPr>
        <w:ilvl w:val="1"/>
        <w:numId w:val="10"/>
      </w:numPr>
      <w:tabs>
        <w:tab w:val="left" w:pos="360"/>
      </w:tabs>
      <w:wordWrap w:val="0"/>
      <w:overflowPunct w:val="0"/>
      <w:autoSpaceDE w:val="0"/>
      <w:spacing w:before="100" w:beforeLines="100" w:after="100" w:afterLines="10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101">
    <w:name w:val="附录一级条标题"/>
    <w:basedOn w:val="100"/>
    <w:next w:val="23"/>
    <w:qFormat/>
    <w:uiPriority w:val="0"/>
    <w:pPr>
      <w:numPr>
        <w:ilvl w:val="2"/>
      </w:numPr>
      <w:autoSpaceDN w:val="0"/>
      <w:spacing w:before="50" w:beforeLines="50" w:after="50" w:afterLines="50"/>
      <w:outlineLvl w:val="2"/>
    </w:pPr>
  </w:style>
  <w:style w:type="paragraph" w:customStyle="1" w:styleId="102">
    <w:name w:val="附录一级无"/>
    <w:basedOn w:val="101"/>
    <w:qFormat/>
    <w:uiPriority w:val="0"/>
    <w:pPr>
      <w:tabs>
        <w:tab w:val="clear" w:pos="360"/>
      </w:tabs>
      <w:spacing w:before="0" w:beforeLines="0" w:after="0" w:afterLines="0"/>
    </w:pPr>
    <w:rPr>
      <w:rFonts w:ascii="宋体" w:eastAsia="宋体"/>
      <w:szCs w:val="21"/>
    </w:rPr>
  </w:style>
  <w:style w:type="paragraph" w:customStyle="1" w:styleId="103">
    <w:name w:val="附录字母编号列项（一级）"/>
    <w:qFormat/>
    <w:uiPriority w:val="0"/>
    <w:pPr>
      <w:numPr>
        <w:ilvl w:val="0"/>
        <w:numId w:val="12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4">
    <w:name w:val="列项说明"/>
    <w:basedOn w:val="1"/>
    <w:qFormat/>
    <w:uiPriority w:val="0"/>
    <w:pPr>
      <w:adjustRightInd w:val="0"/>
      <w:spacing w:line="320" w:lineRule="exact"/>
      <w:ind w:left="400" w:leftChars="200" w:hanging="200" w:hangingChars="200"/>
      <w:jc w:val="left"/>
      <w:textAlignment w:val="baseline"/>
    </w:pPr>
    <w:rPr>
      <w:rFonts w:ascii="宋体"/>
      <w:kern w:val="0"/>
      <w:szCs w:val="20"/>
    </w:rPr>
  </w:style>
  <w:style w:type="paragraph" w:customStyle="1" w:styleId="105">
    <w:name w:val="列项说明数字编号"/>
    <w:qFormat/>
    <w:uiPriority w:val="0"/>
    <w:pPr>
      <w:ind w:left="600" w:leftChars="400" w:hanging="200" w:hangingChars="200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6">
    <w:name w:val="目次、索引正文"/>
    <w:qFormat/>
    <w:uiPriority w:val="0"/>
    <w:pPr>
      <w:spacing w:line="320" w:lineRule="exact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7">
    <w:name w:val="其他标准标志"/>
    <w:basedOn w:val="64"/>
    <w:qFormat/>
    <w:uiPriority w:val="0"/>
    <w:pPr>
      <w:framePr w:w="6101" w:vAnchor="page" w:hAnchor="page" w:x="4673" w:y="942"/>
    </w:pPr>
    <w:rPr>
      <w:w w:val="130"/>
    </w:rPr>
  </w:style>
  <w:style w:type="paragraph" w:customStyle="1" w:styleId="108">
    <w:name w:val="其他标准称谓"/>
    <w:next w:val="1"/>
    <w:qFormat/>
    <w:uiPriority w:val="0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hAnsi="宋体" w:eastAsia="黑体" w:cs="Times New Roman"/>
      <w:spacing w:val="-40"/>
      <w:sz w:val="48"/>
      <w:szCs w:val="52"/>
      <w:lang w:val="en-US" w:eastAsia="zh-CN" w:bidi="ar-SA"/>
    </w:rPr>
  </w:style>
  <w:style w:type="paragraph" w:customStyle="1" w:styleId="109">
    <w:name w:val="其他发布部门"/>
    <w:basedOn w:val="72"/>
    <w:qFormat/>
    <w:uiPriority w:val="0"/>
    <w:pPr>
      <w:framePr w:y="15310"/>
      <w:spacing w:line="0" w:lineRule="atLeast"/>
    </w:pPr>
    <w:rPr>
      <w:rFonts w:ascii="黑体" w:eastAsia="黑体"/>
      <w:b w:val="0"/>
    </w:rPr>
  </w:style>
  <w:style w:type="paragraph" w:customStyle="1" w:styleId="110">
    <w:name w:val="前言、引言标题"/>
    <w:next w:val="23"/>
    <w:qFormat/>
    <w:uiPriority w:val="0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111">
    <w:name w:val="三级无"/>
    <w:basedOn w:val="49"/>
    <w:qFormat/>
    <w:uiPriority w:val="0"/>
    <w:pPr>
      <w:spacing w:before="0" w:beforeLines="0" w:after="0" w:afterLines="0"/>
    </w:pPr>
    <w:rPr>
      <w:rFonts w:ascii="宋体" w:eastAsia="宋体"/>
    </w:rPr>
  </w:style>
  <w:style w:type="paragraph" w:customStyle="1" w:styleId="112">
    <w:name w:val="实施日期"/>
    <w:basedOn w:val="73"/>
    <w:qFormat/>
    <w:uiPriority w:val="0"/>
    <w:pPr>
      <w:framePr w:vAnchor="page" w:hAnchor="text"/>
      <w:jc w:val="right"/>
    </w:pPr>
  </w:style>
  <w:style w:type="paragraph" w:customStyle="1" w:styleId="113">
    <w:name w:val="示例后文字"/>
    <w:basedOn w:val="23"/>
    <w:next w:val="23"/>
    <w:qFormat/>
    <w:uiPriority w:val="0"/>
    <w:pPr>
      <w:ind w:firstLine="360"/>
    </w:pPr>
    <w:rPr>
      <w:sz w:val="18"/>
    </w:rPr>
  </w:style>
  <w:style w:type="paragraph" w:customStyle="1" w:styleId="114">
    <w:name w:val="首示例"/>
    <w:next w:val="23"/>
    <w:link w:val="115"/>
    <w:qFormat/>
    <w:uiPriority w:val="0"/>
    <w:pPr>
      <w:numPr>
        <w:ilvl w:val="0"/>
        <w:numId w:val="14"/>
      </w:numPr>
      <w:tabs>
        <w:tab w:val="left" w:pos="360"/>
      </w:tabs>
      <w:ind w:firstLine="0"/>
    </w:pPr>
    <w:rPr>
      <w:rFonts w:ascii="宋体" w:hAnsi="宋体" w:eastAsia="宋体" w:cs="Times New Roman"/>
      <w:kern w:val="2"/>
      <w:sz w:val="18"/>
      <w:szCs w:val="18"/>
      <w:lang w:val="en-US" w:eastAsia="zh-CN" w:bidi="ar-SA"/>
    </w:rPr>
  </w:style>
  <w:style w:type="character" w:customStyle="1" w:styleId="115">
    <w:name w:val="首示例 Char"/>
    <w:link w:val="114"/>
    <w:qFormat/>
    <w:uiPriority w:val="0"/>
    <w:rPr>
      <w:rFonts w:ascii="宋体" w:hAnsi="宋体"/>
      <w:kern w:val="2"/>
      <w:sz w:val="18"/>
      <w:szCs w:val="18"/>
    </w:rPr>
  </w:style>
  <w:style w:type="paragraph" w:customStyle="1" w:styleId="116">
    <w:name w:val="四级无"/>
    <w:basedOn w:val="53"/>
    <w:qFormat/>
    <w:uiPriority w:val="0"/>
    <w:pPr>
      <w:spacing w:before="0" w:beforeLines="0" w:after="0" w:afterLines="0"/>
    </w:pPr>
    <w:rPr>
      <w:rFonts w:ascii="宋体" w:eastAsia="宋体"/>
    </w:rPr>
  </w:style>
  <w:style w:type="paragraph" w:customStyle="1" w:styleId="117">
    <w:name w:val="条文脚注"/>
    <w:basedOn w:val="24"/>
    <w:qFormat/>
    <w:uiPriority w:val="0"/>
    <w:pPr>
      <w:numPr>
        <w:numId w:val="0"/>
      </w:numPr>
      <w:jc w:val="both"/>
    </w:pPr>
  </w:style>
  <w:style w:type="paragraph" w:customStyle="1" w:styleId="118">
    <w:name w:val="图标脚注说明"/>
    <w:basedOn w:val="23"/>
    <w:qFormat/>
    <w:uiPriority w:val="0"/>
    <w:pPr>
      <w:ind w:left="840" w:hanging="420" w:firstLineChars="0"/>
    </w:pPr>
    <w:rPr>
      <w:sz w:val="18"/>
      <w:szCs w:val="18"/>
    </w:rPr>
  </w:style>
  <w:style w:type="paragraph" w:customStyle="1" w:styleId="119">
    <w:name w:val="图表脚注说明"/>
    <w:basedOn w:val="1"/>
    <w:qFormat/>
    <w:uiPriority w:val="0"/>
    <w:pPr>
      <w:numPr>
        <w:ilvl w:val="0"/>
        <w:numId w:val="15"/>
      </w:numPr>
    </w:pPr>
    <w:rPr>
      <w:rFonts w:ascii="宋体"/>
      <w:sz w:val="18"/>
      <w:szCs w:val="18"/>
    </w:rPr>
  </w:style>
  <w:style w:type="paragraph" w:customStyle="1" w:styleId="120">
    <w:name w:val="图的脚注"/>
    <w:next w:val="23"/>
    <w:qFormat/>
    <w:uiPriority w:val="0"/>
    <w:pPr>
      <w:widowControl w:val="0"/>
      <w:ind w:left="840" w:leftChars="200" w:hanging="420" w:hangingChars="20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121">
    <w:name w:val="文献分类号"/>
    <w:qFormat/>
    <w:uiPriority w:val="0"/>
    <w:pPr>
      <w:framePr w:hSpace="180" w:vSpace="180" w:wrap="around" w:vAnchor="margin" w:hAnchor="margin" w:y="1" w:anchorLock="1"/>
      <w:widowControl w:val="0"/>
      <w:textAlignment w:val="center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22">
    <w:name w:val="五级无"/>
    <w:basedOn w:val="54"/>
    <w:qFormat/>
    <w:uiPriority w:val="0"/>
    <w:pPr>
      <w:spacing w:before="0" w:beforeLines="0" w:after="0" w:afterLines="0"/>
    </w:pPr>
    <w:rPr>
      <w:rFonts w:ascii="宋体" w:eastAsia="宋体"/>
    </w:rPr>
  </w:style>
  <w:style w:type="paragraph" w:customStyle="1" w:styleId="123">
    <w:name w:val="一级无"/>
    <w:basedOn w:val="40"/>
    <w:qFormat/>
    <w:uiPriority w:val="0"/>
    <w:pPr>
      <w:spacing w:before="0" w:beforeLines="0" w:after="0" w:afterLines="0"/>
    </w:pPr>
    <w:rPr>
      <w:rFonts w:ascii="宋体" w:eastAsia="宋体"/>
    </w:rPr>
  </w:style>
  <w:style w:type="character" w:customStyle="1" w:styleId="124">
    <w:name w:val="已访问的超链接1"/>
    <w:qFormat/>
    <w:uiPriority w:val="0"/>
    <w:rPr>
      <w:color w:val="800080"/>
      <w:u w:val="single"/>
    </w:rPr>
  </w:style>
  <w:style w:type="paragraph" w:customStyle="1" w:styleId="125">
    <w:name w:val="正文表标题"/>
    <w:next w:val="23"/>
    <w:qFormat/>
    <w:uiPriority w:val="0"/>
    <w:pPr>
      <w:numPr>
        <w:ilvl w:val="0"/>
        <w:numId w:val="16"/>
      </w:numPr>
      <w:tabs>
        <w:tab w:val="left" w:pos="360"/>
      </w:tabs>
      <w:spacing w:before="156" w:beforeLines="50" w:after="156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26">
    <w:name w:val="正文公式编号制表符"/>
    <w:basedOn w:val="23"/>
    <w:next w:val="23"/>
    <w:qFormat/>
    <w:uiPriority w:val="0"/>
    <w:pPr>
      <w:ind w:firstLine="0" w:firstLineChars="0"/>
    </w:pPr>
  </w:style>
  <w:style w:type="paragraph" w:customStyle="1" w:styleId="127">
    <w:name w:val="正文图标题"/>
    <w:next w:val="23"/>
    <w:qFormat/>
    <w:uiPriority w:val="0"/>
    <w:pPr>
      <w:numPr>
        <w:ilvl w:val="0"/>
        <w:numId w:val="17"/>
      </w:numPr>
      <w:tabs>
        <w:tab w:val="left" w:pos="360"/>
      </w:tabs>
      <w:spacing w:before="156" w:beforeLines="50" w:after="156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28">
    <w:name w:val="终结线"/>
    <w:basedOn w:val="1"/>
    <w:qFormat/>
    <w:uiPriority w:val="0"/>
    <w:pPr>
      <w:framePr w:hSpace="181" w:vSpace="181" w:wrap="around" w:vAnchor="text" w:hAnchor="margin" w:xAlign="center" w:y="285"/>
    </w:pPr>
  </w:style>
  <w:style w:type="paragraph" w:customStyle="1" w:styleId="129">
    <w:name w:val="其他发布日期"/>
    <w:basedOn w:val="73"/>
    <w:qFormat/>
    <w:uiPriority w:val="0"/>
    <w:pPr>
      <w:framePr w:vAnchor="page" w:hAnchor="text" w:x="1419"/>
    </w:pPr>
  </w:style>
  <w:style w:type="paragraph" w:customStyle="1" w:styleId="130">
    <w:name w:val="其他实施日期"/>
    <w:basedOn w:val="112"/>
    <w:qFormat/>
    <w:uiPriority w:val="0"/>
    <w:pPr>
      <w:framePr/>
    </w:pPr>
  </w:style>
  <w:style w:type="paragraph" w:customStyle="1" w:styleId="131">
    <w:name w:val="封面标准名称2"/>
    <w:basedOn w:val="76"/>
    <w:qFormat/>
    <w:uiPriority w:val="0"/>
    <w:pPr>
      <w:framePr w:y="4469"/>
      <w:spacing w:before="630" w:beforeLines="630"/>
    </w:pPr>
  </w:style>
  <w:style w:type="paragraph" w:customStyle="1" w:styleId="132">
    <w:name w:val="封面标准英文名称2"/>
    <w:basedOn w:val="77"/>
    <w:qFormat/>
    <w:uiPriority w:val="0"/>
    <w:pPr>
      <w:framePr w:y="4469"/>
    </w:pPr>
  </w:style>
  <w:style w:type="paragraph" w:customStyle="1" w:styleId="133">
    <w:name w:val="封面一致性程度标识2"/>
    <w:basedOn w:val="78"/>
    <w:qFormat/>
    <w:uiPriority w:val="0"/>
    <w:pPr>
      <w:framePr w:y="4469"/>
    </w:pPr>
  </w:style>
  <w:style w:type="paragraph" w:customStyle="1" w:styleId="134">
    <w:name w:val="封面标准文稿类别2"/>
    <w:basedOn w:val="79"/>
    <w:qFormat/>
    <w:uiPriority w:val="0"/>
    <w:pPr>
      <w:framePr w:y="4469"/>
    </w:pPr>
  </w:style>
  <w:style w:type="paragraph" w:customStyle="1" w:styleId="135">
    <w:name w:val="封面标准文稿编辑信息2"/>
    <w:basedOn w:val="80"/>
    <w:qFormat/>
    <w:uiPriority w:val="0"/>
    <w:pPr>
      <w:framePr w:y="4469"/>
    </w:pPr>
  </w:style>
  <w:style w:type="character" w:customStyle="1" w:styleId="136">
    <w:name w:val="纯文本 Char"/>
    <w:link w:val="12"/>
    <w:qFormat/>
    <w:locked/>
    <w:uiPriority w:val="0"/>
    <w:rPr>
      <w:rFonts w:ascii="宋体" w:hAnsi="Courier New" w:eastAsia="宋体"/>
      <w:kern w:val="2"/>
      <w:sz w:val="21"/>
      <w:lang w:val="en-US" w:eastAsia="zh-CN" w:bidi="ar-SA"/>
    </w:rPr>
  </w:style>
  <w:style w:type="character" w:customStyle="1" w:styleId="137">
    <w:name w:val="标题 3 Char"/>
    <w:link w:val="2"/>
    <w:qFormat/>
    <w:uiPriority w:val="9"/>
    <w:rPr>
      <w:rFonts w:ascii="宋体" w:hAnsi="宋体" w:cs="宋体"/>
      <w:b/>
      <w:bCs/>
      <w:sz w:val="27"/>
      <w:szCs w:val="27"/>
    </w:rPr>
  </w:style>
  <w:style w:type="character" w:customStyle="1" w:styleId="138">
    <w:name w:val="一级条标题 Char"/>
    <w:link w:val="40"/>
    <w:qFormat/>
    <w:uiPriority w:val="0"/>
    <w:rPr>
      <w:rFonts w:ascii="黑体" w:eastAsia="黑体"/>
      <w:sz w:val="21"/>
      <w:szCs w:val="21"/>
    </w:rPr>
  </w:style>
  <w:style w:type="character" w:customStyle="1" w:styleId="139">
    <w:name w:val="脚注文本 Char"/>
    <w:link w:val="24"/>
    <w:qFormat/>
    <w:locked/>
    <w:uiPriority w:val="99"/>
    <w:rPr>
      <w:rFonts w:ascii="宋体"/>
      <w:kern w:val="2"/>
      <w:sz w:val="18"/>
      <w:szCs w:val="18"/>
      <w:lang w:val="zh-CN" w:eastAsia="zh-CN"/>
    </w:rPr>
  </w:style>
  <w:style w:type="character" w:customStyle="1" w:styleId="140">
    <w:name w:val="批注框文本 Char"/>
    <w:basedOn w:val="31"/>
    <w:link w:val="16"/>
    <w:qFormat/>
    <w:uiPriority w:val="0"/>
    <w:rPr>
      <w:kern w:val="2"/>
      <w:sz w:val="18"/>
      <w:szCs w:val="18"/>
    </w:rPr>
  </w:style>
  <w:style w:type="character" w:customStyle="1" w:styleId="141">
    <w:name w:val="占位符文本1"/>
    <w:basedOn w:val="31"/>
    <w:semiHidden/>
    <w:qFormat/>
    <w:uiPriority w:val="99"/>
    <w:rPr>
      <w:color w:val="808080"/>
    </w:rPr>
  </w:style>
  <w:style w:type="paragraph" w:customStyle="1" w:styleId="142">
    <w:name w:val="样式 样式 标准标志 + (西文) Georgia (中文) 黑体 50 磅 非加粗 + 右侧:  -1.5 字符"/>
    <w:basedOn w:val="1"/>
    <w:qFormat/>
    <w:uiPriority w:val="0"/>
    <w:pPr>
      <w:framePr w:w="2546" w:h="1389" w:hRule="exact" w:hSpace="181" w:vSpace="181" w:wrap="around" w:vAnchor="margin" w:hAnchor="margin" w:x="6522" w:y="398" w:anchorLock="1"/>
      <w:shd w:val="solid" w:color="FFFFFF" w:fill="FFFFFF"/>
      <w:spacing w:line="0" w:lineRule="atLeast"/>
      <w:ind w:right="-200" w:rightChars="-200"/>
      <w:jc w:val="right"/>
    </w:pPr>
    <w:rPr>
      <w:rFonts w:ascii="Georgia" w:hAnsi="Georgia" w:eastAsia="黑体" w:cs="宋体"/>
      <w:w w:val="170"/>
      <w:kern w:val="0"/>
      <w:sz w:val="100"/>
      <w:szCs w:val="20"/>
    </w:rPr>
  </w:style>
  <w:style w:type="paragraph" w:customStyle="1" w:styleId="143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header" Target="header3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microsoft.com/office/2006/relationships/keyMapCustomizations" Target="customizations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1532C3-01DE-402B-B941-0212444EF91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1856</Words>
  <Characters>478</Characters>
  <Lines>3</Lines>
  <Paragraphs>4</Paragraphs>
  <TotalTime>4</TotalTime>
  <ScaleCrop>false</ScaleCrop>
  <LinksUpToDate>false</LinksUpToDate>
  <CharactersWithSpaces>2330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2018-11-12T00:13:00Z</dcterms:created>
  <dcterms:modified xsi:type="dcterms:W3CDTF">2018-11-28T06:38:42Z</dcterms:modified>
  <dc:title>标准名称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