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4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fmt="upperRoman" w:start="1"/>
          <w:cols w:space="720" w:num="1"/>
          <w:titlePg/>
          <w:docGrid w:type="lines" w:linePitch="312" w:charSpace="0"/>
        </w:sectPr>
      </w:pPr>
      <w:bookmarkStart w:id="0" w:name="SectionMark0"/>
      <w:r>
        <w:pict>
          <v:shape id="Quad Arrow 2" o:spid="_x0000_s1026" o:spt="202" type="#_x0000_t202" style="position:absolute;left:0pt;margin-left:-21.55pt;margin-top:75.85pt;height:53.35pt;width:511.7pt;z-index:251668480;mso-width-relative:page;mso-height-relative:page;" o:preferrelative="t" stroked="t" coordsize="21600,21600">
            <v:path/>
            <v:fill focussize="0,0"/>
            <v:stroke color="#FFFFFF" miterlimit="2"/>
            <v:imagedata o:title=""/>
            <o:lock v:ext="edit"/>
            <v:textbox>
              <w:txbxContent>
                <w:p>
                  <w:pPr>
                    <w:numPr>
                      <w:ilvl w:val="0"/>
                      <w:numId w:val="0"/>
                    </w:numPr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hint="eastAsia"/>
                      <w:b/>
                      <w:bCs/>
                      <w:sz w:val="72"/>
                      <w:szCs w:val="72"/>
                    </w:rPr>
                    <w:t>中华人民共和国有色金属行业标准</w:t>
                  </w:r>
                </w:p>
              </w:txbxContent>
            </v:textbox>
          </v:shape>
        </w:pict>
      </w:r>
      <w:r>
        <w:pict>
          <v:shape id="fmFrame8" o:spid="_x0000_s1027" o:spt="202" type="#_x0000_t202" style="position:absolute;left:0pt;margin-left:222.5pt;margin-top:7.8pt;height:56.7pt;width:250pt;mso-position-horizontal-relative:margin;mso-position-vertical-relative:margin;z-index:251666432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7"/>
                  </w:pPr>
                  <w:r>
                    <w:rPr>
                      <w:b w:val="0"/>
                      <w:sz w:val="116"/>
                    </w:rPr>
                    <w:t>YS</w:t>
                  </w:r>
                </w:p>
              </w:txbxContent>
            </v:textbox>
            <w10:anchorlock/>
          </v:shape>
        </w:pict>
      </w:r>
      <w:r>
        <w:pict>
          <v:line id="Line 4" o:spid="_x0000_s1028" o:spt="20" style="position:absolute;left:0pt;margin-left:0pt;margin-top:700pt;height:0.05pt;width:482pt;z-index:251665408;mso-width-relative:page;mso-height-relative:page;" o:preferrelative="t" stroked="t" coordsize="21600,21600">
            <v:path arrowok="t"/>
            <v:fill focussize="0,0"/>
            <v:stroke color="#800008" miterlimit="2"/>
            <v:imagedata o:title=""/>
            <o:lock v:ext="edit"/>
          </v:line>
        </w:pict>
      </w:r>
      <w:r>
        <w:pict>
          <v:line id="Line 5" o:spid="_x0000_s1029" o:spt="20" style="position:absolute;left:0pt;margin-left:0pt;margin-top:179pt;height:0.05pt;width:482pt;z-index:251664384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  <w:r>
        <w:pict>
          <v:shape id="fmFrame7" o:spid="_x0000_s1030" o:spt="202" type="#_x0000_t202" style="position:absolute;left:0pt;margin-left:0pt;margin-top:717.2pt;height:28.6pt;width:481.9pt;mso-position-horizontal-relative:margin;mso-position-vertical-relative:margin;z-index:251663360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4"/>
                    <w:rPr>
                      <w:rFonts w:eastAsia="Times New Roman"/>
                    </w:rPr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106"/>
                      <w:rFonts w:hint="eastAsia"/>
                    </w:rPr>
                    <w:t xml:space="preserve"> 发布</w:t>
                  </w:r>
                </w:p>
                <w:p>
                  <w:pPr>
                    <w:tabs>
                      <w:tab w:val="left" w:pos="710"/>
                    </w:tabs>
                  </w:pPr>
                </w:p>
              </w:txbxContent>
            </v:textbox>
            <w10:anchorlock/>
          </v:shape>
        </w:pict>
      </w:r>
      <w:r>
        <w:pict>
          <v:shape id="fmFrame6" o:spid="_x0000_s1031" o:spt="202" type="#_x0000_t202" style="position:absolute;left:0pt;margin-left:322.9pt;margin-top:674.3pt;height:24.6pt;width:159pt;mso-position-horizontal-relative:margin;mso-position-vertical-relative:margin;z-index:251662336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71"/>
                    <w:numPr>
                      <w:ilvl w:val="4"/>
                      <w:numId w:val="0"/>
                    </w:numPr>
                    <w:jc w:val="both"/>
                    <w:rPr>
                      <w:rFonts w:ascii="黑体" w:hAnsi="黑体" w:eastAsia="黑体" w:cs="黑体"/>
                      <w:sz w:val="28"/>
                      <w:szCs w:val="28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</w:rPr>
                    <w:t>××××-××-××实施</w:t>
                  </w:r>
                </w:p>
                <w:p>
                  <w:pPr>
                    <w:pStyle w:val="71"/>
                    <w:numPr>
                      <w:ilvl w:val="4"/>
                      <w:numId w:val="0"/>
                    </w:numPr>
                    <w:rPr>
                      <w:color w:val="000000"/>
                    </w:rPr>
                  </w:pPr>
                </w:p>
                <w:p>
                  <w:pPr>
                    <w:tabs>
                      <w:tab w:val="left" w:pos="710"/>
                    </w:tabs>
                  </w:pPr>
                </w:p>
              </w:txbxContent>
            </v:textbox>
            <w10:anchorlock/>
          </v:shape>
        </w:pict>
      </w:r>
      <w:r>
        <w:pict>
          <v:shape id="fmFrame5" o:spid="_x0000_s1032" o:spt="202" type="#_x0000_t202" style="position:absolute;left:0pt;margin-left:0pt;margin-top:674.3pt;height:24.6pt;width:159pt;mso-position-horizontal-relative:margin;mso-position-vertical-relative:margin;z-index:251661312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98"/>
                    <w:rPr>
                      <w:rFonts w:ascii="黑体" w:hAnsi="黑体" w:cs="黑体"/>
                    </w:rPr>
                  </w:pPr>
                  <w:r>
                    <w:rPr>
                      <w:rFonts w:hint="eastAsia" w:ascii="黑体" w:hAnsi="黑体" w:cs="黑体"/>
                    </w:rPr>
                    <w:t>××××-××-××发布</w:t>
                  </w:r>
                </w:p>
                <w:p>
                  <w:pPr>
                    <w:pStyle w:val="98"/>
                    <w:rPr>
                      <w:color w:val="000000"/>
                    </w:rPr>
                  </w:pPr>
                </w:p>
                <w:p>
                  <w:pPr>
                    <w:tabs>
                      <w:tab w:val="left" w:pos="710"/>
                    </w:tabs>
                  </w:pPr>
                </w:p>
              </w:txbxContent>
            </v:textbox>
            <w10:anchorlock/>
          </v:shape>
        </w:pict>
      </w:r>
      <w:r>
        <w:pict>
          <v:shape id="fmFrame4" o:spid="_x0000_s1033" o:spt="202" type="#_x0000_t202" style="position:absolute;left:0pt;margin-left:0pt;margin-top:286.25pt;height:368.6pt;width:470pt;mso-position-horizontal-relative:margin;mso-position-vertical-relative:margin;z-index:251660288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86"/>
                  </w:pPr>
                  <w:r>
                    <w:rPr>
                      <w:rFonts w:hint="eastAsia"/>
                    </w:rPr>
                    <w:t>锌及锌合金线材</w:t>
                  </w:r>
                </w:p>
                <w:p>
                  <w:pPr>
                    <w:pStyle w:val="70"/>
                    <w:jc w:val="both"/>
                  </w:pPr>
                  <w:r>
                    <w:rPr>
                      <w:rFonts w:hint="eastAsia"/>
                    </w:rPr>
                    <w:t xml:space="preserve">                        Zinc and zinc alloy wire</w:t>
                  </w:r>
                </w:p>
                <w:p>
                  <w:pPr>
                    <w:pStyle w:val="70"/>
                    <w:jc w:val="both"/>
                  </w:pPr>
                  <w:r>
                    <w:rPr>
                      <w:rFonts w:hint="eastAsia"/>
                    </w:rPr>
                    <w:t xml:space="preserve">                             （预审稿）</w:t>
                  </w:r>
                </w:p>
                <w:p>
                  <w:pPr>
                    <w:pStyle w:val="70"/>
                    <w:rPr>
                      <w:rFonts w:ascii="黑体" w:eastAsia="黑体"/>
                      <w:szCs w:val="28"/>
                    </w:rPr>
                  </w:pPr>
                </w:p>
                <w:p>
                  <w:pPr>
                    <w:pStyle w:val="85"/>
                  </w:pPr>
                </w:p>
                <w:p>
                  <w:pPr>
                    <w:pStyle w:val="81"/>
                  </w:pPr>
                </w:p>
              </w:txbxContent>
            </v:textbox>
            <w10:anchorlock/>
          </v:shape>
        </w:pict>
      </w:r>
      <w:r>
        <w:pict>
          <v:shape id="fmFrame3" o:spid="_x0000_s1034" o:spt="202" type="#_x0000_t202" style="position:absolute;left:0pt;margin-left:330.6pt;margin-top:140.35pt;height:46.5pt;width:150.95pt;mso-position-horizontal-relative:margin;mso-position-vertical-relative:margin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76"/>
                    <w:numPr>
                      <w:ilvl w:val="0"/>
                      <w:numId w:val="0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YS/T ××××—××××</w:t>
                  </w:r>
                </w:p>
                <w:p>
                  <w:pPr>
                    <w:pStyle w:val="80"/>
                    <w:numPr>
                      <w:ilvl w:val="0"/>
                      <w:numId w:val="0"/>
                    </w:numPr>
                  </w:pPr>
                </w:p>
              </w:txbxContent>
            </v:textbox>
            <w10:anchorlock/>
          </v:shape>
        </w:pict>
      </w:r>
      <w:r>
        <w:pict>
          <v:shape id="fmFrame1" o:spid="_x0000_s1035" o:spt="202" type="#_x0000_t202" style="position:absolute;left:0pt;margin-left:0pt;margin-top:0pt;height:51.8pt;width:200pt;mso-position-horizontal-relative:margin;mso-position-vertical-relative:margin;z-index:251658240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0"/>
                    <w:rPr>
                      <w:color w:val="000000"/>
                      <w:sz w:val="18"/>
                    </w:rPr>
                  </w:pPr>
                  <w:r>
                    <w:rPr>
                      <w:rFonts w:hint="eastAsia" w:ascii="黑体"/>
                      <w:color w:val="000000"/>
                    </w:rPr>
                    <w:t>ICS</w:t>
                  </w:r>
                  <w:r>
                    <w:rPr>
                      <w:color w:val="000000"/>
                      <w:sz w:val="18"/>
                    </w:rPr>
                    <w:t>77.150.60</w:t>
                  </w:r>
                </w:p>
                <w:p>
                  <w:pPr>
                    <w:pStyle w:val="60"/>
                    <w:rPr>
                      <w:rFonts w:ascii="黑体"/>
                      <w:color w:val="000000"/>
                    </w:rPr>
                  </w:pPr>
                  <w:r>
                    <w:rPr>
                      <w:rFonts w:hint="eastAsia" w:ascii="黑体"/>
                      <w:color w:val="000000"/>
                    </w:rPr>
                    <w:t>H22</w:t>
                  </w:r>
                </w:p>
                <w:p>
                  <w:pPr>
                    <w:pStyle w:val="60"/>
                  </w:pPr>
                </w:p>
                <w:p>
                  <w:pPr>
                    <w:pStyle w:val="60"/>
                  </w:pPr>
                  <w:r>
                    <w:t>-----</w:t>
                  </w:r>
                </w:p>
              </w:txbxContent>
            </v:textbox>
            <w10:anchorlock/>
          </v:shape>
        </w:pict>
      </w:r>
      <w:r>
        <w:rPr>
          <w:rFonts w:hint="eastAsia"/>
          <w:lang w:val="en-US" w:eastAsia="zh-CN"/>
        </w:rPr>
        <w:t xml:space="preserve"> </w:t>
      </w:r>
    </w:p>
    <w:bookmarkEnd w:id="0"/>
    <w:p>
      <w:pPr>
        <w:pStyle w:val="78"/>
      </w:pPr>
      <w:bookmarkStart w:id="1" w:name="_Toc132197465"/>
      <w:bookmarkStart w:id="2" w:name="SectionMark2"/>
      <w:r>
        <w:rPr>
          <w:rFonts w:hint="eastAsia"/>
        </w:rPr>
        <w:t>前    言</w:t>
      </w:r>
      <w:bookmarkEnd w:id="1"/>
    </w:p>
    <w:p>
      <w:pPr>
        <w:numPr>
          <w:ilvl w:val="0"/>
          <w:numId w:val="0"/>
        </w:numPr>
        <w:ind w:firstLine="420" w:firstLineChars="200"/>
      </w:pPr>
      <w:r>
        <w:rPr>
          <w:rFonts w:hint="eastAsia"/>
        </w:rPr>
        <w:t>本标准按照GB/T1.1-2009给出的规则起草。</w:t>
      </w:r>
    </w:p>
    <w:p>
      <w:pPr>
        <w:numPr>
          <w:ilvl w:val="0"/>
          <w:numId w:val="0"/>
        </w:numPr>
        <w:ind w:left="42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本标准由中国有色金属工业协会提出。</w:t>
      </w:r>
    </w:p>
    <w:p>
      <w:pPr>
        <w:numPr>
          <w:ilvl w:val="0"/>
          <w:numId w:val="0"/>
        </w:numPr>
        <w:ind w:left="420"/>
        <w:rPr>
          <w:rFonts w:ascii="宋体" w:hAnsi="宋体" w:cs="宋体"/>
          <w:szCs w:val="21"/>
        </w:rPr>
      </w:pPr>
      <w:r>
        <w:rPr>
          <w:rFonts w:hint="eastAsia" w:ascii="宋体"/>
          <w:color w:val="000000"/>
          <w:szCs w:val="21"/>
        </w:rPr>
        <w:t>本标准由全国有色金属标准化技术委员会</w:t>
      </w:r>
      <w:r>
        <w:rPr>
          <w:rFonts w:hint="eastAsia" w:ascii="宋体" w:hAnsi="宋体" w:cs="宋体"/>
          <w:szCs w:val="21"/>
        </w:rPr>
        <w:t>（SAC/TC243）归口</w:t>
      </w:r>
    </w:p>
    <w:p>
      <w:pPr>
        <w:numPr>
          <w:ilvl w:val="0"/>
          <w:numId w:val="0"/>
        </w:numPr>
        <w:ind w:left="420"/>
        <w:rPr>
          <w:rFonts w:ascii="宋体"/>
          <w:color w:val="000000"/>
          <w:szCs w:val="21"/>
        </w:rPr>
      </w:pPr>
      <w:r>
        <w:rPr>
          <w:rFonts w:hint="eastAsia" w:ascii="宋体" w:hAnsi="宋体"/>
        </w:rPr>
        <w:t>本标准起草单位：</w:t>
      </w:r>
    </w:p>
    <w:p>
      <w:pPr>
        <w:numPr>
          <w:ilvl w:val="0"/>
          <w:numId w:val="0"/>
        </w:numPr>
        <w:ind w:firstLine="420" w:firstLineChars="200"/>
        <w:sectPr>
          <w:headerReference r:id="rId9" w:type="default"/>
          <w:footerReference r:id="rId10" w:type="default"/>
          <w:pgSz w:w="11907" w:h="16839"/>
          <w:pgMar w:top="1418" w:right="1134" w:bottom="1134" w:left="1418" w:header="1418" w:footer="851" w:gutter="0"/>
          <w:pgNumType w:fmt="upperRoman" w:start="1"/>
          <w:cols w:space="720" w:num="1"/>
          <w:docGrid w:type="lines" w:linePitch="312" w:charSpace="0"/>
        </w:sectPr>
      </w:pPr>
      <w:r>
        <w:rPr>
          <w:rFonts w:hint="eastAsia" w:ascii="宋体"/>
          <w:color w:val="000000"/>
          <w:szCs w:val="21"/>
        </w:rPr>
        <w:t>本标准主要起草人：</w:t>
      </w:r>
    </w:p>
    <w:bookmarkEnd w:id="2"/>
    <w:p>
      <w:pPr>
        <w:pStyle w:val="102"/>
        <w:tabs>
          <w:tab w:val="clear" w:pos="360"/>
        </w:tabs>
      </w:pPr>
      <w:bookmarkStart w:id="3" w:name="SectionMark4"/>
      <w:r>
        <w:rPr>
          <w:rFonts w:hint="eastAsia"/>
        </w:rPr>
        <w:t>锌及锌合金线材</w:t>
      </w:r>
    </w:p>
    <w:p>
      <w:pPr>
        <w:pStyle w:val="64"/>
        <w:spacing w:before="156" w:after="156"/>
      </w:pPr>
      <w:r>
        <w:rPr>
          <w:rFonts w:hint="eastAsia"/>
        </w:rPr>
        <w:t>范围</w:t>
      </w:r>
    </w:p>
    <w:p>
      <w:pPr>
        <w:numPr>
          <w:ilvl w:val="0"/>
          <w:numId w:val="0"/>
        </w:numPr>
      </w:pPr>
      <w:r>
        <w:rPr>
          <w:rFonts w:hint="eastAsia"/>
        </w:rPr>
        <w:t xml:space="preserve">    本标准规定了锌及锌合金线材生产中的</w:t>
      </w:r>
      <w:r>
        <w:rPr>
          <w:rFonts w:hint="eastAsia"/>
          <w:color w:val="FF0000"/>
          <w:lang w:eastAsia="zh-CN"/>
        </w:rPr>
        <w:t>技术</w:t>
      </w:r>
      <w:r>
        <w:rPr>
          <w:rFonts w:hint="eastAsia"/>
        </w:rPr>
        <w:t>要求、试验方法、检验规则、标志、包装、运输、贮存、质量证明书及订货单（或合同）内容等。</w:t>
      </w:r>
    </w:p>
    <w:p>
      <w:pPr>
        <w:pStyle w:val="53"/>
        <w:ind w:firstLine="420"/>
        <w:rPr>
          <w:szCs w:val="21"/>
        </w:rPr>
      </w:pPr>
      <w:r>
        <w:rPr>
          <w:rFonts w:hint="eastAsia"/>
          <w:szCs w:val="21"/>
        </w:rPr>
        <w:t>本标准适用于</w:t>
      </w:r>
      <w:r>
        <w:rPr>
          <w:rFonts w:hint="eastAsia"/>
        </w:rPr>
        <w:t>各工业部门用</w:t>
      </w:r>
      <w:r>
        <w:rPr>
          <w:rFonts w:hint="eastAsia"/>
          <w:szCs w:val="21"/>
        </w:rPr>
        <w:t>的锌及锌合金</w:t>
      </w:r>
      <w:r>
        <w:rPr>
          <w:rFonts w:hint="eastAsia" w:ascii="Times New Roman" w:hAnsi="宋体"/>
          <w:color w:val="FF0000"/>
          <w:sz w:val="21"/>
          <w:szCs w:val="21"/>
        </w:rPr>
        <w:t>圆形、正六角形、正方形</w:t>
      </w:r>
      <w:r>
        <w:rPr>
          <w:rFonts w:hint="eastAsia" w:ascii="Times New Roman" w:hAnsi="宋体"/>
          <w:color w:val="FF0000"/>
          <w:sz w:val="21"/>
          <w:szCs w:val="21"/>
          <w:lang w:eastAsia="zh-CN"/>
        </w:rPr>
        <w:t>、</w:t>
      </w:r>
      <w:r>
        <w:rPr>
          <w:rFonts w:hint="eastAsia" w:ascii="Times New Roman" w:hAnsi="宋体"/>
          <w:color w:val="FF0000"/>
          <w:sz w:val="21"/>
          <w:szCs w:val="21"/>
        </w:rPr>
        <w:t>矩形</w:t>
      </w:r>
      <w:r>
        <w:rPr>
          <w:rFonts w:hint="eastAsia"/>
          <w:szCs w:val="21"/>
        </w:rPr>
        <w:t>线材(</w:t>
      </w:r>
      <w:r>
        <w:rPr>
          <w:rFonts w:hint="eastAsia"/>
        </w:rPr>
        <w:t>以下简称线材</w:t>
      </w:r>
      <w:r>
        <w:rPr>
          <w:rFonts w:hint="eastAsia"/>
          <w:szCs w:val="21"/>
        </w:rPr>
        <w:t>)。</w:t>
      </w:r>
    </w:p>
    <w:p>
      <w:pPr>
        <w:pStyle w:val="64"/>
        <w:spacing w:before="156" w:after="156"/>
      </w:pPr>
      <w:r>
        <w:rPr>
          <w:rFonts w:hint="eastAsia"/>
        </w:rPr>
        <w:t>规范性引用文件</w:t>
      </w:r>
    </w:p>
    <w:p>
      <w:pPr>
        <w:pStyle w:val="53"/>
        <w:ind w:firstLine="420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>
      <w:pPr>
        <w:numPr>
          <w:ilvl w:val="0"/>
          <w:numId w:val="0"/>
        </w:numPr>
        <w:rPr>
          <w:rFonts w:ascii="宋体" w:hAnsi="宋体"/>
        </w:rPr>
      </w:pPr>
      <w:r>
        <w:rPr>
          <w:rFonts w:hint="eastAsia" w:ascii="宋体" w:hAnsi="宋体"/>
        </w:rPr>
        <w:t xml:space="preserve">    GB/T 228.1-2010  金属材料  拉伸试验  第1部分：室温试验方法</w:t>
      </w:r>
    </w:p>
    <w:p>
      <w:pPr>
        <w:numPr>
          <w:ilvl w:val="0"/>
          <w:numId w:val="0"/>
        </w:numPr>
        <w:rPr>
          <w:rFonts w:ascii="宋体" w:hAnsi="宋体"/>
        </w:rPr>
      </w:pPr>
      <w:r>
        <w:rPr>
          <w:rFonts w:hint="eastAsia" w:ascii="宋体" w:hAnsi="宋体"/>
        </w:rPr>
        <w:t xml:space="preserve">    GB/T 351  金属材料电阻系数测量方法</w:t>
      </w:r>
    </w:p>
    <w:p>
      <w:pPr>
        <w:numPr>
          <w:ilvl w:val="0"/>
          <w:numId w:val="0"/>
        </w:numPr>
        <w:rPr>
          <w:rFonts w:ascii="宋体" w:hAnsi="宋体"/>
        </w:rPr>
      </w:pPr>
      <w:r>
        <w:rPr>
          <w:rFonts w:hint="eastAsia" w:ascii="宋体" w:hAnsi="宋体"/>
        </w:rPr>
        <w:t xml:space="preserve">    GB/T 2828.1  计数抽样检验程序 第1部分:按接收质量限（AQL）检索的逐批检验抽样计划</w:t>
      </w:r>
    </w:p>
    <w:p>
      <w:pPr>
        <w:numPr>
          <w:ilvl w:val="0"/>
          <w:numId w:val="0"/>
        </w:numPr>
        <w:rPr>
          <w:rFonts w:ascii="宋体" w:hAnsi="宋体"/>
        </w:rPr>
      </w:pPr>
      <w:r>
        <w:rPr>
          <w:rFonts w:hint="eastAsia" w:ascii="宋体" w:hAnsi="宋体"/>
        </w:rPr>
        <w:t xml:space="preserve">    GB/T 4340.1  金属材料 维氏硬度试验  第1部分：试验方法                  </w:t>
      </w:r>
    </w:p>
    <w:p>
      <w:pPr>
        <w:numPr>
          <w:ilvl w:val="0"/>
          <w:numId w:val="0"/>
        </w:numPr>
        <w:rPr>
          <w:rFonts w:ascii="宋体" w:hAnsi="宋体"/>
        </w:rPr>
      </w:pPr>
      <w:r>
        <w:rPr>
          <w:rFonts w:hint="eastAsia" w:ascii="宋体" w:hAnsi="宋体"/>
        </w:rPr>
        <w:t xml:space="preserve">    GB/T 8888  重有色金属加工产品的包装、标志、运输、贮存和</w:t>
      </w:r>
      <w:r>
        <w:rPr>
          <w:rFonts w:hint="eastAsia"/>
        </w:rPr>
        <w:t>质量证明书</w:t>
      </w:r>
    </w:p>
    <w:p>
      <w:pPr>
        <w:numPr>
          <w:ilvl w:val="0"/>
          <w:numId w:val="0"/>
        </w:numPr>
        <w:rPr>
          <w:rFonts w:ascii="宋体" w:hAnsi="宋体"/>
        </w:rPr>
      </w:pPr>
      <w:r>
        <w:rPr>
          <w:rFonts w:hint="eastAsia"/>
        </w:rPr>
        <w:t xml:space="preserve">    </w:t>
      </w:r>
      <w:r>
        <w:fldChar w:fldCharType="begin"/>
      </w:r>
      <w:r>
        <w:instrText xml:space="preserve"> HYPERLINK "http://www.sac.gov.cn/SACSearch/search?channelid=160591&amp;templet=gjcxjg_detail.jsp&amp;searchword=STANDARD_CODE='GB/T%2012689.12-2004'&amp;XZ=T" </w:instrText>
      </w:r>
      <w:r>
        <w:fldChar w:fldCharType="separate"/>
      </w:r>
      <w:r>
        <w:rPr>
          <w:rFonts w:hint="eastAsia" w:ascii="宋体" w:hAnsi="宋体"/>
        </w:rPr>
        <w:t>GB/T 12689</w:t>
      </w:r>
      <w:r>
        <w:rPr>
          <w:rFonts w:hint="eastAsia" w:ascii="宋体" w:hAnsi="宋体"/>
        </w:rPr>
        <w:fldChar w:fldCharType="end"/>
      </w:r>
      <w:r>
        <w:rPr>
          <w:rFonts w:hint="eastAsia" w:ascii="宋体" w:hAnsi="宋体"/>
        </w:rPr>
        <w:t xml:space="preserve">（所有部分）  锌及锌合金化学分析方法 </w:t>
      </w:r>
    </w:p>
    <w:p>
      <w:pPr>
        <w:numPr>
          <w:ilvl w:val="0"/>
          <w:numId w:val="0"/>
        </w:num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GB/T 26303.2  铜及铜合金加工材外形尺寸检测方法  棒、线、型材</w:t>
      </w:r>
    </w:p>
    <w:p>
      <w:pPr>
        <w:numPr>
          <w:ilvl w:val="0"/>
          <w:numId w:val="0"/>
        </w:num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</w:rPr>
        <w:t>YS/T 336  铜、镍及其合金管材和棒材断口检验方法</w:t>
      </w:r>
    </w:p>
    <w:p>
      <w:pPr>
        <w:numPr>
          <w:ilvl w:val="0"/>
          <w:numId w:val="0"/>
        </w:numPr>
        <w:ind w:left="420" w:leftChars="200"/>
        <w:jc w:val="left"/>
        <w:rPr>
          <w:rFonts w:ascii="宋体" w:hAnsi="宋体"/>
        </w:rPr>
      </w:pPr>
      <w:r>
        <w:rPr>
          <w:rFonts w:ascii="宋体" w:hAnsi="宋体"/>
        </w:rPr>
        <w:t>YS/T 668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铜及铜合金理化检测取样方法</w:t>
      </w:r>
    </w:p>
    <w:p>
      <w:pPr>
        <w:numPr>
          <w:ilvl w:val="0"/>
          <w:numId w:val="0"/>
        </w:numPr>
        <w:ind w:left="420" w:left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YS/T 815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铜及铜合金力学性能和工艺性能试样的制备方法</w:t>
      </w:r>
    </w:p>
    <w:p>
      <w:pPr>
        <w:pStyle w:val="64"/>
        <w:spacing w:before="156" w:after="156"/>
      </w:pPr>
      <w:r>
        <w:rPr>
          <w:rFonts w:hint="eastAsia"/>
          <w:color w:val="FF0000"/>
          <w:lang w:eastAsia="zh-CN"/>
        </w:rPr>
        <w:t>技术</w:t>
      </w:r>
      <w:r>
        <w:rPr>
          <w:rFonts w:hint="eastAsia"/>
        </w:rPr>
        <w:t>要求</w:t>
      </w:r>
    </w:p>
    <w:p>
      <w:pPr>
        <w:pStyle w:val="58"/>
        <w:ind w:left="0"/>
        <w:rPr>
          <w:rFonts w:ascii="黑体"/>
        </w:rPr>
      </w:pPr>
      <w:r>
        <w:rPr>
          <w:rFonts w:hint="eastAsia" w:ascii="黑体"/>
        </w:rPr>
        <w:t>产品分类</w:t>
      </w:r>
    </w:p>
    <w:p>
      <w:pPr>
        <w:numPr>
          <w:ilvl w:val="0"/>
          <w:numId w:val="0"/>
        </w:num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3.1.1产品牌号、状态、规格</w:t>
      </w:r>
    </w:p>
    <w:p>
      <w:pPr>
        <w:pStyle w:val="53"/>
        <w:ind w:firstLine="0" w:firstLineChars="0"/>
        <w:rPr>
          <w:rFonts w:ascii="黑体"/>
        </w:rPr>
      </w:pPr>
      <w:r>
        <w:rPr>
          <w:rFonts w:hint="eastAsia" w:hAnsi="宋体"/>
          <w:kern w:val="2"/>
          <w:szCs w:val="24"/>
        </w:rPr>
        <w:t xml:space="preserve">   线</w:t>
      </w:r>
      <w:r>
        <w:rPr>
          <w:rFonts w:hAnsi="宋体"/>
          <w:kern w:val="2"/>
          <w:szCs w:val="24"/>
        </w:rPr>
        <w:t>材的牌号、状态、规格应符合表1的规定。</w:t>
      </w:r>
      <w:r>
        <w:rPr>
          <w:rFonts w:hint="eastAsia"/>
          <w:color w:val="FF0000"/>
          <w:szCs w:val="21"/>
        </w:rPr>
        <w:t>线材</w:t>
      </w:r>
      <w:r>
        <w:rPr>
          <w:rFonts w:hint="eastAsia" w:hAnsi="宋体"/>
        </w:rPr>
        <w:t>的截面形状如图1所示</w:t>
      </w:r>
      <w:r>
        <w:rPr>
          <w:rFonts w:hAnsi="宋体"/>
          <w:kern w:val="2"/>
          <w:szCs w:val="24"/>
        </w:rPr>
        <w:t>。</w:t>
      </w:r>
    </w:p>
    <w:p>
      <w:pPr>
        <w:pStyle w:val="53"/>
        <w:ind w:firstLine="0" w:firstLineChars="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表1 产品的牌号、状态、规格</w:t>
      </w:r>
    </w:p>
    <w:tbl>
      <w:tblPr>
        <w:tblStyle w:val="44"/>
        <w:tblW w:w="9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046"/>
        <w:gridCol w:w="2222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266" w:type="dxa"/>
            <w:vMerge w:val="restart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牌号</w:t>
            </w:r>
          </w:p>
        </w:tc>
        <w:tc>
          <w:tcPr>
            <w:tcW w:w="2046" w:type="dxa"/>
            <w:vMerge w:val="restart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sz w:val="18"/>
                <w:szCs w:val="21"/>
              </w:rPr>
              <w:t>状态</w:t>
            </w:r>
          </w:p>
        </w:tc>
        <w:tc>
          <w:tcPr>
            <w:tcW w:w="5168" w:type="dxa"/>
            <w:gridSpan w:val="2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266" w:type="dxa"/>
            <w:vMerge w:val="continue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color w:val="FF0000"/>
                <w:sz w:val="18"/>
                <w:lang w:eastAsia="zh-CN"/>
              </w:rPr>
              <w:t>截面</w:t>
            </w:r>
            <w:r>
              <w:rPr>
                <w:rFonts w:hint="eastAsia" w:ascii="Times New Roman" w:hAnsi="宋体"/>
                <w:color w:val="FF0000"/>
                <w:sz w:val="18"/>
              </w:rPr>
              <w:t>形状</w:t>
            </w:r>
          </w:p>
        </w:tc>
        <w:tc>
          <w:tcPr>
            <w:tcW w:w="2946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直径（或对边距）/mm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2266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  <w:szCs w:val="24"/>
              </w:rPr>
            </w:pPr>
            <w:r>
              <w:rPr>
                <w:rFonts w:hint="eastAsia" w:ascii="Times New Roman" w:hAnsi="宋体"/>
                <w:sz w:val="18"/>
              </w:rPr>
              <w:t>Zn99.5</w:t>
            </w:r>
          </w:p>
        </w:tc>
        <w:tc>
          <w:tcPr>
            <w:tcW w:w="2046" w:type="dxa"/>
            <w:vMerge w:val="restart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sz w:val="18"/>
                <w:szCs w:val="21"/>
              </w:rPr>
              <w:t>硬态（Y）</w:t>
            </w:r>
          </w:p>
        </w:tc>
        <w:tc>
          <w:tcPr>
            <w:tcW w:w="2222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圆形</w:t>
            </w:r>
          </w:p>
        </w:tc>
        <w:tc>
          <w:tcPr>
            <w:tcW w:w="2946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2.5</w:t>
            </w:r>
            <w:r>
              <w:rPr>
                <w:rFonts w:hint="eastAsia" w:hAnsi="宋体"/>
                <w:sz w:val="18"/>
              </w:rPr>
              <w:t>～</w:t>
            </w:r>
            <w:r>
              <w:rPr>
                <w:rFonts w:hint="eastAsia" w:ascii="Times New Roman" w:hAnsi="宋体"/>
                <w:sz w:val="18"/>
              </w:rPr>
              <w:t>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266" w:type="dxa"/>
            <w:vMerge w:val="restart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sz w:val="18"/>
                <w:szCs w:val="21"/>
              </w:rPr>
              <w:t>ZnAl4Cu1Mg</w:t>
            </w:r>
          </w:p>
        </w:tc>
        <w:tc>
          <w:tcPr>
            <w:tcW w:w="2046" w:type="dxa"/>
            <w:vMerge w:val="continue"/>
            <w:vAlign w:val="center"/>
          </w:tcPr>
          <w:p>
            <w:pPr>
              <w:pStyle w:val="53"/>
              <w:ind w:firstLine="360"/>
              <w:jc w:val="center"/>
              <w:rPr>
                <w:rFonts w:ascii="Times New Roman" w:hAnsi="宋体"/>
                <w:sz w:val="18"/>
                <w:szCs w:val="21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trike/>
                <w:dstrike w:val="0"/>
                <w:color w:val="FF0000"/>
                <w:sz w:val="18"/>
              </w:rPr>
            </w:pPr>
            <w:r>
              <w:rPr>
                <w:rFonts w:hint="eastAsia" w:ascii="Times New Roman" w:hAnsi="宋体"/>
                <w:strike/>
                <w:dstrike w:val="0"/>
                <w:color w:val="FF0000"/>
                <w:sz w:val="18"/>
              </w:rPr>
              <w:t>圆形</w:t>
            </w:r>
          </w:p>
        </w:tc>
        <w:tc>
          <w:tcPr>
            <w:tcW w:w="2946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trike/>
                <w:dstrike w:val="0"/>
                <w:color w:val="FF0000"/>
                <w:sz w:val="18"/>
              </w:rPr>
            </w:pPr>
            <w:r>
              <w:rPr>
                <w:rFonts w:hint="eastAsia" w:ascii="Times New Roman" w:hAnsi="宋体"/>
                <w:strike/>
                <w:dstrike w:val="0"/>
                <w:color w:val="FF0000"/>
                <w:sz w:val="18"/>
              </w:rPr>
              <w:t>2.5</w:t>
            </w:r>
            <w:r>
              <w:rPr>
                <w:rFonts w:hint="eastAsia" w:hAnsi="宋体"/>
                <w:strike/>
                <w:dstrike w:val="0"/>
                <w:color w:val="FF0000"/>
                <w:sz w:val="18"/>
              </w:rPr>
              <w:t>～</w:t>
            </w:r>
            <w:r>
              <w:rPr>
                <w:rFonts w:hint="eastAsia" w:ascii="Times New Roman" w:hAnsi="宋体"/>
                <w:strike/>
                <w:dstrike w:val="0"/>
                <w:color w:val="FF0000"/>
                <w:sz w:val="18"/>
              </w:rPr>
              <w:t>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266" w:type="dxa"/>
            <w:vMerge w:val="continue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  <w:szCs w:val="24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pStyle w:val="53"/>
              <w:ind w:firstLine="360"/>
              <w:jc w:val="center"/>
              <w:rPr>
                <w:rFonts w:ascii="Times New Roman" w:hAnsi="宋体"/>
                <w:kern w:val="2"/>
                <w:sz w:val="18"/>
                <w:szCs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正六角形、正方形</w:t>
            </w:r>
          </w:p>
        </w:tc>
        <w:tc>
          <w:tcPr>
            <w:tcW w:w="2946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5.0</w:t>
            </w:r>
            <w:r>
              <w:rPr>
                <w:rFonts w:hint="eastAsia" w:hAnsi="宋体"/>
                <w:sz w:val="18"/>
              </w:rPr>
              <w:t>～</w:t>
            </w:r>
            <w:r>
              <w:rPr>
                <w:rFonts w:hint="eastAsia" w:ascii="Times New Roman" w:hAnsi="宋体"/>
                <w:sz w:val="18"/>
              </w:rPr>
              <w:t>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266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  <w:szCs w:val="24"/>
              </w:rPr>
            </w:pPr>
            <w:r>
              <w:rPr>
                <w:rFonts w:hint="eastAsia" w:ascii="Times New Roman" w:hAnsi="宋体"/>
                <w:sz w:val="18"/>
              </w:rPr>
              <w:t>ZnAl10Cu2Mg</w:t>
            </w:r>
          </w:p>
        </w:tc>
        <w:tc>
          <w:tcPr>
            <w:tcW w:w="2046" w:type="dxa"/>
            <w:vMerge w:val="continue"/>
            <w:vAlign w:val="center"/>
          </w:tcPr>
          <w:p>
            <w:pPr>
              <w:pStyle w:val="53"/>
              <w:ind w:firstLine="360"/>
              <w:jc w:val="center"/>
              <w:rPr>
                <w:rFonts w:ascii="Times New Roman" w:hAnsi="宋体"/>
                <w:sz w:val="18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圆形、正六角形、正方形</w:t>
            </w:r>
          </w:p>
        </w:tc>
        <w:tc>
          <w:tcPr>
            <w:tcW w:w="2946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5.0</w:t>
            </w:r>
            <w:r>
              <w:rPr>
                <w:rFonts w:hint="eastAsia" w:hAnsi="宋体"/>
                <w:sz w:val="18"/>
              </w:rPr>
              <w:t>～</w:t>
            </w:r>
            <w:r>
              <w:rPr>
                <w:rFonts w:hint="eastAsia" w:ascii="Times New Roman" w:hAnsi="宋体"/>
                <w:sz w:val="18"/>
              </w:rPr>
              <w:t>16.0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266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  <w:szCs w:val="24"/>
              </w:rPr>
            </w:pPr>
            <w:r>
              <w:rPr>
                <w:rFonts w:hint="eastAsia" w:ascii="Times New Roman" w:hAnsi="宋体"/>
                <w:sz w:val="18"/>
              </w:rPr>
              <w:t>ZnAl2.5Cu1</w:t>
            </w:r>
          </w:p>
        </w:tc>
        <w:tc>
          <w:tcPr>
            <w:tcW w:w="2046" w:type="dxa"/>
            <w:vMerge w:val="continue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  <w:szCs w:val="21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矩形</w:t>
            </w:r>
          </w:p>
        </w:tc>
        <w:tc>
          <w:tcPr>
            <w:tcW w:w="2946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ascii="Times New Roman" w:hAnsi="宋体"/>
                <w:sz w:val="18"/>
              </w:rPr>
              <w:t>(1.0</w:t>
            </w:r>
            <w:r>
              <w:rPr>
                <w:rFonts w:hint="eastAsia" w:ascii="Times New Roman" w:hAnsi="宋体"/>
                <w:sz w:val="18"/>
              </w:rPr>
              <w:t>～</w:t>
            </w:r>
            <w:r>
              <w:rPr>
                <w:rFonts w:ascii="Times New Roman" w:hAnsi="宋体"/>
                <w:sz w:val="18"/>
              </w:rPr>
              <w:t>3.0)</w:t>
            </w:r>
            <w:r>
              <w:rPr>
                <w:rFonts w:hint="eastAsia" w:ascii="Times New Roman" w:hAnsi="宋体"/>
                <w:sz w:val="18"/>
              </w:rPr>
              <w:t>×</w:t>
            </w:r>
            <w:r>
              <w:rPr>
                <w:rFonts w:ascii="Times New Roman" w:hAnsi="宋体"/>
                <w:sz w:val="18"/>
              </w:rPr>
              <w:t>(4.0</w:t>
            </w:r>
            <w:r>
              <w:rPr>
                <w:rFonts w:hint="eastAsia" w:ascii="Times New Roman" w:hAnsi="宋体"/>
                <w:sz w:val="18"/>
              </w:rPr>
              <w:t>～</w:t>
            </w:r>
            <w:r>
              <w:rPr>
                <w:rFonts w:ascii="Times New Roman" w:hAnsi="宋体"/>
                <w:sz w:val="18"/>
              </w:rPr>
              <w:t>9.0)</w:t>
            </w:r>
          </w:p>
        </w:tc>
      </w:tr>
    </w:tbl>
    <w:p>
      <w:pPr>
        <w:pStyle w:val="53"/>
        <w:ind w:firstLine="0" w:firstLineChars="0"/>
      </w:pPr>
    </w:p>
    <w:p>
      <w:pPr>
        <w:pStyle w:val="53"/>
        <w:ind w:firstLine="0" w:firstLineChars="0"/>
      </w:pPr>
    </w:p>
    <w:p>
      <w:pPr>
        <w:pStyle w:val="53"/>
        <w:ind w:firstLine="0" w:firstLineChars="0"/>
      </w:pPr>
    </w:p>
    <w:p>
      <w:pPr>
        <w:pStyle w:val="53"/>
        <w:ind w:firstLine="0" w:firstLineChars="0"/>
      </w:pPr>
    </w:p>
    <w:p>
      <w:pPr>
        <w:pStyle w:val="53"/>
        <w:ind w:firstLine="0" w:firstLineChars="0"/>
        <w:jc w:val="center"/>
      </w:pPr>
      <w:r>
        <w:pict>
          <v:group id="_x0000_s1043" o:spid="_x0000_s1043" o:spt="203" style="height:70.6pt;width:296.65pt;" coordorigin="3251,1578" coordsize="5933,1412">
            <o:lock v:ext="edit"/>
            <v:shape id="Picture 17" o:spid="_x0000_s1044" o:spt="75" type="#_x0000_t75" style="position:absolute;left:3251;top:1834;height:1020;width:1050;" filled="f" o:preferrelative="t" stroked="f" coordsize="21600,21600">
              <v:path/>
              <v:fill on="f" focussize="0,0"/>
              <v:stroke on="f" joinstyle="miter"/>
              <v:imagedata r:id="rId13" cropleft="12999f" cropright="14624f" cropbottom="-64f" o:title=""/>
              <o:lock v:ext="edit" aspectratio="t"/>
            </v:shape>
            <v:shape id="Picture 15" o:spid="_x0000_s1045" o:spt="75" type="#_x0000_t75" style="position:absolute;left:6082;top:1727;height:1058;width:1464;" filled="f" o:preferrelative="t" stroked="f" coordsize="21600,21600">
              <v:path/>
              <v:fill on="f" focussize="0,0"/>
              <v:stroke on="f" joinstyle="miter"/>
              <v:imagedata r:id="rId14" cropleft="16225f" croptop="6892f" cropright="10934f" cropbottom="9356f" o:title=""/>
              <o:lock v:ext="edit" aspectratio="t"/>
            </v:shape>
            <v:shape id="Picture 16" o:spid="_x0000_s1046" o:spt="75" type="#_x0000_t75" style="position:absolute;left:4677;top:1727;height:1113;width:1194;" filled="f" o:preferrelative="t" stroked="f" coordsize="21600,21600">
              <v:path/>
              <v:fill on="f" focussize="0,0"/>
              <v:stroke on="f" joinstyle="miter"/>
              <v:imagedata r:id="rId15" cropleft="17664f" croptop="11139f" cropright="18396f" cropbottom="5570f" o:title=""/>
              <o:lock v:ext="edit" aspectratio="t"/>
            </v:shape>
            <v:shape id="Picture 14" o:spid="_x0000_s1047" o:spt="75" type="#_x0000_t75" style="position:absolute;left:7272;top:1578;height:1412;width:1912;" filled="f" o:preferrelative="t" stroked="f" coordsize="21600,21600">
              <v:path/>
              <v:fill on="f" focussize="0,0"/>
              <v:stroke on="f" joinstyle="miter"/>
              <v:imagedata r:id="rId16" o:title=""/>
              <o:lock v:ext="edit" aspectratio="t"/>
            </v:shape>
            <w10:wrap type="none"/>
            <w10:anchorlock/>
          </v:group>
        </w:pict>
      </w:r>
    </w:p>
    <w:p>
      <w:pPr>
        <w:pStyle w:val="53"/>
        <w:ind w:firstLine="0" w:firstLineChars="0"/>
      </w:pPr>
      <w:r>
        <w:rPr>
          <w:rFonts w:hint="eastAsia"/>
          <w:sz w:val="20"/>
          <w:szCs w:val="21"/>
        </w:rPr>
        <w:t xml:space="preserve">                   a)</w:t>
      </w:r>
      <w:r>
        <w:rPr>
          <w:rFonts w:hint="eastAsia"/>
          <w:sz w:val="18"/>
          <w:szCs w:val="21"/>
        </w:rPr>
        <w:t xml:space="preserve">圆形        b)正方形         c)正六角形        d)矩形          </w:t>
      </w:r>
    </w:p>
    <w:p>
      <w:pPr>
        <w:numPr>
          <w:ilvl w:val="0"/>
          <w:numId w:val="0"/>
        </w:numPr>
        <w:jc w:val="center"/>
        <w:rPr>
          <w:rFonts w:hint="eastAsia" w:hAnsi="宋体"/>
          <w:sz w:val="18"/>
          <w:szCs w:val="18"/>
        </w:rPr>
      </w:pPr>
      <w:r>
        <w:rPr>
          <w:rFonts w:hint="eastAsia" w:ascii="宋体"/>
          <w:kern w:val="0"/>
          <w:sz w:val="18"/>
          <w:szCs w:val="18"/>
        </w:rPr>
        <w:t>d — 圆形直径；  a — 正方形边长、矩形</w:t>
      </w:r>
      <w:r>
        <w:rPr>
          <w:rFonts w:hint="eastAsia" w:ascii="宋体" w:hAnsi="宋体"/>
          <w:sz w:val="18"/>
          <w:szCs w:val="18"/>
        </w:rPr>
        <w:t>厚度</w:t>
      </w:r>
      <w:r>
        <w:rPr>
          <w:rFonts w:hint="eastAsia" w:ascii="宋体"/>
          <w:kern w:val="0"/>
          <w:sz w:val="18"/>
          <w:szCs w:val="18"/>
        </w:rPr>
        <w:t xml:space="preserve">；  </w:t>
      </w:r>
      <w:r>
        <w:rPr>
          <w:rFonts w:hint="eastAsia"/>
          <w:sz w:val="18"/>
          <w:szCs w:val="18"/>
        </w:rPr>
        <w:t>S —正六角形对边距；  b — 矩形</w:t>
      </w:r>
      <w:r>
        <w:rPr>
          <w:rFonts w:hint="eastAsia" w:hAnsi="宋体"/>
          <w:sz w:val="18"/>
          <w:szCs w:val="18"/>
        </w:rPr>
        <w:t>宽度</w:t>
      </w:r>
    </w:p>
    <w:p>
      <w:pPr>
        <w:numPr>
          <w:ilvl w:val="0"/>
          <w:numId w:val="0"/>
        </w:numPr>
        <w:jc w:val="center"/>
        <w:rPr>
          <w:rFonts w:hint="eastAsia" w:hAnsi="宋体" w:eastAsia="宋体"/>
          <w:b/>
          <w:bCs/>
          <w:sz w:val="18"/>
          <w:szCs w:val="18"/>
          <w:lang w:val="en-US" w:eastAsia="zh-CN"/>
        </w:rPr>
      </w:pPr>
      <w:r>
        <w:rPr>
          <w:rFonts w:hint="eastAsia" w:hAnsi="宋体"/>
          <w:b/>
          <w:bCs/>
          <w:color w:val="FF0000"/>
          <w:sz w:val="18"/>
          <w:szCs w:val="18"/>
          <w:lang w:val="en-US" w:eastAsia="zh-CN"/>
        </w:rPr>
        <w:t xml:space="preserve">图1  </w:t>
      </w:r>
      <w:r>
        <w:rPr>
          <w:rFonts w:hint="eastAsia"/>
          <w:b/>
          <w:bCs/>
          <w:color w:val="FF0000"/>
          <w:szCs w:val="21"/>
        </w:rPr>
        <w:t>线材</w:t>
      </w:r>
      <w:r>
        <w:rPr>
          <w:rFonts w:hint="eastAsia" w:ascii="Times New Roman" w:hAnsi="宋体"/>
          <w:b/>
          <w:bCs/>
          <w:color w:val="FF0000"/>
          <w:sz w:val="21"/>
          <w:szCs w:val="21"/>
          <w:lang w:eastAsia="zh-CN"/>
        </w:rPr>
        <w:t>截面</w:t>
      </w:r>
      <w:r>
        <w:rPr>
          <w:rFonts w:hint="eastAsia" w:ascii="Times New Roman" w:hAnsi="宋体"/>
          <w:b/>
          <w:bCs/>
          <w:color w:val="FF0000"/>
          <w:sz w:val="21"/>
          <w:szCs w:val="21"/>
        </w:rPr>
        <w:t>形状</w:t>
      </w:r>
      <w:r>
        <w:rPr>
          <w:rFonts w:hint="eastAsia" w:hAnsi="宋体"/>
          <w:b/>
          <w:bCs/>
          <w:color w:val="FF0000"/>
          <w:sz w:val="21"/>
          <w:szCs w:val="21"/>
          <w:lang w:eastAsia="zh-CN"/>
        </w:rPr>
        <w:t>示意图</w:t>
      </w:r>
    </w:p>
    <w:p>
      <w:pPr>
        <w:pStyle w:val="57"/>
        <w:numPr>
          <w:ilvl w:val="3"/>
          <w:numId w:val="0"/>
        </w:numPr>
        <w:tabs>
          <w:tab w:val="clear" w:pos="360"/>
        </w:tabs>
        <w:rPr>
          <w:rFonts w:hint="eastAsia" w:ascii="黑体" w:hAnsi="宋体"/>
        </w:rPr>
      </w:pPr>
      <w:bookmarkStart w:id="4" w:name="_Toc127436331"/>
      <w:bookmarkStart w:id="5" w:name="_Toc132197071"/>
      <w:bookmarkStart w:id="6" w:name="_Toc127437844"/>
      <w:bookmarkStart w:id="7" w:name="_Toc132196919"/>
      <w:bookmarkStart w:id="8" w:name="_Toc132197139"/>
      <w:bookmarkStart w:id="9" w:name="_Toc127435684"/>
      <w:r>
        <w:rPr>
          <w:rFonts w:hint="eastAsia" w:ascii="黑体" w:hAnsi="黑体"/>
        </w:rPr>
        <w:t xml:space="preserve">3.1.2 </w:t>
      </w:r>
      <w:r>
        <w:rPr>
          <w:rFonts w:hint="eastAsia" w:ascii="黑体" w:hAnsi="黑体"/>
          <w:color w:val="FF0000"/>
          <w:lang w:eastAsia="zh-CN"/>
        </w:rPr>
        <w:t>产品</w:t>
      </w:r>
      <w:r>
        <w:rPr>
          <w:rFonts w:hint="eastAsia" w:ascii="黑体" w:hAnsi="宋体"/>
          <w:color w:val="FF0000"/>
        </w:rPr>
        <w:t>标记</w:t>
      </w:r>
      <w:bookmarkEnd w:id="4"/>
      <w:bookmarkEnd w:id="5"/>
      <w:bookmarkEnd w:id="6"/>
      <w:bookmarkEnd w:id="7"/>
      <w:bookmarkEnd w:id="8"/>
      <w:bookmarkEnd w:id="9"/>
      <w:bookmarkStart w:id="10" w:name="_Toc142116148"/>
      <w:bookmarkStart w:id="11" w:name="_Toc142189190"/>
      <w:bookmarkStart w:id="12" w:name="_Toc214266364"/>
      <w:bookmarkStart w:id="13" w:name="_Toc214265415"/>
      <w:bookmarkStart w:id="14" w:name="_Toc214265442"/>
      <w:bookmarkStart w:id="15" w:name="_Toc142189161"/>
      <w:bookmarkStart w:id="16" w:name="_Toc214265204"/>
      <w:bookmarkStart w:id="17" w:name="_Toc214265369"/>
      <w:bookmarkStart w:id="18" w:name="_Toc142187472"/>
    </w:p>
    <w:p>
      <w:pPr>
        <w:pStyle w:val="53"/>
        <w:rPr>
          <w:color w:val="FF0000"/>
        </w:rPr>
      </w:pPr>
      <w:r>
        <w:rPr>
          <w:rFonts w:hint="eastAsia"/>
          <w:color w:val="FF0000"/>
          <w:szCs w:val="21"/>
        </w:rPr>
        <w:t>线材</w:t>
      </w:r>
      <w:r>
        <w:rPr>
          <w:rFonts w:hint="eastAsia"/>
          <w:color w:val="FF0000"/>
        </w:rPr>
        <w:t>标记按产品名称、标准编号、牌号、状态和规格的顺序表示。标记示例如下：</w:t>
      </w:r>
    </w:p>
    <w:p>
      <w:pPr>
        <w:pStyle w:val="53"/>
        <w:ind w:firstLine="360"/>
        <w:rPr>
          <w:rFonts w:hAnsi="宋体"/>
          <w:sz w:val="18"/>
        </w:rPr>
      </w:pPr>
      <w:r>
        <w:rPr>
          <w:rFonts w:hint="eastAsia" w:hAnsi="宋体"/>
          <w:sz w:val="18"/>
        </w:rPr>
        <w:t>示例1：用</w:t>
      </w:r>
      <w:r>
        <w:rPr>
          <w:rFonts w:hint="eastAsia" w:ascii="Times New Roman" w:hAnsi="宋体"/>
          <w:sz w:val="18"/>
        </w:rPr>
        <w:t>Zn99.5</w:t>
      </w:r>
      <w:r>
        <w:rPr>
          <w:rFonts w:hint="eastAsia" w:hAnsi="宋体"/>
          <w:sz w:val="18"/>
        </w:rPr>
        <w:t>制造的、供应状态</w:t>
      </w:r>
      <w:r>
        <w:rPr>
          <w:rFonts w:hint="eastAsia" w:hAnsi="宋体"/>
          <w:sz w:val="18"/>
          <w:szCs w:val="21"/>
        </w:rPr>
        <w:t>Y、</w:t>
      </w:r>
      <w:r>
        <w:rPr>
          <w:rFonts w:hint="eastAsia" w:hAnsi="宋体"/>
          <w:sz w:val="18"/>
        </w:rPr>
        <w:t>高精级</w:t>
      </w:r>
      <w:r>
        <w:rPr>
          <w:rFonts w:hint="eastAsia" w:hAnsi="宋体"/>
          <w:sz w:val="18"/>
          <w:szCs w:val="21"/>
        </w:rPr>
        <w:t>、</w:t>
      </w:r>
      <w:r>
        <w:rPr>
          <w:rFonts w:hint="eastAsia" w:hAnsi="宋体"/>
          <w:sz w:val="18"/>
        </w:rPr>
        <w:t>直径为</w:t>
      </w:r>
      <w:r>
        <w:rPr>
          <w:rFonts w:hint="eastAsia" w:hAnsi="宋体"/>
          <w:color w:val="FF0000"/>
          <w:sz w:val="18"/>
        </w:rPr>
        <w:t>8</w:t>
      </w:r>
      <w:r>
        <w:rPr>
          <w:rFonts w:hint="eastAsia" w:hAnsi="宋体"/>
          <w:color w:val="FF0000"/>
          <w:sz w:val="18"/>
          <w:lang w:val="en-US" w:eastAsia="zh-CN"/>
        </w:rPr>
        <w:t>.0</w:t>
      </w:r>
      <w:r>
        <w:rPr>
          <w:rFonts w:hint="eastAsia" w:hAnsi="宋体"/>
          <w:sz w:val="18"/>
        </w:rPr>
        <w:t>mm的圆形线材标记为：</w:t>
      </w:r>
      <w:bookmarkStart w:id="19" w:name="_Toc127436332"/>
      <w:bookmarkStart w:id="20" w:name="_Toc127434645"/>
      <w:bookmarkStart w:id="21" w:name="_Toc127435685"/>
      <w:bookmarkStart w:id="22" w:name="_Toc127437845"/>
    </w:p>
    <w:bookmarkEnd w:id="19"/>
    <w:bookmarkEnd w:id="20"/>
    <w:bookmarkEnd w:id="21"/>
    <w:bookmarkEnd w:id="22"/>
    <w:p>
      <w:pPr>
        <w:pStyle w:val="53"/>
        <w:ind w:firstLine="0" w:firstLineChars="0"/>
        <w:rPr>
          <w:rFonts w:hAnsi="宋体"/>
          <w:sz w:val="18"/>
        </w:rPr>
      </w:pPr>
      <w:r>
        <w:rPr>
          <w:rFonts w:hint="eastAsia" w:hAnsi="宋体"/>
          <w:sz w:val="18"/>
        </w:rPr>
        <w:t xml:space="preserve">            圆形线YS/T XXXX-</w:t>
      </w:r>
      <w:r>
        <w:rPr>
          <w:rFonts w:hint="eastAsia" w:ascii="Times New Roman" w:hAnsi="宋体"/>
          <w:sz w:val="18"/>
        </w:rPr>
        <w:t xml:space="preserve">Zn99.5 </w:t>
      </w:r>
      <w:r>
        <w:rPr>
          <w:rFonts w:hint="eastAsia" w:hAnsi="宋体"/>
          <w:sz w:val="18"/>
          <w:szCs w:val="21"/>
        </w:rPr>
        <w:t>Y高</w:t>
      </w:r>
      <w:r>
        <w:rPr>
          <w:rFonts w:hint="eastAsia" w:hAnsi="宋体"/>
          <w:sz w:val="18"/>
        </w:rPr>
        <w:t>-Φ8</w:t>
      </w:r>
      <w:r>
        <w:rPr>
          <w:rFonts w:hint="eastAsia" w:hAnsi="宋体"/>
          <w:color w:val="FF0000"/>
          <w:sz w:val="18"/>
          <w:lang w:val="en-US" w:eastAsia="zh-CN"/>
        </w:rPr>
        <w:t>.0</w:t>
      </w:r>
      <w:r>
        <w:rPr>
          <w:rFonts w:hint="eastAsia" w:hAnsi="宋体"/>
          <w:sz w:val="18"/>
        </w:rPr>
        <w:t xml:space="preserve">      </w:t>
      </w:r>
    </w:p>
    <w:p>
      <w:pPr>
        <w:pStyle w:val="53"/>
        <w:ind w:firstLine="360"/>
        <w:rPr>
          <w:rFonts w:hAnsi="宋体"/>
          <w:sz w:val="18"/>
        </w:rPr>
      </w:pPr>
      <w:r>
        <w:rPr>
          <w:rFonts w:hint="eastAsia" w:hAnsi="宋体"/>
          <w:sz w:val="18"/>
        </w:rPr>
        <w:t>示例2：用 ZnAl4Cu1Mg制造的、供应状态</w:t>
      </w:r>
      <w:r>
        <w:rPr>
          <w:rFonts w:hint="eastAsia" w:hAnsi="宋体"/>
          <w:sz w:val="18"/>
          <w:szCs w:val="21"/>
        </w:rPr>
        <w:t>Y、</w:t>
      </w:r>
      <w:r>
        <w:rPr>
          <w:rFonts w:hint="eastAsia" w:hAnsi="宋体"/>
          <w:sz w:val="18"/>
        </w:rPr>
        <w:t>普通级、对边距为6</w:t>
      </w:r>
      <w:r>
        <w:rPr>
          <w:rFonts w:hint="eastAsia" w:hAnsi="宋体"/>
          <w:color w:val="FF0000"/>
          <w:sz w:val="18"/>
          <w:lang w:val="en-US" w:eastAsia="zh-CN"/>
        </w:rPr>
        <w:t>.0</w:t>
      </w:r>
      <w:r>
        <w:rPr>
          <w:rFonts w:hint="eastAsia" w:hAnsi="宋体"/>
          <w:sz w:val="18"/>
        </w:rPr>
        <w:t>mm的正六角形线材标记为：</w:t>
      </w:r>
    </w:p>
    <w:p>
      <w:pPr>
        <w:pStyle w:val="53"/>
        <w:ind w:firstLine="0" w:firstLineChars="0"/>
        <w:rPr>
          <w:rFonts w:hAnsi="宋体"/>
          <w:sz w:val="18"/>
        </w:rPr>
      </w:pPr>
      <w:r>
        <w:rPr>
          <w:rFonts w:hint="eastAsia" w:hAnsi="宋体"/>
          <w:sz w:val="18"/>
        </w:rPr>
        <w:t xml:space="preserve">            正六角形线YS/T XXXX- ZnAl4Cu1Mg </w:t>
      </w:r>
      <w:r>
        <w:rPr>
          <w:rFonts w:hint="eastAsia" w:hAnsi="宋体"/>
          <w:sz w:val="18"/>
          <w:szCs w:val="21"/>
        </w:rPr>
        <w:t>Y-</w:t>
      </w:r>
      <w:r>
        <w:rPr>
          <w:rFonts w:hint="eastAsia" w:hAnsi="宋体"/>
          <w:sz w:val="18"/>
        </w:rPr>
        <w:t>6</w:t>
      </w:r>
      <w:r>
        <w:rPr>
          <w:rFonts w:hint="eastAsia" w:hAnsi="宋体"/>
          <w:color w:val="FF0000"/>
          <w:sz w:val="18"/>
          <w:lang w:val="en-US" w:eastAsia="zh-CN"/>
        </w:rPr>
        <w:t>.0</w:t>
      </w:r>
      <w:r>
        <w:rPr>
          <w:rFonts w:hint="eastAsia" w:hAnsi="宋体"/>
          <w:sz w:val="18"/>
        </w:rPr>
        <w:t xml:space="preserve">  </w:t>
      </w:r>
    </w:p>
    <w:p>
      <w:pPr>
        <w:pStyle w:val="53"/>
        <w:ind w:firstLine="360"/>
        <w:rPr>
          <w:rFonts w:hAnsi="宋体"/>
          <w:sz w:val="18"/>
        </w:rPr>
      </w:pPr>
      <w:r>
        <w:rPr>
          <w:rFonts w:hint="eastAsia" w:hAnsi="宋体"/>
          <w:sz w:val="18"/>
        </w:rPr>
        <w:t>示例3：用 ZnAl4Cu1Mg制造的、供应状态</w:t>
      </w:r>
      <w:r>
        <w:rPr>
          <w:rFonts w:hint="eastAsia" w:hAnsi="宋体"/>
          <w:sz w:val="18"/>
          <w:szCs w:val="21"/>
        </w:rPr>
        <w:t>Y、</w:t>
      </w:r>
      <w:r>
        <w:rPr>
          <w:rFonts w:hint="eastAsia" w:hAnsi="宋体"/>
          <w:sz w:val="18"/>
        </w:rPr>
        <w:t>普通级、对边距为5</w:t>
      </w:r>
      <w:r>
        <w:rPr>
          <w:rFonts w:hint="eastAsia" w:hAnsi="宋体"/>
          <w:color w:val="FF0000"/>
          <w:sz w:val="18"/>
          <w:lang w:val="en-US" w:eastAsia="zh-CN"/>
        </w:rPr>
        <w:t>.0</w:t>
      </w:r>
      <w:r>
        <w:rPr>
          <w:rFonts w:hint="eastAsia" w:hAnsi="宋体"/>
          <w:sz w:val="18"/>
        </w:rPr>
        <w:t>mm的正方形线材标记为：</w:t>
      </w:r>
    </w:p>
    <w:p>
      <w:pPr>
        <w:pStyle w:val="53"/>
        <w:ind w:firstLine="0" w:firstLineChars="0"/>
        <w:rPr>
          <w:rFonts w:hAnsi="宋体"/>
          <w:sz w:val="18"/>
        </w:rPr>
      </w:pPr>
      <w:r>
        <w:rPr>
          <w:rFonts w:hint="eastAsia" w:hAnsi="宋体"/>
          <w:sz w:val="18"/>
        </w:rPr>
        <w:t xml:space="preserve">            正方形线YS/T XXXX- ZnAl4Cu1Mg </w:t>
      </w:r>
      <w:r>
        <w:rPr>
          <w:rFonts w:hint="eastAsia" w:hAnsi="宋体"/>
          <w:sz w:val="18"/>
          <w:szCs w:val="21"/>
        </w:rPr>
        <w:t>Y-</w:t>
      </w:r>
      <w:r>
        <w:rPr>
          <w:rFonts w:hint="eastAsia" w:hAnsi="宋体"/>
          <w:sz w:val="18"/>
        </w:rPr>
        <w:t xml:space="preserve">5.0 </w:t>
      </w:r>
    </w:p>
    <w:p>
      <w:pPr>
        <w:pStyle w:val="53"/>
        <w:ind w:firstLine="360"/>
        <w:rPr>
          <w:rFonts w:hAnsi="宋体"/>
          <w:sz w:val="18"/>
        </w:rPr>
      </w:pPr>
      <w:r>
        <w:rPr>
          <w:rFonts w:hint="eastAsia" w:hAnsi="宋体"/>
          <w:sz w:val="18"/>
        </w:rPr>
        <w:t>示例4：用 ZnAl2.5Cu1g制造的、供应状态</w:t>
      </w:r>
      <w:r>
        <w:rPr>
          <w:rFonts w:hint="eastAsia" w:hAnsi="宋体"/>
          <w:sz w:val="18"/>
          <w:szCs w:val="21"/>
        </w:rPr>
        <w:t>Y、</w:t>
      </w:r>
      <w:r>
        <w:rPr>
          <w:rFonts w:hint="eastAsia" w:hAnsi="宋体"/>
          <w:sz w:val="18"/>
        </w:rPr>
        <w:t>高精级、厚度为1.45mm、宽度为6.25mm的矩形形线材标记为：</w:t>
      </w:r>
    </w:p>
    <w:p>
      <w:pPr>
        <w:pStyle w:val="53"/>
        <w:ind w:firstLine="0" w:firstLineChars="0"/>
        <w:rPr>
          <w:rFonts w:hAnsi="宋体"/>
          <w:sz w:val="18"/>
        </w:rPr>
      </w:pPr>
      <w:r>
        <w:rPr>
          <w:rFonts w:hint="eastAsia" w:hAnsi="宋体"/>
          <w:sz w:val="18"/>
        </w:rPr>
        <w:t xml:space="preserve">            矩形线YS/T XXXX- ZnAl2.5Cu1 </w:t>
      </w:r>
      <w:r>
        <w:rPr>
          <w:rFonts w:hint="eastAsia" w:hAnsi="宋体"/>
          <w:sz w:val="18"/>
          <w:szCs w:val="21"/>
        </w:rPr>
        <w:t>Y 高-</w:t>
      </w:r>
      <w:r>
        <w:rPr>
          <w:rFonts w:hint="eastAsia" w:hAnsi="宋体"/>
          <w:sz w:val="18"/>
        </w:rPr>
        <w:t>1.45X6.25</w:t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>
      <w:pPr>
        <w:pStyle w:val="58"/>
        <w:ind w:hanging="210" w:hangingChars="100"/>
      </w:pPr>
      <w:r>
        <w:rPr>
          <w:rFonts w:hint="eastAsia"/>
        </w:rPr>
        <w:t>化学成分</w:t>
      </w:r>
    </w:p>
    <w:p>
      <w:pPr>
        <w:pStyle w:val="57"/>
        <w:numPr>
          <w:ilvl w:val="3"/>
          <w:numId w:val="0"/>
        </w:numPr>
        <w:tabs>
          <w:tab w:val="clear" w:pos="360"/>
        </w:tabs>
        <w:ind w:firstLine="408"/>
        <w:rPr>
          <w:rFonts w:ascii="宋体" w:hAnsi="宋体" w:eastAsia="宋体"/>
        </w:rPr>
      </w:pPr>
      <w:r>
        <w:rPr>
          <w:rFonts w:hint="eastAsia"/>
          <w:color w:val="FF0000"/>
          <w:szCs w:val="21"/>
        </w:rPr>
        <w:t>线材</w:t>
      </w:r>
      <w:r>
        <w:rPr>
          <w:rFonts w:hint="eastAsia"/>
          <w:color w:val="FF0000"/>
          <w:szCs w:val="21"/>
          <w:lang w:eastAsia="zh-CN"/>
        </w:rPr>
        <w:t>的</w:t>
      </w:r>
      <w:r>
        <w:rPr>
          <w:rFonts w:hint="eastAsia" w:ascii="宋体" w:hAnsi="宋体" w:eastAsia="宋体"/>
        </w:rPr>
        <w:t>各牌号的化学成份应符合表2的规定。</w:t>
      </w:r>
    </w:p>
    <w:p>
      <w:pPr>
        <w:pStyle w:val="53"/>
        <w:ind w:firstLine="0" w:firstLineChars="0"/>
        <w:jc w:val="center"/>
      </w:pPr>
      <w:r>
        <w:rPr>
          <w:rFonts w:hint="eastAsia" w:ascii="黑体" w:eastAsia="黑体"/>
        </w:rPr>
        <w:t>表2 线材化学成分</w:t>
      </w:r>
    </w:p>
    <w:tbl>
      <w:tblPr>
        <w:tblStyle w:val="44"/>
        <w:tblW w:w="9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935"/>
        <w:gridCol w:w="1177"/>
        <w:gridCol w:w="854"/>
        <w:gridCol w:w="568"/>
        <w:gridCol w:w="569"/>
        <w:gridCol w:w="568"/>
        <w:gridCol w:w="569"/>
        <w:gridCol w:w="568"/>
        <w:gridCol w:w="569"/>
        <w:gridCol w:w="569"/>
        <w:gridCol w:w="709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435" w:type="dxa"/>
            <w:vMerge w:val="restart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hAnsi="宋体"/>
                <w:sz w:val="18"/>
                <w:szCs w:val="21"/>
              </w:rPr>
              <w:t>牌号</w:t>
            </w:r>
          </w:p>
        </w:tc>
        <w:tc>
          <w:tcPr>
            <w:tcW w:w="8237" w:type="dxa"/>
            <w:gridSpan w:val="12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化学成分（%）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Al</w:t>
            </w:r>
          </w:p>
        </w:tc>
        <w:tc>
          <w:tcPr>
            <w:tcW w:w="1177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Mg</w:t>
            </w:r>
          </w:p>
        </w:tc>
        <w:tc>
          <w:tcPr>
            <w:tcW w:w="85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Cu</w:t>
            </w:r>
          </w:p>
        </w:tc>
        <w:tc>
          <w:tcPr>
            <w:tcW w:w="568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Mn</w:t>
            </w:r>
          </w:p>
        </w:tc>
        <w:tc>
          <w:tcPr>
            <w:tcW w:w="569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Pb</w:t>
            </w:r>
          </w:p>
        </w:tc>
        <w:tc>
          <w:tcPr>
            <w:tcW w:w="568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Fe</w:t>
            </w:r>
          </w:p>
        </w:tc>
        <w:tc>
          <w:tcPr>
            <w:tcW w:w="569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Cd</w:t>
            </w:r>
          </w:p>
        </w:tc>
        <w:tc>
          <w:tcPr>
            <w:tcW w:w="568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Sn</w:t>
            </w:r>
          </w:p>
        </w:tc>
        <w:tc>
          <w:tcPr>
            <w:tcW w:w="569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Ti</w:t>
            </w:r>
          </w:p>
        </w:tc>
        <w:tc>
          <w:tcPr>
            <w:tcW w:w="569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Bi</w:t>
            </w:r>
          </w:p>
        </w:tc>
        <w:tc>
          <w:tcPr>
            <w:tcW w:w="709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Zn</w:t>
            </w:r>
          </w:p>
        </w:tc>
        <w:tc>
          <w:tcPr>
            <w:tcW w:w="582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杂质总和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35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  <w:szCs w:val="22"/>
              </w:rPr>
              <w:t>Zn99.95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int="eastAsia" w:hAnsi="宋体"/>
                <w:sz w:val="18"/>
                <w:szCs w:val="22"/>
              </w:rPr>
              <w:t>0.01</w:t>
            </w:r>
          </w:p>
        </w:tc>
        <w:tc>
          <w:tcPr>
            <w:tcW w:w="1177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  <w:szCs w:val="22"/>
              </w:rPr>
            </w:pPr>
            <w:r>
              <w:rPr>
                <w:rFonts w:hint="eastAsia" w:ascii="Times New Roman" w:hAnsi="宋体"/>
                <w:kern w:val="2"/>
                <w:sz w:val="18"/>
                <w:szCs w:val="22"/>
              </w:rPr>
              <w:t>—</w:t>
            </w:r>
          </w:p>
        </w:tc>
        <w:tc>
          <w:tcPr>
            <w:tcW w:w="85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  <w:szCs w:val="22"/>
              </w:rPr>
            </w:pPr>
            <w:r>
              <w:rPr>
                <w:rFonts w:hint="eastAsia" w:ascii="Times New Roman" w:hAnsi="宋体"/>
                <w:kern w:val="2"/>
                <w:sz w:val="18"/>
                <w:szCs w:val="22"/>
              </w:rPr>
              <w:t>0.01</w:t>
            </w:r>
          </w:p>
        </w:tc>
        <w:tc>
          <w:tcPr>
            <w:tcW w:w="56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int="eastAsia" w:hAnsi="宋体"/>
                <w:sz w:val="18"/>
                <w:szCs w:val="22"/>
              </w:rPr>
              <w:t>—</w:t>
            </w:r>
          </w:p>
        </w:tc>
        <w:tc>
          <w:tcPr>
            <w:tcW w:w="569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  <w:szCs w:val="22"/>
              </w:rPr>
            </w:pPr>
            <w:r>
              <w:rPr>
                <w:rFonts w:hint="eastAsia" w:ascii="Times New Roman" w:hAnsi="宋体"/>
                <w:kern w:val="2"/>
                <w:sz w:val="18"/>
                <w:szCs w:val="22"/>
              </w:rPr>
              <w:t>—</w:t>
            </w:r>
          </w:p>
        </w:tc>
        <w:tc>
          <w:tcPr>
            <w:tcW w:w="568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  <w:szCs w:val="22"/>
              </w:rPr>
            </w:pPr>
            <w:r>
              <w:rPr>
                <w:rFonts w:hint="eastAsia" w:ascii="Times New Roman" w:hAnsi="宋体"/>
                <w:kern w:val="2"/>
                <w:sz w:val="18"/>
                <w:szCs w:val="22"/>
              </w:rPr>
              <w:t>0.01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int="eastAsia" w:hAnsi="宋体"/>
                <w:sz w:val="18"/>
                <w:szCs w:val="22"/>
              </w:rPr>
              <w:t>0.01</w:t>
            </w:r>
          </w:p>
        </w:tc>
        <w:tc>
          <w:tcPr>
            <w:tcW w:w="568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  <w:szCs w:val="21"/>
              </w:rPr>
            </w:pPr>
            <w:r>
              <w:rPr>
                <w:rFonts w:hint="eastAsia" w:ascii="Times New Roman" w:hAnsi="宋体"/>
                <w:kern w:val="2"/>
                <w:sz w:val="18"/>
                <w:szCs w:val="22"/>
              </w:rPr>
              <w:t>0.01</w:t>
            </w:r>
          </w:p>
        </w:tc>
        <w:tc>
          <w:tcPr>
            <w:tcW w:w="569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  <w:szCs w:val="22"/>
              </w:rPr>
              <w:t>0.02</w:t>
            </w:r>
          </w:p>
        </w:tc>
        <w:tc>
          <w:tcPr>
            <w:tcW w:w="569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  <w:szCs w:val="22"/>
              </w:rPr>
              <w:t>0.01</w:t>
            </w:r>
          </w:p>
        </w:tc>
        <w:tc>
          <w:tcPr>
            <w:tcW w:w="709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  <w:szCs w:val="22"/>
              </w:rPr>
              <w:t>余量</w:t>
            </w:r>
            <w:r>
              <w:rPr>
                <w:rFonts w:hint="eastAsia" w:hAnsi="宋体"/>
                <w:vertAlign w:val="superscript"/>
              </w:rPr>
              <w:t>a</w:t>
            </w:r>
          </w:p>
        </w:tc>
        <w:tc>
          <w:tcPr>
            <w:tcW w:w="58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 w:hAnsi="宋体"/>
                <w:sz w:val="18"/>
                <w:szCs w:val="22"/>
              </w:rPr>
              <w:t>0.06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435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ZnAl4Cu1Mg</w:t>
            </w:r>
          </w:p>
        </w:tc>
        <w:tc>
          <w:tcPr>
            <w:tcW w:w="93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Ansi="宋体"/>
                <w:sz w:val="18"/>
                <w:szCs w:val="22"/>
              </w:rPr>
              <w:t>3.5</w:t>
            </w:r>
            <w:r>
              <w:rPr>
                <w:rFonts w:hint="eastAsia" w:hAnsi="宋体"/>
                <w:sz w:val="18"/>
                <w:szCs w:val="22"/>
              </w:rPr>
              <w:t>～</w:t>
            </w:r>
            <w:r>
              <w:rPr>
                <w:rFonts w:hAnsi="宋体"/>
                <w:sz w:val="18"/>
                <w:szCs w:val="22"/>
              </w:rPr>
              <w:t>4.5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Ansi="宋体"/>
                <w:sz w:val="18"/>
                <w:szCs w:val="22"/>
              </w:rPr>
              <w:t>0.03</w:t>
            </w:r>
            <w:r>
              <w:rPr>
                <w:rFonts w:hint="eastAsia" w:hAnsi="宋体"/>
                <w:sz w:val="18"/>
                <w:szCs w:val="22"/>
              </w:rPr>
              <w:t>～</w:t>
            </w:r>
            <w:r>
              <w:rPr>
                <w:rFonts w:hAnsi="宋体"/>
                <w:sz w:val="18"/>
                <w:szCs w:val="22"/>
              </w:rPr>
              <w:t>0.065</w:t>
            </w:r>
          </w:p>
        </w:tc>
        <w:tc>
          <w:tcPr>
            <w:tcW w:w="854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Ansi="宋体"/>
                <w:sz w:val="18"/>
                <w:szCs w:val="22"/>
              </w:rPr>
              <w:t>0.2</w:t>
            </w:r>
            <w:r>
              <w:rPr>
                <w:rFonts w:hint="eastAsia" w:hAnsi="宋体"/>
                <w:sz w:val="18"/>
                <w:szCs w:val="22"/>
              </w:rPr>
              <w:t>～</w:t>
            </w:r>
            <w:r>
              <w:rPr>
                <w:rFonts w:hAnsi="宋体"/>
                <w:sz w:val="18"/>
                <w:szCs w:val="22"/>
              </w:rPr>
              <w:t>0.5</w:t>
            </w:r>
          </w:p>
        </w:tc>
        <w:tc>
          <w:tcPr>
            <w:tcW w:w="568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  <w:szCs w:val="22"/>
              </w:rPr>
            </w:pPr>
            <w:r>
              <w:rPr>
                <w:rFonts w:hint="eastAsia" w:ascii="Times New Roman" w:hAnsi="宋体"/>
                <w:kern w:val="2"/>
                <w:sz w:val="18"/>
                <w:szCs w:val="22"/>
              </w:rPr>
              <w:t>—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Ansi="宋体"/>
                <w:sz w:val="18"/>
                <w:szCs w:val="22"/>
              </w:rPr>
              <w:t>0.02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Ansi="宋体"/>
                <w:sz w:val="18"/>
                <w:szCs w:val="22"/>
              </w:rPr>
              <w:t>0.01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Ansi="宋体"/>
                <w:sz w:val="18"/>
                <w:szCs w:val="22"/>
              </w:rPr>
              <w:t>0.01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0.02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 w:hAnsi="宋体"/>
                <w:sz w:val="18"/>
                <w:szCs w:val="22"/>
              </w:rPr>
              <w:t>—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0.03</w:t>
            </w:r>
          </w:p>
        </w:tc>
        <w:tc>
          <w:tcPr>
            <w:tcW w:w="709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余量</w:t>
            </w:r>
            <w:r>
              <w:rPr>
                <w:rFonts w:hint="eastAsia" w:hAnsi="宋体"/>
                <w:vertAlign w:val="superscript"/>
              </w:rPr>
              <w:t>a</w:t>
            </w:r>
          </w:p>
        </w:tc>
        <w:tc>
          <w:tcPr>
            <w:tcW w:w="58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0.0</w:t>
            </w:r>
            <w:r>
              <w:rPr>
                <w:rFonts w:hint="eastAsia"/>
                <w:sz w:val="18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35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ZnAl10Cu2Mg</w:t>
            </w:r>
          </w:p>
        </w:tc>
        <w:tc>
          <w:tcPr>
            <w:tcW w:w="93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Ansi="宋体"/>
                <w:sz w:val="18"/>
                <w:szCs w:val="22"/>
              </w:rPr>
              <w:t>9.0</w:t>
            </w:r>
            <w:r>
              <w:rPr>
                <w:rFonts w:hint="eastAsia" w:hAnsi="宋体"/>
                <w:sz w:val="18"/>
                <w:szCs w:val="22"/>
              </w:rPr>
              <w:t>～</w:t>
            </w:r>
            <w:r>
              <w:rPr>
                <w:rFonts w:hAnsi="宋体"/>
                <w:sz w:val="18"/>
                <w:szCs w:val="22"/>
              </w:rPr>
              <w:t>11.0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Ansi="宋体"/>
                <w:sz w:val="18"/>
                <w:szCs w:val="22"/>
              </w:rPr>
              <w:t>0.03</w:t>
            </w:r>
            <w:r>
              <w:rPr>
                <w:rFonts w:hint="eastAsia" w:hAnsi="宋体"/>
                <w:sz w:val="18"/>
                <w:szCs w:val="22"/>
              </w:rPr>
              <w:t>～</w:t>
            </w:r>
            <w:r>
              <w:rPr>
                <w:rFonts w:hAnsi="宋体"/>
                <w:sz w:val="18"/>
                <w:szCs w:val="22"/>
              </w:rPr>
              <w:t>0.065</w:t>
            </w:r>
          </w:p>
        </w:tc>
        <w:tc>
          <w:tcPr>
            <w:tcW w:w="854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Ansi="宋体"/>
                <w:sz w:val="18"/>
                <w:szCs w:val="22"/>
              </w:rPr>
              <w:t>1.5</w:t>
            </w:r>
            <w:r>
              <w:rPr>
                <w:rFonts w:hint="eastAsia" w:hAnsi="宋体"/>
                <w:sz w:val="18"/>
                <w:szCs w:val="22"/>
              </w:rPr>
              <w:t>～</w:t>
            </w:r>
            <w:r>
              <w:rPr>
                <w:rFonts w:hAnsi="宋体"/>
                <w:sz w:val="18"/>
                <w:szCs w:val="22"/>
              </w:rPr>
              <w:t>2.5</w:t>
            </w:r>
          </w:p>
        </w:tc>
        <w:tc>
          <w:tcPr>
            <w:tcW w:w="568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  <w:szCs w:val="22"/>
              </w:rPr>
            </w:pPr>
            <w:r>
              <w:rPr>
                <w:rFonts w:hint="eastAsia" w:ascii="Times New Roman" w:hAnsi="宋体"/>
                <w:kern w:val="2"/>
                <w:sz w:val="18"/>
                <w:szCs w:val="22"/>
              </w:rPr>
              <w:t>—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Ansi="宋体"/>
                <w:sz w:val="18"/>
                <w:szCs w:val="22"/>
              </w:rPr>
              <w:t>0.05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Ansi="宋体"/>
                <w:sz w:val="18"/>
                <w:szCs w:val="22"/>
              </w:rPr>
              <w:t>0.03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Ansi="宋体"/>
                <w:sz w:val="18"/>
                <w:szCs w:val="22"/>
              </w:rPr>
              <w:t>0.01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0.02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 w:hAnsi="宋体"/>
                <w:sz w:val="18"/>
                <w:szCs w:val="22"/>
              </w:rPr>
              <w:t>—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0.03</w:t>
            </w:r>
          </w:p>
        </w:tc>
        <w:tc>
          <w:tcPr>
            <w:tcW w:w="709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余量</w:t>
            </w:r>
            <w:r>
              <w:rPr>
                <w:rFonts w:hint="eastAsia" w:hAnsi="宋体"/>
                <w:vertAlign w:val="superscript"/>
              </w:rPr>
              <w:t>a</w:t>
            </w:r>
          </w:p>
        </w:tc>
        <w:tc>
          <w:tcPr>
            <w:tcW w:w="58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0.</w:t>
            </w:r>
            <w:r>
              <w:rPr>
                <w:rFonts w:hint="eastAsia"/>
                <w:sz w:val="18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35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ZnAl2.5Cu1</w:t>
            </w:r>
          </w:p>
        </w:tc>
        <w:tc>
          <w:tcPr>
            <w:tcW w:w="935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int="eastAsia" w:hAnsi="宋体"/>
                <w:sz w:val="18"/>
                <w:szCs w:val="22"/>
              </w:rPr>
              <w:t>2.0～3.0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int="eastAsia" w:hAnsi="宋体"/>
                <w:sz w:val="18"/>
                <w:szCs w:val="22"/>
              </w:rPr>
              <w:t>—</w:t>
            </w:r>
          </w:p>
        </w:tc>
        <w:tc>
          <w:tcPr>
            <w:tcW w:w="854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int="eastAsia" w:hAnsi="宋体"/>
                <w:sz w:val="18"/>
                <w:szCs w:val="22"/>
              </w:rPr>
              <w:t>1.0～2.0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int="eastAsia" w:hAnsi="宋体"/>
                <w:sz w:val="18"/>
                <w:szCs w:val="22"/>
              </w:rPr>
              <w:t>—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int="eastAsia" w:hAnsi="宋体"/>
                <w:sz w:val="18"/>
                <w:szCs w:val="22"/>
              </w:rPr>
              <w:t>0.03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int="eastAsia" w:hAnsi="宋体"/>
                <w:sz w:val="18"/>
                <w:szCs w:val="22"/>
              </w:rPr>
              <w:t>0.03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rFonts w:hAnsi="宋体"/>
                <w:sz w:val="18"/>
                <w:szCs w:val="22"/>
              </w:rPr>
            </w:pPr>
            <w:r>
              <w:rPr>
                <w:rFonts w:hint="eastAsia" w:hAnsi="宋体"/>
                <w:sz w:val="18"/>
                <w:szCs w:val="22"/>
              </w:rPr>
              <w:t>0.02</w:t>
            </w:r>
          </w:p>
        </w:tc>
        <w:tc>
          <w:tcPr>
            <w:tcW w:w="568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0.01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 w:hAnsi="宋体"/>
                <w:sz w:val="18"/>
                <w:szCs w:val="22"/>
              </w:rPr>
              <w:t>—</w:t>
            </w:r>
          </w:p>
        </w:tc>
        <w:tc>
          <w:tcPr>
            <w:tcW w:w="569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0.02</w:t>
            </w:r>
          </w:p>
        </w:tc>
        <w:tc>
          <w:tcPr>
            <w:tcW w:w="709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余量</w:t>
            </w:r>
            <w:r>
              <w:rPr>
                <w:rFonts w:hint="eastAsia" w:hAnsi="宋体"/>
                <w:vertAlign w:val="superscript"/>
              </w:rPr>
              <w:t>a</w:t>
            </w:r>
          </w:p>
        </w:tc>
        <w:tc>
          <w:tcPr>
            <w:tcW w:w="582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9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2" w:type="dxa"/>
            <w:gridSpan w:val="13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ascii="宋体" w:hAnsi="宋体"/>
                <w:sz w:val="18"/>
                <w:szCs w:val="22"/>
              </w:rPr>
            </w:pPr>
            <w:r>
              <w:rPr>
                <w:rFonts w:hint="eastAsia" w:ascii="宋体" w:hAnsi="宋体"/>
                <w:sz w:val="18"/>
                <w:szCs w:val="22"/>
              </w:rPr>
              <w:t>注1：元素含量为上下限者为合金元素，元素含量为单个数值者为杂质元素，单个数值表示最高限量；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ascii="宋体" w:hAnsi="宋体"/>
                <w:sz w:val="18"/>
                <w:szCs w:val="22"/>
              </w:rPr>
            </w:pPr>
            <w:r>
              <w:rPr>
                <w:rFonts w:hint="eastAsia" w:ascii="宋体" w:hAnsi="宋体"/>
                <w:sz w:val="18"/>
                <w:szCs w:val="22"/>
              </w:rPr>
              <w:t>注2：杂质总和指表中所列杂质元素的含量总和；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ascii="宋体" w:hAnsi="宋体"/>
                <w:sz w:val="18"/>
                <w:szCs w:val="22"/>
              </w:rPr>
            </w:pPr>
            <w:r>
              <w:rPr>
                <w:rFonts w:hint="eastAsia" w:ascii="宋体" w:hAnsi="宋体"/>
                <w:sz w:val="18"/>
                <w:szCs w:val="22"/>
              </w:rPr>
              <w:t>注3：经供需双方协商，可限制未规定的元素或要求加严限制已规定的元素；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72" w:type="dxa"/>
            <w:gridSpan w:val="13"/>
            <w:vAlign w:val="center"/>
          </w:tcPr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jc w:val="left"/>
              <w:rPr>
                <w:rFonts w:ascii="宋体" w:hAnsi="宋体"/>
                <w:sz w:val="18"/>
                <w:szCs w:val="22"/>
              </w:rPr>
            </w:pPr>
            <w:r>
              <w:rPr>
                <w:rFonts w:hint="eastAsia" w:ascii="宋体" w:hAnsi="宋体"/>
                <w:vertAlign w:val="superscript"/>
              </w:rPr>
              <w:t>a</w:t>
            </w:r>
            <w:r>
              <w:rPr>
                <w:rFonts w:hint="eastAsia" w:ascii="宋体" w:hAnsi="宋体"/>
                <w:sz w:val="18"/>
                <w:szCs w:val="22"/>
              </w:rPr>
              <w:t xml:space="preserve"> “余量”表示的元素含量为100%减去表中所列元素实测值所得。</w:t>
            </w:r>
          </w:p>
        </w:tc>
      </w:tr>
    </w:tbl>
    <w:p>
      <w:pPr>
        <w:pStyle w:val="53"/>
        <w:ind w:firstLine="0" w:firstLineChars="0"/>
        <w:rPr>
          <w:rFonts w:hAnsi="宋体"/>
        </w:rPr>
      </w:pPr>
    </w:p>
    <w:p>
      <w:pPr>
        <w:pStyle w:val="58"/>
        <w:ind w:hanging="210" w:hangingChars="100"/>
      </w:pPr>
      <w:r>
        <w:rPr>
          <w:rFonts w:hint="eastAsia"/>
        </w:rPr>
        <w:t>外形尺寸及其允许偏差</w:t>
      </w:r>
    </w:p>
    <w:p>
      <w:pPr>
        <w:pStyle w:val="57"/>
        <w:numPr>
          <w:ilvl w:val="0"/>
          <w:numId w:val="0"/>
        </w:numPr>
        <w:tabs>
          <w:tab w:val="clear" w:pos="360"/>
        </w:tabs>
      </w:pPr>
      <w:r>
        <w:rPr>
          <w:rFonts w:hint="eastAsia" w:ascii="宋体" w:hAnsi="宋体" w:eastAsia="宋体"/>
        </w:rPr>
        <w:t>3.3.1 线材直径（或对边距）及其允许偏差应符合表3所规定。</w:t>
      </w:r>
    </w:p>
    <w:p>
      <w:pPr>
        <w:pStyle w:val="83"/>
        <w:ind w:firstLine="2730" w:firstLineChars="1300"/>
        <w:jc w:val="both"/>
        <w:rPr>
          <w:rFonts w:ascii="宋体" w:hAnsi="宋体" w:eastAsia="宋体"/>
          <w:kern w:val="2"/>
          <w:sz w:val="18"/>
        </w:rPr>
      </w:pPr>
      <w:r>
        <w:rPr>
          <w:rFonts w:hint="eastAsia"/>
        </w:rPr>
        <w:t xml:space="preserve">表3线材直径（或对边距）及其允许偏差 </w:t>
      </w:r>
      <w:r>
        <w:rPr>
          <w:rFonts w:hint="eastAsia" w:ascii="宋体" w:hAnsi="宋体" w:eastAsia="宋体"/>
          <w:kern w:val="2"/>
          <w:sz w:val="18"/>
        </w:rPr>
        <w:t xml:space="preserve">                    </w:t>
      </w:r>
      <w:r>
        <w:rPr>
          <w:rFonts w:hint="eastAsia" w:ascii="宋体" w:hAnsi="宋体" w:eastAsia="宋体"/>
          <w:color w:val="FF0000"/>
          <w:kern w:val="2"/>
          <w:sz w:val="18"/>
        </w:rPr>
        <w:t xml:space="preserve"> 单位为</w:t>
      </w:r>
      <w:r>
        <w:rPr>
          <w:rFonts w:hint="eastAsia" w:ascii="宋体" w:hAnsi="宋体" w:eastAsia="宋体"/>
          <w:color w:val="FF0000"/>
          <w:kern w:val="2"/>
          <w:sz w:val="18"/>
          <w:lang w:eastAsia="zh-CN"/>
        </w:rPr>
        <w:t>毫米</w:t>
      </w:r>
      <w:r>
        <w:rPr>
          <w:rFonts w:hint="eastAsia" w:ascii="宋体" w:hAnsi="宋体" w:eastAsia="宋体"/>
          <w:color w:val="FF0000"/>
          <w:kern w:val="2"/>
          <w:sz w:val="18"/>
        </w:rPr>
        <w:t xml:space="preserve"> </w:t>
      </w:r>
      <w:r>
        <w:rPr>
          <w:rFonts w:hint="eastAsia" w:ascii="宋体" w:hAnsi="宋体" w:eastAsia="宋体"/>
          <w:kern w:val="2"/>
          <w:sz w:val="18"/>
        </w:rPr>
        <w:t xml:space="preserve"> </w:t>
      </w:r>
    </w:p>
    <w:tbl>
      <w:tblPr>
        <w:tblStyle w:val="45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4"/>
        <w:gridCol w:w="1914"/>
        <w:gridCol w:w="1914"/>
        <w:gridCol w:w="19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Merge w:val="restart"/>
            <w:vAlign w:val="center"/>
          </w:tcPr>
          <w:p>
            <w:pPr>
              <w:pStyle w:val="53"/>
              <w:ind w:firstLine="0" w:firstLineChars="0"/>
              <w:jc w:val="center"/>
            </w:pPr>
            <w:r>
              <w:rPr>
                <w:rFonts w:hint="eastAsia"/>
                <w:sz w:val="18"/>
              </w:rPr>
              <w:t>直径（或对边距）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sz w:val="18"/>
              </w:rPr>
              <w:t>圆形线材的直径允许偏差</w:t>
            </w:r>
            <w:r>
              <w:rPr>
                <w:rFonts w:hint="eastAsia" w:hAnsi="宋体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829" w:type="dxa"/>
            <w:gridSpan w:val="2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/>
                <w:sz w:val="18"/>
              </w:rPr>
              <w:t>正方形、正六角形、矩形的对边距允许偏差</w:t>
            </w:r>
            <w:r>
              <w:rPr>
                <w:rFonts w:hint="eastAsia" w:hAnsi="宋体"/>
                <w:sz w:val="18"/>
                <w:szCs w:val="18"/>
                <w:vertAlign w:val="superscript"/>
              </w:rPr>
              <w:t>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Merge w:val="continue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普通级</w:t>
            </w:r>
          </w:p>
        </w:tc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高精级</w:t>
            </w:r>
          </w:p>
        </w:tc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普通级</w:t>
            </w:r>
          </w:p>
        </w:tc>
        <w:tc>
          <w:tcPr>
            <w:tcW w:w="1915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高精级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 w:hAnsi="宋体"/>
                <w:sz w:val="18"/>
              </w:rPr>
              <w:t>1.0～2.5</w:t>
            </w:r>
          </w:p>
        </w:tc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—</w:t>
            </w:r>
          </w:p>
        </w:tc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 w:hAnsi="宋体"/>
                <w:sz w:val="18"/>
              </w:rPr>
              <w:t>±0.050</w:t>
            </w:r>
            <w:r>
              <w:rPr>
                <w:rFonts w:hint="eastAsia" w:hAnsi="宋体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915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 w:hAnsi="宋体"/>
                <w:sz w:val="18"/>
              </w:rPr>
              <w:t>±0.040</w:t>
            </w:r>
            <w:r>
              <w:rPr>
                <w:rFonts w:hint="eastAsia" w:hAnsi="宋体"/>
                <w:sz w:val="18"/>
                <w:szCs w:val="18"/>
                <w:vertAlign w:val="superscript"/>
              </w:rPr>
              <w:t>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 w:hAnsi="宋体"/>
                <w:sz w:val="18"/>
              </w:rPr>
              <w:t>＞2.5～3.0</w:t>
            </w:r>
          </w:p>
        </w:tc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 w:hAnsi="宋体"/>
                <w:sz w:val="18"/>
              </w:rPr>
              <w:t>±0.030</w:t>
            </w:r>
          </w:p>
        </w:tc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 w:hAnsi="宋体"/>
                <w:sz w:val="18"/>
              </w:rPr>
              <w:t>±0.020</w:t>
            </w:r>
          </w:p>
        </w:tc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 w:hAnsi="宋体"/>
                <w:sz w:val="18"/>
              </w:rPr>
              <w:t>±0.050</w:t>
            </w:r>
            <w:r>
              <w:rPr>
                <w:rFonts w:hint="eastAsia" w:hAnsi="宋体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915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 w:hAnsi="宋体"/>
                <w:sz w:val="18"/>
              </w:rPr>
              <w:t>±0.040</w:t>
            </w:r>
            <w:r>
              <w:rPr>
                <w:rFonts w:hint="eastAsia" w:hAnsi="宋体"/>
                <w:sz w:val="18"/>
                <w:szCs w:val="18"/>
                <w:vertAlign w:val="superscript"/>
              </w:rPr>
              <w:t>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 w:hAnsi="宋体"/>
                <w:sz w:val="18"/>
              </w:rPr>
              <w:t>＞3.0～6.0</w:t>
            </w:r>
          </w:p>
        </w:tc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 w:hAnsi="宋体"/>
                <w:sz w:val="18"/>
              </w:rPr>
              <w:t>±0.040</w:t>
            </w:r>
          </w:p>
        </w:tc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 w:hAnsi="宋体"/>
                <w:sz w:val="18"/>
              </w:rPr>
              <w:t>±0.030</w:t>
            </w:r>
          </w:p>
        </w:tc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 w:hAnsi="宋体"/>
                <w:sz w:val="18"/>
              </w:rPr>
              <w:t>±0.050</w:t>
            </w:r>
          </w:p>
        </w:tc>
        <w:tc>
          <w:tcPr>
            <w:tcW w:w="1915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 w:hAnsi="宋体"/>
                <w:sz w:val="18"/>
              </w:rPr>
              <w:t>±0.020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 w:hAnsi="宋体"/>
                <w:sz w:val="18"/>
              </w:rPr>
              <w:t>＞6.0～16.0</w:t>
            </w:r>
          </w:p>
        </w:tc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 w:hAnsi="宋体"/>
                <w:sz w:val="18"/>
              </w:rPr>
              <w:t>±0.050</w:t>
            </w:r>
          </w:p>
        </w:tc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 w:hAnsi="宋体"/>
                <w:sz w:val="18"/>
              </w:rPr>
              <w:t>±0.040</w:t>
            </w:r>
          </w:p>
        </w:tc>
        <w:tc>
          <w:tcPr>
            <w:tcW w:w="1914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 w:hAnsi="宋体"/>
                <w:sz w:val="18"/>
              </w:rPr>
              <w:t>±0.060</w:t>
            </w:r>
          </w:p>
        </w:tc>
        <w:tc>
          <w:tcPr>
            <w:tcW w:w="1915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kern w:val="2"/>
                <w:szCs w:val="24"/>
              </w:rPr>
            </w:pPr>
            <w:r>
              <w:rPr>
                <w:rFonts w:hint="eastAsia" w:hAnsi="宋体"/>
                <w:sz w:val="18"/>
              </w:rPr>
              <w:t>±0.030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5"/>
            <w:vAlign w:val="center"/>
          </w:tcPr>
          <w:p>
            <w:pPr>
              <w:pStyle w:val="53"/>
              <w:ind w:firstLine="0" w:firstLineChars="0"/>
              <w:jc w:val="left"/>
              <w:rPr>
                <w:rFonts w:hAnsi="宋体"/>
                <w:kern w:val="2"/>
                <w:sz w:val="18"/>
                <w:szCs w:val="24"/>
              </w:rPr>
            </w:pPr>
            <w:r>
              <w:rPr>
                <w:rFonts w:hint="eastAsia" w:hAnsi="宋体"/>
                <w:sz w:val="18"/>
                <w:szCs w:val="18"/>
                <w:vertAlign w:val="superscript"/>
              </w:rPr>
              <w:t>a</w:t>
            </w:r>
            <w:r>
              <w:rPr>
                <w:rFonts w:hint="eastAsia" w:hAnsi="宋体"/>
                <w:sz w:val="18"/>
              </w:rPr>
              <w:t>当要求允许偏差全为（</w:t>
            </w:r>
            <w:r>
              <w:rPr>
                <w:rFonts w:hAnsi="宋体"/>
                <w:sz w:val="18"/>
              </w:rPr>
              <w:t>+）或全为（－）</w:t>
            </w:r>
            <w:r>
              <w:rPr>
                <w:rFonts w:hAnsi="宋体"/>
                <w:color w:val="FF0000"/>
                <w:sz w:val="18"/>
              </w:rPr>
              <w:t>单</w:t>
            </w:r>
            <w:r>
              <w:rPr>
                <w:rFonts w:hint="eastAsia" w:hAnsi="宋体"/>
                <w:color w:val="FF0000"/>
                <w:sz w:val="18"/>
                <w:lang w:eastAsia="zh-CN"/>
              </w:rPr>
              <w:t>向</w:t>
            </w:r>
            <w:r>
              <w:rPr>
                <w:rFonts w:hAnsi="宋体"/>
                <w:color w:val="FF0000"/>
                <w:sz w:val="18"/>
              </w:rPr>
              <w:t>偏差时</w:t>
            </w:r>
            <w:r>
              <w:rPr>
                <w:rFonts w:hAnsi="宋体"/>
                <w:sz w:val="18"/>
              </w:rPr>
              <w:t>，其值为表中数值的2倍</w:t>
            </w:r>
            <w:r>
              <w:rPr>
                <w:rFonts w:hint="eastAsia" w:hAnsi="宋体"/>
                <w:sz w:val="18"/>
              </w:rPr>
              <w:t>。</w:t>
            </w:r>
          </w:p>
          <w:p>
            <w:pPr>
              <w:pStyle w:val="53"/>
              <w:ind w:firstLine="0" w:firstLineChars="0"/>
              <w:jc w:val="left"/>
              <w:rPr>
                <w:rFonts w:hAnsi="宋体"/>
                <w:kern w:val="2"/>
                <w:sz w:val="18"/>
                <w:szCs w:val="24"/>
              </w:rPr>
            </w:pPr>
            <w:r>
              <w:rPr>
                <w:rFonts w:hint="eastAsia" w:hAnsi="宋体"/>
                <w:sz w:val="18"/>
                <w:szCs w:val="18"/>
                <w:vertAlign w:val="superscript"/>
              </w:rPr>
              <w:t>b</w:t>
            </w:r>
            <w:r>
              <w:rPr>
                <w:rFonts w:hint="eastAsia" w:hAnsi="宋体"/>
                <w:sz w:val="18"/>
              </w:rPr>
              <w:t>仅针对矩形产品</w:t>
            </w:r>
          </w:p>
        </w:tc>
      </w:tr>
    </w:tbl>
    <w:p>
      <w:pPr>
        <w:pStyle w:val="53"/>
        <w:ind w:firstLine="420"/>
      </w:pPr>
    </w:p>
    <w:p>
      <w:pPr>
        <w:pStyle w:val="53"/>
        <w:ind w:firstLine="420"/>
      </w:pPr>
    </w:p>
    <w:p>
      <w:pPr>
        <w:pStyle w:val="53"/>
        <w:ind w:firstLine="0" w:firstLineChars="0"/>
      </w:pPr>
      <w:r>
        <w:rPr>
          <w:rFonts w:hint="eastAsia"/>
        </w:rPr>
        <w:t>3.3.2 圆角半径</w:t>
      </w:r>
    </w:p>
    <w:p>
      <w:pPr>
        <w:pStyle w:val="53"/>
        <w:ind w:firstLine="408" w:firstLineChars="0"/>
      </w:pPr>
      <w:r>
        <w:rPr>
          <w:rFonts w:hint="eastAsia"/>
        </w:rPr>
        <w:t>正方形、矩形、正六角形线材的横截面</w:t>
      </w:r>
      <w:r>
        <w:rPr>
          <w:rFonts w:hint="eastAsia"/>
          <w:color w:val="FF0000"/>
          <w:lang w:eastAsia="zh-CN"/>
        </w:rPr>
        <w:t>（棱角）</w:t>
      </w:r>
      <w:r>
        <w:rPr>
          <w:rFonts w:hint="eastAsia"/>
        </w:rPr>
        <w:t>处允许有圆角，其圆角半径R应符合表4的规定。</w:t>
      </w:r>
    </w:p>
    <w:p>
      <w:pPr>
        <w:pStyle w:val="53"/>
        <w:wordWrap w:val="0"/>
        <w:ind w:firstLine="408" w:firstLineChars="0"/>
        <w:jc w:val="right"/>
      </w:pPr>
      <w:r>
        <w:rPr>
          <w:rFonts w:hint="eastAsia" w:ascii="黑体" w:eastAsia="黑体"/>
        </w:rPr>
        <w:t xml:space="preserve">表4 正方形、矩形、正六角形线材的圆角半径  </w:t>
      </w:r>
      <w:r>
        <w:rPr>
          <w:rFonts w:ascii="黑体" w:eastAsia="黑体"/>
        </w:rPr>
        <w:t xml:space="preserve">  </w:t>
      </w:r>
      <w:r>
        <w:rPr>
          <w:rFonts w:hint="eastAsia" w:ascii="黑体" w:eastAsia="黑体"/>
        </w:rPr>
        <w:t xml:space="preserve"> </w:t>
      </w:r>
      <w:r>
        <w:rPr>
          <w:rFonts w:hint="eastAsia"/>
        </w:rPr>
        <w:t xml:space="preserve">         </w:t>
      </w:r>
      <w:r>
        <w:rPr>
          <w:rFonts w:hint="eastAsia" w:ascii="宋体" w:hAnsi="宋体" w:eastAsia="宋体"/>
          <w:color w:val="FF0000"/>
          <w:kern w:val="2"/>
          <w:sz w:val="18"/>
        </w:rPr>
        <w:t>单位为</w:t>
      </w:r>
      <w:r>
        <w:rPr>
          <w:rFonts w:hint="eastAsia" w:ascii="宋体" w:hAnsi="宋体" w:eastAsia="宋体"/>
          <w:color w:val="FF0000"/>
          <w:kern w:val="2"/>
          <w:sz w:val="18"/>
          <w:lang w:eastAsia="zh-CN"/>
        </w:rPr>
        <w:t>毫米</w:t>
      </w:r>
      <w:r>
        <w:rPr>
          <w:rFonts w:hint="eastAsia" w:ascii="宋体" w:hAnsi="宋体" w:eastAsia="宋体"/>
          <w:color w:val="FF0000"/>
          <w:kern w:val="2"/>
          <w:sz w:val="18"/>
        </w:rPr>
        <w:t xml:space="preserve"> </w:t>
      </w:r>
    </w:p>
    <w:tbl>
      <w:tblPr>
        <w:tblStyle w:val="45"/>
        <w:tblW w:w="957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914"/>
        <w:gridCol w:w="1914"/>
        <w:gridCol w:w="1914"/>
        <w:gridCol w:w="19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pStyle w:val="53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对边距</w:t>
            </w:r>
          </w:p>
        </w:tc>
        <w:tc>
          <w:tcPr>
            <w:tcW w:w="1914" w:type="dxa"/>
          </w:tcPr>
          <w:p>
            <w:pPr>
              <w:pStyle w:val="53"/>
              <w:ind w:firstLine="0" w:firstLineChars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.0</w:t>
            </w:r>
            <w:r>
              <w:rPr>
                <w:rFonts w:hint="eastAsia"/>
                <w:sz w:val="18"/>
              </w:rPr>
              <w:t>～3</w:t>
            </w:r>
            <w:r>
              <w:rPr>
                <w:sz w:val="18"/>
              </w:rPr>
              <w:t>.0</w:t>
            </w:r>
          </w:p>
        </w:tc>
        <w:tc>
          <w:tcPr>
            <w:tcW w:w="1914" w:type="dxa"/>
          </w:tcPr>
          <w:p>
            <w:pPr>
              <w:pStyle w:val="53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.0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>6.0</w:t>
            </w:r>
          </w:p>
        </w:tc>
        <w:tc>
          <w:tcPr>
            <w:tcW w:w="1914" w:type="dxa"/>
          </w:tcPr>
          <w:p>
            <w:pPr>
              <w:pStyle w:val="53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＞</w:t>
            </w:r>
            <w:r>
              <w:rPr>
                <w:sz w:val="18"/>
              </w:rPr>
              <w:t>6.0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>10.0</w:t>
            </w:r>
          </w:p>
        </w:tc>
        <w:tc>
          <w:tcPr>
            <w:tcW w:w="1914" w:type="dxa"/>
          </w:tcPr>
          <w:p>
            <w:pPr>
              <w:pStyle w:val="53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＞</w:t>
            </w:r>
            <w:r>
              <w:rPr>
                <w:sz w:val="18"/>
              </w:rPr>
              <w:t>10.0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>16.0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5" w:type="dxa"/>
          </w:tcPr>
          <w:p>
            <w:pPr>
              <w:pStyle w:val="53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圆角半径R</w:t>
            </w:r>
          </w:p>
        </w:tc>
        <w:tc>
          <w:tcPr>
            <w:tcW w:w="1914" w:type="dxa"/>
          </w:tcPr>
          <w:p>
            <w:pPr>
              <w:pStyle w:val="53"/>
              <w:ind w:firstLine="0" w:firstLineChars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≤0.2</w:t>
            </w:r>
          </w:p>
        </w:tc>
        <w:tc>
          <w:tcPr>
            <w:tcW w:w="1914" w:type="dxa"/>
          </w:tcPr>
          <w:p>
            <w:pPr>
              <w:pStyle w:val="53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≤0.6</w:t>
            </w:r>
          </w:p>
        </w:tc>
        <w:tc>
          <w:tcPr>
            <w:tcW w:w="1914" w:type="dxa"/>
          </w:tcPr>
          <w:p>
            <w:pPr>
              <w:pStyle w:val="53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≤0.8</w:t>
            </w:r>
          </w:p>
        </w:tc>
        <w:tc>
          <w:tcPr>
            <w:tcW w:w="1914" w:type="dxa"/>
          </w:tcPr>
          <w:p>
            <w:pPr>
              <w:pStyle w:val="53"/>
              <w:ind w:firstLine="0" w:firstLineChars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≤1.2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571" w:type="dxa"/>
            <w:gridSpan w:val="5"/>
          </w:tcPr>
          <w:p>
            <w:pPr>
              <w:pStyle w:val="53"/>
              <w:ind w:firstLine="0" w:firstLineChars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注1：矩形线材的圆角半径以短边为准</w:t>
            </w:r>
          </w:p>
          <w:p>
            <w:pPr>
              <w:pStyle w:val="53"/>
              <w:ind w:firstLine="0" w:firstLineChars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trike/>
                <w:dstrike w:val="0"/>
                <w:color w:val="FF0000"/>
                <w:sz w:val="18"/>
              </w:rPr>
              <w:t>注2：此项供方可不检验，但应保证</w:t>
            </w:r>
          </w:p>
        </w:tc>
      </w:tr>
    </w:tbl>
    <w:p>
      <w:pPr>
        <w:pStyle w:val="53"/>
        <w:ind w:firstLine="0" w:firstLineChars="0"/>
        <w:rPr>
          <w:rFonts w:hint="eastAsia"/>
        </w:rPr>
      </w:pPr>
      <w:r>
        <w:rPr>
          <w:rFonts w:hint="eastAsia"/>
        </w:rPr>
        <w:t>3.3.3 圆度</w:t>
      </w:r>
    </w:p>
    <w:p>
      <w:pPr>
        <w:pStyle w:val="53"/>
        <w:ind w:firstLine="408" w:firstLineChars="0"/>
        <w:rPr>
          <w:rFonts w:hint="eastAsia"/>
        </w:rPr>
      </w:pPr>
      <w:r>
        <w:rPr>
          <w:rFonts w:hint="eastAsia"/>
        </w:rPr>
        <w:t>圆形线材的圆度不得超过其直径允许偏差之半。</w:t>
      </w:r>
    </w:p>
    <w:p>
      <w:pPr>
        <w:pStyle w:val="53"/>
        <w:ind w:firstLine="408" w:firstLineChars="0"/>
      </w:pPr>
    </w:p>
    <w:p>
      <w:pPr>
        <w:pStyle w:val="58"/>
        <w:ind w:hanging="210" w:hangingChars="100"/>
      </w:pPr>
      <w:r>
        <w:rPr>
          <w:rFonts w:hint="eastAsia" w:ascii="黑体" w:hAnsi="黑体"/>
        </w:rPr>
        <w:t>力学性能</w:t>
      </w:r>
    </w:p>
    <w:p>
      <w:pPr>
        <w:pStyle w:val="57"/>
        <w:numPr>
          <w:ilvl w:val="3"/>
          <w:numId w:val="0"/>
        </w:numPr>
        <w:tabs>
          <w:tab w:val="clear" w:pos="360"/>
        </w:tabs>
        <w:outlineLvl w:val="9"/>
      </w:pPr>
      <w:r>
        <w:rPr>
          <w:rFonts w:hint="eastAsia" w:ascii="宋体" w:hAnsi="宋体" w:eastAsia="宋体"/>
        </w:rPr>
        <w:t>3.4.1</w:t>
      </w:r>
      <w:r>
        <w:rPr>
          <w:rFonts w:hint="eastAsia" w:ascii="宋体" w:eastAsia="宋体"/>
        </w:rPr>
        <w:t>线材的力学性能应符合表5规定。</w:t>
      </w:r>
    </w:p>
    <w:p>
      <w:pPr>
        <w:pStyle w:val="83"/>
      </w:pPr>
      <w:r>
        <w:rPr>
          <w:rFonts w:hint="eastAsia"/>
        </w:rPr>
        <w:t>表5  线材的力学性能</w:t>
      </w:r>
    </w:p>
    <w:tbl>
      <w:tblPr>
        <w:tblStyle w:val="44"/>
        <w:tblW w:w="9427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138"/>
        <w:gridCol w:w="2610"/>
        <w:gridCol w:w="217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61" w:type="dxa"/>
            <w:vMerge w:val="restart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牌号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状态</w:t>
            </w:r>
          </w:p>
        </w:tc>
        <w:tc>
          <w:tcPr>
            <w:tcW w:w="2610" w:type="dxa"/>
            <w:vMerge w:val="restart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直径（或对边距）</w:t>
            </w:r>
          </w:p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hAnsi="宋体"/>
                <w:sz w:val="18"/>
              </w:rPr>
              <w:t>mm</w:t>
            </w:r>
          </w:p>
        </w:tc>
        <w:tc>
          <w:tcPr>
            <w:tcW w:w="2171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抗拉强度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int="eastAsia" w:ascii="Cambria Math" w:hAnsi="Cambria Math"/>
                      <w:sz w:val="18"/>
                      <w:szCs w:val="20"/>
                    </w:rPr>
                    <m:t>R</m:t>
                  </m:r>
                  <m:ctrlPr>
                    <w:rPr>
                      <w:rFonts w:ascii="Cambria Math" w:hAnsi="Cambria Math"/>
                      <w:sz w:val="18"/>
                      <w:szCs w:val="20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20"/>
                    </w:rPr>
                    <m:t>m</m:t>
                  </m:r>
                  <m:ctrlPr>
                    <w:rPr>
                      <w:rFonts w:ascii="Cambria Math" w:hAnsi="Cambria Math"/>
                      <w:sz w:val="18"/>
                      <w:szCs w:val="20"/>
                    </w:rPr>
                  </m:ctrlPr>
                </m:sub>
              </m:sSub>
            </m:oMath>
          </w:p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MPa</w:t>
            </w:r>
          </w:p>
        </w:tc>
        <w:tc>
          <w:tcPr>
            <w:tcW w:w="204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断后伸长率A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61" w:type="dxa"/>
            <w:vMerge w:val="continue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  <w:vMerge w:val="continue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hAnsi="宋体"/>
                <w:sz w:val="18"/>
              </w:rPr>
            </w:pPr>
          </w:p>
        </w:tc>
        <w:tc>
          <w:tcPr>
            <w:tcW w:w="4218" w:type="dxa"/>
            <w:gridSpan w:val="2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不小于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" w:hRule="atLeast"/>
        </w:trPr>
        <w:tc>
          <w:tcPr>
            <w:tcW w:w="1461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</w:rPr>
              <w:t>Zn99.95</w:t>
            </w:r>
          </w:p>
        </w:tc>
        <w:tc>
          <w:tcPr>
            <w:tcW w:w="1138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  <w:szCs w:val="22"/>
              </w:rPr>
              <w:t>Y</w:t>
            </w:r>
          </w:p>
        </w:tc>
        <w:tc>
          <w:tcPr>
            <w:tcW w:w="2610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2.5</w:t>
            </w:r>
            <w:r>
              <w:rPr>
                <w:rFonts w:hint="eastAsia" w:hAnsi="宋体"/>
                <w:sz w:val="18"/>
              </w:rPr>
              <w:t>～</w:t>
            </w:r>
            <w:r>
              <w:rPr>
                <w:rFonts w:hint="eastAsia" w:ascii="Times New Roman"/>
                <w:sz w:val="18"/>
              </w:rPr>
              <w:t>16.0</w:t>
            </w:r>
          </w:p>
        </w:tc>
        <w:tc>
          <w:tcPr>
            <w:tcW w:w="2171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100</w:t>
            </w:r>
          </w:p>
        </w:tc>
        <w:tc>
          <w:tcPr>
            <w:tcW w:w="2047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461" w:type="dxa"/>
            <w:vMerge w:val="restart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ZnAl10Cu2Mg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  <w:szCs w:val="22"/>
              </w:rPr>
              <w:t>Y</w:t>
            </w:r>
          </w:p>
        </w:tc>
        <w:tc>
          <w:tcPr>
            <w:tcW w:w="2610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2.5</w:t>
            </w:r>
            <w:r>
              <w:rPr>
                <w:rFonts w:hint="eastAsia" w:hAnsi="宋体"/>
                <w:sz w:val="18"/>
              </w:rPr>
              <w:t>～</w:t>
            </w:r>
            <w:r>
              <w:rPr>
                <w:rFonts w:hint="eastAsia" w:ascii="Times New Roman"/>
                <w:sz w:val="18"/>
              </w:rPr>
              <w:t>6.0</w:t>
            </w:r>
          </w:p>
        </w:tc>
        <w:tc>
          <w:tcPr>
            <w:tcW w:w="2171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260</w:t>
            </w:r>
          </w:p>
        </w:tc>
        <w:tc>
          <w:tcPr>
            <w:tcW w:w="2047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1461" w:type="dxa"/>
            <w:vMerge w:val="continue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hAnsi="宋体"/>
                <w:sz w:val="18"/>
              </w:rPr>
              <w:t>＞</w:t>
            </w:r>
            <w:r>
              <w:rPr>
                <w:rFonts w:hint="eastAsia" w:ascii="Times New Roman"/>
                <w:sz w:val="18"/>
              </w:rPr>
              <w:t>6.0</w:t>
            </w:r>
            <w:r>
              <w:rPr>
                <w:rFonts w:hint="eastAsia" w:hAnsi="宋体"/>
                <w:sz w:val="18"/>
              </w:rPr>
              <w:t>～</w:t>
            </w:r>
            <w:r>
              <w:rPr>
                <w:rFonts w:hint="eastAsia" w:ascii="Times New Roman"/>
                <w:sz w:val="18"/>
              </w:rPr>
              <w:t>16.0</w:t>
            </w:r>
          </w:p>
        </w:tc>
        <w:tc>
          <w:tcPr>
            <w:tcW w:w="2171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280</w:t>
            </w:r>
          </w:p>
        </w:tc>
        <w:tc>
          <w:tcPr>
            <w:tcW w:w="2047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461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ZnAl4Cu1Mg</w:t>
            </w:r>
          </w:p>
        </w:tc>
        <w:tc>
          <w:tcPr>
            <w:tcW w:w="1138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  <w:szCs w:val="22"/>
              </w:rPr>
              <w:t>Y</w:t>
            </w:r>
          </w:p>
        </w:tc>
        <w:tc>
          <w:tcPr>
            <w:tcW w:w="2610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3.0</w:t>
            </w:r>
            <w:r>
              <w:rPr>
                <w:rFonts w:hint="eastAsia" w:hAnsi="宋体"/>
                <w:sz w:val="18"/>
              </w:rPr>
              <w:t>～</w:t>
            </w:r>
            <w:r>
              <w:rPr>
                <w:rFonts w:hint="eastAsia" w:ascii="Times New Roman"/>
                <w:sz w:val="18"/>
              </w:rPr>
              <w:t>16.0</w:t>
            </w:r>
          </w:p>
        </w:tc>
        <w:tc>
          <w:tcPr>
            <w:tcW w:w="2171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230</w:t>
            </w:r>
          </w:p>
        </w:tc>
        <w:tc>
          <w:tcPr>
            <w:tcW w:w="2047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</w:trPr>
        <w:tc>
          <w:tcPr>
            <w:tcW w:w="1461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hint="eastAsia" w:ascii="Times New Roman"/>
                <w:sz w:val="18"/>
              </w:rPr>
              <w:t>ZnAl2.5Cu1</w:t>
            </w:r>
          </w:p>
        </w:tc>
        <w:tc>
          <w:tcPr>
            <w:tcW w:w="1138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  <w:szCs w:val="22"/>
              </w:rPr>
            </w:pPr>
            <w:r>
              <w:rPr>
                <w:rFonts w:hint="eastAsia" w:ascii="Times New Roman" w:hAnsi="宋体"/>
                <w:kern w:val="2"/>
                <w:sz w:val="18"/>
                <w:szCs w:val="22"/>
              </w:rPr>
              <w:t>Y</w:t>
            </w:r>
          </w:p>
        </w:tc>
        <w:tc>
          <w:tcPr>
            <w:tcW w:w="2610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Ansi="宋体"/>
                <w:sz w:val="18"/>
              </w:rPr>
              <w:t>(1.0</w:t>
            </w:r>
            <w:r>
              <w:rPr>
                <w:rFonts w:hint="eastAsia" w:ascii="Times New Roman" w:hAnsi="宋体"/>
                <w:sz w:val="18"/>
              </w:rPr>
              <w:t>～</w:t>
            </w:r>
            <w:r>
              <w:rPr>
                <w:rFonts w:ascii="Times New Roman" w:hAnsi="宋体"/>
                <w:sz w:val="18"/>
              </w:rPr>
              <w:t>3.0)</w:t>
            </w:r>
            <w:r>
              <w:rPr>
                <w:rFonts w:hint="eastAsia" w:ascii="Times New Roman" w:hAnsi="宋体"/>
                <w:sz w:val="18"/>
              </w:rPr>
              <w:t>×</w:t>
            </w:r>
            <w:r>
              <w:rPr>
                <w:rFonts w:ascii="Times New Roman" w:hAnsi="宋体"/>
                <w:sz w:val="18"/>
              </w:rPr>
              <w:t>(4.0</w:t>
            </w:r>
            <w:r>
              <w:rPr>
                <w:rFonts w:hint="eastAsia" w:ascii="Times New Roman" w:hAnsi="宋体"/>
                <w:sz w:val="18"/>
              </w:rPr>
              <w:t>～</w:t>
            </w:r>
            <w:r>
              <w:rPr>
                <w:rFonts w:ascii="Times New Roman" w:hAnsi="宋体"/>
                <w:sz w:val="18"/>
              </w:rPr>
              <w:t>9.0)</w:t>
            </w:r>
          </w:p>
        </w:tc>
        <w:tc>
          <w:tcPr>
            <w:tcW w:w="2171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270</w:t>
            </w:r>
          </w:p>
        </w:tc>
        <w:tc>
          <w:tcPr>
            <w:tcW w:w="2047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sz w:val="18"/>
              </w:rPr>
            </w:pPr>
            <w:r>
              <w:rPr>
                <w:rFonts w:hint="eastAsia" w:ascii="Times New Roman" w:hAnsi="宋体"/>
                <w:sz w:val="18"/>
              </w:rPr>
              <w:t>10</w:t>
            </w:r>
          </w:p>
        </w:tc>
      </w:tr>
    </w:tbl>
    <w:p>
      <w:pPr>
        <w:pStyle w:val="58"/>
        <w:numPr>
          <w:ilvl w:val="2"/>
          <w:numId w:val="0"/>
        </w:numPr>
        <w:rPr>
          <w:rFonts w:ascii="宋体" w:hAnsi="宋体" w:eastAsia="宋体"/>
        </w:rPr>
      </w:pPr>
      <w:r>
        <w:rPr>
          <w:rFonts w:hint="eastAsia"/>
        </w:rPr>
        <w:t>3.4.2线</w:t>
      </w:r>
      <w:r>
        <w:rPr>
          <w:rFonts w:hint="eastAsia" w:ascii="宋体" w:hAnsi="宋体" w:eastAsia="宋体"/>
        </w:rPr>
        <w:t>材可在断面进行维氏硬度的检验，</w:t>
      </w:r>
      <w:r>
        <w:rPr>
          <w:rFonts w:hint="eastAsia" w:ascii="宋体" w:hAnsi="宋体" w:eastAsia="宋体"/>
          <w:szCs w:val="21"/>
        </w:rPr>
        <w:t>其要求由供需双方协商</w:t>
      </w:r>
      <w:r>
        <w:rPr>
          <w:rFonts w:hint="eastAsia" w:ascii="宋体" w:hAnsi="宋体" w:eastAsia="宋体"/>
        </w:rPr>
        <w:t>。</w:t>
      </w:r>
    </w:p>
    <w:p>
      <w:pPr>
        <w:pStyle w:val="64"/>
        <w:numPr>
          <w:ilvl w:val="1"/>
          <w:numId w:val="0"/>
        </w:numPr>
        <w:spacing w:beforeLines="0" w:afterLines="0"/>
        <w:rPr>
          <w:rFonts w:ascii="宋体" w:hAnsi="宋体" w:eastAsia="宋体"/>
        </w:rPr>
      </w:pPr>
    </w:p>
    <w:p>
      <w:pPr>
        <w:pStyle w:val="64"/>
        <w:numPr>
          <w:ilvl w:val="1"/>
          <w:numId w:val="0"/>
        </w:numPr>
        <w:spacing w:before="156" w:after="156"/>
      </w:pPr>
      <w:r>
        <w:rPr>
          <w:rFonts w:hint="eastAsia"/>
        </w:rPr>
        <w:t>3.5电性能</w:t>
      </w:r>
    </w:p>
    <w:p>
      <w:pPr>
        <w:pStyle w:val="53"/>
        <w:ind w:firstLine="420"/>
        <w:rPr>
          <w:rFonts w:hAnsi="宋体"/>
        </w:rPr>
      </w:pPr>
      <w:r>
        <w:rPr>
          <w:rFonts w:hint="eastAsia" w:hAnsi="宋体"/>
        </w:rPr>
        <w:t>线材的导电率应符合表6的规定。</w:t>
      </w:r>
    </w:p>
    <w:p>
      <w:pPr>
        <w:pStyle w:val="53"/>
        <w:ind w:firstLine="0" w:firstLineChars="0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表6 线材的导电率</w:t>
      </w:r>
    </w:p>
    <w:tbl>
      <w:tblPr>
        <w:tblStyle w:val="44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90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</w:rPr>
              <w:t>牌号</w:t>
            </w:r>
          </w:p>
        </w:tc>
        <w:tc>
          <w:tcPr>
            <w:tcW w:w="3190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</w:rPr>
              <w:t>状态</w:t>
            </w:r>
          </w:p>
        </w:tc>
        <w:tc>
          <w:tcPr>
            <w:tcW w:w="3191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导电率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%IACS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90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</w:rPr>
              <w:t>Zn99.95</w:t>
            </w:r>
          </w:p>
        </w:tc>
        <w:tc>
          <w:tcPr>
            <w:tcW w:w="3190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</w:rPr>
              <w:t>Y</w:t>
            </w:r>
          </w:p>
        </w:tc>
        <w:tc>
          <w:tcPr>
            <w:tcW w:w="3191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 w:hAnsi="宋体"/>
                <w:kern w:val="2"/>
                <w:sz w:val="18"/>
              </w:rPr>
              <w:t>≥28.3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190" w:type="dxa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</w:rPr>
              <w:t>ZnAl4Cu1Mg</w:t>
            </w:r>
          </w:p>
        </w:tc>
        <w:tc>
          <w:tcPr>
            <w:tcW w:w="3190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</w:rPr>
              <w:t>Y</w:t>
            </w:r>
          </w:p>
        </w:tc>
        <w:tc>
          <w:tcPr>
            <w:tcW w:w="3191" w:type="dxa"/>
            <w:tcBorders>
              <w:bottom w:val="single" w:color="auto" w:sz="4" w:space="0"/>
            </w:tcBorders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 w:hAnsi="宋体"/>
                <w:kern w:val="2"/>
                <w:sz w:val="18"/>
              </w:rPr>
              <w:t>≥24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190" w:type="dxa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</w:rPr>
              <w:t>ZnAl10Cu2Mg</w:t>
            </w:r>
          </w:p>
        </w:tc>
        <w:tc>
          <w:tcPr>
            <w:tcW w:w="3190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ascii="Times New Roman" w:hAnsi="宋体"/>
                <w:kern w:val="2"/>
                <w:sz w:val="18"/>
              </w:rPr>
              <w:t>Y</w:t>
            </w:r>
          </w:p>
        </w:tc>
        <w:tc>
          <w:tcPr>
            <w:tcW w:w="3191" w:type="dxa"/>
            <w:tcBorders>
              <w:bottom w:val="single" w:color="auto" w:sz="4" w:space="0"/>
            </w:tcBorders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</w:rPr>
              <w:t>≥24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190" w:type="dxa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</w:rPr>
              <w:t>ZnAl2.5Cu1</w:t>
            </w:r>
          </w:p>
        </w:tc>
        <w:tc>
          <w:tcPr>
            <w:tcW w:w="3190" w:type="dxa"/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</w:rPr>
              <w:t xml:space="preserve">Y </w:t>
            </w:r>
          </w:p>
        </w:tc>
        <w:tc>
          <w:tcPr>
            <w:tcW w:w="3191" w:type="dxa"/>
            <w:tcBorders>
              <w:bottom w:val="single" w:color="auto" w:sz="4" w:space="0"/>
            </w:tcBorders>
            <w:vAlign w:val="center"/>
          </w:tcPr>
          <w:p>
            <w:pPr>
              <w:pStyle w:val="53"/>
              <w:ind w:firstLine="0" w:firstLineChars="0"/>
              <w:jc w:val="center"/>
              <w:rPr>
                <w:rFonts w:ascii="Times New Roman" w:hAnsi="宋体"/>
                <w:kern w:val="2"/>
                <w:sz w:val="18"/>
              </w:rPr>
            </w:pPr>
            <w:r>
              <w:rPr>
                <w:rFonts w:hint="eastAsia" w:ascii="Times New Roman" w:hAnsi="宋体"/>
                <w:kern w:val="2"/>
                <w:sz w:val="18"/>
              </w:rPr>
              <w:t>≥24</w:t>
            </w:r>
          </w:p>
        </w:tc>
      </w:tr>
    </w:tbl>
    <w:p>
      <w:pPr>
        <w:pStyle w:val="64"/>
        <w:numPr>
          <w:ilvl w:val="1"/>
          <w:numId w:val="0"/>
        </w:numPr>
        <w:spacing w:before="156" w:after="156"/>
      </w:pPr>
    </w:p>
    <w:p>
      <w:pPr>
        <w:pStyle w:val="64"/>
        <w:numPr>
          <w:ilvl w:val="1"/>
          <w:numId w:val="0"/>
        </w:numPr>
        <w:spacing w:before="156" w:after="156"/>
      </w:pPr>
      <w:r>
        <w:rPr>
          <w:rFonts w:hint="eastAsia"/>
        </w:rPr>
        <w:t>3.6断口</w:t>
      </w:r>
    </w:p>
    <w:p>
      <w:pPr>
        <w:numPr>
          <w:ilvl w:val="0"/>
          <w:numId w:val="0"/>
        </w:numPr>
        <w:ind w:firstLine="420" w:firstLineChars="200"/>
        <w:rPr>
          <w:rFonts w:ascii="宋体" w:hAnsi="宋体"/>
          <w:kern w:val="0"/>
          <w:szCs w:val="20"/>
        </w:rPr>
      </w:pPr>
      <w:r>
        <w:rPr>
          <w:rFonts w:hint="eastAsia" w:ascii="宋体" w:hAnsi="宋体"/>
          <w:kern w:val="0"/>
          <w:szCs w:val="20"/>
        </w:rPr>
        <w:t>线材断口应致密、无缩尾，允许存在不影响用户使用的轻微缺陷。其缺陷大小和数量应符合YS/T 336的规定。</w:t>
      </w:r>
    </w:p>
    <w:p>
      <w:pPr>
        <w:numPr>
          <w:ilvl w:val="0"/>
          <w:numId w:val="0"/>
        </w:numPr>
        <w:ind w:firstLine="420" w:firstLineChars="200"/>
        <w:rPr>
          <w:rFonts w:ascii="宋体" w:hAnsi="宋体"/>
          <w:kern w:val="0"/>
          <w:szCs w:val="20"/>
        </w:rPr>
      </w:pPr>
    </w:p>
    <w:p>
      <w:pPr>
        <w:pStyle w:val="64"/>
        <w:numPr>
          <w:ilvl w:val="1"/>
          <w:numId w:val="0"/>
        </w:numPr>
        <w:spacing w:before="156" w:after="156"/>
      </w:pPr>
      <w:r>
        <w:rPr>
          <w:rFonts w:hint="eastAsia"/>
        </w:rPr>
        <w:t>3.7  表面质量</w:t>
      </w:r>
    </w:p>
    <w:p>
      <w:pPr>
        <w:pStyle w:val="53"/>
        <w:ind w:firstLine="218" w:firstLineChars="104"/>
        <w:rPr>
          <w:rFonts w:hAnsi="宋体"/>
        </w:rPr>
      </w:pPr>
      <w:r>
        <w:rPr>
          <w:rFonts w:hint="eastAsia" w:hAnsi="宋体"/>
        </w:rPr>
        <w:t xml:space="preserve"> 线材表面应清洁，不应有影响使用的有害缺陷。</w:t>
      </w:r>
    </w:p>
    <w:p>
      <w:pPr>
        <w:pStyle w:val="64"/>
        <w:numPr>
          <w:ilvl w:val="1"/>
          <w:numId w:val="0"/>
        </w:numPr>
        <w:spacing w:before="156" w:after="156"/>
      </w:pPr>
      <w:r>
        <w:rPr>
          <w:rFonts w:hint="eastAsia"/>
        </w:rPr>
        <w:t>3.8线材卷（轴）重量</w:t>
      </w:r>
    </w:p>
    <w:p>
      <w:pPr>
        <w:pStyle w:val="57"/>
        <w:numPr>
          <w:ilvl w:val="3"/>
          <w:numId w:val="0"/>
        </w:numPr>
        <w:rPr>
          <w:rFonts w:ascii="宋体" w:hAnsi="宋体" w:eastAsia="宋体"/>
        </w:rPr>
      </w:pPr>
      <w:r>
        <w:rPr>
          <w:rFonts w:hint="eastAsia" w:ascii="黑体"/>
        </w:rPr>
        <w:t>3.8.1</w:t>
      </w:r>
      <w:r>
        <w:rPr>
          <w:rFonts w:hint="eastAsia" w:ascii="宋体" w:hAnsi="宋体" w:eastAsia="宋体"/>
        </w:rPr>
        <w:t>线材卷（轴）重量应符合表7的规定：</w:t>
      </w:r>
    </w:p>
    <w:p>
      <w:pPr>
        <w:pStyle w:val="83"/>
        <w:rPr>
          <w:kern w:val="2"/>
        </w:rPr>
      </w:pPr>
      <w:r>
        <w:rPr>
          <w:rFonts w:hint="eastAsia" w:hAnsi="宋体"/>
        </w:rPr>
        <w:t>表7  线材卷（轴）重量</w:t>
      </w:r>
    </w:p>
    <w:tbl>
      <w:tblPr>
        <w:tblStyle w:val="44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3301"/>
        <w:gridCol w:w="3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8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直径（或对边距）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mm</w:t>
            </w:r>
          </w:p>
        </w:tc>
        <w:tc>
          <w:tcPr>
            <w:tcW w:w="660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每卷（轴）重量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850" w:type="dxa"/>
            <w:vMerge w:val="continue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</w:p>
        </w:tc>
        <w:tc>
          <w:tcPr>
            <w:tcW w:w="3301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标准卷</w:t>
            </w:r>
          </w:p>
        </w:tc>
        <w:tc>
          <w:tcPr>
            <w:tcW w:w="3302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较轻卷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2.5～4.0</w:t>
            </w:r>
          </w:p>
        </w:tc>
        <w:tc>
          <w:tcPr>
            <w:tcW w:w="3301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30±5</w:t>
            </w:r>
          </w:p>
        </w:tc>
        <w:tc>
          <w:tcPr>
            <w:tcW w:w="3302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20±5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＞4.0～6.0</w:t>
            </w:r>
          </w:p>
        </w:tc>
        <w:tc>
          <w:tcPr>
            <w:tcW w:w="3301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35±5</w:t>
            </w:r>
          </w:p>
        </w:tc>
        <w:tc>
          <w:tcPr>
            <w:tcW w:w="3302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25±5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＞6.0～13.0</w:t>
            </w:r>
          </w:p>
        </w:tc>
        <w:tc>
          <w:tcPr>
            <w:tcW w:w="3301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70±10</w:t>
            </w:r>
          </w:p>
        </w:tc>
        <w:tc>
          <w:tcPr>
            <w:tcW w:w="3302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50±10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＞13.0～16.0</w:t>
            </w:r>
          </w:p>
        </w:tc>
        <w:tc>
          <w:tcPr>
            <w:tcW w:w="3301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150±10</w:t>
            </w:r>
          </w:p>
        </w:tc>
        <w:tc>
          <w:tcPr>
            <w:tcW w:w="3302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100±10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2850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(1.0</w:t>
            </w:r>
            <w:r>
              <w:rPr>
                <w:rFonts w:hint="eastAsia" w:hAnsi="宋体"/>
                <w:sz w:val="18"/>
              </w:rPr>
              <w:t>～</w:t>
            </w:r>
            <w:r>
              <w:rPr>
                <w:rFonts w:hAnsi="宋体"/>
                <w:sz w:val="18"/>
              </w:rPr>
              <w:t>3.0)</w:t>
            </w:r>
            <w:r>
              <w:rPr>
                <w:rFonts w:hint="eastAsia" w:hAnsi="宋体"/>
                <w:sz w:val="18"/>
              </w:rPr>
              <w:t>×</w:t>
            </w:r>
            <w:r>
              <w:rPr>
                <w:rFonts w:hAnsi="宋体"/>
                <w:sz w:val="18"/>
              </w:rPr>
              <w:t>(4.0</w:t>
            </w:r>
            <w:r>
              <w:rPr>
                <w:rFonts w:hint="eastAsia" w:hAnsi="宋体"/>
                <w:sz w:val="18"/>
              </w:rPr>
              <w:t>～</w:t>
            </w:r>
            <w:r>
              <w:rPr>
                <w:rFonts w:hAnsi="宋体"/>
                <w:sz w:val="18"/>
              </w:rPr>
              <w:t>9.0)</w:t>
            </w:r>
          </w:p>
        </w:tc>
        <w:tc>
          <w:tcPr>
            <w:tcW w:w="3301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30±5</w:t>
            </w:r>
          </w:p>
        </w:tc>
        <w:tc>
          <w:tcPr>
            <w:tcW w:w="3302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center"/>
              <w:rPr>
                <w:rFonts w:hAnsi="宋体"/>
                <w:sz w:val="18"/>
              </w:rPr>
            </w:pPr>
            <w:r>
              <w:rPr>
                <w:rFonts w:hint="eastAsia" w:hAnsi="宋体"/>
                <w:sz w:val="18"/>
              </w:rPr>
              <w:t>25±5</w:t>
            </w:r>
          </w:p>
        </w:tc>
      </w:tr>
    </w:tbl>
    <w:p>
      <w:pPr>
        <w:pStyle w:val="57"/>
        <w:numPr>
          <w:ilvl w:val="3"/>
          <w:numId w:val="0"/>
        </w:numPr>
        <w:rPr>
          <w:rFonts w:ascii="宋体" w:hAnsi="宋体" w:eastAsia="宋体"/>
        </w:rPr>
      </w:pPr>
      <w:r>
        <w:rPr>
          <w:rFonts w:hint="eastAsia" w:ascii="黑体"/>
        </w:rPr>
        <w:t>3.8.2</w:t>
      </w:r>
      <w:r>
        <w:rPr>
          <w:rFonts w:hint="eastAsia" w:ascii="宋体" w:hAnsi="宋体" w:eastAsia="宋体"/>
        </w:rPr>
        <w:t>每批许可交付重量不大于10％的较轻线卷（轴）。</w:t>
      </w:r>
    </w:p>
    <w:p>
      <w:pPr>
        <w:pStyle w:val="53"/>
        <w:ind w:firstLine="0" w:firstLineChars="0"/>
        <w:rPr>
          <w:rFonts w:hAnsi="宋体"/>
        </w:rPr>
      </w:pPr>
      <w:r>
        <w:rPr>
          <w:rFonts w:hint="eastAsia" w:ascii="黑体"/>
        </w:rPr>
        <w:t xml:space="preserve">3.8.3 </w:t>
      </w:r>
      <w:r>
        <w:rPr>
          <w:rFonts w:hint="eastAsia" w:hAnsi="宋体"/>
        </w:rPr>
        <w:t>用户对线材卷（轴）</w:t>
      </w:r>
      <w:r>
        <w:rPr>
          <w:rFonts w:hint="eastAsia"/>
        </w:rPr>
        <w:t>重</w:t>
      </w:r>
      <w:r>
        <w:rPr>
          <w:rFonts w:hint="eastAsia" w:hAnsi="宋体"/>
        </w:rPr>
        <w:t>量有特殊要求时,</w:t>
      </w:r>
      <w:r>
        <w:rPr>
          <w:rFonts w:hint="eastAsia" w:hAnsi="宋体"/>
          <w:szCs w:val="21"/>
        </w:rPr>
        <w:t>其要求由供需双方协商</w:t>
      </w:r>
      <w:r>
        <w:rPr>
          <w:rFonts w:hint="eastAsia" w:hAnsi="宋体"/>
          <w:kern w:val="2"/>
          <w:szCs w:val="24"/>
          <w:lang w:val="zh-CN"/>
        </w:rPr>
        <w:t>。</w:t>
      </w:r>
    </w:p>
    <w:p>
      <w:pPr>
        <w:pStyle w:val="64"/>
        <w:spacing w:before="156" w:after="156"/>
      </w:pPr>
      <w:bookmarkStart w:id="23" w:name="_Toc214266365"/>
      <w:bookmarkStart w:id="24" w:name="_Toc214265443"/>
      <w:bookmarkStart w:id="25" w:name="_Toc214265416"/>
      <w:bookmarkStart w:id="26" w:name="_Toc214265370"/>
      <w:bookmarkStart w:id="27" w:name="_Toc214265205"/>
      <w:bookmarkStart w:id="28" w:name="_Toc142189191"/>
      <w:bookmarkStart w:id="29" w:name="_Toc142189162"/>
      <w:bookmarkStart w:id="30" w:name="_Toc142187473"/>
      <w:bookmarkStart w:id="31" w:name="_Toc142116149"/>
      <w:r>
        <w:rPr>
          <w:rFonts w:hint="eastAsia"/>
          <w:szCs w:val="21"/>
        </w:rPr>
        <w:t>试验方法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64"/>
        <w:numPr>
          <w:ilvl w:val="1"/>
          <w:numId w:val="0"/>
        </w:numPr>
        <w:spacing w:before="156" w:after="156"/>
      </w:pPr>
      <w:bookmarkStart w:id="32" w:name="_Toc132197471"/>
      <w:bookmarkStart w:id="33" w:name="_Toc142116150"/>
      <w:bookmarkStart w:id="34" w:name="_Toc132196896"/>
      <w:bookmarkStart w:id="35" w:name="_Toc127435705"/>
      <w:bookmarkStart w:id="36" w:name="_Toc132197116"/>
      <w:bookmarkStart w:id="37" w:name="_Toc127434647"/>
      <w:bookmarkStart w:id="38" w:name="_Toc142189163"/>
      <w:bookmarkStart w:id="39" w:name="_Toc132197184"/>
      <w:bookmarkStart w:id="40" w:name="_Toc132197170"/>
      <w:bookmarkStart w:id="41" w:name="_Toc214266366"/>
      <w:bookmarkStart w:id="42" w:name="_Toc142187474"/>
      <w:bookmarkStart w:id="43" w:name="_Toc214265417"/>
      <w:bookmarkStart w:id="44" w:name="_Toc214265444"/>
      <w:bookmarkStart w:id="45" w:name="_Toc132197102"/>
      <w:bookmarkStart w:id="46" w:name="_Toc132196950"/>
      <w:bookmarkStart w:id="47" w:name="_Toc142189192"/>
      <w:bookmarkStart w:id="48" w:name="_Toc214265371"/>
      <w:bookmarkStart w:id="49" w:name="_Toc127437865"/>
      <w:bookmarkStart w:id="50" w:name="_Toc127436352"/>
      <w:bookmarkStart w:id="51" w:name="_Toc214265206"/>
      <w:r>
        <w:rPr>
          <w:rFonts w:hint="eastAsia"/>
        </w:rPr>
        <w:t xml:space="preserve">4.1化学成分 </w:t>
      </w:r>
    </w:p>
    <w:p>
      <w:pPr>
        <w:pStyle w:val="58"/>
        <w:numPr>
          <w:ilvl w:val="2"/>
          <w:numId w:val="0"/>
        </w:numPr>
        <w:rPr>
          <w:rFonts w:ascii="宋体" w:hAnsi="宋体" w:eastAsia="宋体" w:cs="宋体"/>
          <w:b/>
          <w:sz w:val="22"/>
          <w:szCs w:val="21"/>
        </w:rPr>
      </w:pPr>
      <w:r>
        <w:rPr>
          <w:rFonts w:hint="eastAsia" w:ascii="宋体" w:hAnsi="宋体" w:eastAsia="宋体"/>
        </w:rPr>
        <w:t xml:space="preserve">   线材的化学成分分析方法按GB/T 12689（所有部分）的规定进行，超出GB/T 12689（所有部分）分析范围的元素的分析方法，由供需双方协商进行。</w:t>
      </w:r>
    </w:p>
    <w:p>
      <w:pPr>
        <w:pStyle w:val="64"/>
        <w:numPr>
          <w:ilvl w:val="1"/>
          <w:numId w:val="0"/>
        </w:numPr>
        <w:spacing w:before="156" w:after="156"/>
      </w:pPr>
      <w:bookmarkStart w:id="52" w:name="_Toc132196937"/>
      <w:bookmarkStart w:id="53" w:name="_Toc132197089"/>
      <w:bookmarkStart w:id="54" w:name="_Toc127436344"/>
      <w:bookmarkStart w:id="55" w:name="_Toc132197157"/>
      <w:bookmarkStart w:id="56" w:name="_Toc127435697"/>
      <w:bookmarkStart w:id="57" w:name="_Toc127437857"/>
      <w:r>
        <w:rPr>
          <w:rFonts w:hint="eastAsia"/>
        </w:rPr>
        <w:t>4.2外形尺寸及其允许偏差</w:t>
      </w:r>
    </w:p>
    <w:p>
      <w:pPr>
        <w:pStyle w:val="58"/>
        <w:numPr>
          <w:ilvl w:val="2"/>
          <w:numId w:val="0"/>
        </w:numPr>
        <w:rPr>
          <w:rFonts w:ascii="宋体" w:hAnsi="宋体" w:eastAsia="宋体"/>
        </w:rPr>
      </w:pPr>
      <w:r>
        <w:rPr>
          <w:rFonts w:hint="eastAsia" w:ascii="宋体" w:hAnsi="宋体" w:eastAsia="宋体" w:cs="宋体"/>
          <w:sz w:val="22"/>
          <w:szCs w:val="21"/>
        </w:rPr>
        <w:t xml:space="preserve">   线</w:t>
      </w:r>
      <w:r>
        <w:rPr>
          <w:rFonts w:hint="eastAsia" w:ascii="宋体" w:hAnsi="宋体" w:eastAsia="宋体"/>
          <w:kern w:val="2"/>
          <w:szCs w:val="24"/>
        </w:rPr>
        <w:t>材的外形尺寸</w:t>
      </w:r>
      <w:r>
        <w:rPr>
          <w:rFonts w:hint="eastAsia" w:ascii="宋体" w:hAnsi="宋体" w:eastAsia="宋体"/>
        </w:rPr>
        <w:t>及其允许偏差测量方法按GB/T 26303.2的规定进行。</w:t>
      </w:r>
      <w:bookmarkEnd w:id="52"/>
      <w:bookmarkEnd w:id="53"/>
      <w:bookmarkEnd w:id="54"/>
      <w:bookmarkEnd w:id="55"/>
      <w:bookmarkEnd w:id="56"/>
      <w:bookmarkEnd w:id="57"/>
    </w:p>
    <w:p>
      <w:pPr>
        <w:pStyle w:val="58"/>
        <w:numPr>
          <w:ilvl w:val="2"/>
          <w:numId w:val="0"/>
        </w:numPr>
      </w:pPr>
      <w:r>
        <w:rPr>
          <w:rFonts w:hint="eastAsia"/>
        </w:rPr>
        <w:t>4.3力学性能</w:t>
      </w:r>
    </w:p>
    <w:p>
      <w:pPr>
        <w:pStyle w:val="64"/>
        <w:numPr>
          <w:ilvl w:val="1"/>
          <w:numId w:val="0"/>
        </w:numPr>
        <w:spacing w:before="156" w:after="156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/>
          <w:sz w:val="22"/>
          <w:szCs w:val="21"/>
        </w:rPr>
        <w:t xml:space="preserve">4.3.1 </w:t>
      </w:r>
      <w:r>
        <w:rPr>
          <w:rFonts w:hint="eastAsia" w:ascii="宋体" w:hAnsi="宋体" w:eastAsia="宋体"/>
          <w:szCs w:val="21"/>
        </w:rPr>
        <w:t>线材的</w:t>
      </w:r>
      <w:bookmarkStart w:id="58" w:name="_Toc132196938"/>
      <w:bookmarkStart w:id="59" w:name="_Toc127435698"/>
      <w:bookmarkStart w:id="60" w:name="_Toc132197090"/>
      <w:bookmarkStart w:id="61" w:name="_Toc132197158"/>
      <w:bookmarkStart w:id="62" w:name="_Toc127436345"/>
      <w:bookmarkStart w:id="63" w:name="_Toc127437858"/>
      <w:r>
        <w:rPr>
          <w:rFonts w:hint="eastAsia" w:ascii="宋体" w:hAnsi="宋体" w:eastAsia="宋体"/>
          <w:szCs w:val="21"/>
        </w:rPr>
        <w:t>室温力学性能检测方法按GB/T 228.1-2010的规定进行</w:t>
      </w:r>
      <w:bookmarkEnd w:id="58"/>
      <w:bookmarkEnd w:id="59"/>
      <w:bookmarkEnd w:id="60"/>
      <w:bookmarkEnd w:id="61"/>
      <w:bookmarkEnd w:id="62"/>
      <w:bookmarkEnd w:id="63"/>
      <w:r>
        <w:rPr>
          <w:rFonts w:hint="eastAsia" w:ascii="宋体" w:hAnsi="宋体" w:eastAsia="宋体"/>
          <w:szCs w:val="21"/>
        </w:rPr>
        <w:t>。</w:t>
      </w:r>
      <w:r>
        <w:rPr>
          <w:rFonts w:hint="eastAsia" w:ascii="宋体" w:hAnsi="宋体" w:eastAsia="宋体"/>
          <w:color w:val="00B0F0"/>
          <w:szCs w:val="21"/>
        </w:rPr>
        <w:t>直径（或对边距）为2.5mm～16.0mm的线材，按YS/T 815 的规定，取全截面试样，标距长度为100mm。</w:t>
      </w:r>
      <w:r>
        <w:rPr>
          <w:rFonts w:hint="eastAsia" w:ascii="宋体" w:hAnsi="宋体" w:eastAsia="宋体"/>
          <w:color w:val="00B0F0"/>
          <w:szCs w:val="21"/>
          <w:lang w:eastAsia="zh-CN"/>
        </w:rPr>
        <w:t>（规定试样号）</w:t>
      </w:r>
    </w:p>
    <w:p>
      <w:pPr>
        <w:pStyle w:val="58"/>
        <w:numPr>
          <w:ilvl w:val="2"/>
          <w:numId w:val="0"/>
        </w:numPr>
        <w:ind w:left="-210" w:leftChars="-100"/>
        <w:rPr>
          <w:rFonts w:ascii="宋体" w:hAnsi="宋体" w:eastAsia="宋体"/>
        </w:rPr>
      </w:pPr>
      <w:r>
        <w:rPr>
          <w:rFonts w:hint="eastAsia" w:ascii="黑体" w:hAnsi="黑体"/>
        </w:rPr>
        <w:t xml:space="preserve">  4.3.2 </w:t>
      </w:r>
      <w:r>
        <w:rPr>
          <w:rFonts w:hint="eastAsia" w:ascii="宋体" w:hAnsi="宋体" w:eastAsia="宋体"/>
        </w:rPr>
        <w:t>线材的硬度检测方法按GB/T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4340.1的规定进行。</w:t>
      </w:r>
    </w:p>
    <w:p>
      <w:pPr>
        <w:pStyle w:val="64"/>
        <w:numPr>
          <w:ilvl w:val="1"/>
          <w:numId w:val="0"/>
        </w:numPr>
        <w:spacing w:before="156" w:after="156"/>
      </w:pPr>
      <w:r>
        <w:rPr>
          <w:rFonts w:hint="eastAsia"/>
        </w:rPr>
        <w:t>4.4电性能</w:t>
      </w:r>
    </w:p>
    <w:p>
      <w:pPr>
        <w:pStyle w:val="58"/>
        <w:numPr>
          <w:ilvl w:val="2"/>
          <w:numId w:val="0"/>
        </w:numPr>
        <w:ind w:left="67147" w:leftChars="-100" w:hanging="67357" w:hangingChars="32075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</w:rPr>
        <w:t xml:space="preserve">  </w:t>
      </w:r>
      <w:r>
        <w:rPr>
          <w:rFonts w:hint="eastAsia" w:ascii="宋体" w:hAnsi="宋体" w:eastAsia="宋体"/>
          <w:lang w:val="en-US" w:eastAsia="zh-CN"/>
        </w:rPr>
        <w:t xml:space="preserve">    </w:t>
      </w:r>
      <w:r>
        <w:rPr>
          <w:rFonts w:hint="eastAsia" w:ascii="宋体" w:hAnsi="宋体" w:eastAsia="宋体"/>
        </w:rPr>
        <w:t>线材的电阻系数检测方法</w:t>
      </w:r>
      <w:r>
        <w:rPr>
          <w:rFonts w:hint="eastAsia" w:ascii="宋体" w:hAnsi="宋体" w:eastAsia="宋体"/>
          <w:szCs w:val="21"/>
        </w:rPr>
        <w:t>按GB/T351</w:t>
      </w:r>
      <w:r>
        <w:rPr>
          <w:rFonts w:hint="eastAsia" w:ascii="宋体" w:hAnsi="宋体" w:eastAsia="宋体"/>
        </w:rPr>
        <w:t>的</w:t>
      </w:r>
      <w:r>
        <w:rPr>
          <w:rFonts w:hint="eastAsia" w:ascii="宋体" w:hAnsi="宋体" w:eastAsia="宋体"/>
          <w:szCs w:val="21"/>
        </w:rPr>
        <w:t>规定进行。</w:t>
      </w:r>
    </w:p>
    <w:p>
      <w:pPr>
        <w:pStyle w:val="64"/>
        <w:numPr>
          <w:ilvl w:val="1"/>
          <w:numId w:val="0"/>
        </w:numPr>
        <w:spacing w:before="156" w:after="156"/>
      </w:pPr>
      <w:r>
        <w:rPr>
          <w:rFonts w:hint="eastAsia"/>
        </w:rPr>
        <w:t>4.5断口</w:t>
      </w:r>
    </w:p>
    <w:p>
      <w:pPr>
        <w:pStyle w:val="53"/>
        <w:ind w:firstLine="420"/>
        <w:rPr>
          <w:rFonts w:hAnsi="宋体"/>
        </w:rPr>
      </w:pPr>
      <w:r>
        <w:rPr>
          <w:rFonts w:hint="eastAsia" w:hAnsi="宋体"/>
        </w:rPr>
        <w:t>直径（或对边距）≥5mm的线材断口检验按照YS/T</w:t>
      </w:r>
      <w:r>
        <w:rPr>
          <w:rFonts w:hAnsi="宋体"/>
        </w:rPr>
        <w:t xml:space="preserve"> </w:t>
      </w:r>
      <w:r>
        <w:rPr>
          <w:rFonts w:hint="eastAsia" w:hAnsi="宋体"/>
        </w:rPr>
        <w:t>336的规定进行，直径（或对边距）＜5mm的线材在线材坯料取样检测断口。</w:t>
      </w:r>
    </w:p>
    <w:p>
      <w:pPr>
        <w:pStyle w:val="64"/>
        <w:numPr>
          <w:ilvl w:val="1"/>
          <w:numId w:val="0"/>
        </w:numPr>
        <w:spacing w:before="156" w:after="156"/>
      </w:pPr>
      <w:r>
        <w:rPr>
          <w:rFonts w:hint="eastAsia"/>
        </w:rPr>
        <w:t>4.</w:t>
      </w:r>
      <w:bookmarkStart w:id="64" w:name="_Toc132196941"/>
      <w:bookmarkStart w:id="65" w:name="_Toc132197161"/>
      <w:bookmarkStart w:id="66" w:name="_Toc132197093"/>
      <w:r>
        <w:rPr>
          <w:rFonts w:hint="eastAsia"/>
        </w:rPr>
        <w:t>6表面质量</w:t>
      </w:r>
    </w:p>
    <w:p>
      <w:pPr>
        <w:pStyle w:val="53"/>
        <w:ind w:firstLine="420"/>
        <w:rPr>
          <w:rFonts w:hAnsi="宋体"/>
        </w:rPr>
      </w:pPr>
      <w:r>
        <w:rPr>
          <w:rFonts w:hint="eastAsia" w:hAnsi="宋体"/>
        </w:rPr>
        <w:t>线材的表面质量用目视法检验。</w:t>
      </w:r>
      <w:bookmarkEnd w:id="64"/>
      <w:bookmarkEnd w:id="65"/>
      <w:bookmarkEnd w:id="66"/>
    </w:p>
    <w:p>
      <w:pPr>
        <w:pStyle w:val="64"/>
        <w:numPr>
          <w:ilvl w:val="1"/>
          <w:numId w:val="0"/>
        </w:numPr>
        <w:spacing w:before="156" w:after="156"/>
      </w:pPr>
      <w:r>
        <w:rPr>
          <w:rFonts w:hint="eastAsia"/>
        </w:rPr>
        <w:t>4.7卷（轴）重量</w:t>
      </w:r>
    </w:p>
    <w:p>
      <w:pPr>
        <w:numPr>
          <w:ilvl w:val="0"/>
          <w:numId w:val="0"/>
        </w:numPr>
        <w:ind w:left="420" w:leftChars="200"/>
      </w:pPr>
      <w:r>
        <w:rPr>
          <w:rFonts w:hint="eastAsia"/>
        </w:rPr>
        <w:t>线材卷（轴）重量用相应精度的测量工具检测。</w:t>
      </w:r>
    </w:p>
    <w:p>
      <w:pPr>
        <w:numPr>
          <w:ilvl w:val="0"/>
          <w:numId w:val="0"/>
        </w:numPr>
        <w:ind w:left="420" w:leftChars="200"/>
        <w:rPr>
          <w:rFonts w:hAnsi="宋体"/>
        </w:rPr>
      </w:pPr>
    </w:p>
    <w:p>
      <w:pPr>
        <w:numPr>
          <w:ilvl w:val="0"/>
          <w:numId w:val="0"/>
        </w:numPr>
        <w:ind w:left="420" w:leftChars="200"/>
        <w:rPr>
          <w:rFonts w:hAnsi="宋体"/>
        </w:rPr>
      </w:pPr>
    </w:p>
    <w:p>
      <w:pPr>
        <w:numPr>
          <w:ilvl w:val="0"/>
          <w:numId w:val="0"/>
        </w:numPr>
        <w:ind w:left="420" w:leftChars="200"/>
        <w:rPr>
          <w:rFonts w:hAnsi="宋体"/>
        </w:rPr>
      </w:pPr>
    </w:p>
    <w:p>
      <w:pPr>
        <w:pStyle w:val="64"/>
        <w:spacing w:before="156" w:after="156"/>
        <w:rPr>
          <w:b/>
          <w:bCs/>
        </w:rPr>
      </w:pPr>
      <w:r>
        <w:rPr>
          <w:rFonts w:hint="eastAsia"/>
        </w:rPr>
        <w:t>检验规则</w:t>
      </w:r>
    </w:p>
    <w:p>
      <w:pPr>
        <w:pStyle w:val="58"/>
        <w:ind w:left="0"/>
      </w:pPr>
      <w:r>
        <w:rPr>
          <w:rFonts w:hint="eastAsia"/>
        </w:rPr>
        <w:t>检查和验收</w:t>
      </w:r>
    </w:p>
    <w:p>
      <w:pPr>
        <w:pStyle w:val="53"/>
        <w:ind w:firstLine="0" w:firstLineChars="0"/>
        <w:rPr>
          <w:rFonts w:hAnsi="宋体"/>
          <w:szCs w:val="21"/>
        </w:rPr>
      </w:pPr>
      <w:r>
        <w:rPr>
          <w:rFonts w:hint="eastAsia"/>
        </w:rPr>
        <w:t>5.1.1</w:t>
      </w:r>
      <w:r>
        <w:rPr>
          <w:rFonts w:hint="eastAsia" w:hAnsi="宋体"/>
          <w:szCs w:val="21"/>
        </w:rPr>
        <w:t xml:space="preserve">  线材应由供方技术监督部门进行检验，保证产品质量符合本标准及订货单（或合同）的规定，并填写质量保证书。</w:t>
      </w:r>
    </w:p>
    <w:p>
      <w:pPr>
        <w:pStyle w:val="57"/>
        <w:numPr>
          <w:ilvl w:val="3"/>
          <w:numId w:val="0"/>
        </w:numPr>
        <w:tabs>
          <w:tab w:val="clear" w:pos="360"/>
        </w:tabs>
      </w:pPr>
      <w:r>
        <w:rPr>
          <w:rFonts w:hint="eastAsia" w:ascii="宋体" w:hAnsi="宋体" w:eastAsia="宋体"/>
          <w:szCs w:val="21"/>
        </w:rPr>
        <w:t>5.1.2 需方对收到的产品应按本标准及订货单（或合同）的规定进行复验，如复验结果与本标准及订货单（或合同）的规定不符合时，属于表面质量及尺寸允许偏差的异议，应在收到产品之日起一个月内，其他质量异议，应在收到产品三个月内，以书面的形式向供方提出，由供需双方协商解决，如需仲裁，仲裁取样由供需双方共同进行。</w:t>
      </w:r>
    </w:p>
    <w:p>
      <w:pPr>
        <w:pStyle w:val="58"/>
        <w:numPr>
          <w:ilvl w:val="2"/>
          <w:numId w:val="0"/>
        </w:numPr>
      </w:pPr>
      <w:r>
        <w:rPr>
          <w:rFonts w:hint="eastAsia"/>
        </w:rPr>
        <w:t>5.2组批</w:t>
      </w:r>
    </w:p>
    <w:p>
      <w:pPr>
        <w:pStyle w:val="57"/>
        <w:numPr>
          <w:ilvl w:val="3"/>
          <w:numId w:val="0"/>
        </w:numPr>
        <w:tabs>
          <w:tab w:val="clear" w:pos="360"/>
        </w:tabs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/>
          <w:szCs w:val="21"/>
        </w:rPr>
        <w:t>线材应成批提交检验，每批应由同一牌号、状态和规格组成，每批重量应不超过500kg。</w:t>
      </w:r>
    </w:p>
    <w:p>
      <w:pPr>
        <w:pStyle w:val="53"/>
        <w:ind w:firstLine="0" w:firstLineChars="0"/>
        <w:rPr>
          <w:rFonts w:hAnsi="宋体"/>
        </w:rPr>
      </w:pPr>
      <w:r>
        <w:rPr>
          <w:rFonts w:hint="eastAsia" w:hAnsi="宋体"/>
          <w:szCs w:val="21"/>
        </w:rPr>
        <w:t xml:space="preserve">5.3 </w:t>
      </w:r>
      <w:r>
        <w:rPr>
          <w:rFonts w:hint="eastAsia"/>
        </w:rPr>
        <w:t>检验项目</w:t>
      </w:r>
    </w:p>
    <w:p>
      <w:pPr>
        <w:pStyle w:val="57"/>
        <w:numPr>
          <w:ilvl w:val="3"/>
          <w:numId w:val="0"/>
        </w:numPr>
        <w:tabs>
          <w:tab w:val="clear" w:pos="360"/>
        </w:tabs>
        <w:rPr>
          <w:rFonts w:ascii="宋体" w:hAnsi="宋体" w:eastAsia="宋体"/>
          <w:szCs w:val="21"/>
        </w:rPr>
      </w:pPr>
      <w:r>
        <w:rPr>
          <w:rFonts w:hint="eastAsia"/>
          <w:kern w:val="2"/>
          <w:sz w:val="22"/>
          <w:szCs w:val="28"/>
        </w:rPr>
        <w:t>5.3.1</w:t>
      </w:r>
      <w:r>
        <w:rPr>
          <w:rFonts w:hint="eastAsia" w:ascii="宋体" w:hAnsi="宋体" w:eastAsia="宋体"/>
          <w:szCs w:val="21"/>
        </w:rPr>
        <w:t xml:space="preserve"> 每批线材应进行化学成分、外形尺寸及其允许偏差、抗拉强度、延伸率、电性能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 w:eastAsia="宋体"/>
          <w:szCs w:val="21"/>
        </w:rPr>
        <w:t xml:space="preserve">断口及表面质量的检验。 </w:t>
      </w:r>
    </w:p>
    <w:p>
      <w:pPr>
        <w:numPr>
          <w:ilvl w:val="0"/>
          <w:numId w:val="0"/>
        </w:numPr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5.3.2  </w:t>
      </w:r>
      <w:r>
        <w:rPr>
          <w:rFonts w:hint="eastAsia" w:ascii="宋体" w:hAnsi="宋体"/>
          <w:kern w:val="0"/>
          <w:szCs w:val="21"/>
        </w:rPr>
        <w:t>当需方有要求，每批线材还应进行硬度的检验。</w:t>
      </w:r>
    </w:p>
    <w:p>
      <w:pPr>
        <w:pStyle w:val="64"/>
        <w:numPr>
          <w:ilvl w:val="1"/>
          <w:numId w:val="0"/>
        </w:numPr>
        <w:spacing w:before="156" w:after="156"/>
      </w:pPr>
      <w:bookmarkStart w:id="67" w:name="_Toc127437869"/>
      <w:bookmarkStart w:id="68" w:name="_Toc127436356"/>
      <w:bookmarkStart w:id="69" w:name="_Toc132196954"/>
      <w:bookmarkStart w:id="70" w:name="_Toc132197106"/>
      <w:bookmarkStart w:id="71" w:name="_Toc132197174"/>
      <w:bookmarkStart w:id="72" w:name="_Toc127435709"/>
      <w:r>
        <w:rPr>
          <w:rFonts w:hint="eastAsia"/>
        </w:rPr>
        <w:t>5.4取样</w:t>
      </w:r>
      <w:bookmarkEnd w:id="67"/>
      <w:bookmarkEnd w:id="68"/>
      <w:bookmarkEnd w:id="69"/>
      <w:bookmarkEnd w:id="70"/>
      <w:bookmarkEnd w:id="71"/>
      <w:bookmarkEnd w:id="72"/>
    </w:p>
    <w:p>
      <w:pPr>
        <w:pStyle w:val="83"/>
        <w:jc w:val="left"/>
      </w:pPr>
      <w:r>
        <w:rPr>
          <w:rFonts w:hint="eastAsia" w:hAnsi="宋体"/>
          <w:szCs w:val="21"/>
        </w:rPr>
        <w:t xml:space="preserve">   </w:t>
      </w:r>
      <w:r>
        <w:rPr>
          <w:rFonts w:hint="eastAsia" w:asciiTheme="majorEastAsia" w:hAnsiTheme="majorEastAsia" w:eastAsiaTheme="majorEastAsia" w:cstheme="majorEastAsia"/>
          <w:szCs w:val="21"/>
        </w:rPr>
        <w:t>线材的取样应符合8的规定。取样方法按YS/T 668的规定进行，力学性能试样制备按YS/T 815的规定进行。</w:t>
      </w:r>
      <w:bookmarkStart w:id="73" w:name="_Toc214265428"/>
    </w:p>
    <w:p>
      <w:pPr>
        <w:pStyle w:val="83"/>
      </w:pPr>
      <w:r>
        <w:rPr>
          <w:rFonts w:hint="eastAsia"/>
        </w:rPr>
        <w:t>表8 取样</w:t>
      </w:r>
      <w:bookmarkEnd w:id="73"/>
    </w:p>
    <w:tbl>
      <w:tblPr>
        <w:tblStyle w:val="44"/>
        <w:tblW w:w="94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305"/>
        <w:gridCol w:w="1575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检验项目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取样规定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要求的章条号</w:t>
            </w:r>
          </w:p>
        </w:tc>
        <w:tc>
          <w:tcPr>
            <w:tcW w:w="1969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试验方法的章条号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化学成分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28"/>
              </w:rPr>
              <w:t>供方每炉</w:t>
            </w:r>
            <w:r>
              <w:rPr>
                <w:rFonts w:hint="eastAsia" w:ascii="宋体" w:hAnsi="宋体"/>
                <w:sz w:val="18"/>
                <w:szCs w:val="20"/>
              </w:rPr>
              <w:t>取</w:t>
            </w:r>
            <w:r>
              <w:rPr>
                <w:rFonts w:hint="eastAsia" w:ascii="宋体" w:hAnsi="宋体"/>
                <w:sz w:val="18"/>
                <w:szCs w:val="28"/>
              </w:rPr>
              <w:t>1个试样；需方每批</w:t>
            </w:r>
            <w:r>
              <w:rPr>
                <w:rFonts w:hint="eastAsia" w:ascii="宋体" w:hAnsi="宋体"/>
                <w:sz w:val="18"/>
                <w:szCs w:val="20"/>
              </w:rPr>
              <w:t>取</w:t>
            </w:r>
            <w:r>
              <w:rPr>
                <w:rFonts w:hint="eastAsia" w:ascii="宋体" w:hAnsi="宋体"/>
                <w:sz w:val="18"/>
                <w:szCs w:val="28"/>
              </w:rPr>
              <w:t>1个试样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3.2</w:t>
            </w:r>
          </w:p>
        </w:tc>
        <w:tc>
          <w:tcPr>
            <w:tcW w:w="1969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>外形尺寸及其允许偏差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按照GB/T 2828.1规定的取样，选择正常检验一次抽样方案，一般检测水平Ⅱ，接收质量限AQL＝2.5，或供需双方协商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3.3</w:t>
            </w:r>
          </w:p>
        </w:tc>
        <w:tc>
          <w:tcPr>
            <w:tcW w:w="1969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力学性能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每批任取2段，每</w:t>
            </w:r>
            <w:r>
              <w:rPr>
                <w:rFonts w:hint="eastAsia" w:hAnsi="宋体"/>
                <w:sz w:val="18"/>
              </w:rPr>
              <w:t>卷（轴）</w:t>
            </w:r>
            <w:r>
              <w:rPr>
                <w:rFonts w:hint="eastAsia" w:ascii="宋体" w:hAnsi="宋体"/>
                <w:sz w:val="18"/>
                <w:szCs w:val="18"/>
              </w:rPr>
              <w:t>取1个试样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3.4</w:t>
            </w:r>
          </w:p>
        </w:tc>
        <w:tc>
          <w:tcPr>
            <w:tcW w:w="1969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电性能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每批任取2段，每</w:t>
            </w:r>
            <w:r>
              <w:rPr>
                <w:rFonts w:hint="eastAsia" w:hAnsi="宋体"/>
                <w:sz w:val="18"/>
              </w:rPr>
              <w:t>卷（轴）</w:t>
            </w:r>
            <w:r>
              <w:rPr>
                <w:rFonts w:hint="eastAsia" w:ascii="宋体" w:hAnsi="宋体"/>
                <w:sz w:val="18"/>
                <w:szCs w:val="18"/>
              </w:rPr>
              <w:t>取1个试样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20"/>
              </w:rPr>
              <w:t>.5</w:t>
            </w:r>
          </w:p>
        </w:tc>
        <w:tc>
          <w:tcPr>
            <w:tcW w:w="1969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断口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每批任取2段，每</w:t>
            </w:r>
            <w:r>
              <w:rPr>
                <w:rFonts w:hint="eastAsia" w:hAnsi="宋体"/>
                <w:sz w:val="18"/>
              </w:rPr>
              <w:t>卷（轴）</w:t>
            </w:r>
            <w:r>
              <w:rPr>
                <w:rFonts w:hint="eastAsia" w:ascii="宋体" w:hAnsi="宋体"/>
                <w:sz w:val="18"/>
                <w:szCs w:val="18"/>
              </w:rPr>
              <w:t>取1个试样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sz w:val="18"/>
                <w:szCs w:val="20"/>
              </w:rPr>
              <w:t>.6</w:t>
            </w:r>
          </w:p>
        </w:tc>
        <w:tc>
          <w:tcPr>
            <w:tcW w:w="1969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20"/>
              </w:rPr>
              <w:t>表面质量</w:t>
            </w:r>
          </w:p>
        </w:tc>
        <w:tc>
          <w:tcPr>
            <w:tcW w:w="430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按照GB/T 2828.1规定的取样，选择正常检验一次抽样方案，一般检测水平Ⅱ，接收质量限AQL＝2.5，或供需双方协商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3.7</w:t>
            </w:r>
          </w:p>
        </w:tc>
        <w:tc>
          <w:tcPr>
            <w:tcW w:w="1969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ascii="宋体" w:hAnsi="宋体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卷（轴）重量</w:t>
            </w:r>
          </w:p>
        </w:tc>
        <w:tc>
          <w:tcPr>
            <w:tcW w:w="4305" w:type="dxa"/>
            <w:vAlign w:val="center"/>
          </w:tcPr>
          <w:p>
            <w:pPr>
              <w:pStyle w:val="81"/>
              <w:widowControl w:val="0"/>
              <w:spacing w:line="240" w:lineRule="auto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kern w:val="2"/>
                <w:sz w:val="18"/>
                <w:szCs w:val="24"/>
              </w:rPr>
              <w:t>每卷（轴）</w:t>
            </w:r>
          </w:p>
        </w:tc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>3.8</w:t>
            </w:r>
          </w:p>
        </w:tc>
        <w:tc>
          <w:tcPr>
            <w:tcW w:w="1969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>4.7</w:t>
            </w:r>
          </w:p>
        </w:tc>
      </w:tr>
    </w:tbl>
    <w:p>
      <w:pPr>
        <w:pStyle w:val="64"/>
        <w:numPr>
          <w:ilvl w:val="1"/>
          <w:numId w:val="0"/>
        </w:numPr>
        <w:spacing w:before="156" w:after="156"/>
        <w:rPr>
          <w:rFonts w:hAnsi="黑体"/>
          <w:szCs w:val="21"/>
        </w:rPr>
      </w:pPr>
      <w:r>
        <w:rPr>
          <w:rFonts w:hint="eastAsia" w:hAnsi="黑体"/>
          <w:szCs w:val="21"/>
        </w:rPr>
        <w:t>5.5 检验结果的判定</w:t>
      </w:r>
      <w:r>
        <w:rPr>
          <w:rFonts w:hint="eastAsia" w:hAnsi="黑体"/>
          <w:color w:val="00B0F0"/>
          <w:szCs w:val="21"/>
          <w:lang w:eastAsia="zh-CN"/>
        </w:rPr>
        <w:t>（</w:t>
      </w:r>
      <w:r>
        <w:rPr>
          <w:rFonts w:hint="eastAsia"/>
          <w:color w:val="00B0F0"/>
        </w:rPr>
        <w:t>卷（轴）重量</w:t>
      </w:r>
      <w:r>
        <w:rPr>
          <w:rFonts w:hint="eastAsia"/>
          <w:color w:val="00B0F0"/>
          <w:lang w:eastAsia="zh-CN"/>
        </w:rPr>
        <w:t>怎么判？</w:t>
      </w:r>
      <w:r>
        <w:rPr>
          <w:rFonts w:hint="eastAsia" w:hAnsi="黑体"/>
          <w:color w:val="00B0F0"/>
          <w:szCs w:val="21"/>
          <w:lang w:eastAsia="zh-CN"/>
        </w:rPr>
        <w:t>）</w:t>
      </w:r>
      <w:bookmarkStart w:id="94" w:name="_GoBack"/>
      <w:bookmarkEnd w:id="94"/>
    </w:p>
    <w:p>
      <w:pPr>
        <w:pStyle w:val="57"/>
        <w:numPr>
          <w:ilvl w:val="3"/>
          <w:numId w:val="0"/>
        </w:numPr>
        <w:tabs>
          <w:tab w:val="clear" w:pos="360"/>
        </w:tabs>
        <w:rPr>
          <w:rFonts w:hint="eastAsia"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 xml:space="preserve">5.5.1 </w:t>
      </w:r>
      <w:r>
        <w:rPr>
          <w:rFonts w:hint="eastAsia" w:asciiTheme="minorEastAsia" w:hAnsiTheme="minorEastAsia" w:eastAsiaTheme="minorEastAsia" w:cstheme="minorEastAsia"/>
          <w:color w:val="FF0000"/>
        </w:rPr>
        <w:t>检验结果的数值按GB/T 8170 的规定进行修约，并采用修约值比较法判定。</w:t>
      </w:r>
    </w:p>
    <w:p>
      <w:pPr>
        <w:pStyle w:val="57"/>
        <w:numPr>
          <w:ilvl w:val="3"/>
          <w:numId w:val="0"/>
        </w:numPr>
        <w:tabs>
          <w:tab w:val="clear" w:pos="360"/>
        </w:tabs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5.5.2化学成分不合格时，判该批线材不合格。</w:t>
      </w:r>
    </w:p>
    <w:p>
      <w:pPr>
        <w:pStyle w:val="57"/>
        <w:numPr>
          <w:ilvl w:val="3"/>
          <w:numId w:val="0"/>
        </w:numPr>
        <w:tabs>
          <w:tab w:val="clear" w:pos="360"/>
        </w:tabs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5.5.</w:t>
      </w:r>
      <w:r>
        <w:rPr>
          <w:rFonts w:hint="eastAsia" w:ascii="宋体" w:hAnsi="宋体" w:eastAsia="宋体"/>
          <w:szCs w:val="21"/>
          <w:lang w:val="en-US" w:eastAsia="zh-CN"/>
        </w:rPr>
        <w:t>3</w:t>
      </w:r>
      <w:r>
        <w:rPr>
          <w:rFonts w:hint="eastAsia" w:ascii="宋体" w:hAnsi="宋体" w:eastAsia="宋体"/>
          <w:szCs w:val="21"/>
        </w:rPr>
        <w:t>线材的外形尺寸及其允许偏差和表面质量不合格时，判该卷（轴）不合格。每批中不合格件数超出接受质量限时，判整批不合格</w:t>
      </w:r>
      <w:r>
        <w:rPr>
          <w:rFonts w:hint="eastAsia" w:ascii="宋体" w:hAnsi="宋体"/>
        </w:rPr>
        <w:t>，</w:t>
      </w:r>
      <w:r>
        <w:rPr>
          <w:rFonts w:hint="eastAsia" w:ascii="宋体" w:hAnsi="宋体" w:eastAsia="宋体"/>
          <w:szCs w:val="21"/>
        </w:rPr>
        <w:t>或由供方逐卷检验，合格者交货。</w:t>
      </w:r>
    </w:p>
    <w:p>
      <w:pPr>
        <w:pStyle w:val="53"/>
        <w:ind w:firstLine="0" w:firstLineChars="0"/>
        <w:rPr>
          <w:rFonts w:hAnsi="宋体"/>
          <w:szCs w:val="21"/>
        </w:rPr>
      </w:pPr>
      <w:r>
        <w:rPr>
          <w:rFonts w:hint="eastAsia" w:hAnsi="宋体"/>
          <w:szCs w:val="21"/>
        </w:rPr>
        <w:t>5.5.</w:t>
      </w:r>
      <w:r>
        <w:rPr>
          <w:rFonts w:hint="eastAsia" w:hAnsi="宋体"/>
          <w:szCs w:val="21"/>
          <w:lang w:val="en-US" w:eastAsia="zh-CN"/>
        </w:rPr>
        <w:t>4</w:t>
      </w:r>
      <w:r>
        <w:rPr>
          <w:rFonts w:hint="eastAsia" w:hAnsi="宋体"/>
          <w:szCs w:val="21"/>
        </w:rPr>
        <w:t xml:space="preserve"> 当力学性能、电性能、断口检测结果中有试样不合格时，应从该批线材中另取双倍数量的试样（其中一个试样必须取自原检验不合格的那卷线材）进行重复试验，重复试验结果全部合格，则判该线材合格，若重复试验结果仍有试样不合格，则判该批线材不合格，或由供方重新处理。</w:t>
      </w: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p>
      <w:pPr>
        <w:pStyle w:val="64"/>
        <w:spacing w:before="156" w:after="156"/>
        <w:rPr>
          <w:rFonts w:hAnsi="黑体"/>
          <w:szCs w:val="21"/>
        </w:rPr>
      </w:pPr>
      <w:r>
        <w:rPr>
          <w:rFonts w:hint="eastAsia" w:hAnsi="黑体"/>
          <w:szCs w:val="21"/>
        </w:rPr>
        <w:t>标志、包装、运输、贮存和质量证明书</w:t>
      </w:r>
    </w:p>
    <w:p>
      <w:pPr>
        <w:pStyle w:val="53"/>
        <w:ind w:firstLine="420"/>
        <w:rPr>
          <w:rFonts w:hAnsi="宋体"/>
          <w:szCs w:val="21"/>
        </w:rPr>
      </w:pPr>
      <w:r>
        <w:rPr>
          <w:rFonts w:hint="eastAsia"/>
        </w:rPr>
        <w:t>线材</w:t>
      </w:r>
      <w:r>
        <w:rPr>
          <w:rFonts w:hint="eastAsia" w:hAnsi="宋体"/>
          <w:szCs w:val="21"/>
        </w:rPr>
        <w:t>的标志、包装、运输、贮存和质量证明书按GB/T 8888的规定进行。</w:t>
      </w:r>
    </w:p>
    <w:p>
      <w:pPr>
        <w:pStyle w:val="64"/>
        <w:spacing w:before="156" w:after="156"/>
      </w:pPr>
      <w:bookmarkStart w:id="74" w:name="_Toc127435712"/>
      <w:bookmarkStart w:id="75" w:name="_Toc142189194"/>
      <w:bookmarkStart w:id="76" w:name="_Toc132197177"/>
      <w:bookmarkStart w:id="77" w:name="_Toc132197473"/>
      <w:bookmarkStart w:id="78" w:name="_Toc142116152"/>
      <w:bookmarkStart w:id="79" w:name="_Toc142187476"/>
      <w:bookmarkStart w:id="80" w:name="_Toc142189165"/>
      <w:bookmarkStart w:id="81" w:name="_Toc127436359"/>
      <w:bookmarkStart w:id="82" w:name="_Toc132197186"/>
      <w:bookmarkStart w:id="83" w:name="_Toc132197118"/>
      <w:bookmarkStart w:id="84" w:name="_Toc127434649"/>
      <w:bookmarkStart w:id="85" w:name="_Toc127437872"/>
      <w:bookmarkStart w:id="86" w:name="_Toc132196898"/>
      <w:bookmarkStart w:id="87" w:name="_Toc214265208"/>
      <w:bookmarkStart w:id="88" w:name="_Toc214265373"/>
      <w:bookmarkStart w:id="89" w:name="_Toc214265419"/>
      <w:bookmarkStart w:id="90" w:name="_Toc214265446"/>
      <w:bookmarkStart w:id="91" w:name="_Toc214266368"/>
      <w:bookmarkStart w:id="92" w:name="_Toc132196957"/>
      <w:bookmarkStart w:id="93" w:name="_Toc132197109"/>
      <w:r>
        <w:rPr>
          <w:rFonts w:hint="eastAsia"/>
        </w:rPr>
        <w:t>订货单（或合同）内容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bookmarkEnd w:id="3"/>
    <w:p>
      <w:pPr>
        <w:pStyle w:val="53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订购本标准所列材料的订货单（或合同）内应包括下列内容；</w:t>
      </w:r>
    </w:p>
    <w:p>
      <w:pPr>
        <w:pStyle w:val="53"/>
        <w:numPr>
          <w:ilvl w:val="0"/>
          <w:numId w:val="10"/>
        </w:numPr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产品名称；</w:t>
      </w:r>
    </w:p>
    <w:p>
      <w:pPr>
        <w:pStyle w:val="53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b)牌号；</w:t>
      </w:r>
    </w:p>
    <w:p>
      <w:pPr>
        <w:pStyle w:val="53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c)状态；</w:t>
      </w:r>
    </w:p>
    <w:p>
      <w:pPr>
        <w:pStyle w:val="53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d)规格；</w:t>
      </w:r>
    </w:p>
    <w:p>
      <w:pPr>
        <w:pStyle w:val="53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e)重量或卷数；</w:t>
      </w:r>
    </w:p>
    <w:p>
      <w:pPr>
        <w:pStyle w:val="53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f)硬度(当有要求时)</w:t>
      </w:r>
    </w:p>
    <w:p>
      <w:pPr>
        <w:pStyle w:val="53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g)本标准的编号；</w:t>
      </w:r>
    </w:p>
    <w:p>
      <w:pPr>
        <w:pStyle w:val="53"/>
        <w:ind w:firstLine="420"/>
        <w:rPr>
          <w:sz w:val="22"/>
          <w:szCs w:val="21"/>
        </w:rPr>
      </w:pPr>
      <w:r>
        <w:rPr>
          <w:rFonts w:hint="eastAsia" w:hAnsi="宋体"/>
          <w:szCs w:val="21"/>
        </w:rPr>
        <w:t>h)其他。</w:t>
      </w:r>
    </w:p>
    <w:p>
      <w:pPr>
        <w:pStyle w:val="53"/>
        <w:ind w:firstLine="420"/>
      </w:pPr>
      <w:r>
        <w:pict>
          <v:line id="Line 12" o:spid="_x0000_s1040" o:spt="20" style="position:absolute;left:0pt;margin-left:86.25pt;margin-top:42.75pt;height:0.05pt;width:207pt;z-index:251667456;mso-width-relative:page;mso-height-relative:page;" o:preferrelative="t" coordsize="21600,21600">
            <v:path arrowok="t"/>
            <v:fill focussize="0,0"/>
            <v:stroke miterlimit="2"/>
            <v:imagedata o:title=""/>
            <o:lock v:ext="edit"/>
          </v:line>
        </w:pict>
      </w:r>
    </w:p>
    <w:sectPr>
      <w:footerReference r:id="rId11" w:type="default"/>
      <w:pgSz w:w="11907" w:h="16839"/>
      <w:pgMar w:top="1418" w:right="1134" w:bottom="1134" w:left="1418" w:header="1418" w:footer="85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4"/>
      <w:rPr>
        <w:rStyle w:val="31"/>
      </w:rPr>
    </w:pPr>
    <w:r>
      <w:fldChar w:fldCharType="begin"/>
    </w:r>
    <w:r>
      <w:rPr>
        <w:rStyle w:val="31"/>
      </w:rPr>
      <w:instrText xml:space="preserve">PAGE  </w:instrText>
    </w:r>
    <w:r>
      <w:fldChar w:fldCharType="separate"/>
    </w:r>
    <w:r>
      <w:rPr>
        <w:rStyle w:val="31"/>
      </w:rPr>
      <w:t>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framePr w:wrap="around" w:vAnchor="text" w:hAnchor="margin" w:xAlign="right" w:y="1"/>
      <w:tabs>
        <w:tab w:val="left" w:pos="360"/>
        <w:tab w:val="left" w:pos="710"/>
      </w:tabs>
      <w:rPr>
        <w:rStyle w:val="31"/>
      </w:rPr>
    </w:pPr>
    <w:r>
      <w:fldChar w:fldCharType="begin"/>
    </w:r>
    <w:r>
      <w:rPr>
        <w:rStyle w:val="31"/>
      </w:rPr>
      <w:instrText xml:space="preserve">PAGE  </w:instrText>
    </w:r>
    <w:r>
      <w:fldChar w:fldCharType="separate"/>
    </w:r>
    <w:r>
      <w:rPr>
        <w:rStyle w:val="31"/>
      </w:rPr>
      <w:t>II</w:t>
    </w:r>
    <w:r>
      <w:fldChar w:fldCharType="end"/>
    </w:r>
  </w:p>
  <w:p>
    <w:pPr>
      <w:pStyle w:val="23"/>
      <w:tabs>
        <w:tab w:val="left" w:pos="360"/>
        <w:tab w:val="left" w:pos="71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numPr>
        <w:ilvl w:val="0"/>
        <w:numId w:val="0"/>
      </w:numPr>
      <w:tabs>
        <w:tab w:val="left" w:pos="360"/>
      </w:tabs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4"/>
      <w:rPr>
        <w:rStyle w:val="31"/>
      </w:rPr>
    </w:pPr>
    <w:r>
      <w:fldChar w:fldCharType="begin"/>
    </w:r>
    <w:r>
      <w:rPr>
        <w:rStyle w:val="31"/>
      </w:rPr>
      <w:instrText xml:space="preserve">PAGE  </w:instrText>
    </w:r>
    <w:r>
      <w:fldChar w:fldCharType="separate"/>
    </w:r>
    <w:r>
      <w:rPr>
        <w:rStyle w:val="31"/>
      </w:rPr>
      <w:t>I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4"/>
      <w:rPr>
        <w:rStyle w:val="31"/>
      </w:rPr>
    </w:pPr>
    <w:r>
      <w:fldChar w:fldCharType="begin"/>
    </w:r>
    <w:r>
      <w:rPr>
        <w:rStyle w:val="31"/>
      </w:rPr>
      <w:instrText xml:space="preserve">PAGE  </w:instrText>
    </w:r>
    <w:r>
      <w:fldChar w:fldCharType="separate"/>
    </w:r>
    <w:r>
      <w:rPr>
        <w:rStyle w:val="31"/>
      </w:rP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</w:pPr>
    <w:r>
      <w:t>GB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tabs>
        <w:tab w:val="left" w:pos="360"/>
        <w:tab w:val="left" w:pos="71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</w:pPr>
    <w:r>
      <w:t>YS/T ××××—××××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none"/>
      <w:pStyle w:val="59"/>
      <w:lvlText w:val="%1◆　"/>
      <w:lvlJc w:val="left"/>
      <w:pPr>
        <w:tabs>
          <w:tab w:val="left" w:pos="960"/>
        </w:tabs>
        <w:ind w:left="917" w:hanging="317"/>
      </w:pPr>
      <w:rPr>
        <w:rFonts w:hint="eastAsia" w:ascii="宋体" w:hAnsi="Times New Roman" w:eastAsia="宋体"/>
        <w:b w:val="0"/>
        <w:i w:val="0"/>
        <w:position w:val="4"/>
        <w:sz w:val="1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 w:tentative="0">
      <w:start w:val="1"/>
      <w:numFmt w:val="none"/>
      <w:pStyle w:val="78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64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58"/>
      <w:suff w:val="nothing"/>
      <w:lvlText w:val="%1%2.%3　"/>
      <w:lvlJc w:val="left"/>
      <w:pPr>
        <w:ind w:left="21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57"/>
      <w:suff w:val="nothing"/>
      <w:lvlText w:val="%1%2.%3.%4　"/>
      <w:lvlJc w:val="left"/>
      <w:pPr>
        <w:ind w:left="630" w:firstLine="0"/>
      </w:pPr>
      <w:rPr>
        <w:rFonts w:hint="eastAsia" w:ascii="宋体" w:hAnsi="宋体" w:eastAsia="宋体"/>
        <w:b w:val="0"/>
        <w:i w:val="0"/>
        <w:sz w:val="21"/>
      </w:rPr>
    </w:lvl>
    <w:lvl w:ilvl="4" w:tentative="0">
      <w:start w:val="1"/>
      <w:numFmt w:val="decimal"/>
      <w:pStyle w:val="71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24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0000000C"/>
    <w:multiLevelType w:val="multilevel"/>
    <w:tmpl w:val="0000000C"/>
    <w:lvl w:ilvl="0" w:tentative="0">
      <w:start w:val="1"/>
      <w:numFmt w:val="none"/>
      <w:pStyle w:val="100"/>
      <w:lvlText w:val="%1●　"/>
      <w:lvlJc w:val="left"/>
      <w:pPr>
        <w:tabs>
          <w:tab w:val="left" w:pos="760"/>
        </w:tabs>
        <w:ind w:left="717" w:hanging="317"/>
      </w:pPr>
      <w:rPr>
        <w:rFonts w:hint="eastAsia" w:ascii="宋体" w:hAnsi="Times New Roman" w:eastAsia="宋体"/>
        <w:b w:val="0"/>
        <w:i w:val="0"/>
        <w:position w:val="4"/>
        <w:sz w:val="13"/>
      </w:rPr>
    </w:lvl>
    <w:lvl w:ilvl="1" w:tentative="0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D"/>
    <w:multiLevelType w:val="multilevel"/>
    <w:tmpl w:val="0000000D"/>
    <w:lvl w:ilvl="0" w:tentative="0">
      <w:start w:val="1"/>
      <w:numFmt w:val="none"/>
      <w:pStyle w:val="1"/>
      <w:lvlText w:val="%1注"/>
      <w:lvlJc w:val="left"/>
      <w:pPr>
        <w:tabs>
          <w:tab w:val="left" w:pos="710"/>
        </w:tabs>
        <w:ind w:left="71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E"/>
    <w:multiLevelType w:val="multilevel"/>
    <w:tmpl w:val="0000000E"/>
    <w:lvl w:ilvl="0" w:tentative="0">
      <w:start w:val="1"/>
      <w:numFmt w:val="none"/>
      <w:pStyle w:val="92"/>
      <w:lvlText w:val="%1示例"/>
      <w:lvlJc w:val="left"/>
      <w:pPr>
        <w:tabs>
          <w:tab w:val="left" w:pos="1120"/>
        </w:tabs>
        <w:ind w:left="0" w:firstLine="400"/>
      </w:pPr>
      <w:rPr>
        <w:rFonts w:hint="eastAsia" w:ascii="宋体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000000F"/>
    <w:multiLevelType w:val="multilevel"/>
    <w:tmpl w:val="0000000F"/>
    <w:lvl w:ilvl="0" w:tentative="0">
      <w:start w:val="1"/>
      <w:numFmt w:val="none"/>
      <w:pStyle w:val="99"/>
      <w:lvlText w:val="图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0000010"/>
    <w:multiLevelType w:val="multilevel"/>
    <w:tmpl w:val="00000010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5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50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4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>
    <w:nsid w:val="00000011"/>
    <w:multiLevelType w:val="multilevel"/>
    <w:tmpl w:val="00000011"/>
    <w:lvl w:ilvl="0" w:tentative="0">
      <w:start w:val="1"/>
      <w:numFmt w:val="none"/>
      <w:pStyle w:val="101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00000012"/>
    <w:multiLevelType w:val="multilevel"/>
    <w:tmpl w:val="00000012"/>
    <w:lvl w:ilvl="0" w:tentative="0">
      <w:start w:val="1"/>
      <w:numFmt w:val="none"/>
      <w:pStyle w:val="82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5B238F34"/>
    <w:multiLevelType w:val="singleLevel"/>
    <w:tmpl w:val="5B238F34"/>
    <w:lvl w:ilvl="0" w:tentative="0">
      <w:start w:val="1"/>
      <w:numFmt w:val="lowerLetter"/>
      <w:suff w:val="nothing"/>
      <w:lvlText w:val="%1)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41676"/>
    <w:rsid w:val="00043E80"/>
    <w:rsid w:val="00080FE6"/>
    <w:rsid w:val="0008118E"/>
    <w:rsid w:val="000D0915"/>
    <w:rsid w:val="000D7AFF"/>
    <w:rsid w:val="00115F1C"/>
    <w:rsid w:val="0012633B"/>
    <w:rsid w:val="0016671A"/>
    <w:rsid w:val="00171249"/>
    <w:rsid w:val="00172A27"/>
    <w:rsid w:val="00177D78"/>
    <w:rsid w:val="00185AFE"/>
    <w:rsid w:val="001A0328"/>
    <w:rsid w:val="001A39BA"/>
    <w:rsid w:val="001B0054"/>
    <w:rsid w:val="001F0EDE"/>
    <w:rsid w:val="00207723"/>
    <w:rsid w:val="002113FC"/>
    <w:rsid w:val="00222878"/>
    <w:rsid w:val="00233E80"/>
    <w:rsid w:val="002412C1"/>
    <w:rsid w:val="00246AC4"/>
    <w:rsid w:val="00272A45"/>
    <w:rsid w:val="0028362A"/>
    <w:rsid w:val="002C44B3"/>
    <w:rsid w:val="002C4782"/>
    <w:rsid w:val="002D5242"/>
    <w:rsid w:val="002E4468"/>
    <w:rsid w:val="002E62D9"/>
    <w:rsid w:val="003315CD"/>
    <w:rsid w:val="00334487"/>
    <w:rsid w:val="003945ED"/>
    <w:rsid w:val="003B5545"/>
    <w:rsid w:val="003C303D"/>
    <w:rsid w:val="003C4F35"/>
    <w:rsid w:val="003D076A"/>
    <w:rsid w:val="00423D00"/>
    <w:rsid w:val="0044076B"/>
    <w:rsid w:val="00494012"/>
    <w:rsid w:val="004A2FEB"/>
    <w:rsid w:val="004B4AFC"/>
    <w:rsid w:val="004E2789"/>
    <w:rsid w:val="004F658A"/>
    <w:rsid w:val="00512B34"/>
    <w:rsid w:val="005222F4"/>
    <w:rsid w:val="005256D3"/>
    <w:rsid w:val="0054007F"/>
    <w:rsid w:val="005632F4"/>
    <w:rsid w:val="00583716"/>
    <w:rsid w:val="00592831"/>
    <w:rsid w:val="005B5579"/>
    <w:rsid w:val="005D7BDE"/>
    <w:rsid w:val="005E1266"/>
    <w:rsid w:val="005E5EF8"/>
    <w:rsid w:val="005E6F6B"/>
    <w:rsid w:val="005F1EB1"/>
    <w:rsid w:val="006038AD"/>
    <w:rsid w:val="00611AA8"/>
    <w:rsid w:val="006251F6"/>
    <w:rsid w:val="00636149"/>
    <w:rsid w:val="00644C14"/>
    <w:rsid w:val="00650DC1"/>
    <w:rsid w:val="00672797"/>
    <w:rsid w:val="00673945"/>
    <w:rsid w:val="00674E94"/>
    <w:rsid w:val="006A58D8"/>
    <w:rsid w:val="006D3E26"/>
    <w:rsid w:val="006F3899"/>
    <w:rsid w:val="006F5BA0"/>
    <w:rsid w:val="00770597"/>
    <w:rsid w:val="00794A92"/>
    <w:rsid w:val="007C2ACB"/>
    <w:rsid w:val="007D655B"/>
    <w:rsid w:val="007E592B"/>
    <w:rsid w:val="0080162A"/>
    <w:rsid w:val="008519CC"/>
    <w:rsid w:val="00862C86"/>
    <w:rsid w:val="00872DD7"/>
    <w:rsid w:val="00891FD2"/>
    <w:rsid w:val="008A7771"/>
    <w:rsid w:val="008B1541"/>
    <w:rsid w:val="008C039E"/>
    <w:rsid w:val="00952AA6"/>
    <w:rsid w:val="0098104E"/>
    <w:rsid w:val="009903B5"/>
    <w:rsid w:val="009B7784"/>
    <w:rsid w:val="009E4796"/>
    <w:rsid w:val="00A0783D"/>
    <w:rsid w:val="00A57B47"/>
    <w:rsid w:val="00A70C17"/>
    <w:rsid w:val="00A715A9"/>
    <w:rsid w:val="00A742DE"/>
    <w:rsid w:val="00A7709E"/>
    <w:rsid w:val="00A80C52"/>
    <w:rsid w:val="00A90FC4"/>
    <w:rsid w:val="00AB1C51"/>
    <w:rsid w:val="00AD16EA"/>
    <w:rsid w:val="00AF3C96"/>
    <w:rsid w:val="00AF4331"/>
    <w:rsid w:val="00B865DC"/>
    <w:rsid w:val="00BB7EBF"/>
    <w:rsid w:val="00BE4BF5"/>
    <w:rsid w:val="00BF7893"/>
    <w:rsid w:val="00C85291"/>
    <w:rsid w:val="00CA13D9"/>
    <w:rsid w:val="00D15D9D"/>
    <w:rsid w:val="00D42213"/>
    <w:rsid w:val="00D475ED"/>
    <w:rsid w:val="00D62565"/>
    <w:rsid w:val="00DA087F"/>
    <w:rsid w:val="00DC2E65"/>
    <w:rsid w:val="00E13830"/>
    <w:rsid w:val="00E21DA8"/>
    <w:rsid w:val="00E24182"/>
    <w:rsid w:val="00E93308"/>
    <w:rsid w:val="00E94A7C"/>
    <w:rsid w:val="00E95F54"/>
    <w:rsid w:val="00EA3BBD"/>
    <w:rsid w:val="00EB65C2"/>
    <w:rsid w:val="00EF3609"/>
    <w:rsid w:val="00F137D8"/>
    <w:rsid w:val="00F209EB"/>
    <w:rsid w:val="00F25EB4"/>
    <w:rsid w:val="00F438C8"/>
    <w:rsid w:val="00FA0D05"/>
    <w:rsid w:val="00FB44A9"/>
    <w:rsid w:val="00FF034C"/>
    <w:rsid w:val="00FF2CBB"/>
    <w:rsid w:val="016D24EB"/>
    <w:rsid w:val="025578CF"/>
    <w:rsid w:val="027F3170"/>
    <w:rsid w:val="02E11E81"/>
    <w:rsid w:val="03354B29"/>
    <w:rsid w:val="035C1AE2"/>
    <w:rsid w:val="03903365"/>
    <w:rsid w:val="04A7310C"/>
    <w:rsid w:val="054354C2"/>
    <w:rsid w:val="058D50D1"/>
    <w:rsid w:val="07395AF2"/>
    <w:rsid w:val="08134385"/>
    <w:rsid w:val="08DA3052"/>
    <w:rsid w:val="0AA12780"/>
    <w:rsid w:val="0AC3156A"/>
    <w:rsid w:val="0B714D93"/>
    <w:rsid w:val="0BB11113"/>
    <w:rsid w:val="0C5C3A56"/>
    <w:rsid w:val="0DBE4799"/>
    <w:rsid w:val="0E603B9A"/>
    <w:rsid w:val="0F2656D0"/>
    <w:rsid w:val="0F8543CB"/>
    <w:rsid w:val="105F76ED"/>
    <w:rsid w:val="122C34E5"/>
    <w:rsid w:val="12930E91"/>
    <w:rsid w:val="14BC7363"/>
    <w:rsid w:val="17126EEF"/>
    <w:rsid w:val="17B161B8"/>
    <w:rsid w:val="190965F8"/>
    <w:rsid w:val="19154D6E"/>
    <w:rsid w:val="1A1A6670"/>
    <w:rsid w:val="1B7B74D0"/>
    <w:rsid w:val="1C284762"/>
    <w:rsid w:val="1DBB7C04"/>
    <w:rsid w:val="1E4D6A2A"/>
    <w:rsid w:val="1F214926"/>
    <w:rsid w:val="1FA66748"/>
    <w:rsid w:val="21C548DC"/>
    <w:rsid w:val="22004FDD"/>
    <w:rsid w:val="22FD24CF"/>
    <w:rsid w:val="23795433"/>
    <w:rsid w:val="24F623DD"/>
    <w:rsid w:val="258F6BE3"/>
    <w:rsid w:val="26431EFB"/>
    <w:rsid w:val="272C7410"/>
    <w:rsid w:val="27EA4D9C"/>
    <w:rsid w:val="28830081"/>
    <w:rsid w:val="28EB4358"/>
    <w:rsid w:val="2AD50C83"/>
    <w:rsid w:val="2DED64BE"/>
    <w:rsid w:val="2E527CC5"/>
    <w:rsid w:val="2FA33C61"/>
    <w:rsid w:val="33253A03"/>
    <w:rsid w:val="343D06D7"/>
    <w:rsid w:val="364F707E"/>
    <w:rsid w:val="396024FF"/>
    <w:rsid w:val="398D47FF"/>
    <w:rsid w:val="39B7554F"/>
    <w:rsid w:val="3AB0066B"/>
    <w:rsid w:val="3BD74DEF"/>
    <w:rsid w:val="3C6E6E2A"/>
    <w:rsid w:val="3D193552"/>
    <w:rsid w:val="3D6D2D9F"/>
    <w:rsid w:val="3F637849"/>
    <w:rsid w:val="401D53E8"/>
    <w:rsid w:val="41806223"/>
    <w:rsid w:val="41FE0CD2"/>
    <w:rsid w:val="425A6D04"/>
    <w:rsid w:val="42EB404F"/>
    <w:rsid w:val="43C52F2D"/>
    <w:rsid w:val="4441592A"/>
    <w:rsid w:val="44975388"/>
    <w:rsid w:val="44CD3C16"/>
    <w:rsid w:val="459908CC"/>
    <w:rsid w:val="47B9546C"/>
    <w:rsid w:val="49466FBA"/>
    <w:rsid w:val="4A331D4B"/>
    <w:rsid w:val="4A537E1B"/>
    <w:rsid w:val="4A5D1935"/>
    <w:rsid w:val="4B54168E"/>
    <w:rsid w:val="4CDB4362"/>
    <w:rsid w:val="4CF06C6F"/>
    <w:rsid w:val="4E056B51"/>
    <w:rsid w:val="4F9F5AE1"/>
    <w:rsid w:val="51866B31"/>
    <w:rsid w:val="51A2392F"/>
    <w:rsid w:val="524F08C5"/>
    <w:rsid w:val="536B35CD"/>
    <w:rsid w:val="548C5CF9"/>
    <w:rsid w:val="558063E2"/>
    <w:rsid w:val="55F7249F"/>
    <w:rsid w:val="569945D3"/>
    <w:rsid w:val="57EE2046"/>
    <w:rsid w:val="5AD27290"/>
    <w:rsid w:val="5B6404FA"/>
    <w:rsid w:val="5BBB5BEF"/>
    <w:rsid w:val="5BD86752"/>
    <w:rsid w:val="5C4E08F1"/>
    <w:rsid w:val="5CE506B7"/>
    <w:rsid w:val="5DFC25E6"/>
    <w:rsid w:val="5F1709B8"/>
    <w:rsid w:val="5F670CD7"/>
    <w:rsid w:val="5FE13408"/>
    <w:rsid w:val="62EC5103"/>
    <w:rsid w:val="633C330A"/>
    <w:rsid w:val="63423F3D"/>
    <w:rsid w:val="636B786D"/>
    <w:rsid w:val="637673C3"/>
    <w:rsid w:val="63A7174B"/>
    <w:rsid w:val="63C80309"/>
    <w:rsid w:val="64752CC7"/>
    <w:rsid w:val="653818C3"/>
    <w:rsid w:val="65FE5BFA"/>
    <w:rsid w:val="67CC7FDA"/>
    <w:rsid w:val="69373F35"/>
    <w:rsid w:val="6A5070A6"/>
    <w:rsid w:val="6A522FB6"/>
    <w:rsid w:val="6A77731C"/>
    <w:rsid w:val="6B0A090C"/>
    <w:rsid w:val="6B976808"/>
    <w:rsid w:val="6C153B36"/>
    <w:rsid w:val="6C5C6616"/>
    <w:rsid w:val="708122BA"/>
    <w:rsid w:val="71467ADE"/>
    <w:rsid w:val="714838E7"/>
    <w:rsid w:val="71AD65A2"/>
    <w:rsid w:val="728E3743"/>
    <w:rsid w:val="757F77B3"/>
    <w:rsid w:val="76CF74E3"/>
    <w:rsid w:val="76DD2EF1"/>
    <w:rsid w:val="78680F39"/>
    <w:rsid w:val="79AF5E73"/>
    <w:rsid w:val="7A374C37"/>
    <w:rsid w:val="7CF67157"/>
    <w:rsid w:val="7DE078C1"/>
    <w:rsid w:val="7F5C16D8"/>
    <w:rsid w:val="7F93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0" w:semiHidden="0" w:name="footnote text"/>
    <w:lsdException w:qFormat="1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1"/>
      </w:numPr>
      <w:tabs>
        <w:tab w:val="left" w:pos="360"/>
        <w:tab w:val="clear" w:pos="710"/>
      </w:tabs>
      <w:ind w:left="0"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710"/>
        <w:tab w:val="clear" w:pos="360"/>
      </w:tabs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tabs>
        <w:tab w:val="left" w:pos="710"/>
        <w:tab w:val="clear" w:pos="360"/>
      </w:tabs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tabs>
        <w:tab w:val="left" w:pos="710"/>
        <w:tab w:val="clear" w:pos="360"/>
      </w:tabs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tabs>
        <w:tab w:val="left" w:pos="710"/>
        <w:tab w:val="clear" w:pos="360"/>
      </w:tabs>
      <w:spacing w:before="280" w:after="290" w:line="372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710"/>
        <w:tab w:val="clear" w:pos="360"/>
      </w:tabs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710"/>
        <w:tab w:val="clear" w:pos="360"/>
      </w:tabs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710"/>
        <w:tab w:val="clear" w:pos="360"/>
      </w:tabs>
      <w:spacing w:before="240" w:after="64" w:line="317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710"/>
        <w:tab w:val="clear" w:pos="360"/>
      </w:tabs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710"/>
        <w:tab w:val="clear" w:pos="360"/>
      </w:tabs>
      <w:spacing w:before="240" w:after="64" w:line="317" w:lineRule="auto"/>
      <w:outlineLvl w:val="8"/>
    </w:pPr>
    <w:rPr>
      <w:rFonts w:ascii="Arial" w:hAnsi="Arial" w:eastAsia="黑体"/>
      <w:szCs w:val="21"/>
    </w:rPr>
  </w:style>
  <w:style w:type="character" w:default="1" w:styleId="30">
    <w:name w:val="Default Paragraph Font"/>
    <w:semiHidden/>
    <w:unhideWhenUsed/>
    <w:uiPriority w:val="1"/>
  </w:style>
  <w:style w:type="table" w:default="1" w:styleId="4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110"/>
    <w:semiHidden/>
    <w:unhideWhenUsed/>
    <w:qFormat/>
    <w:uiPriority w:val="0"/>
    <w:pPr>
      <w:tabs>
        <w:tab w:val="left" w:pos="360"/>
      </w:tabs>
    </w:pPr>
    <w:rPr>
      <w:b/>
      <w:bCs/>
    </w:rPr>
  </w:style>
  <w:style w:type="paragraph" w:styleId="12">
    <w:name w:val="annotation text"/>
    <w:basedOn w:val="1"/>
    <w:link w:val="109"/>
    <w:semiHidden/>
    <w:unhideWhenUsed/>
    <w:qFormat/>
    <w:uiPriority w:val="0"/>
    <w:pPr>
      <w:jc w:val="left"/>
    </w:pPr>
  </w:style>
  <w:style w:type="paragraph" w:styleId="13">
    <w:name w:val="toc 7"/>
    <w:basedOn w:val="14"/>
    <w:next w:val="1"/>
    <w:qFormat/>
    <w:uiPriority w:val="0"/>
    <w:pPr>
      <w:tabs>
        <w:tab w:val="left" w:pos="360"/>
      </w:tabs>
    </w:pPr>
  </w:style>
  <w:style w:type="paragraph" w:styleId="14">
    <w:name w:val="toc 6"/>
    <w:basedOn w:val="15"/>
    <w:next w:val="1"/>
    <w:uiPriority w:val="0"/>
    <w:pPr>
      <w:tabs>
        <w:tab w:val="left" w:pos="360"/>
      </w:tabs>
    </w:pPr>
  </w:style>
  <w:style w:type="paragraph" w:styleId="15">
    <w:name w:val="toc 5"/>
    <w:basedOn w:val="16"/>
    <w:next w:val="1"/>
    <w:uiPriority w:val="0"/>
    <w:pPr>
      <w:tabs>
        <w:tab w:val="left" w:pos="360"/>
      </w:tabs>
    </w:pPr>
  </w:style>
  <w:style w:type="paragraph" w:styleId="16">
    <w:name w:val="toc 4"/>
    <w:basedOn w:val="17"/>
    <w:next w:val="1"/>
    <w:uiPriority w:val="0"/>
    <w:pPr>
      <w:tabs>
        <w:tab w:val="left" w:pos="360"/>
      </w:tabs>
    </w:pPr>
  </w:style>
  <w:style w:type="paragraph" w:styleId="17">
    <w:name w:val="toc 3"/>
    <w:basedOn w:val="18"/>
    <w:next w:val="1"/>
    <w:uiPriority w:val="0"/>
    <w:pPr>
      <w:tabs>
        <w:tab w:val="left" w:pos="360"/>
      </w:tabs>
    </w:pPr>
  </w:style>
  <w:style w:type="paragraph" w:styleId="18">
    <w:name w:val="toc 2"/>
    <w:basedOn w:val="19"/>
    <w:next w:val="1"/>
    <w:uiPriority w:val="0"/>
    <w:pPr>
      <w:tabs>
        <w:tab w:val="left" w:pos="360"/>
      </w:tabs>
    </w:pPr>
  </w:style>
  <w:style w:type="paragraph" w:styleId="19">
    <w:name w:val="toc 1"/>
    <w:next w:val="1"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0">
    <w:name w:val="HTML Address"/>
    <w:basedOn w:val="1"/>
    <w:qFormat/>
    <w:uiPriority w:val="0"/>
    <w:pPr>
      <w:tabs>
        <w:tab w:val="left" w:pos="710"/>
        <w:tab w:val="clear" w:pos="360"/>
      </w:tabs>
    </w:pPr>
    <w:rPr>
      <w:i/>
      <w:iCs/>
    </w:rPr>
  </w:style>
  <w:style w:type="paragraph" w:styleId="21">
    <w:name w:val="toc 8"/>
    <w:basedOn w:val="13"/>
    <w:next w:val="1"/>
    <w:uiPriority w:val="0"/>
  </w:style>
  <w:style w:type="paragraph" w:styleId="22">
    <w:name w:val="Balloon Text"/>
    <w:basedOn w:val="1"/>
    <w:uiPriority w:val="0"/>
    <w:pPr>
      <w:tabs>
        <w:tab w:val="left" w:pos="710"/>
        <w:tab w:val="clear" w:pos="360"/>
      </w:tabs>
    </w:pPr>
    <w:rPr>
      <w:sz w:val="18"/>
      <w:szCs w:val="18"/>
    </w:rPr>
  </w:style>
  <w:style w:type="paragraph" w:styleId="23">
    <w:name w:val="footer"/>
    <w:basedOn w:val="1"/>
    <w:uiPriority w:val="0"/>
    <w:pPr>
      <w:tabs>
        <w:tab w:val="center" w:pos="4153"/>
        <w:tab w:val="right" w:pos="8306"/>
        <w:tab w:val="clear" w:pos="360"/>
      </w:tabs>
      <w:snapToGrid w:val="0"/>
      <w:ind w:right="210" w:rightChars="100"/>
      <w:jc w:val="right"/>
    </w:pPr>
    <w:rPr>
      <w:sz w:val="18"/>
      <w:szCs w:val="18"/>
    </w:rPr>
  </w:style>
  <w:style w:type="paragraph" w:styleId="24">
    <w:name w:val="header"/>
    <w:basedOn w:val="1"/>
    <w:uiPriority w:val="0"/>
    <w:pPr>
      <w:numPr>
        <w:ilvl w:val="6"/>
        <w:numId w:val="2"/>
      </w:numPr>
      <w:pBdr>
        <w:bottom w:val="single" w:color="auto" w:sz="6" w:space="1"/>
      </w:pBdr>
      <w:tabs>
        <w:tab w:val="center" w:pos="4153"/>
        <w:tab w:val="right" w:pos="8306"/>
        <w:tab w:val="clear" w:pos="360"/>
      </w:tabs>
      <w:snapToGrid w:val="0"/>
      <w:jc w:val="center"/>
    </w:pPr>
    <w:rPr>
      <w:sz w:val="18"/>
      <w:szCs w:val="18"/>
    </w:rPr>
  </w:style>
  <w:style w:type="paragraph" w:styleId="25">
    <w:name w:val="footnote text"/>
    <w:basedOn w:val="1"/>
    <w:qFormat/>
    <w:uiPriority w:val="0"/>
    <w:pPr>
      <w:tabs>
        <w:tab w:val="left" w:pos="710"/>
        <w:tab w:val="clear" w:pos="360"/>
      </w:tabs>
      <w:snapToGrid w:val="0"/>
      <w:jc w:val="left"/>
    </w:pPr>
    <w:rPr>
      <w:sz w:val="18"/>
      <w:szCs w:val="18"/>
    </w:rPr>
  </w:style>
  <w:style w:type="paragraph" w:styleId="26">
    <w:name w:val="toc 9"/>
    <w:basedOn w:val="21"/>
    <w:next w:val="1"/>
    <w:qFormat/>
    <w:uiPriority w:val="0"/>
  </w:style>
  <w:style w:type="paragraph" w:styleId="27">
    <w:name w:val="HTML Preformatted"/>
    <w:basedOn w:val="1"/>
    <w:qFormat/>
    <w:uiPriority w:val="0"/>
    <w:pPr>
      <w:tabs>
        <w:tab w:val="left" w:pos="710"/>
        <w:tab w:val="clear" w:pos="360"/>
      </w:tabs>
    </w:pPr>
    <w:rPr>
      <w:rFonts w:ascii="Courier New" w:hAnsi="Courier New" w:cs="Courier New"/>
      <w:sz w:val="20"/>
      <w:szCs w:val="20"/>
    </w:rPr>
  </w:style>
  <w:style w:type="paragraph" w:styleId="28">
    <w:name w:val="Normal (Web)"/>
    <w:basedOn w:val="1"/>
    <w:unhideWhenUsed/>
    <w:qFormat/>
    <w:uiPriority w:val="0"/>
    <w:rPr>
      <w:sz w:val="24"/>
    </w:rPr>
  </w:style>
  <w:style w:type="paragraph" w:styleId="29">
    <w:name w:val="Title"/>
    <w:basedOn w:val="1"/>
    <w:qFormat/>
    <w:uiPriority w:val="0"/>
    <w:pPr>
      <w:tabs>
        <w:tab w:val="left" w:pos="710"/>
        <w:tab w:val="clear" w:pos="360"/>
      </w:tabs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31">
    <w:name w:val="page number"/>
    <w:basedOn w:val="30"/>
    <w:qFormat/>
    <w:uiPriority w:val="0"/>
    <w:rPr>
      <w:rFonts w:ascii="Times New Roman" w:hAnsi="Times New Roman" w:eastAsia="宋体"/>
      <w:sz w:val="18"/>
    </w:rPr>
  </w:style>
  <w:style w:type="character" w:styleId="32">
    <w:name w:val="FollowedHyperlink"/>
    <w:basedOn w:val="30"/>
    <w:qFormat/>
    <w:uiPriority w:val="0"/>
    <w:rPr>
      <w:color w:val="800080"/>
      <w:u w:val="single"/>
    </w:rPr>
  </w:style>
  <w:style w:type="character" w:styleId="33">
    <w:name w:val="HTML Definition"/>
    <w:basedOn w:val="30"/>
    <w:qFormat/>
    <w:uiPriority w:val="0"/>
    <w:rPr>
      <w:i/>
      <w:iCs/>
    </w:rPr>
  </w:style>
  <w:style w:type="character" w:styleId="34">
    <w:name w:val="HTML Typewriter"/>
    <w:basedOn w:val="30"/>
    <w:uiPriority w:val="0"/>
    <w:rPr>
      <w:rFonts w:ascii="Courier New" w:hAnsi="Courier New"/>
      <w:sz w:val="20"/>
      <w:szCs w:val="20"/>
    </w:rPr>
  </w:style>
  <w:style w:type="character" w:styleId="35">
    <w:name w:val="HTML Acronym"/>
    <w:basedOn w:val="30"/>
    <w:qFormat/>
    <w:uiPriority w:val="0"/>
  </w:style>
  <w:style w:type="character" w:styleId="36">
    <w:name w:val="HTML Variable"/>
    <w:basedOn w:val="30"/>
    <w:uiPriority w:val="0"/>
    <w:rPr>
      <w:i/>
      <w:iCs/>
    </w:rPr>
  </w:style>
  <w:style w:type="character" w:styleId="37">
    <w:name w:val="Hyperlink"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</w:rPr>
  </w:style>
  <w:style w:type="character" w:styleId="38">
    <w:name w:val="HTML Code"/>
    <w:basedOn w:val="30"/>
    <w:qFormat/>
    <w:uiPriority w:val="0"/>
    <w:rPr>
      <w:rFonts w:ascii="Courier New" w:hAnsi="Courier New"/>
      <w:sz w:val="20"/>
      <w:szCs w:val="20"/>
    </w:rPr>
  </w:style>
  <w:style w:type="character" w:styleId="39">
    <w:name w:val="annotation reference"/>
    <w:basedOn w:val="30"/>
    <w:semiHidden/>
    <w:unhideWhenUsed/>
    <w:qFormat/>
    <w:uiPriority w:val="0"/>
    <w:rPr>
      <w:sz w:val="21"/>
      <w:szCs w:val="21"/>
    </w:rPr>
  </w:style>
  <w:style w:type="character" w:styleId="40">
    <w:name w:val="HTML Cite"/>
    <w:basedOn w:val="30"/>
    <w:uiPriority w:val="0"/>
    <w:rPr>
      <w:i/>
      <w:iCs/>
    </w:rPr>
  </w:style>
  <w:style w:type="character" w:styleId="41">
    <w:name w:val="footnote reference"/>
    <w:basedOn w:val="30"/>
    <w:qFormat/>
    <w:uiPriority w:val="0"/>
    <w:rPr>
      <w:vertAlign w:val="superscript"/>
    </w:rPr>
  </w:style>
  <w:style w:type="character" w:styleId="42">
    <w:name w:val="HTML Keyboard"/>
    <w:basedOn w:val="30"/>
    <w:uiPriority w:val="0"/>
    <w:rPr>
      <w:rFonts w:ascii="Courier New" w:hAnsi="Courier New"/>
      <w:sz w:val="20"/>
      <w:szCs w:val="20"/>
    </w:rPr>
  </w:style>
  <w:style w:type="character" w:styleId="43">
    <w:name w:val="HTML Sample"/>
    <w:basedOn w:val="30"/>
    <w:qFormat/>
    <w:uiPriority w:val="0"/>
    <w:rPr>
      <w:rFonts w:ascii="Courier New" w:hAnsi="Courier New"/>
    </w:rPr>
  </w:style>
  <w:style w:type="table" w:styleId="45">
    <w:name w:val="Table Grid"/>
    <w:basedOn w:val="4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6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7">
    <w:name w:val="附录五级条标题"/>
    <w:basedOn w:val="48"/>
    <w:next w:val="53"/>
    <w:uiPriority w:val="0"/>
    <w:pPr>
      <w:numPr>
        <w:numId w:val="0"/>
      </w:numPr>
      <w:tabs>
        <w:tab w:val="left" w:pos="360"/>
      </w:tabs>
      <w:outlineLvl w:val="6"/>
    </w:pPr>
  </w:style>
  <w:style w:type="paragraph" w:customStyle="1" w:styleId="48">
    <w:name w:val="附录四级条标题"/>
    <w:basedOn w:val="49"/>
    <w:next w:val="53"/>
    <w:qFormat/>
    <w:uiPriority w:val="0"/>
    <w:pPr>
      <w:numPr>
        <w:ilvl w:val="4"/>
      </w:numPr>
      <w:tabs>
        <w:tab w:val="left" w:pos="360"/>
      </w:tabs>
      <w:outlineLvl w:val="5"/>
    </w:pPr>
  </w:style>
  <w:style w:type="paragraph" w:customStyle="1" w:styleId="49">
    <w:name w:val="附录三级条标题"/>
    <w:basedOn w:val="50"/>
    <w:next w:val="53"/>
    <w:uiPriority w:val="0"/>
    <w:pPr>
      <w:numPr>
        <w:ilvl w:val="3"/>
      </w:numPr>
      <w:tabs>
        <w:tab w:val="left" w:pos="360"/>
      </w:tabs>
      <w:outlineLvl w:val="4"/>
    </w:pPr>
  </w:style>
  <w:style w:type="paragraph" w:customStyle="1" w:styleId="50">
    <w:name w:val="附录二级条标题"/>
    <w:basedOn w:val="51"/>
    <w:next w:val="53"/>
    <w:qFormat/>
    <w:uiPriority w:val="0"/>
    <w:pPr>
      <w:numPr>
        <w:ilvl w:val="2"/>
      </w:numPr>
      <w:tabs>
        <w:tab w:val="left" w:pos="360"/>
      </w:tabs>
      <w:outlineLvl w:val="3"/>
    </w:pPr>
  </w:style>
  <w:style w:type="paragraph" w:customStyle="1" w:styleId="51">
    <w:name w:val="附录一级条标题"/>
    <w:basedOn w:val="52"/>
    <w:next w:val="53"/>
    <w:qFormat/>
    <w:uiPriority w:val="0"/>
    <w:pPr>
      <w:numPr>
        <w:ilvl w:val="1"/>
        <w:numId w:val="3"/>
      </w:numPr>
      <w:tabs>
        <w:tab w:val="left" w:pos="360"/>
      </w:tabs>
      <w:autoSpaceDN w:val="0"/>
      <w:spacing w:beforeLines="0" w:afterLines="0"/>
      <w:outlineLvl w:val="2"/>
    </w:pPr>
  </w:style>
  <w:style w:type="paragraph" w:customStyle="1" w:styleId="52">
    <w:name w:val="附录章标题"/>
    <w:next w:val="53"/>
    <w:qFormat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5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4">
    <w:name w:val="发布部门"/>
    <w:next w:val="1"/>
    <w:uiPriority w:val="0"/>
    <w:pPr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55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6">
    <w:name w:val="三级条标题"/>
    <w:basedOn w:val="57"/>
    <w:next w:val="53"/>
    <w:qFormat/>
    <w:uiPriority w:val="0"/>
    <w:pPr>
      <w:numPr>
        <w:numId w:val="0"/>
      </w:numPr>
      <w:tabs>
        <w:tab w:val="left" w:pos="360"/>
      </w:tabs>
      <w:outlineLvl w:val="4"/>
    </w:pPr>
  </w:style>
  <w:style w:type="paragraph" w:customStyle="1" w:styleId="57">
    <w:name w:val="二级条标题"/>
    <w:basedOn w:val="58"/>
    <w:next w:val="53"/>
    <w:link w:val="103"/>
    <w:uiPriority w:val="0"/>
    <w:pPr>
      <w:numPr>
        <w:ilvl w:val="3"/>
      </w:numPr>
      <w:tabs>
        <w:tab w:val="left" w:pos="360"/>
      </w:tabs>
      <w:outlineLvl w:val="3"/>
    </w:pPr>
  </w:style>
  <w:style w:type="paragraph" w:customStyle="1" w:styleId="58">
    <w:name w:val="一级条标题"/>
    <w:next w:val="53"/>
    <w:link w:val="107"/>
    <w:qFormat/>
    <w:uiPriority w:val="0"/>
    <w:pPr>
      <w:numPr>
        <w:ilvl w:val="2"/>
        <w:numId w:val="2"/>
      </w:numPr>
      <w:tabs>
        <w:tab w:val="left" w:pos="360"/>
      </w:tabs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59">
    <w:name w:val="列项◆（三级）"/>
    <w:uiPriority w:val="0"/>
    <w:pPr>
      <w:numPr>
        <w:ilvl w:val="0"/>
        <w:numId w:val="4"/>
      </w:numPr>
      <w:tabs>
        <w:tab w:val="left" w:pos="360"/>
        <w:tab w:val="clear" w:pos="960"/>
      </w:tabs>
      <w:ind w:left="0" w:firstLine="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0">
    <w:name w:val="文献分类号"/>
    <w:qFormat/>
    <w:uiPriority w:val="0"/>
    <w:pPr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61">
    <w:name w:val="注："/>
    <w:next w:val="53"/>
    <w:uiPriority w:val="0"/>
    <w:pPr>
      <w:widowControl w:val="0"/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62">
    <w:name w:val="条文脚注"/>
    <w:basedOn w:val="25"/>
    <w:qFormat/>
    <w:uiPriority w:val="0"/>
    <w:pPr>
      <w:numPr>
        <w:numId w:val="0"/>
      </w:numPr>
      <w:tabs>
        <w:tab w:val="left" w:pos="360"/>
        <w:tab w:val="clear" w:pos="710"/>
      </w:tabs>
      <w:ind w:left="780" w:leftChars="200" w:hanging="360" w:hangingChars="200"/>
      <w:jc w:val="both"/>
    </w:pPr>
    <w:rPr>
      <w:rFonts w:ascii="宋体"/>
    </w:rPr>
  </w:style>
  <w:style w:type="paragraph" w:customStyle="1" w:styleId="63">
    <w:name w:val="示例"/>
    <w:next w:val="53"/>
    <w:qFormat/>
    <w:uiPriority w:val="0"/>
    <w:pPr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64">
    <w:name w:val="章标题"/>
    <w:next w:val="53"/>
    <w:qFormat/>
    <w:uiPriority w:val="0"/>
    <w:pPr>
      <w:numPr>
        <w:ilvl w:val="1"/>
        <w:numId w:val="2"/>
      </w:numPr>
      <w:tabs>
        <w:tab w:val="left" w:pos="360"/>
      </w:tabs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5">
    <w:name w:val="注×："/>
    <w:qFormat/>
    <w:uiPriority w:val="0"/>
    <w:pPr>
      <w:widowControl w:val="0"/>
      <w:tabs>
        <w:tab w:val="left" w:pos="630"/>
      </w:tabs>
      <w:autoSpaceDE w:val="0"/>
      <w:autoSpaceDN w:val="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66">
    <w:name w:val="正文图标题"/>
    <w:next w:val="53"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7">
    <w:name w:val="标准标志"/>
    <w:next w:val="1"/>
    <w:uiPriority w:val="0"/>
    <w:pPr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68">
    <w:name w:val="其他标准称谓"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69">
    <w:name w:val="其他发布部门"/>
    <w:basedOn w:val="54"/>
    <w:qFormat/>
    <w:uiPriority w:val="0"/>
    <w:pPr>
      <w:tabs>
        <w:tab w:val="left" w:pos="360"/>
      </w:tabs>
      <w:spacing w:line="0" w:lineRule="atLeast"/>
    </w:pPr>
    <w:rPr>
      <w:rFonts w:ascii="黑体" w:eastAsia="黑体"/>
      <w:b w:val="0"/>
    </w:rPr>
  </w:style>
  <w:style w:type="paragraph" w:customStyle="1" w:styleId="70">
    <w:name w:val="封面标准英文名称"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1">
    <w:name w:val="实施日期"/>
    <w:basedOn w:val="1"/>
    <w:qFormat/>
    <w:uiPriority w:val="0"/>
    <w:pPr>
      <w:numPr>
        <w:ilvl w:val="4"/>
        <w:numId w:val="2"/>
      </w:numPr>
      <w:jc w:val="right"/>
    </w:pPr>
  </w:style>
  <w:style w:type="paragraph" w:customStyle="1" w:styleId="72">
    <w:name w:val="_Style 81"/>
    <w:next w:val="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图表脚注"/>
    <w:next w:val="53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74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5">
    <w:name w:val="标准书眉_偶数页"/>
    <w:basedOn w:val="55"/>
    <w:next w:val="1"/>
    <w:uiPriority w:val="0"/>
    <w:pPr>
      <w:tabs>
        <w:tab w:val="left" w:pos="360"/>
        <w:tab w:val="clear" w:pos="4154"/>
        <w:tab w:val="clear" w:pos="8306"/>
      </w:tabs>
      <w:jc w:val="left"/>
    </w:pPr>
  </w:style>
  <w:style w:type="paragraph" w:customStyle="1" w:styleId="76">
    <w:name w:val="封面标准号2"/>
    <w:basedOn w:val="1"/>
    <w:qFormat/>
    <w:uiPriority w:val="0"/>
    <w:pPr>
      <w:adjustRightInd w:val="0"/>
      <w:spacing w:before="357" w:line="280" w:lineRule="exact"/>
    </w:pPr>
  </w:style>
  <w:style w:type="paragraph" w:customStyle="1" w:styleId="77">
    <w:name w:val="附录标识"/>
    <w:basedOn w:val="78"/>
    <w:uiPriority w:val="0"/>
    <w:pPr>
      <w:numPr>
        <w:numId w:val="0"/>
      </w:numPr>
      <w:tabs>
        <w:tab w:val="left" w:pos="360"/>
        <w:tab w:val="left" w:pos="6405"/>
      </w:tabs>
      <w:spacing w:after="200"/>
    </w:pPr>
    <w:rPr>
      <w:sz w:val="21"/>
    </w:rPr>
  </w:style>
  <w:style w:type="paragraph" w:customStyle="1" w:styleId="78">
    <w:name w:val="前言、引言标题"/>
    <w:next w:val="1"/>
    <w:uiPriority w:val="0"/>
    <w:pPr>
      <w:numPr>
        <w:ilvl w:val="0"/>
        <w:numId w:val="2"/>
      </w:num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9">
    <w:name w:val="数字编号列项（二级）"/>
    <w:uiPriority w:val="0"/>
    <w:pPr>
      <w:ind w:left="1260" w:leftChars="4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0">
    <w:name w:val="封面标准代替信息"/>
    <w:basedOn w:val="76"/>
    <w:uiPriority w:val="0"/>
    <w:pPr>
      <w:spacing w:before="57"/>
    </w:pPr>
    <w:rPr>
      <w:rFonts w:ascii="宋体"/>
    </w:rPr>
  </w:style>
  <w:style w:type="paragraph" w:customStyle="1" w:styleId="81">
    <w:name w:val="封面标准文稿编辑信息"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2">
    <w:name w:val="附录表标题"/>
    <w:next w:val="53"/>
    <w:uiPriority w:val="0"/>
    <w:pPr>
      <w:numPr>
        <w:ilvl w:val="0"/>
        <w:numId w:val="5"/>
      </w:num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3">
    <w:name w:val="正文表标题"/>
    <w:next w:val="53"/>
    <w:uiPriority w:val="0"/>
    <w:p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4">
    <w:name w:val="标准书脚_奇数页"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85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86">
    <w:name w:val="封面标准名称"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87">
    <w:name w:val="标准书脚_偶数页"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88">
    <w:name w:val="编号列项（三级）"/>
    <w:uiPriority w:val="0"/>
    <w:p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9">
    <w:name w:val="封面标准文稿类别"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90">
    <w:name w:val="参考文献、索引标题"/>
    <w:basedOn w:val="78"/>
    <w:next w:val="1"/>
    <w:uiPriority w:val="0"/>
    <w:pPr>
      <w:numPr>
        <w:numId w:val="0"/>
      </w:numPr>
      <w:spacing w:after="200"/>
    </w:pPr>
    <w:rPr>
      <w:sz w:val="21"/>
    </w:rPr>
  </w:style>
  <w:style w:type="paragraph" w:customStyle="1" w:styleId="91">
    <w:name w:val="五级条标题"/>
    <w:basedOn w:val="92"/>
    <w:next w:val="53"/>
    <w:uiPriority w:val="0"/>
    <w:pPr>
      <w:tabs>
        <w:tab w:val="left" w:pos="360"/>
        <w:tab w:val="left" w:pos="1120"/>
      </w:tabs>
      <w:outlineLvl w:val="6"/>
    </w:pPr>
  </w:style>
  <w:style w:type="paragraph" w:customStyle="1" w:styleId="92">
    <w:name w:val="四级条标题"/>
    <w:basedOn w:val="56"/>
    <w:next w:val="53"/>
    <w:uiPriority w:val="0"/>
    <w:pPr>
      <w:numPr>
        <w:ilvl w:val="0"/>
        <w:numId w:val="6"/>
      </w:numPr>
      <w:tabs>
        <w:tab w:val="clear" w:pos="360"/>
      </w:tabs>
      <w:ind w:firstLine="0"/>
      <w:outlineLvl w:val="5"/>
    </w:pPr>
  </w:style>
  <w:style w:type="paragraph" w:customStyle="1" w:styleId="93">
    <w:name w:val="_Style 80"/>
    <w:next w:val="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4">
    <w:name w:val="封面正文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95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96">
    <w:name w:val="字母编号列项（一级）"/>
    <w:uiPriority w:val="0"/>
    <w:pPr>
      <w:ind w:left="840" w:leftChars="200" w:hanging="42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7">
    <w:name w:val="标准称谓"/>
    <w:next w:val="1"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98">
    <w:name w:val="发布日期"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99">
    <w:name w:val="附录图标题"/>
    <w:next w:val="53"/>
    <w:uiPriority w:val="0"/>
    <w:pPr>
      <w:numPr>
        <w:ilvl w:val="0"/>
        <w:numId w:val="7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0">
    <w:name w:val="列项●（二级）"/>
    <w:qFormat/>
    <w:uiPriority w:val="0"/>
    <w:pPr>
      <w:numPr>
        <w:ilvl w:val="0"/>
        <w:numId w:val="8"/>
      </w:numPr>
      <w:tabs>
        <w:tab w:val="left" w:pos="360"/>
        <w:tab w:val="left" w:pos="840"/>
        <w:tab w:val="clear" w:pos="760"/>
      </w:tabs>
      <w:ind w:left="0" w:firstLine="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1">
    <w:name w:val="列项——（一级）"/>
    <w:uiPriority w:val="0"/>
    <w:pPr>
      <w:widowControl w:val="0"/>
      <w:numPr>
        <w:ilvl w:val="0"/>
        <w:numId w:val="9"/>
      </w:numPr>
      <w:tabs>
        <w:tab w:val="left" w:pos="360"/>
        <w:tab w:val="clear" w:pos="1140"/>
      </w:tabs>
      <w:ind w:left="0" w:firstLine="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目次、标准名称标题"/>
    <w:basedOn w:val="78"/>
    <w:next w:val="53"/>
    <w:uiPriority w:val="0"/>
    <w:pPr>
      <w:numPr>
        <w:numId w:val="0"/>
      </w:numPr>
      <w:spacing w:line="460" w:lineRule="exact"/>
    </w:pPr>
  </w:style>
  <w:style w:type="character" w:customStyle="1" w:styleId="103">
    <w:name w:val="二级条标题{858D7CFB-ED40-4347-BF05-701D383B685F}"/>
    <w:link w:val="57"/>
    <w:uiPriority w:val="0"/>
  </w:style>
  <w:style w:type="character" w:customStyle="1" w:styleId="104">
    <w:name w:val="个人撰写风格"/>
    <w:basedOn w:val="30"/>
    <w:uiPriority w:val="0"/>
    <w:rPr>
      <w:rFonts w:ascii="Arial" w:hAnsi="Arial" w:eastAsia="宋体" w:cs="Arial"/>
      <w:color w:val="auto"/>
      <w:sz w:val="20"/>
    </w:rPr>
  </w:style>
  <w:style w:type="character" w:customStyle="1" w:styleId="105">
    <w:name w:val="个人答复风格"/>
    <w:basedOn w:val="30"/>
    <w:qFormat/>
    <w:uiPriority w:val="0"/>
    <w:rPr>
      <w:rFonts w:ascii="Arial" w:hAnsi="Arial" w:eastAsia="宋体" w:cs="Arial"/>
      <w:color w:val="auto"/>
      <w:sz w:val="20"/>
    </w:rPr>
  </w:style>
  <w:style w:type="character" w:customStyle="1" w:styleId="106">
    <w:name w:val="发布"/>
    <w:basedOn w:val="30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107">
    <w:name w:val="一级条标题{858D7CFB-ED40-4347-BF05-701D383B685F}"/>
    <w:link w:val="58"/>
    <w:uiPriority w:val="0"/>
    <w:rPr>
      <w:rFonts w:eastAsia="黑体"/>
      <w:sz w:val="21"/>
      <w:lang w:val="en-US" w:eastAsia="zh-CN" w:bidi="ar-SA"/>
    </w:rPr>
  </w:style>
  <w:style w:type="character" w:styleId="108">
    <w:name w:val="Placeholder Text"/>
    <w:basedOn w:val="30"/>
    <w:unhideWhenUsed/>
    <w:qFormat/>
    <w:uiPriority w:val="99"/>
    <w:rPr>
      <w:color w:val="808080"/>
    </w:rPr>
  </w:style>
  <w:style w:type="character" w:customStyle="1" w:styleId="109">
    <w:name w:val="批注文字 Char"/>
    <w:basedOn w:val="30"/>
    <w:link w:val="12"/>
    <w:semiHidden/>
    <w:uiPriority w:val="0"/>
    <w:rPr>
      <w:kern w:val="2"/>
      <w:sz w:val="21"/>
      <w:szCs w:val="24"/>
    </w:rPr>
  </w:style>
  <w:style w:type="character" w:customStyle="1" w:styleId="110">
    <w:name w:val="批注主题 Char"/>
    <w:basedOn w:val="109"/>
    <w:link w:val="11"/>
    <w:semiHidden/>
    <w:qFormat/>
    <w:uiPriority w:val="0"/>
    <w:rPr>
      <w:b/>
      <w:bCs/>
    </w:rPr>
  </w:style>
  <w:style w:type="paragraph" w:customStyle="1" w:styleId="111">
    <w:name w:val="Char"/>
    <w:basedOn w:val="1"/>
    <w:qFormat/>
    <w:uiPriority w:val="0"/>
    <w:pPr>
      <w:widowControl/>
      <w:numPr>
        <w:ilvl w:val="0"/>
        <w:numId w:val="0"/>
      </w:numPr>
      <w:tabs>
        <w:tab w:val="clear" w:pos="360"/>
      </w:tabs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4.wmf"/><Relationship Id="rId15" Type="http://schemas.openxmlformats.org/officeDocument/2006/relationships/image" Target="media/image3.wmf"/><Relationship Id="rId14" Type="http://schemas.openxmlformats.org/officeDocument/2006/relationships/image" Target="media/image2.wmf"/><Relationship Id="rId13" Type="http://schemas.openxmlformats.org/officeDocument/2006/relationships/image" Target="media/image1.wmf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44"/>
    <customShpInfo spid="_x0000_s1045"/>
    <customShpInfo spid="_x0000_s1046"/>
    <customShpInfo spid="_x0000_s1047"/>
    <customShpInfo spid="_x0000_s1043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8</Pages>
  <Words>761</Words>
  <Characters>4343</Characters>
  <Lines>36</Lines>
  <Paragraphs>10</Paragraphs>
  <TotalTime>1</TotalTime>
  <ScaleCrop>false</ScaleCrop>
  <LinksUpToDate>false</LinksUpToDate>
  <CharactersWithSpaces>5094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2018-11-21T02:50:00Z</dcterms:created>
  <dc:creator>pw</dc:creator>
  <cp:lastModifiedBy>杨丽娟</cp:lastModifiedBy>
  <cp:lastPrinted>2012-03-23T02:43:00Z</cp:lastPrinted>
  <dcterms:modified xsi:type="dcterms:W3CDTF">2018-11-28T01:32:11Z</dcterms:modified>
  <dc:title>标准名称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2052-10.1.0.7469</vt:lpwstr>
  </property>
</Properties>
</file>