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BAA" w:rsidRDefault="00323BAA" w:rsidP="00323BAA">
      <w:pPr>
        <w:ind w:firstLine="643"/>
        <w:jc w:val="center"/>
        <w:rPr>
          <w:rFonts w:eastAsia="黑体"/>
          <w:b/>
          <w:sz w:val="32"/>
        </w:rPr>
      </w:pPr>
    </w:p>
    <w:p w:rsidR="00323BAA" w:rsidRDefault="00323BAA" w:rsidP="00323BAA">
      <w:pPr>
        <w:ind w:firstLine="613"/>
        <w:jc w:val="center"/>
        <w:rPr>
          <w:rFonts w:eastAsia="黑体"/>
          <w:b/>
          <w:sz w:val="32"/>
        </w:rPr>
      </w:pPr>
    </w:p>
    <w:p w:rsidR="00323BAA" w:rsidRDefault="00323BAA" w:rsidP="00323BAA">
      <w:pPr>
        <w:ind w:firstLine="613"/>
        <w:jc w:val="center"/>
        <w:rPr>
          <w:rFonts w:eastAsia="黑体"/>
          <w:b/>
          <w:sz w:val="32"/>
        </w:rPr>
      </w:pPr>
    </w:p>
    <w:p w:rsidR="00323BAA" w:rsidRDefault="00323BAA" w:rsidP="00323BAA">
      <w:pPr>
        <w:jc w:val="center"/>
        <w:rPr>
          <w:rFonts w:ascii="黑体" w:eastAsia="黑体" w:hAnsi="宋体"/>
          <w:b/>
          <w:sz w:val="52"/>
          <w:szCs w:val="52"/>
        </w:rPr>
      </w:pPr>
      <w:r>
        <w:rPr>
          <w:rFonts w:ascii="黑体" w:eastAsia="黑体" w:hAnsi="宋体" w:hint="eastAsia"/>
          <w:b/>
          <w:sz w:val="52"/>
          <w:szCs w:val="52"/>
        </w:rPr>
        <w:t>YS/T 63.6-201X</w:t>
      </w:r>
    </w:p>
    <w:p w:rsidR="00323BAA" w:rsidRDefault="00323BAA" w:rsidP="00323BAA">
      <w:pPr>
        <w:jc w:val="center"/>
        <w:rPr>
          <w:rFonts w:ascii="黑体" w:eastAsia="黑体" w:hAnsi="Times New Roman"/>
          <w:b/>
          <w:sz w:val="52"/>
          <w:szCs w:val="52"/>
        </w:rPr>
      </w:pPr>
      <w:r>
        <w:rPr>
          <w:rFonts w:ascii="黑体" w:eastAsia="黑体" w:hint="eastAsia"/>
          <w:b/>
          <w:sz w:val="52"/>
          <w:szCs w:val="52"/>
        </w:rPr>
        <w:t>铝用</w:t>
      </w:r>
      <w:proofErr w:type="gramStart"/>
      <w:r>
        <w:rPr>
          <w:rFonts w:ascii="黑体" w:eastAsia="黑体" w:hint="eastAsia"/>
          <w:b/>
          <w:sz w:val="52"/>
          <w:szCs w:val="52"/>
        </w:rPr>
        <w:t>炭素</w:t>
      </w:r>
      <w:proofErr w:type="gramEnd"/>
      <w:r>
        <w:rPr>
          <w:rFonts w:ascii="黑体" w:eastAsia="黑体" w:hint="eastAsia"/>
          <w:b/>
          <w:sz w:val="52"/>
          <w:szCs w:val="52"/>
        </w:rPr>
        <w:t>材料检测方法</w:t>
      </w:r>
    </w:p>
    <w:p w:rsidR="00323BAA" w:rsidRDefault="00323BAA" w:rsidP="00323BAA">
      <w:pPr>
        <w:jc w:val="center"/>
        <w:rPr>
          <w:rFonts w:ascii="黑体" w:eastAsia="黑体"/>
          <w:b/>
          <w:sz w:val="52"/>
          <w:szCs w:val="52"/>
        </w:rPr>
      </w:pPr>
      <w:r>
        <w:rPr>
          <w:rFonts w:ascii="黑体" w:eastAsia="黑体" w:hint="eastAsia"/>
          <w:b/>
          <w:sz w:val="52"/>
          <w:szCs w:val="52"/>
        </w:rPr>
        <w:t>第6部分 开气孔率的测定</w:t>
      </w:r>
    </w:p>
    <w:p w:rsidR="00323BAA" w:rsidRDefault="00323BAA" w:rsidP="00323BAA">
      <w:pPr>
        <w:jc w:val="center"/>
        <w:rPr>
          <w:rFonts w:ascii="宋体" w:eastAsia="宋体" w:hAnsi="宋体"/>
          <w:sz w:val="36"/>
          <w:szCs w:val="36"/>
        </w:rPr>
      </w:pPr>
      <w:r>
        <w:rPr>
          <w:rFonts w:ascii="宋体" w:hAnsi="宋体" w:hint="eastAsia"/>
          <w:sz w:val="36"/>
          <w:szCs w:val="36"/>
        </w:rPr>
        <w:t>（</w:t>
      </w:r>
      <w:r w:rsidR="00895B9B">
        <w:rPr>
          <w:rFonts w:ascii="宋体" w:hAnsi="宋体" w:hint="eastAsia"/>
          <w:sz w:val="36"/>
          <w:szCs w:val="36"/>
        </w:rPr>
        <w:t>审定</w:t>
      </w:r>
      <w:r>
        <w:rPr>
          <w:rFonts w:ascii="宋体" w:hAnsi="宋体" w:hint="eastAsia"/>
          <w:sz w:val="36"/>
          <w:szCs w:val="36"/>
        </w:rPr>
        <w:t>稿）</w:t>
      </w:r>
    </w:p>
    <w:p w:rsidR="00323BAA" w:rsidRDefault="00323BAA" w:rsidP="00323BAA">
      <w:pPr>
        <w:jc w:val="center"/>
        <w:rPr>
          <w:rFonts w:ascii="黑体" w:eastAsia="黑体" w:hAnsi="Times New Roman"/>
          <w:b/>
          <w:sz w:val="52"/>
          <w:szCs w:val="24"/>
        </w:rPr>
      </w:pPr>
    </w:p>
    <w:p w:rsidR="00323BAA" w:rsidRDefault="00323BAA" w:rsidP="00323BAA">
      <w:pPr>
        <w:jc w:val="center"/>
        <w:rPr>
          <w:rFonts w:ascii="黑体" w:eastAsia="黑体"/>
          <w:b/>
          <w:sz w:val="52"/>
        </w:rPr>
      </w:pPr>
    </w:p>
    <w:p w:rsidR="00323BAA" w:rsidRDefault="00323BAA" w:rsidP="00323BAA">
      <w:pPr>
        <w:jc w:val="center"/>
        <w:rPr>
          <w:rFonts w:ascii="黑体" w:eastAsia="黑体"/>
          <w:b/>
          <w:sz w:val="84"/>
          <w:szCs w:val="84"/>
        </w:rPr>
      </w:pPr>
      <w:r>
        <w:rPr>
          <w:rFonts w:ascii="黑体" w:eastAsia="黑体" w:hint="eastAsia"/>
          <w:b/>
          <w:sz w:val="84"/>
          <w:szCs w:val="84"/>
        </w:rPr>
        <w:t>编 制 说 明</w:t>
      </w:r>
    </w:p>
    <w:p w:rsidR="00323BAA" w:rsidRDefault="00323BAA" w:rsidP="00323BAA">
      <w:pPr>
        <w:rPr>
          <w:rFonts w:ascii="Times New Roman" w:eastAsia="楷体_GB2312"/>
          <w:b/>
          <w:sz w:val="28"/>
          <w:szCs w:val="24"/>
        </w:rPr>
      </w:pPr>
    </w:p>
    <w:p w:rsidR="00323BAA" w:rsidRDefault="00323BAA" w:rsidP="00323BAA">
      <w:pPr>
        <w:rPr>
          <w:rFonts w:eastAsia="楷体_GB2312"/>
          <w:b/>
          <w:sz w:val="28"/>
        </w:rPr>
      </w:pPr>
    </w:p>
    <w:p w:rsidR="00323BAA" w:rsidRDefault="00323BAA" w:rsidP="00323BAA">
      <w:pPr>
        <w:rPr>
          <w:rFonts w:eastAsia="楷体_GB2312"/>
          <w:b/>
          <w:sz w:val="28"/>
        </w:rPr>
      </w:pPr>
    </w:p>
    <w:p w:rsidR="00323BAA" w:rsidRDefault="00323BAA" w:rsidP="00323BAA">
      <w:pPr>
        <w:rPr>
          <w:rFonts w:eastAsia="楷体_GB2312"/>
          <w:b/>
          <w:sz w:val="28"/>
        </w:rPr>
      </w:pPr>
    </w:p>
    <w:p w:rsidR="00323BAA" w:rsidRDefault="00323BAA" w:rsidP="00323BAA">
      <w:pPr>
        <w:rPr>
          <w:rFonts w:eastAsia="楷体_GB2312"/>
          <w:b/>
          <w:sz w:val="28"/>
        </w:rPr>
      </w:pPr>
    </w:p>
    <w:p w:rsidR="00323BAA" w:rsidRDefault="00323BAA" w:rsidP="00323BAA">
      <w:pPr>
        <w:ind w:firstLine="691"/>
        <w:jc w:val="center"/>
        <w:rPr>
          <w:rFonts w:ascii="黑体" w:eastAsia="黑体"/>
          <w:sz w:val="36"/>
        </w:rPr>
      </w:pPr>
      <w:r>
        <w:rPr>
          <w:rFonts w:ascii="黑体" w:eastAsia="黑体" w:hint="eastAsia"/>
          <w:sz w:val="36"/>
        </w:rPr>
        <w:t>中国铝业郑州有色金属研究院有限公司</w:t>
      </w:r>
    </w:p>
    <w:p w:rsidR="00323BAA" w:rsidRDefault="00323BAA" w:rsidP="00323BAA">
      <w:pPr>
        <w:pStyle w:val="a3"/>
        <w:jc w:val="center"/>
        <w:rPr>
          <w:sz w:val="36"/>
        </w:rPr>
      </w:pPr>
      <w:r>
        <w:rPr>
          <w:rFonts w:ascii="黑体" w:eastAsia="黑体" w:hint="eastAsia"/>
          <w:sz w:val="36"/>
        </w:rPr>
        <w:t>二О一</w:t>
      </w:r>
      <w:r w:rsidR="00B11C19">
        <w:rPr>
          <w:rFonts w:ascii="黑体" w:eastAsia="黑体" w:hint="eastAsia"/>
          <w:sz w:val="36"/>
        </w:rPr>
        <w:t>八</w:t>
      </w:r>
      <w:r>
        <w:rPr>
          <w:rFonts w:ascii="黑体" w:eastAsia="黑体" w:hint="eastAsia"/>
          <w:sz w:val="36"/>
        </w:rPr>
        <w:t>年</w:t>
      </w:r>
      <w:r w:rsidR="00895B9B">
        <w:rPr>
          <w:rFonts w:ascii="黑体" w:eastAsia="黑体" w:hint="eastAsia"/>
          <w:sz w:val="36"/>
        </w:rPr>
        <w:t>十月</w:t>
      </w:r>
    </w:p>
    <w:p w:rsidR="00323BAA" w:rsidRDefault="00323BAA" w:rsidP="00323BAA">
      <w:pPr>
        <w:ind w:firstLine="531"/>
        <w:rPr>
          <w:rFonts w:eastAsia="黑体"/>
          <w:sz w:val="28"/>
        </w:rPr>
      </w:pPr>
    </w:p>
    <w:p w:rsidR="00323BAA" w:rsidRDefault="00323BAA" w:rsidP="00323BAA">
      <w:pPr>
        <w:spacing w:line="360" w:lineRule="auto"/>
        <w:jc w:val="center"/>
        <w:rPr>
          <w:rFonts w:eastAsia="黑体"/>
          <w:sz w:val="36"/>
        </w:rPr>
      </w:pPr>
      <w:r>
        <w:rPr>
          <w:rFonts w:eastAsia="黑体"/>
          <w:sz w:val="28"/>
        </w:rPr>
        <w:br w:type="page"/>
      </w:r>
      <w:r>
        <w:rPr>
          <w:rFonts w:eastAsia="黑体" w:hint="eastAsia"/>
          <w:sz w:val="36"/>
        </w:rPr>
        <w:lastRenderedPageBreak/>
        <w:t>编制说明</w:t>
      </w:r>
    </w:p>
    <w:p w:rsidR="00323BAA" w:rsidRPr="009260B3" w:rsidRDefault="00323BAA" w:rsidP="00D6272B">
      <w:pPr>
        <w:rPr>
          <w:rFonts w:ascii="黑体" w:eastAsia="黑体"/>
          <w:color w:val="000000"/>
          <w:kern w:val="0"/>
          <w:sz w:val="24"/>
          <w:szCs w:val="24"/>
        </w:rPr>
      </w:pPr>
      <w:r w:rsidRPr="009260B3">
        <w:rPr>
          <w:rFonts w:ascii="黑体" w:eastAsia="黑体" w:hint="eastAsia"/>
          <w:color w:val="000000"/>
          <w:kern w:val="0"/>
          <w:sz w:val="24"/>
          <w:szCs w:val="24"/>
        </w:rPr>
        <w:t>1、任务来源</w:t>
      </w:r>
    </w:p>
    <w:p w:rsidR="00323BAA" w:rsidRPr="009260B3" w:rsidRDefault="00323BAA" w:rsidP="00D6272B">
      <w:pPr>
        <w:ind w:firstLineChars="200" w:firstLine="480"/>
        <w:rPr>
          <w:rFonts w:ascii="宋体" w:eastAsia="宋体" w:hAnsi="宋体"/>
          <w:sz w:val="24"/>
          <w:szCs w:val="24"/>
        </w:rPr>
      </w:pPr>
      <w:r w:rsidRPr="009260B3">
        <w:rPr>
          <w:rFonts w:ascii="宋体" w:hint="eastAsia"/>
          <w:color w:val="000000"/>
          <w:kern w:val="0"/>
          <w:sz w:val="24"/>
          <w:szCs w:val="24"/>
        </w:rPr>
        <w:t>根据国家工业和信息化部</w:t>
      </w:r>
      <w:r w:rsidR="008D64FE" w:rsidRPr="009260B3">
        <w:rPr>
          <w:rFonts w:ascii="宋体" w:hAnsi="宋体" w:hint="eastAsia"/>
          <w:sz w:val="24"/>
          <w:szCs w:val="24"/>
        </w:rPr>
        <w:t>办公厅印发的2017年第一批有色金属行业标准制修订计划</w:t>
      </w:r>
      <w:r w:rsidR="00861C05" w:rsidRPr="009260B3">
        <w:rPr>
          <w:rFonts w:ascii="宋体" w:hAnsi="宋体" w:hint="eastAsia"/>
          <w:sz w:val="24"/>
          <w:szCs w:val="24"/>
        </w:rPr>
        <w:t>的</w:t>
      </w:r>
      <w:r w:rsidR="008D64FE" w:rsidRPr="009260B3">
        <w:rPr>
          <w:rFonts w:ascii="宋体" w:hAnsi="宋体" w:hint="eastAsia"/>
          <w:sz w:val="24"/>
          <w:szCs w:val="24"/>
        </w:rPr>
        <w:t>安排</w:t>
      </w:r>
      <w:r w:rsidRPr="009260B3">
        <w:rPr>
          <w:rFonts w:ascii="宋体" w:hAnsi="宋体" w:hint="eastAsia"/>
          <w:sz w:val="24"/>
          <w:szCs w:val="24"/>
        </w:rPr>
        <w:t>，有色金属行业标准</w:t>
      </w:r>
      <w:r w:rsidRPr="009260B3">
        <w:rPr>
          <w:rFonts w:ascii="Times New Roman" w:hAnsi="Times New Roman" w:cs="Times New Roman"/>
          <w:sz w:val="24"/>
          <w:szCs w:val="24"/>
        </w:rPr>
        <w:t>YS/T 63.6-201X</w:t>
      </w:r>
      <w:r w:rsidRPr="009260B3">
        <w:rPr>
          <w:rFonts w:ascii="宋体" w:hAnsi="宋体" w:hint="eastAsia"/>
          <w:sz w:val="24"/>
          <w:szCs w:val="24"/>
        </w:rPr>
        <w:t>《铝用</w:t>
      </w:r>
      <w:proofErr w:type="gramStart"/>
      <w:r w:rsidRPr="009260B3">
        <w:rPr>
          <w:rFonts w:ascii="宋体" w:hAnsi="宋体" w:hint="eastAsia"/>
          <w:sz w:val="24"/>
          <w:szCs w:val="24"/>
        </w:rPr>
        <w:t>炭素</w:t>
      </w:r>
      <w:proofErr w:type="gramEnd"/>
      <w:r w:rsidRPr="009260B3">
        <w:rPr>
          <w:rFonts w:ascii="宋体" w:hAnsi="宋体" w:hint="eastAsia"/>
          <w:sz w:val="24"/>
          <w:szCs w:val="24"/>
        </w:rPr>
        <w:t>材料检测方法 第6部分</w:t>
      </w:r>
      <w:r w:rsidR="00861C05" w:rsidRPr="009260B3">
        <w:rPr>
          <w:rFonts w:ascii="宋体" w:hAnsi="宋体" w:hint="eastAsia"/>
          <w:sz w:val="24"/>
          <w:szCs w:val="24"/>
        </w:rPr>
        <w:t>：</w:t>
      </w:r>
      <w:r w:rsidRPr="009260B3">
        <w:rPr>
          <w:rFonts w:ascii="宋体" w:hAnsi="宋体" w:hint="eastAsia"/>
          <w:sz w:val="24"/>
          <w:szCs w:val="24"/>
        </w:rPr>
        <w:t>开气孔率的测定</w:t>
      </w:r>
      <w:r w:rsidRPr="009260B3">
        <w:rPr>
          <w:rFonts w:hint="eastAsia"/>
          <w:noProof/>
          <w:sz w:val="24"/>
          <w:szCs w:val="24"/>
        </w:rPr>
        <w:t>》</w:t>
      </w:r>
      <w:r w:rsidRPr="009260B3">
        <w:rPr>
          <w:rFonts w:ascii="宋体" w:hAnsi="宋体" w:hint="eastAsia"/>
          <w:sz w:val="24"/>
          <w:szCs w:val="24"/>
        </w:rPr>
        <w:t>（项目</w:t>
      </w:r>
      <w:r w:rsidR="008D64FE" w:rsidRPr="009260B3">
        <w:rPr>
          <w:rFonts w:ascii="宋体" w:hAnsi="宋体" w:hint="eastAsia"/>
          <w:sz w:val="24"/>
          <w:szCs w:val="24"/>
        </w:rPr>
        <w:t>计划</w:t>
      </w:r>
      <w:r w:rsidRPr="009260B3">
        <w:rPr>
          <w:rFonts w:ascii="宋体" w:hAnsi="宋体" w:hint="eastAsia"/>
          <w:sz w:val="24"/>
          <w:szCs w:val="24"/>
        </w:rPr>
        <w:t>编号为：</w:t>
      </w:r>
      <w:proofErr w:type="gramStart"/>
      <w:r w:rsidR="008D64FE" w:rsidRPr="009260B3">
        <w:rPr>
          <w:rFonts w:asciiTheme="minorEastAsia" w:hAnsiTheme="minorEastAsia" w:hint="eastAsia"/>
          <w:sz w:val="24"/>
          <w:szCs w:val="24"/>
        </w:rPr>
        <w:t>工信厅科</w:t>
      </w:r>
      <w:proofErr w:type="gramEnd"/>
      <w:r w:rsidR="008D64FE" w:rsidRPr="009260B3">
        <w:rPr>
          <w:rFonts w:ascii="Times New Roman" w:hAnsi="Times New Roman" w:cs="Times New Roman"/>
          <w:sz w:val="24"/>
          <w:szCs w:val="24"/>
        </w:rPr>
        <w:t>[2017]</w:t>
      </w:r>
      <w:r w:rsidR="00861C05" w:rsidRPr="009260B3">
        <w:rPr>
          <w:rFonts w:ascii="Times New Roman" w:hAnsi="Times New Roman" w:cs="Times New Roman"/>
          <w:sz w:val="24"/>
          <w:szCs w:val="24"/>
        </w:rPr>
        <w:t>40</w:t>
      </w:r>
      <w:r w:rsidR="008D64FE" w:rsidRPr="009260B3">
        <w:rPr>
          <w:rFonts w:asciiTheme="minorEastAsia" w:hAnsiTheme="minorEastAsia" w:hint="eastAsia"/>
          <w:sz w:val="24"/>
          <w:szCs w:val="24"/>
        </w:rPr>
        <w:t>号</w:t>
      </w:r>
      <w:r w:rsidR="008D64FE" w:rsidRPr="009260B3">
        <w:rPr>
          <w:rFonts w:ascii="宋体" w:hAnsi="宋体" w:hint="eastAsia"/>
          <w:sz w:val="24"/>
          <w:szCs w:val="24"/>
        </w:rPr>
        <w:t xml:space="preserve"> </w:t>
      </w:r>
      <w:r w:rsidR="008D64FE" w:rsidRPr="009260B3">
        <w:rPr>
          <w:rFonts w:ascii="Times New Roman" w:hAnsi="Times New Roman" w:cs="Times New Roman"/>
          <w:sz w:val="24"/>
          <w:szCs w:val="24"/>
        </w:rPr>
        <w:t>2017-0172T-YS</w:t>
      </w:r>
      <w:r w:rsidR="00DF5599" w:rsidRPr="009260B3">
        <w:rPr>
          <w:rFonts w:ascii="宋体" w:hAnsi="宋体" w:hint="eastAsia"/>
          <w:sz w:val="24"/>
          <w:szCs w:val="24"/>
        </w:rPr>
        <w:t>）由中国铝业郑州有色金属研究院有限公司负责起草。2017年7月全国有色金属标准化技术委员会在天津讨论会上确定，</w:t>
      </w:r>
      <w:r w:rsidR="00DF5599" w:rsidRPr="009260B3">
        <w:rPr>
          <w:rFonts w:ascii="宋体" w:eastAsia="宋体" w:hAnsi="宋体" w:cs="Times New Roman" w:hint="eastAsia"/>
          <w:sz w:val="24"/>
          <w:szCs w:val="24"/>
        </w:rPr>
        <w:t>济南澳海</w:t>
      </w:r>
      <w:proofErr w:type="gramStart"/>
      <w:r w:rsidR="00DF5599" w:rsidRPr="009260B3">
        <w:rPr>
          <w:rFonts w:ascii="宋体" w:eastAsia="宋体" w:hAnsi="宋体" w:cs="Times New Roman" w:hint="eastAsia"/>
          <w:sz w:val="24"/>
          <w:szCs w:val="24"/>
        </w:rPr>
        <w:t>炭素</w:t>
      </w:r>
      <w:proofErr w:type="gramEnd"/>
      <w:r w:rsidR="00DF5599" w:rsidRPr="009260B3">
        <w:rPr>
          <w:rFonts w:ascii="宋体" w:eastAsia="宋体" w:hAnsi="宋体" w:cs="Times New Roman" w:hint="eastAsia"/>
          <w:sz w:val="24"/>
          <w:szCs w:val="24"/>
        </w:rPr>
        <w:t>有限公司</w:t>
      </w:r>
      <w:r w:rsidR="00DF5599" w:rsidRPr="009260B3">
        <w:rPr>
          <w:rFonts w:ascii="宋体" w:hAnsi="宋体" w:hint="eastAsia"/>
          <w:sz w:val="24"/>
          <w:szCs w:val="24"/>
        </w:rPr>
        <w:t>、</w:t>
      </w:r>
      <w:r w:rsidR="00DF5599" w:rsidRPr="009260B3">
        <w:rPr>
          <w:rFonts w:ascii="宋体" w:eastAsia="宋体" w:hAnsi="宋体" w:cs="Times New Roman" w:hint="eastAsia"/>
          <w:sz w:val="24"/>
          <w:szCs w:val="24"/>
        </w:rPr>
        <w:t>索通发展有限公司</w:t>
      </w:r>
      <w:r w:rsidR="00DF5599" w:rsidRPr="009260B3">
        <w:rPr>
          <w:rFonts w:ascii="宋体" w:hAnsi="宋体" w:hint="eastAsia"/>
          <w:sz w:val="24"/>
          <w:szCs w:val="24"/>
        </w:rPr>
        <w:t>、</w:t>
      </w:r>
      <w:r w:rsidR="00DF5599" w:rsidRPr="009260B3">
        <w:rPr>
          <w:rFonts w:ascii="宋体" w:eastAsia="宋体" w:hAnsi="宋体" w:cs="Times New Roman" w:hint="eastAsia"/>
          <w:sz w:val="24"/>
          <w:szCs w:val="24"/>
        </w:rPr>
        <w:t>济南华阳</w:t>
      </w:r>
      <w:proofErr w:type="gramStart"/>
      <w:r w:rsidR="00DF5599" w:rsidRPr="009260B3">
        <w:rPr>
          <w:rFonts w:ascii="宋体" w:eastAsia="宋体" w:hAnsi="宋体" w:cs="Times New Roman" w:hint="eastAsia"/>
          <w:sz w:val="24"/>
          <w:szCs w:val="24"/>
        </w:rPr>
        <w:t>炭素</w:t>
      </w:r>
      <w:proofErr w:type="gramEnd"/>
      <w:r w:rsidR="00DF5599" w:rsidRPr="009260B3">
        <w:rPr>
          <w:rFonts w:ascii="宋体" w:eastAsia="宋体" w:hAnsi="宋体" w:cs="Times New Roman" w:hint="eastAsia"/>
          <w:sz w:val="24"/>
          <w:szCs w:val="24"/>
        </w:rPr>
        <w:t>有限公司</w:t>
      </w:r>
      <w:r w:rsidR="00DF5599" w:rsidRPr="009260B3">
        <w:rPr>
          <w:rFonts w:ascii="宋体" w:hAnsi="宋体" w:hint="eastAsia"/>
          <w:sz w:val="24"/>
          <w:szCs w:val="24"/>
        </w:rPr>
        <w:t>、</w:t>
      </w:r>
      <w:bookmarkStart w:id="0" w:name="_GoBack"/>
      <w:bookmarkEnd w:id="0"/>
      <w:r w:rsidR="00DF5599" w:rsidRPr="009260B3">
        <w:rPr>
          <w:rFonts w:ascii="宋体" w:eastAsia="宋体" w:hAnsi="宋体" w:cs="Times New Roman" w:hint="eastAsia"/>
          <w:sz w:val="24"/>
          <w:szCs w:val="24"/>
        </w:rPr>
        <w:t>肥城昌盛特种石墨有限公司</w:t>
      </w:r>
      <w:r w:rsidR="00DF5599" w:rsidRPr="009260B3">
        <w:rPr>
          <w:rFonts w:ascii="宋体" w:hAnsi="宋体" w:hint="eastAsia"/>
          <w:sz w:val="24"/>
          <w:szCs w:val="24"/>
        </w:rPr>
        <w:t>和</w:t>
      </w:r>
      <w:r w:rsidR="00DF5599" w:rsidRPr="009260B3">
        <w:rPr>
          <w:rFonts w:asciiTheme="majorEastAsia" w:eastAsiaTheme="majorEastAsia" w:hAnsiTheme="majorEastAsia" w:hint="eastAsia"/>
          <w:sz w:val="24"/>
          <w:szCs w:val="24"/>
        </w:rPr>
        <w:t>河南省有色金属地质勘查总院等参与标准的起草工作</w:t>
      </w:r>
      <w:r w:rsidRPr="009260B3">
        <w:rPr>
          <w:rFonts w:ascii="宋体" w:hAnsi="宋体" w:hint="eastAsia"/>
          <w:sz w:val="24"/>
          <w:szCs w:val="24"/>
        </w:rPr>
        <w:t>。</w:t>
      </w:r>
    </w:p>
    <w:p w:rsidR="00323BAA" w:rsidRPr="009260B3" w:rsidRDefault="00323BAA" w:rsidP="00D6272B">
      <w:pPr>
        <w:rPr>
          <w:rFonts w:ascii="黑体" w:eastAsia="黑体" w:hAnsi="宋体"/>
          <w:sz w:val="24"/>
          <w:szCs w:val="24"/>
        </w:rPr>
      </w:pPr>
      <w:r w:rsidRPr="009260B3">
        <w:rPr>
          <w:rFonts w:ascii="黑体" w:eastAsia="黑体" w:hAnsi="宋体" w:hint="eastAsia"/>
          <w:sz w:val="24"/>
          <w:szCs w:val="24"/>
        </w:rPr>
        <w:t>2、铝用</w:t>
      </w:r>
      <w:proofErr w:type="gramStart"/>
      <w:r w:rsidRPr="009260B3">
        <w:rPr>
          <w:rFonts w:ascii="黑体" w:eastAsia="黑体" w:hAnsi="宋体" w:hint="eastAsia"/>
          <w:sz w:val="24"/>
          <w:szCs w:val="24"/>
        </w:rPr>
        <w:t>炭素</w:t>
      </w:r>
      <w:proofErr w:type="gramEnd"/>
      <w:r w:rsidRPr="009260B3">
        <w:rPr>
          <w:rFonts w:ascii="黑体" w:eastAsia="黑体" w:hAnsi="宋体" w:hint="eastAsia"/>
          <w:sz w:val="24"/>
          <w:szCs w:val="24"/>
        </w:rPr>
        <w:t>检测方法概况</w:t>
      </w:r>
    </w:p>
    <w:p w:rsidR="00323BAA" w:rsidRPr="009260B3" w:rsidRDefault="00323BAA" w:rsidP="00D6272B">
      <w:pPr>
        <w:ind w:firstLineChars="200" w:firstLine="480"/>
        <w:rPr>
          <w:rFonts w:ascii="Times New Roman" w:eastAsia="宋体" w:hAnsi="Times New Roman"/>
          <w:color w:val="000000"/>
          <w:sz w:val="24"/>
          <w:szCs w:val="24"/>
        </w:rPr>
      </w:pPr>
      <w:r w:rsidRPr="009260B3">
        <w:rPr>
          <w:rFonts w:hint="eastAsia"/>
          <w:color w:val="000000"/>
          <w:sz w:val="24"/>
          <w:szCs w:val="24"/>
        </w:rPr>
        <w:t>铝用</w:t>
      </w:r>
      <w:proofErr w:type="gramStart"/>
      <w:r w:rsidRPr="009260B3">
        <w:rPr>
          <w:rFonts w:hint="eastAsia"/>
          <w:color w:val="000000"/>
          <w:sz w:val="24"/>
          <w:szCs w:val="24"/>
        </w:rPr>
        <w:t>炭素</w:t>
      </w:r>
      <w:proofErr w:type="gramEnd"/>
      <w:r w:rsidRPr="009260B3">
        <w:rPr>
          <w:rFonts w:hint="eastAsia"/>
          <w:color w:val="000000"/>
          <w:sz w:val="24"/>
          <w:szCs w:val="24"/>
        </w:rPr>
        <w:t>材料检测方法总共分为</w:t>
      </w:r>
      <w:r w:rsidRPr="009260B3">
        <w:rPr>
          <w:color w:val="000000"/>
          <w:sz w:val="24"/>
          <w:szCs w:val="24"/>
        </w:rPr>
        <w:t>27</w:t>
      </w:r>
      <w:r w:rsidRPr="009260B3">
        <w:rPr>
          <w:rFonts w:hint="eastAsia"/>
          <w:color w:val="000000"/>
          <w:sz w:val="24"/>
          <w:szCs w:val="24"/>
        </w:rPr>
        <w:t>个部分，涵盖了预焙阳极、阴极炭块</w:t>
      </w:r>
      <w:proofErr w:type="gramStart"/>
      <w:r w:rsidRPr="009260B3">
        <w:rPr>
          <w:rFonts w:hint="eastAsia"/>
          <w:color w:val="000000"/>
          <w:sz w:val="24"/>
          <w:szCs w:val="24"/>
        </w:rPr>
        <w:t>和铝用耐火材料</w:t>
      </w:r>
      <w:proofErr w:type="gramEnd"/>
      <w:r w:rsidRPr="009260B3">
        <w:rPr>
          <w:rFonts w:hint="eastAsia"/>
          <w:color w:val="000000"/>
          <w:sz w:val="24"/>
          <w:szCs w:val="24"/>
        </w:rPr>
        <w:t>的性能检测与成分分析。本部分为铝用</w:t>
      </w:r>
      <w:proofErr w:type="gramStart"/>
      <w:r w:rsidRPr="009260B3">
        <w:rPr>
          <w:rFonts w:hint="eastAsia"/>
          <w:color w:val="000000"/>
          <w:sz w:val="24"/>
          <w:szCs w:val="24"/>
        </w:rPr>
        <w:t>炭素</w:t>
      </w:r>
      <w:proofErr w:type="gramEnd"/>
      <w:r w:rsidRPr="009260B3">
        <w:rPr>
          <w:rFonts w:hint="eastAsia"/>
          <w:color w:val="000000"/>
          <w:sz w:val="24"/>
          <w:szCs w:val="24"/>
        </w:rPr>
        <w:t>材料开气孔率的测定方法。</w:t>
      </w:r>
    </w:p>
    <w:p w:rsidR="00323BAA" w:rsidRPr="009260B3" w:rsidRDefault="00323BAA" w:rsidP="00D6272B">
      <w:pPr>
        <w:ind w:firstLineChars="205" w:firstLine="492"/>
        <w:rPr>
          <w:rFonts w:ascii="宋体" w:hAnsi="宋体"/>
          <w:sz w:val="24"/>
          <w:szCs w:val="24"/>
        </w:rPr>
      </w:pPr>
      <w:r w:rsidRPr="009260B3">
        <w:rPr>
          <w:rFonts w:ascii="宋体" w:hAnsi="宋体" w:hint="eastAsia"/>
          <w:sz w:val="24"/>
          <w:szCs w:val="24"/>
        </w:rPr>
        <w:t>随着电解槽容量的大幅提高，铝电解工业对预焙阳极和阴极炭块的要求越来越严格</w:t>
      </w:r>
      <w:r w:rsidR="00AF5501" w:rsidRPr="009260B3">
        <w:rPr>
          <w:rFonts w:ascii="宋体" w:hAnsi="宋体" w:hint="eastAsia"/>
          <w:sz w:val="24"/>
          <w:szCs w:val="24"/>
        </w:rPr>
        <w:t>。</w:t>
      </w:r>
      <w:r w:rsidRPr="009260B3">
        <w:rPr>
          <w:rFonts w:ascii="宋体" w:hAnsi="宋体" w:hint="eastAsia"/>
          <w:sz w:val="24"/>
          <w:szCs w:val="24"/>
        </w:rPr>
        <w:t>预焙阳极的开气孔率性能，对阳极空气与二氧化碳反应损失关系重大。开气孔率大，表明阳极在与气体反应时的接触面积加大，容易增加反应的速度，电解碳耗加大，企业成本增加且环境污染加重。</w:t>
      </w:r>
      <w:r w:rsidR="00DC65D1" w:rsidRPr="009260B3">
        <w:rPr>
          <w:rFonts w:ascii="宋体" w:hAnsi="宋体" w:hint="eastAsia"/>
          <w:sz w:val="24"/>
          <w:szCs w:val="24"/>
        </w:rPr>
        <w:t>阴极炭块的开气孔率性能，在铝电解过程中，会影响电解质和铝液在炭块中的渗透性能，从而影响电解工艺的稳定和电解槽寿命。</w:t>
      </w:r>
    </w:p>
    <w:p w:rsidR="00AF5501" w:rsidRPr="009260B3" w:rsidRDefault="00323BAA" w:rsidP="00D6272B">
      <w:pPr>
        <w:ind w:firstLineChars="200" w:firstLine="480"/>
        <w:rPr>
          <w:sz w:val="24"/>
          <w:szCs w:val="24"/>
        </w:rPr>
      </w:pPr>
      <w:r w:rsidRPr="009260B3">
        <w:rPr>
          <w:rFonts w:hint="eastAsia"/>
          <w:sz w:val="24"/>
          <w:szCs w:val="24"/>
        </w:rPr>
        <w:t>测定炭块开气孔率的方法目前主要采用的是静力学天平法，该方法需要将试样放在水中充分煮沸，以保证水能够充分填充试样的开气孔。由于水存在较大的表面张力，对于炭块中那些极其微小的气孔，很难</w:t>
      </w:r>
      <w:r w:rsidR="00AF5501" w:rsidRPr="009260B3">
        <w:rPr>
          <w:rFonts w:hint="eastAsia"/>
          <w:sz w:val="24"/>
          <w:szCs w:val="24"/>
        </w:rPr>
        <w:t>有效地填充其中。而且</w:t>
      </w:r>
      <w:proofErr w:type="gramStart"/>
      <w:r w:rsidR="00AF5501" w:rsidRPr="009260B3">
        <w:rPr>
          <w:rFonts w:hint="eastAsia"/>
          <w:sz w:val="24"/>
          <w:szCs w:val="24"/>
        </w:rPr>
        <w:t>炭素</w:t>
      </w:r>
      <w:proofErr w:type="gramEnd"/>
      <w:r w:rsidR="00AF5501" w:rsidRPr="009260B3">
        <w:rPr>
          <w:rFonts w:hint="eastAsia"/>
          <w:sz w:val="24"/>
          <w:szCs w:val="24"/>
        </w:rPr>
        <w:t>试样与水的浸润性往往不是很好，导致试样表面的一些较大孔隙也不能有效的湿润和填充。</w:t>
      </w:r>
    </w:p>
    <w:p w:rsidR="00323BAA" w:rsidRPr="009260B3" w:rsidRDefault="00AF5501" w:rsidP="00D6272B">
      <w:pPr>
        <w:ind w:firstLineChars="200" w:firstLine="480"/>
        <w:rPr>
          <w:rFonts w:ascii="宋体" w:hAnsi="宋体"/>
          <w:sz w:val="24"/>
          <w:szCs w:val="24"/>
        </w:rPr>
      </w:pPr>
      <w:r w:rsidRPr="009260B3">
        <w:rPr>
          <w:rFonts w:hint="eastAsia"/>
          <w:sz w:val="24"/>
          <w:szCs w:val="24"/>
        </w:rPr>
        <w:t>当采用气体介质来进行炭块开气孔的填充时，能很好地克服水或其它液体介质的缺点。特别是氦气，分子小，容易穿透炭块中的亚微米级孔隙，而且不存在表面张力，也能很好的与炭块试样“浸润”，从而更好地反映炭块开气孔率的真实情况。所以，我们根据实验研究和借鉴相关文献资料，提出了采用氦比重计来测定铝用</w:t>
      </w:r>
      <w:proofErr w:type="gramStart"/>
      <w:r w:rsidRPr="009260B3">
        <w:rPr>
          <w:rFonts w:hint="eastAsia"/>
          <w:sz w:val="24"/>
          <w:szCs w:val="24"/>
        </w:rPr>
        <w:t>炭素</w:t>
      </w:r>
      <w:proofErr w:type="gramEnd"/>
      <w:r w:rsidRPr="009260B3">
        <w:rPr>
          <w:rFonts w:hint="eastAsia"/>
          <w:sz w:val="24"/>
          <w:szCs w:val="24"/>
        </w:rPr>
        <w:t>材料开气孔率的方法。</w:t>
      </w:r>
    </w:p>
    <w:p w:rsidR="00323BAA" w:rsidRPr="009260B3" w:rsidRDefault="00323BAA" w:rsidP="00D6272B">
      <w:pPr>
        <w:rPr>
          <w:rFonts w:ascii="黑体" w:eastAsia="黑体" w:hAnsi="宋体"/>
          <w:sz w:val="24"/>
          <w:szCs w:val="24"/>
        </w:rPr>
      </w:pPr>
      <w:r w:rsidRPr="009260B3">
        <w:rPr>
          <w:rFonts w:ascii="黑体" w:eastAsia="黑体" w:hAnsi="宋体" w:hint="eastAsia"/>
          <w:sz w:val="24"/>
          <w:szCs w:val="24"/>
        </w:rPr>
        <w:t>3、标准负责起草单位简况</w:t>
      </w:r>
    </w:p>
    <w:p w:rsidR="00323BAA" w:rsidRPr="009260B3" w:rsidRDefault="00323BAA" w:rsidP="00D6272B">
      <w:pPr>
        <w:ind w:firstLineChars="200" w:firstLine="480"/>
        <w:rPr>
          <w:rFonts w:ascii="宋体" w:eastAsia="宋体" w:hAnsi="宋体"/>
          <w:sz w:val="24"/>
          <w:szCs w:val="24"/>
        </w:rPr>
      </w:pPr>
      <w:r w:rsidRPr="009260B3">
        <w:rPr>
          <w:rFonts w:hint="eastAsia"/>
          <w:sz w:val="24"/>
          <w:szCs w:val="24"/>
        </w:rPr>
        <w:t>中国铝业郑州有色金属研究院有限公司是国内唯一的从事铝、镁轻金属研究的专业性机构，其前身是郑州轻金属研究院，成立于</w:t>
      </w:r>
      <w:r w:rsidRPr="009260B3">
        <w:rPr>
          <w:sz w:val="24"/>
          <w:szCs w:val="24"/>
        </w:rPr>
        <w:t>1965</w:t>
      </w:r>
      <w:r w:rsidRPr="009260B3">
        <w:rPr>
          <w:rFonts w:hint="eastAsia"/>
          <w:sz w:val="24"/>
          <w:szCs w:val="24"/>
        </w:rPr>
        <w:t>年，一直致力于行业重大、关键、共性技术的开发研究，包括大型预焙铝电解槽、皮江法炼镁、氧化铝的砂状化、选矿拜耳法等国家重点科技攻关项目的研究。拥有铝土矿处理、氧化铝工艺、铝用</w:t>
      </w:r>
      <w:proofErr w:type="gramStart"/>
      <w:r w:rsidRPr="009260B3">
        <w:rPr>
          <w:rFonts w:hint="eastAsia"/>
          <w:sz w:val="24"/>
          <w:szCs w:val="24"/>
        </w:rPr>
        <w:t>炭素</w:t>
      </w:r>
      <w:proofErr w:type="gramEnd"/>
      <w:r w:rsidRPr="009260B3">
        <w:rPr>
          <w:rFonts w:hint="eastAsia"/>
          <w:sz w:val="24"/>
          <w:szCs w:val="24"/>
        </w:rPr>
        <w:t>和电解铝工艺、镁冶炼工艺、化学品氧化铝和轻金属材料工艺、</w:t>
      </w:r>
      <w:r w:rsidRPr="009260B3">
        <w:rPr>
          <w:rFonts w:ascii="Times New Roman" w:cs="Times New Roman"/>
          <w:sz w:val="24"/>
          <w:szCs w:val="24"/>
        </w:rPr>
        <w:t>轻金属检测等技术领域的研究实验室，具有完善的铝、镁基础理论研究技术平台，包括</w:t>
      </w:r>
      <w:r w:rsidRPr="009260B3">
        <w:rPr>
          <w:rFonts w:ascii="Times New Roman" w:hAnsi="Times New Roman" w:cs="Times New Roman"/>
          <w:sz w:val="24"/>
          <w:szCs w:val="24"/>
        </w:rPr>
        <w:t>TEM</w:t>
      </w:r>
      <w:r w:rsidRPr="009260B3">
        <w:rPr>
          <w:rFonts w:ascii="Times New Roman" w:cs="Times New Roman"/>
          <w:sz w:val="24"/>
          <w:szCs w:val="24"/>
        </w:rPr>
        <w:t>、</w:t>
      </w:r>
      <w:r w:rsidRPr="009260B3">
        <w:rPr>
          <w:rFonts w:ascii="Times New Roman" w:hAnsi="Times New Roman" w:cs="Times New Roman"/>
          <w:sz w:val="24"/>
          <w:szCs w:val="24"/>
        </w:rPr>
        <w:t>SEM</w:t>
      </w:r>
      <w:r w:rsidRPr="009260B3">
        <w:rPr>
          <w:rFonts w:ascii="Times New Roman" w:cs="Times New Roman"/>
          <w:sz w:val="24"/>
          <w:szCs w:val="24"/>
        </w:rPr>
        <w:t>、</w:t>
      </w:r>
      <w:r w:rsidRPr="009260B3">
        <w:rPr>
          <w:rFonts w:ascii="Times New Roman" w:hAnsi="Times New Roman" w:cs="Times New Roman"/>
          <w:sz w:val="24"/>
          <w:szCs w:val="24"/>
        </w:rPr>
        <w:t>EDS</w:t>
      </w:r>
      <w:r w:rsidRPr="009260B3">
        <w:rPr>
          <w:rFonts w:ascii="Times New Roman" w:cs="Times New Roman"/>
          <w:sz w:val="24"/>
          <w:szCs w:val="24"/>
        </w:rPr>
        <w:t>、</w:t>
      </w:r>
      <w:r w:rsidRPr="009260B3">
        <w:rPr>
          <w:rFonts w:ascii="Times New Roman" w:hAnsi="Times New Roman" w:cs="Times New Roman"/>
          <w:sz w:val="24"/>
          <w:szCs w:val="24"/>
        </w:rPr>
        <w:t>XRD</w:t>
      </w:r>
      <w:r w:rsidRPr="009260B3">
        <w:rPr>
          <w:rFonts w:ascii="Times New Roman" w:cs="Times New Roman"/>
          <w:sz w:val="24"/>
          <w:szCs w:val="24"/>
        </w:rPr>
        <w:t>、</w:t>
      </w:r>
      <w:r w:rsidRPr="009260B3">
        <w:rPr>
          <w:rFonts w:ascii="Times New Roman" w:hAnsi="Times New Roman" w:cs="Times New Roman"/>
          <w:sz w:val="24"/>
          <w:szCs w:val="24"/>
        </w:rPr>
        <w:t>XRF</w:t>
      </w:r>
      <w:r w:rsidRPr="009260B3">
        <w:rPr>
          <w:rFonts w:ascii="Times New Roman" w:cs="Times New Roman"/>
          <w:sz w:val="24"/>
          <w:szCs w:val="24"/>
        </w:rPr>
        <w:t>、</w:t>
      </w:r>
      <w:r w:rsidRPr="009260B3">
        <w:rPr>
          <w:rFonts w:ascii="Times New Roman" w:hAnsi="Times New Roman" w:cs="Times New Roman"/>
          <w:sz w:val="24"/>
          <w:szCs w:val="24"/>
        </w:rPr>
        <w:t>IC</w:t>
      </w:r>
      <w:r w:rsidRPr="009260B3">
        <w:rPr>
          <w:rFonts w:ascii="Times New Roman" w:cs="Times New Roman"/>
          <w:sz w:val="24"/>
          <w:szCs w:val="24"/>
        </w:rPr>
        <w:t>等在内的大型仪器设备</w:t>
      </w:r>
      <w:r w:rsidRPr="009260B3">
        <w:rPr>
          <w:rFonts w:ascii="Times New Roman" w:hAnsi="Times New Roman" w:cs="Times New Roman"/>
          <w:sz w:val="24"/>
          <w:szCs w:val="24"/>
        </w:rPr>
        <w:t>50</w:t>
      </w:r>
      <w:r w:rsidRPr="009260B3">
        <w:rPr>
          <w:rFonts w:ascii="Times New Roman" w:cs="Times New Roman"/>
          <w:sz w:val="24"/>
          <w:szCs w:val="24"/>
        </w:rPr>
        <w:t>余套，建有世界上最大的氧化铝中间试验厂和电解铝中间试验厂，以及铝土矿综合利用试验基地，同时依托郑州研究院设立了国家铝冶炼工程技术研究中心、国家轻金属质量监督检验中心和中国铝业股份有限公司博士后科研工作站。郑州研究院也是</w:t>
      </w:r>
      <w:r w:rsidRPr="009260B3">
        <w:rPr>
          <w:rFonts w:ascii="Times New Roman" w:hAnsi="宋体" w:cs="Times New Roman"/>
          <w:sz w:val="24"/>
          <w:szCs w:val="24"/>
        </w:rPr>
        <w:t>国际标准化组织</w:t>
      </w:r>
      <w:r w:rsidRPr="009260B3">
        <w:rPr>
          <w:rFonts w:ascii="Times New Roman" w:hAnsi="Times New Roman" w:cs="Times New Roman"/>
          <w:sz w:val="24"/>
          <w:szCs w:val="24"/>
        </w:rPr>
        <w:t>ISO/TC79</w:t>
      </w:r>
      <w:r w:rsidRPr="009260B3">
        <w:rPr>
          <w:rFonts w:ascii="Times New Roman" w:hAnsi="宋体" w:cs="Times New Roman"/>
          <w:sz w:val="24"/>
          <w:szCs w:val="24"/>
        </w:rPr>
        <w:t>、</w:t>
      </w:r>
      <w:r w:rsidRPr="009260B3">
        <w:rPr>
          <w:rFonts w:ascii="Times New Roman" w:hAnsi="Times New Roman" w:cs="Times New Roman"/>
          <w:sz w:val="24"/>
          <w:szCs w:val="24"/>
        </w:rPr>
        <w:t>ISO/TC129</w:t>
      </w:r>
      <w:r w:rsidRPr="009260B3">
        <w:rPr>
          <w:rFonts w:ascii="Times New Roman" w:hAnsi="宋体" w:cs="Times New Roman"/>
          <w:sz w:val="24"/>
          <w:szCs w:val="24"/>
        </w:rPr>
        <w:t>、</w:t>
      </w:r>
      <w:r w:rsidRPr="009260B3">
        <w:rPr>
          <w:rFonts w:ascii="Times New Roman" w:hAnsi="Times New Roman" w:cs="Times New Roman"/>
          <w:sz w:val="24"/>
          <w:szCs w:val="24"/>
        </w:rPr>
        <w:t>ISO/TC226</w:t>
      </w:r>
      <w:r w:rsidRPr="009260B3">
        <w:rPr>
          <w:rFonts w:ascii="Times New Roman" w:hAnsi="宋体" w:cs="Times New Roman"/>
          <w:sz w:val="24"/>
          <w:szCs w:val="24"/>
        </w:rPr>
        <w:t>在</w:t>
      </w:r>
      <w:r w:rsidRPr="009260B3">
        <w:rPr>
          <w:rFonts w:ascii="Times New Roman" w:hAnsi="Times New Roman" w:cs="Times New Roman"/>
          <w:sz w:val="24"/>
          <w:szCs w:val="24"/>
        </w:rPr>
        <w:t xml:space="preserve"> </w:t>
      </w:r>
      <w:r w:rsidRPr="009260B3">
        <w:rPr>
          <w:rFonts w:ascii="Times New Roman" w:hAnsi="宋体" w:cs="Times New Roman"/>
          <w:sz w:val="24"/>
          <w:szCs w:val="24"/>
        </w:rPr>
        <w:t>国内的主要技术支撑单位，在全国有色金属标准化技术委员会的直接领导下，承担了轻金属行业大部分分析检测方法标准的起草或修订工作，近今年来，作为负责起草单位，完</w:t>
      </w:r>
      <w:r w:rsidRPr="009260B3">
        <w:rPr>
          <w:rFonts w:ascii="Times New Roman" w:hAnsi="宋体" w:cs="Times New Roman"/>
          <w:sz w:val="24"/>
          <w:szCs w:val="24"/>
        </w:rPr>
        <w:lastRenderedPageBreak/>
        <w:t>成了《铝土矿石化学分析方法》、《镁及镁合金化学分析方法》、《铝用</w:t>
      </w:r>
      <w:proofErr w:type="gramStart"/>
      <w:r w:rsidRPr="009260B3">
        <w:rPr>
          <w:rFonts w:ascii="Times New Roman" w:hAnsi="宋体" w:cs="Times New Roman"/>
          <w:sz w:val="24"/>
          <w:szCs w:val="24"/>
        </w:rPr>
        <w:t>炭素</w:t>
      </w:r>
      <w:proofErr w:type="gramEnd"/>
      <w:r w:rsidRPr="009260B3">
        <w:rPr>
          <w:rFonts w:ascii="Times New Roman" w:hAnsi="宋体" w:cs="Times New Roman"/>
          <w:sz w:val="24"/>
          <w:szCs w:val="24"/>
        </w:rPr>
        <w:t>材料检测方法》等多个系列</w:t>
      </w:r>
      <w:r w:rsidRPr="009260B3">
        <w:rPr>
          <w:rFonts w:ascii="Times New Roman" w:hAnsi="Times New Roman" w:cs="Times New Roman"/>
          <w:sz w:val="24"/>
          <w:szCs w:val="24"/>
        </w:rPr>
        <w:t>230</w:t>
      </w:r>
      <w:r w:rsidRPr="009260B3">
        <w:rPr>
          <w:rFonts w:ascii="Times New Roman" w:hAnsi="宋体" w:cs="Times New Roman"/>
          <w:sz w:val="24"/>
          <w:szCs w:val="24"/>
        </w:rPr>
        <w:t>项国家或有色金属行业标准的起草或</w:t>
      </w:r>
      <w:r w:rsidRPr="009260B3">
        <w:rPr>
          <w:rFonts w:ascii="宋体" w:hAnsi="宋体" w:hint="eastAsia"/>
          <w:sz w:val="24"/>
          <w:szCs w:val="24"/>
        </w:rPr>
        <w:t>修订。</w:t>
      </w:r>
    </w:p>
    <w:p w:rsidR="00323BAA" w:rsidRPr="009260B3" w:rsidRDefault="00323BAA" w:rsidP="00D6272B">
      <w:pPr>
        <w:rPr>
          <w:rFonts w:ascii="黑体" w:eastAsia="黑体" w:hAnsi="宋体"/>
          <w:sz w:val="24"/>
          <w:szCs w:val="24"/>
        </w:rPr>
      </w:pPr>
      <w:r w:rsidRPr="009260B3">
        <w:rPr>
          <w:rFonts w:ascii="黑体" w:eastAsia="黑体" w:hAnsi="宋体" w:hint="eastAsia"/>
          <w:sz w:val="24"/>
          <w:szCs w:val="24"/>
        </w:rPr>
        <w:t>4、主要工作过程</w:t>
      </w:r>
    </w:p>
    <w:p w:rsidR="0011445E" w:rsidRPr="009260B3" w:rsidRDefault="0011445E" w:rsidP="00D6272B">
      <w:pPr>
        <w:ind w:firstLine="540"/>
        <w:rPr>
          <w:rFonts w:ascii="宋体"/>
          <w:kern w:val="0"/>
          <w:sz w:val="24"/>
          <w:szCs w:val="24"/>
        </w:rPr>
      </w:pPr>
      <w:r w:rsidRPr="009260B3">
        <w:rPr>
          <w:rFonts w:ascii="宋体" w:hAnsi="宋体" w:hint="eastAsia"/>
          <w:kern w:val="0"/>
          <w:sz w:val="24"/>
          <w:szCs w:val="24"/>
        </w:rPr>
        <w:t>郑州研究院接受任务后立即成立标准编制小组，确定工作方案，目前已经完成了以下工作：</w:t>
      </w:r>
    </w:p>
    <w:p w:rsidR="0011445E" w:rsidRPr="009260B3" w:rsidRDefault="0011445E" w:rsidP="00D6272B">
      <w:pPr>
        <w:rPr>
          <w:rFonts w:ascii="宋体"/>
          <w:kern w:val="0"/>
          <w:sz w:val="24"/>
          <w:szCs w:val="24"/>
        </w:rPr>
      </w:pPr>
      <w:r w:rsidRPr="009260B3">
        <w:rPr>
          <w:rFonts w:ascii="宋体" w:hAnsi="宋体" w:hint="eastAsia"/>
          <w:kern w:val="0"/>
          <w:sz w:val="24"/>
          <w:szCs w:val="24"/>
        </w:rPr>
        <w:t>（</w:t>
      </w:r>
      <w:r w:rsidRPr="009260B3">
        <w:rPr>
          <w:rFonts w:ascii="宋体" w:hAnsi="宋体"/>
          <w:kern w:val="0"/>
          <w:sz w:val="24"/>
          <w:szCs w:val="24"/>
        </w:rPr>
        <w:t>1</w:t>
      </w:r>
      <w:r w:rsidRPr="009260B3">
        <w:rPr>
          <w:rFonts w:ascii="宋体" w:hAnsi="宋体" w:hint="eastAsia"/>
          <w:kern w:val="0"/>
          <w:sz w:val="24"/>
          <w:szCs w:val="24"/>
        </w:rPr>
        <w:t>）组织起草人员查阅和检索了国内外有关技术标准和资料，初步确定</w:t>
      </w:r>
      <w:r w:rsidR="00C06E90" w:rsidRPr="009260B3">
        <w:rPr>
          <w:rFonts w:ascii="宋体" w:hAnsi="宋体" w:hint="eastAsia"/>
          <w:kern w:val="0"/>
          <w:sz w:val="24"/>
          <w:szCs w:val="24"/>
        </w:rPr>
        <w:t>标准</w:t>
      </w:r>
      <w:r w:rsidRPr="009260B3">
        <w:rPr>
          <w:rFonts w:ascii="宋体" w:hAnsi="宋体" w:hint="eastAsia"/>
          <w:kern w:val="0"/>
          <w:sz w:val="24"/>
          <w:szCs w:val="24"/>
        </w:rPr>
        <w:t>修订的内容。</w:t>
      </w:r>
    </w:p>
    <w:p w:rsidR="0011445E" w:rsidRPr="009260B3" w:rsidRDefault="0011445E" w:rsidP="00D6272B">
      <w:pPr>
        <w:rPr>
          <w:rFonts w:ascii="宋体"/>
          <w:kern w:val="0"/>
          <w:sz w:val="24"/>
          <w:szCs w:val="24"/>
        </w:rPr>
      </w:pPr>
      <w:r w:rsidRPr="009260B3">
        <w:rPr>
          <w:rFonts w:ascii="宋体" w:hAnsi="宋体" w:hint="eastAsia"/>
          <w:kern w:val="0"/>
          <w:sz w:val="24"/>
          <w:szCs w:val="24"/>
        </w:rPr>
        <w:t>（</w:t>
      </w:r>
      <w:r w:rsidRPr="009260B3">
        <w:rPr>
          <w:rFonts w:ascii="宋体" w:hAnsi="宋体"/>
          <w:kern w:val="0"/>
          <w:sz w:val="24"/>
          <w:szCs w:val="24"/>
        </w:rPr>
        <w:t>2</w:t>
      </w:r>
      <w:r w:rsidRPr="009260B3">
        <w:rPr>
          <w:rFonts w:ascii="宋体" w:hAnsi="宋体" w:hint="eastAsia"/>
          <w:kern w:val="0"/>
          <w:sz w:val="24"/>
          <w:szCs w:val="24"/>
        </w:rPr>
        <w:t>）</w:t>
      </w:r>
      <w:r w:rsidR="00C06E90" w:rsidRPr="009260B3">
        <w:rPr>
          <w:rFonts w:ascii="宋体" w:hAnsi="宋体" w:hint="eastAsia"/>
          <w:kern w:val="0"/>
          <w:sz w:val="24"/>
          <w:szCs w:val="24"/>
        </w:rPr>
        <w:t>组织测试人员对铝用</w:t>
      </w:r>
      <w:proofErr w:type="gramStart"/>
      <w:r w:rsidR="00C06E90" w:rsidRPr="009260B3">
        <w:rPr>
          <w:rFonts w:ascii="宋体" w:hAnsi="宋体" w:hint="eastAsia"/>
          <w:kern w:val="0"/>
          <w:sz w:val="24"/>
          <w:szCs w:val="24"/>
        </w:rPr>
        <w:t>炭素</w:t>
      </w:r>
      <w:proofErr w:type="gramEnd"/>
      <w:r w:rsidR="00C06E90" w:rsidRPr="009260B3">
        <w:rPr>
          <w:rFonts w:ascii="宋体" w:hAnsi="宋体" w:hint="eastAsia"/>
          <w:kern w:val="0"/>
          <w:sz w:val="24"/>
          <w:szCs w:val="24"/>
        </w:rPr>
        <w:t>材料开气孔率新测定方法进行初步的试验分析，探索测试条件和试样要求</w:t>
      </w:r>
      <w:r w:rsidRPr="009260B3">
        <w:rPr>
          <w:rFonts w:ascii="宋体" w:hAnsi="宋体" w:hint="eastAsia"/>
          <w:kern w:val="0"/>
          <w:sz w:val="24"/>
          <w:szCs w:val="24"/>
        </w:rPr>
        <w:t>。</w:t>
      </w:r>
    </w:p>
    <w:p w:rsidR="0011445E" w:rsidRPr="009260B3" w:rsidRDefault="0011445E" w:rsidP="00D6272B">
      <w:pPr>
        <w:rPr>
          <w:rFonts w:ascii="宋体" w:hAnsi="宋体"/>
          <w:kern w:val="0"/>
          <w:sz w:val="24"/>
          <w:szCs w:val="24"/>
        </w:rPr>
      </w:pPr>
      <w:r w:rsidRPr="009260B3">
        <w:rPr>
          <w:rFonts w:ascii="宋体" w:hAnsi="宋体" w:hint="eastAsia"/>
          <w:kern w:val="0"/>
          <w:sz w:val="24"/>
          <w:szCs w:val="24"/>
        </w:rPr>
        <w:t>（</w:t>
      </w:r>
      <w:r w:rsidRPr="009260B3">
        <w:rPr>
          <w:rFonts w:ascii="宋体" w:hAnsi="宋体"/>
          <w:kern w:val="0"/>
          <w:sz w:val="24"/>
          <w:szCs w:val="24"/>
        </w:rPr>
        <w:t>3</w:t>
      </w:r>
      <w:r w:rsidRPr="009260B3">
        <w:rPr>
          <w:rFonts w:ascii="宋体" w:hAnsi="宋体" w:hint="eastAsia"/>
          <w:kern w:val="0"/>
          <w:sz w:val="24"/>
          <w:szCs w:val="24"/>
        </w:rPr>
        <w:t>）</w:t>
      </w:r>
      <w:r w:rsidR="00C06E90" w:rsidRPr="009260B3">
        <w:rPr>
          <w:rFonts w:ascii="宋体" w:hAnsi="宋体" w:hint="eastAsia"/>
          <w:kern w:val="0"/>
          <w:sz w:val="24"/>
          <w:szCs w:val="24"/>
        </w:rPr>
        <w:t>组织标准编制人员，对本标准进行原有文本和新增方法二的规范性编辑，形成</w:t>
      </w:r>
      <w:r w:rsidRPr="009260B3">
        <w:rPr>
          <w:rFonts w:ascii="宋体" w:hAnsi="宋体" w:hint="eastAsia"/>
          <w:kern w:val="0"/>
          <w:sz w:val="24"/>
          <w:szCs w:val="24"/>
        </w:rPr>
        <w:t>标准的</w:t>
      </w:r>
      <w:r w:rsidR="00C06E90" w:rsidRPr="009260B3">
        <w:rPr>
          <w:rFonts w:ascii="宋体" w:hAnsi="宋体" w:hint="eastAsia"/>
          <w:kern w:val="0"/>
          <w:sz w:val="24"/>
          <w:szCs w:val="24"/>
        </w:rPr>
        <w:t>讨论</w:t>
      </w:r>
      <w:r w:rsidRPr="009260B3">
        <w:rPr>
          <w:rFonts w:ascii="宋体" w:hAnsi="宋体" w:hint="eastAsia"/>
          <w:kern w:val="0"/>
          <w:sz w:val="24"/>
          <w:szCs w:val="24"/>
        </w:rPr>
        <w:t>稿。</w:t>
      </w:r>
    </w:p>
    <w:p w:rsidR="00CB4383" w:rsidRPr="009260B3" w:rsidRDefault="00CB4383" w:rsidP="00D6272B">
      <w:pPr>
        <w:rPr>
          <w:rFonts w:ascii="宋体" w:hAnsi="宋体"/>
          <w:kern w:val="0"/>
          <w:sz w:val="24"/>
          <w:szCs w:val="24"/>
        </w:rPr>
      </w:pPr>
      <w:r w:rsidRPr="009260B3">
        <w:rPr>
          <w:rFonts w:ascii="宋体" w:hAnsi="宋体" w:hint="eastAsia"/>
          <w:kern w:val="0"/>
          <w:sz w:val="24"/>
          <w:szCs w:val="24"/>
        </w:rPr>
        <w:t>（4）2017年天津会议讨论，确定试验所需样品的采集、加工、测试和数据处理等工作计划。</w:t>
      </w:r>
    </w:p>
    <w:p w:rsidR="00895B9B" w:rsidRDefault="00CB4383" w:rsidP="00D6272B">
      <w:pPr>
        <w:rPr>
          <w:rFonts w:ascii="宋体" w:hAnsi="宋体" w:hint="eastAsia"/>
          <w:kern w:val="0"/>
          <w:sz w:val="24"/>
          <w:szCs w:val="24"/>
        </w:rPr>
      </w:pPr>
      <w:r w:rsidRPr="009260B3">
        <w:rPr>
          <w:rFonts w:ascii="宋体" w:hAnsi="宋体" w:hint="eastAsia"/>
          <w:kern w:val="0"/>
          <w:sz w:val="24"/>
          <w:szCs w:val="24"/>
        </w:rPr>
        <w:t>（5）2017年11月完成了方法</w:t>
      </w:r>
      <w:proofErr w:type="gramStart"/>
      <w:r w:rsidRPr="009260B3">
        <w:rPr>
          <w:rFonts w:ascii="宋体" w:hAnsi="宋体" w:hint="eastAsia"/>
          <w:kern w:val="0"/>
          <w:sz w:val="24"/>
          <w:szCs w:val="24"/>
        </w:rPr>
        <w:t>二试验</w:t>
      </w:r>
      <w:proofErr w:type="gramEnd"/>
      <w:r w:rsidRPr="009260B3">
        <w:rPr>
          <w:rFonts w:ascii="宋体" w:hAnsi="宋体" w:hint="eastAsia"/>
          <w:kern w:val="0"/>
          <w:sz w:val="24"/>
          <w:szCs w:val="24"/>
        </w:rPr>
        <w:t>报告，确定了方法的精密度</w:t>
      </w:r>
      <w:r w:rsidR="00AE054B" w:rsidRPr="009260B3">
        <w:rPr>
          <w:rFonts w:ascii="宋体" w:hAnsi="宋体" w:hint="eastAsia"/>
          <w:kern w:val="0"/>
          <w:sz w:val="24"/>
          <w:szCs w:val="24"/>
        </w:rPr>
        <w:t>，形成标准预审稿。</w:t>
      </w:r>
    </w:p>
    <w:p w:rsidR="00895B9B" w:rsidRDefault="00895B9B" w:rsidP="00D6272B">
      <w:pPr>
        <w:rPr>
          <w:rFonts w:ascii="宋体" w:hAnsi="宋体" w:hint="eastAsia"/>
          <w:kern w:val="0"/>
          <w:sz w:val="24"/>
          <w:szCs w:val="24"/>
        </w:rPr>
      </w:pPr>
      <w:r>
        <w:rPr>
          <w:rFonts w:ascii="宋体" w:hAnsi="宋体" w:hint="eastAsia"/>
          <w:kern w:val="0"/>
          <w:sz w:val="24"/>
          <w:szCs w:val="24"/>
        </w:rPr>
        <w:t>（6）2018年4月，全国有色标准化技术委员会在陕西省汉中市组织了对标准的预审。</w:t>
      </w:r>
    </w:p>
    <w:p w:rsidR="00895B9B" w:rsidRPr="00895B9B" w:rsidRDefault="00895B9B" w:rsidP="00D6272B">
      <w:pPr>
        <w:rPr>
          <w:rFonts w:ascii="宋体" w:hAnsi="宋体"/>
          <w:kern w:val="0"/>
          <w:sz w:val="24"/>
          <w:szCs w:val="24"/>
        </w:rPr>
      </w:pPr>
      <w:r>
        <w:rPr>
          <w:rFonts w:ascii="宋体" w:hAnsi="宋体"/>
          <w:kern w:val="0"/>
          <w:sz w:val="24"/>
          <w:szCs w:val="24"/>
        </w:rPr>
        <w:t>（</w:t>
      </w:r>
      <w:r>
        <w:rPr>
          <w:rFonts w:ascii="宋体" w:hAnsi="宋体" w:hint="eastAsia"/>
          <w:kern w:val="0"/>
          <w:sz w:val="24"/>
          <w:szCs w:val="24"/>
        </w:rPr>
        <w:t>7</w:t>
      </w:r>
      <w:r>
        <w:rPr>
          <w:rFonts w:ascii="宋体" w:hAnsi="宋体"/>
          <w:kern w:val="0"/>
          <w:sz w:val="24"/>
          <w:szCs w:val="24"/>
        </w:rPr>
        <w:t>）</w:t>
      </w:r>
      <w:r>
        <w:rPr>
          <w:rFonts w:ascii="宋体" w:hAnsi="宋体" w:hint="eastAsia"/>
          <w:kern w:val="0"/>
          <w:sz w:val="24"/>
          <w:szCs w:val="24"/>
        </w:rPr>
        <w:t>2018年5月-9月，编制</w:t>
      </w:r>
      <w:proofErr w:type="gramStart"/>
      <w:r>
        <w:rPr>
          <w:rFonts w:ascii="宋体" w:hAnsi="宋体" w:hint="eastAsia"/>
          <w:kern w:val="0"/>
          <w:sz w:val="24"/>
          <w:szCs w:val="24"/>
        </w:rPr>
        <w:t>组完善</w:t>
      </w:r>
      <w:proofErr w:type="gramEnd"/>
      <w:r>
        <w:rPr>
          <w:rFonts w:ascii="宋体" w:hAnsi="宋体" w:hint="eastAsia"/>
          <w:kern w:val="0"/>
          <w:sz w:val="24"/>
          <w:szCs w:val="24"/>
        </w:rPr>
        <w:t>整理标准文本，形成审定稿。</w:t>
      </w:r>
    </w:p>
    <w:p w:rsidR="00323BAA" w:rsidRPr="009260B3" w:rsidRDefault="007E3BA4" w:rsidP="00D6272B">
      <w:pPr>
        <w:rPr>
          <w:rFonts w:ascii="黑体" w:eastAsia="黑体" w:hAnsi="宋体"/>
          <w:sz w:val="24"/>
          <w:szCs w:val="24"/>
        </w:rPr>
      </w:pPr>
      <w:r w:rsidRPr="009260B3">
        <w:rPr>
          <w:rFonts w:ascii="黑体" w:eastAsia="黑体" w:hAnsi="宋体" w:hint="eastAsia"/>
          <w:sz w:val="24"/>
          <w:szCs w:val="24"/>
        </w:rPr>
        <w:t>5</w:t>
      </w:r>
      <w:r w:rsidR="00323BAA" w:rsidRPr="009260B3">
        <w:rPr>
          <w:rFonts w:ascii="黑体" w:eastAsia="黑体" w:hAnsi="宋体" w:hint="eastAsia"/>
          <w:sz w:val="24"/>
          <w:szCs w:val="24"/>
        </w:rPr>
        <w:t>、标准编制的情况</w:t>
      </w:r>
    </w:p>
    <w:p w:rsidR="00323BAA" w:rsidRPr="009260B3" w:rsidRDefault="00323BAA" w:rsidP="00D6272B">
      <w:pPr>
        <w:ind w:firstLineChars="200" w:firstLine="480"/>
        <w:rPr>
          <w:rFonts w:ascii="Times New Roman" w:eastAsia="宋体" w:hAnsi="Times New Roman" w:cs="Times New Roman"/>
          <w:color w:val="000000"/>
          <w:sz w:val="24"/>
          <w:szCs w:val="24"/>
        </w:rPr>
      </w:pPr>
      <w:r w:rsidRPr="009260B3">
        <w:rPr>
          <w:rFonts w:ascii="Times New Roman" w:hAnsi="宋体" w:cs="Times New Roman"/>
          <w:color w:val="000000"/>
          <w:sz w:val="24"/>
          <w:szCs w:val="24"/>
        </w:rPr>
        <w:t>本部</w:t>
      </w:r>
      <w:proofErr w:type="gramStart"/>
      <w:r w:rsidRPr="009260B3">
        <w:rPr>
          <w:rFonts w:ascii="Times New Roman" w:hAnsi="宋体" w:cs="Times New Roman"/>
          <w:color w:val="000000"/>
          <w:sz w:val="24"/>
          <w:szCs w:val="24"/>
        </w:rPr>
        <w:t>分按照</w:t>
      </w:r>
      <w:proofErr w:type="gramEnd"/>
      <w:r w:rsidRPr="009260B3">
        <w:rPr>
          <w:rFonts w:ascii="Times New Roman" w:hAnsi="Times New Roman" w:cs="Times New Roman"/>
          <w:color w:val="000000"/>
          <w:sz w:val="24"/>
          <w:szCs w:val="24"/>
        </w:rPr>
        <w:t>GB/T 1.1-2009</w:t>
      </w:r>
      <w:r w:rsidRPr="009260B3">
        <w:rPr>
          <w:rFonts w:ascii="Times New Roman" w:hAnsi="宋体" w:cs="Times New Roman"/>
          <w:color w:val="000000"/>
          <w:sz w:val="24"/>
          <w:szCs w:val="24"/>
        </w:rPr>
        <w:t>给出的规则起草。</w:t>
      </w:r>
    </w:p>
    <w:p w:rsidR="00323BAA" w:rsidRPr="009260B3" w:rsidRDefault="00323BAA" w:rsidP="00D6272B">
      <w:pPr>
        <w:ind w:firstLineChars="200" w:firstLine="480"/>
        <w:rPr>
          <w:rFonts w:ascii="Times New Roman" w:hAnsi="Times New Roman" w:cs="Times New Roman"/>
          <w:sz w:val="24"/>
          <w:szCs w:val="24"/>
        </w:rPr>
      </w:pPr>
      <w:r w:rsidRPr="009260B3">
        <w:rPr>
          <w:rFonts w:ascii="Times New Roman" w:hAnsi="宋体" w:cs="Times New Roman"/>
          <w:sz w:val="24"/>
          <w:szCs w:val="24"/>
        </w:rPr>
        <w:t>本部</w:t>
      </w:r>
      <w:proofErr w:type="gramStart"/>
      <w:r w:rsidRPr="009260B3">
        <w:rPr>
          <w:rFonts w:ascii="Times New Roman" w:hAnsi="宋体" w:cs="Times New Roman"/>
          <w:sz w:val="24"/>
          <w:szCs w:val="24"/>
        </w:rPr>
        <w:t>分包括</w:t>
      </w:r>
      <w:proofErr w:type="gramEnd"/>
      <w:r w:rsidRPr="009260B3">
        <w:rPr>
          <w:rFonts w:ascii="Times New Roman" w:hAnsi="Times New Roman" w:cs="Times New Roman"/>
          <w:sz w:val="24"/>
          <w:szCs w:val="24"/>
        </w:rPr>
        <w:t>2</w:t>
      </w:r>
      <w:r w:rsidRPr="009260B3">
        <w:rPr>
          <w:rFonts w:ascii="Times New Roman" w:hAnsi="宋体" w:cs="Times New Roman"/>
          <w:sz w:val="24"/>
          <w:szCs w:val="24"/>
        </w:rPr>
        <w:t>个测定方法，其中</w:t>
      </w:r>
      <w:r w:rsidRPr="009260B3">
        <w:rPr>
          <w:rFonts w:ascii="Times New Roman" w:hAnsi="Times New Roman" w:cs="Times New Roman"/>
          <w:sz w:val="24"/>
          <w:szCs w:val="24"/>
        </w:rPr>
        <w:t>YS/T 63.</w:t>
      </w:r>
      <w:r w:rsidR="007E3BA4" w:rsidRPr="009260B3">
        <w:rPr>
          <w:rFonts w:ascii="Times New Roman" w:hAnsi="Times New Roman" w:cs="Times New Roman"/>
          <w:sz w:val="24"/>
          <w:szCs w:val="24"/>
        </w:rPr>
        <w:t>6</w:t>
      </w:r>
      <w:r w:rsidRPr="009260B3">
        <w:rPr>
          <w:rFonts w:ascii="Times New Roman" w:hAnsi="Times New Roman" w:cs="Times New Roman"/>
          <w:sz w:val="24"/>
          <w:szCs w:val="24"/>
        </w:rPr>
        <w:t>-2006</w:t>
      </w:r>
      <w:r w:rsidRPr="009260B3">
        <w:rPr>
          <w:rFonts w:ascii="Times New Roman" w:hAnsi="宋体" w:cs="Times New Roman"/>
          <w:sz w:val="24"/>
          <w:szCs w:val="24"/>
        </w:rPr>
        <w:t>原来的方法作为新标准中的方法</w:t>
      </w:r>
      <w:proofErr w:type="gramStart"/>
      <w:r w:rsidR="00AE054B" w:rsidRPr="009260B3">
        <w:rPr>
          <w:rFonts w:ascii="Times New Roman" w:hAnsi="宋体" w:cs="Times New Roman"/>
          <w:sz w:val="24"/>
          <w:szCs w:val="24"/>
        </w:rPr>
        <w:t>一</w:t>
      </w:r>
      <w:proofErr w:type="gramEnd"/>
      <w:r w:rsidRPr="009260B3">
        <w:rPr>
          <w:rFonts w:ascii="Times New Roman" w:hAnsi="宋体" w:cs="Times New Roman"/>
          <w:sz w:val="24"/>
          <w:szCs w:val="24"/>
        </w:rPr>
        <w:t>，新增方法</w:t>
      </w:r>
      <w:r w:rsidR="00AE054B" w:rsidRPr="009260B3">
        <w:rPr>
          <w:rFonts w:ascii="Times New Roman" w:hAnsi="宋体" w:cs="Times New Roman"/>
          <w:sz w:val="24"/>
          <w:szCs w:val="24"/>
        </w:rPr>
        <w:t>二</w:t>
      </w:r>
      <w:r w:rsidRPr="009260B3">
        <w:rPr>
          <w:rFonts w:ascii="Times New Roman" w:hAnsi="宋体" w:cs="Times New Roman"/>
          <w:sz w:val="24"/>
          <w:szCs w:val="24"/>
        </w:rPr>
        <w:t>。</w:t>
      </w:r>
    </w:p>
    <w:p w:rsidR="00323BAA" w:rsidRPr="009260B3" w:rsidRDefault="00323BAA" w:rsidP="00D6272B">
      <w:pPr>
        <w:ind w:firstLineChars="200" w:firstLine="480"/>
        <w:rPr>
          <w:rFonts w:ascii="Times New Roman" w:hAnsi="Times New Roman" w:cs="Times New Roman"/>
          <w:sz w:val="24"/>
          <w:szCs w:val="24"/>
        </w:rPr>
      </w:pPr>
      <w:r w:rsidRPr="009260B3">
        <w:rPr>
          <w:rFonts w:ascii="Times New Roman" w:hAnsi="宋体" w:cs="Times New Roman"/>
          <w:sz w:val="24"/>
          <w:szCs w:val="24"/>
        </w:rPr>
        <w:t>方法</w:t>
      </w:r>
      <w:r w:rsidR="00AE054B" w:rsidRPr="009260B3">
        <w:rPr>
          <w:rFonts w:ascii="Times New Roman" w:hAnsi="宋体" w:cs="Times New Roman"/>
          <w:sz w:val="24"/>
          <w:szCs w:val="24"/>
        </w:rPr>
        <w:t>一</w:t>
      </w:r>
      <w:r w:rsidRPr="009260B3">
        <w:rPr>
          <w:rFonts w:ascii="Times New Roman" w:hAnsi="宋体" w:cs="Times New Roman"/>
          <w:sz w:val="24"/>
          <w:szCs w:val="24"/>
        </w:rPr>
        <w:t>是对</w:t>
      </w:r>
      <w:r w:rsidRPr="009260B3">
        <w:rPr>
          <w:rFonts w:ascii="Times New Roman" w:hAnsi="Times New Roman" w:cs="Times New Roman"/>
          <w:sz w:val="24"/>
          <w:szCs w:val="24"/>
        </w:rPr>
        <w:t>YS/T 63.</w:t>
      </w:r>
      <w:r w:rsidR="007E3BA4" w:rsidRPr="009260B3">
        <w:rPr>
          <w:rFonts w:ascii="Times New Roman" w:hAnsi="Times New Roman" w:cs="Times New Roman"/>
          <w:sz w:val="24"/>
          <w:szCs w:val="24"/>
        </w:rPr>
        <w:t>6</w:t>
      </w:r>
      <w:r w:rsidRPr="009260B3">
        <w:rPr>
          <w:rFonts w:ascii="Times New Roman" w:hAnsi="Times New Roman" w:cs="Times New Roman"/>
          <w:sz w:val="24"/>
          <w:szCs w:val="24"/>
        </w:rPr>
        <w:t>-2006</w:t>
      </w:r>
      <w:r w:rsidRPr="009260B3">
        <w:rPr>
          <w:rFonts w:ascii="Times New Roman" w:hAnsi="宋体" w:cs="Times New Roman"/>
          <w:sz w:val="24"/>
          <w:szCs w:val="24"/>
        </w:rPr>
        <w:t>的修订，主要是文字语句的编辑性修订，</w:t>
      </w:r>
      <w:r w:rsidR="00EE0EC4">
        <w:rPr>
          <w:rFonts w:ascii="Times New Roman" w:hAnsi="宋体" w:cs="Times New Roman"/>
          <w:sz w:val="24"/>
          <w:szCs w:val="24"/>
        </w:rPr>
        <w:t>对计算结果的数值修改为保留至小数点后一位，使之更加符合</w:t>
      </w:r>
      <w:r w:rsidR="00EE0EC4">
        <w:rPr>
          <w:rFonts w:ascii="Times New Roman" w:hAnsi="宋体" w:cs="Times New Roman" w:hint="eastAsia"/>
          <w:sz w:val="24"/>
          <w:szCs w:val="24"/>
        </w:rPr>
        <w:t>GB/T</w:t>
      </w:r>
      <w:r w:rsidR="00E2168E">
        <w:rPr>
          <w:rFonts w:ascii="Times New Roman" w:hAnsi="宋体" w:cs="Times New Roman" w:hint="eastAsia"/>
          <w:sz w:val="24"/>
          <w:szCs w:val="24"/>
        </w:rPr>
        <w:t>8170</w:t>
      </w:r>
      <w:r w:rsidR="00E2168E">
        <w:rPr>
          <w:rFonts w:ascii="Times New Roman" w:hAnsi="宋体" w:cs="Times New Roman" w:hint="eastAsia"/>
          <w:sz w:val="24"/>
          <w:szCs w:val="24"/>
        </w:rPr>
        <w:t>的要求。</w:t>
      </w:r>
      <w:r w:rsidR="00EE0EC4">
        <w:rPr>
          <w:rFonts w:ascii="Times New Roman" w:hAnsi="宋体" w:cs="Times New Roman"/>
          <w:sz w:val="24"/>
          <w:szCs w:val="24"/>
        </w:rPr>
        <w:t>其余</w:t>
      </w:r>
      <w:r w:rsidRPr="009260B3">
        <w:rPr>
          <w:rFonts w:ascii="Times New Roman" w:hAnsi="宋体" w:cs="Times New Roman"/>
          <w:sz w:val="24"/>
          <w:szCs w:val="24"/>
        </w:rPr>
        <w:t>技术要求</w:t>
      </w:r>
      <w:r w:rsidR="00E2168E">
        <w:rPr>
          <w:rFonts w:ascii="Times New Roman" w:hAnsi="宋体" w:cs="Times New Roman"/>
          <w:sz w:val="24"/>
          <w:szCs w:val="24"/>
        </w:rPr>
        <w:t>保持</w:t>
      </w:r>
      <w:r w:rsidRPr="009260B3">
        <w:rPr>
          <w:rFonts w:ascii="Times New Roman" w:hAnsi="宋体" w:cs="Times New Roman"/>
          <w:sz w:val="24"/>
          <w:szCs w:val="24"/>
        </w:rPr>
        <w:t>不变。</w:t>
      </w:r>
    </w:p>
    <w:p w:rsidR="00C0060C" w:rsidRPr="009260B3" w:rsidRDefault="00323BAA" w:rsidP="00D6272B">
      <w:pPr>
        <w:ind w:firstLineChars="200" w:firstLine="480"/>
        <w:rPr>
          <w:rFonts w:ascii="Times New Roman" w:hAnsi="Times New Roman" w:cs="Times New Roman"/>
          <w:sz w:val="24"/>
          <w:szCs w:val="24"/>
        </w:rPr>
      </w:pPr>
      <w:r w:rsidRPr="009260B3">
        <w:rPr>
          <w:rFonts w:ascii="Times New Roman" w:hAnsi="宋体" w:cs="Times New Roman"/>
          <w:sz w:val="24"/>
          <w:szCs w:val="24"/>
        </w:rPr>
        <w:t>方法</w:t>
      </w:r>
      <w:r w:rsidR="00AE054B" w:rsidRPr="009260B3">
        <w:rPr>
          <w:rFonts w:ascii="Times New Roman" w:hAnsi="宋体" w:cs="Times New Roman"/>
          <w:sz w:val="24"/>
          <w:szCs w:val="24"/>
        </w:rPr>
        <w:t>二</w:t>
      </w:r>
      <w:r w:rsidRPr="009260B3">
        <w:rPr>
          <w:rFonts w:ascii="Times New Roman" w:hAnsi="宋体" w:cs="Times New Roman"/>
          <w:sz w:val="24"/>
          <w:szCs w:val="24"/>
        </w:rPr>
        <w:t>是新增的方法，</w:t>
      </w:r>
      <w:r w:rsidR="007E3BA4" w:rsidRPr="009260B3">
        <w:rPr>
          <w:rFonts w:ascii="Times New Roman" w:hAnsi="宋体" w:cs="Times New Roman"/>
          <w:sz w:val="24"/>
          <w:szCs w:val="24"/>
        </w:rPr>
        <w:t>该方法是自主研究开发</w:t>
      </w:r>
      <w:r w:rsidRPr="009260B3">
        <w:rPr>
          <w:rFonts w:ascii="Times New Roman" w:hAnsi="宋体" w:cs="Times New Roman"/>
          <w:sz w:val="24"/>
          <w:szCs w:val="24"/>
        </w:rPr>
        <w:t>。</w:t>
      </w:r>
      <w:r w:rsidR="00AE054B" w:rsidRPr="009260B3">
        <w:rPr>
          <w:rFonts w:ascii="Times New Roman" w:hAnsi="宋体" w:cs="Times New Roman"/>
          <w:sz w:val="24"/>
          <w:szCs w:val="24"/>
        </w:rPr>
        <w:t>通过试验，标准起草组</w:t>
      </w:r>
      <w:r w:rsidR="00C06E90" w:rsidRPr="009260B3">
        <w:rPr>
          <w:rFonts w:ascii="Times New Roman" w:hAnsi="宋体" w:cs="Times New Roman"/>
          <w:sz w:val="24"/>
          <w:szCs w:val="24"/>
        </w:rPr>
        <w:t>确定铝用</w:t>
      </w:r>
      <w:proofErr w:type="gramStart"/>
      <w:r w:rsidR="00C06E90" w:rsidRPr="009260B3">
        <w:rPr>
          <w:rFonts w:ascii="Times New Roman" w:hAnsi="宋体" w:cs="Times New Roman"/>
          <w:sz w:val="24"/>
          <w:szCs w:val="24"/>
        </w:rPr>
        <w:t>炭素</w:t>
      </w:r>
      <w:proofErr w:type="gramEnd"/>
      <w:r w:rsidR="00C06E90" w:rsidRPr="009260B3">
        <w:rPr>
          <w:rFonts w:ascii="Times New Roman" w:hAnsi="宋体" w:cs="Times New Roman"/>
          <w:sz w:val="24"/>
          <w:szCs w:val="24"/>
        </w:rPr>
        <w:t>材料开气孔率测定</w:t>
      </w:r>
      <w:r w:rsidRPr="009260B3">
        <w:rPr>
          <w:rFonts w:ascii="Times New Roman" w:hAnsi="宋体" w:cs="Times New Roman"/>
          <w:sz w:val="24"/>
          <w:szCs w:val="24"/>
        </w:rPr>
        <w:t>采用直径</w:t>
      </w:r>
      <w:r w:rsidR="00F579E9" w:rsidRPr="009260B3">
        <w:rPr>
          <w:rFonts w:ascii="Times New Roman" w:hAnsi="Times New Roman" w:cs="Times New Roman"/>
          <w:sz w:val="24"/>
          <w:szCs w:val="24"/>
        </w:rPr>
        <w:t>20mm</w:t>
      </w:r>
      <w:r w:rsidR="00F579E9" w:rsidRPr="009260B3">
        <w:rPr>
          <w:rFonts w:ascii="Times New Roman" w:hAnsi="宋体" w:cs="Times New Roman"/>
          <w:sz w:val="24"/>
          <w:szCs w:val="24"/>
        </w:rPr>
        <w:t>～</w:t>
      </w:r>
      <w:r w:rsidR="00F579E9" w:rsidRPr="009260B3">
        <w:rPr>
          <w:rFonts w:ascii="Times New Roman" w:hAnsi="Times New Roman" w:cs="Times New Roman"/>
          <w:sz w:val="24"/>
          <w:szCs w:val="24"/>
        </w:rPr>
        <w:t>30mm</w:t>
      </w:r>
      <w:r w:rsidRPr="009260B3">
        <w:rPr>
          <w:rFonts w:ascii="Times New Roman" w:hAnsi="宋体" w:cs="Times New Roman"/>
          <w:sz w:val="24"/>
          <w:szCs w:val="24"/>
        </w:rPr>
        <w:t>，长度</w:t>
      </w:r>
      <w:r w:rsidR="00F579E9" w:rsidRPr="009260B3">
        <w:rPr>
          <w:rFonts w:ascii="Times New Roman" w:hAnsi="Times New Roman" w:cs="Times New Roman"/>
          <w:sz w:val="24"/>
          <w:szCs w:val="24"/>
        </w:rPr>
        <w:t>30mm</w:t>
      </w:r>
      <w:r w:rsidR="00F579E9" w:rsidRPr="009260B3">
        <w:rPr>
          <w:rFonts w:ascii="Times New Roman" w:hAnsi="宋体" w:cs="Times New Roman"/>
          <w:sz w:val="24"/>
          <w:szCs w:val="24"/>
        </w:rPr>
        <w:t>～</w:t>
      </w:r>
      <w:r w:rsidR="00F579E9" w:rsidRPr="009260B3">
        <w:rPr>
          <w:rFonts w:ascii="Times New Roman" w:hAnsi="Times New Roman" w:cs="Times New Roman"/>
          <w:sz w:val="24"/>
          <w:szCs w:val="24"/>
        </w:rPr>
        <w:t>40mm</w:t>
      </w:r>
      <w:r w:rsidRPr="009260B3">
        <w:rPr>
          <w:rFonts w:ascii="Times New Roman" w:hAnsi="宋体" w:cs="Times New Roman"/>
          <w:sz w:val="24"/>
          <w:szCs w:val="24"/>
        </w:rPr>
        <w:t>的</w:t>
      </w:r>
      <w:r w:rsidR="00C06E90" w:rsidRPr="009260B3">
        <w:rPr>
          <w:rFonts w:ascii="Times New Roman" w:hAnsi="宋体" w:cs="Times New Roman"/>
          <w:sz w:val="24"/>
          <w:szCs w:val="24"/>
        </w:rPr>
        <w:t>圆柱状试样。</w:t>
      </w:r>
    </w:p>
    <w:p w:rsidR="00E87086" w:rsidRPr="009260B3" w:rsidRDefault="00294958" w:rsidP="00D6272B">
      <w:pPr>
        <w:rPr>
          <w:rFonts w:ascii="黑体" w:eastAsia="黑体" w:hAnsi="黑体" w:cs="Times New Roman"/>
          <w:sz w:val="24"/>
          <w:szCs w:val="24"/>
        </w:rPr>
      </w:pPr>
      <w:r w:rsidRPr="009260B3">
        <w:rPr>
          <w:rFonts w:ascii="黑体" w:eastAsia="黑体" w:hAnsi="黑体" w:cs="Times New Roman"/>
          <w:sz w:val="24"/>
          <w:szCs w:val="24"/>
        </w:rPr>
        <w:t>5.1</w:t>
      </w:r>
      <w:r w:rsidR="00E87086" w:rsidRPr="009260B3">
        <w:rPr>
          <w:rFonts w:ascii="黑体" w:eastAsia="黑体" w:hAnsi="黑体" w:cs="Times New Roman"/>
          <w:sz w:val="24"/>
          <w:szCs w:val="24"/>
        </w:rPr>
        <w:t>、</w:t>
      </w:r>
      <w:r w:rsidR="004B42D0" w:rsidRPr="009260B3">
        <w:rPr>
          <w:rFonts w:ascii="黑体" w:eastAsia="黑体" w:hAnsi="黑体" w:cs="Times New Roman"/>
          <w:sz w:val="24"/>
          <w:szCs w:val="24"/>
        </w:rPr>
        <w:t>方法二</w:t>
      </w:r>
      <w:r w:rsidR="00E87086" w:rsidRPr="009260B3">
        <w:rPr>
          <w:rFonts w:ascii="黑体" w:eastAsia="黑体" w:hAnsi="黑体" w:cs="Times New Roman"/>
          <w:sz w:val="24"/>
          <w:szCs w:val="24"/>
        </w:rPr>
        <w:t>重复性分析</w:t>
      </w:r>
    </w:p>
    <w:p w:rsidR="00E87086" w:rsidRPr="009260B3" w:rsidRDefault="00E87086" w:rsidP="00D6272B">
      <w:pPr>
        <w:ind w:firstLineChars="202" w:firstLine="485"/>
        <w:rPr>
          <w:rFonts w:ascii="Times New Roman" w:hAnsi="Times New Roman" w:cs="Times New Roman"/>
          <w:sz w:val="24"/>
          <w:szCs w:val="24"/>
        </w:rPr>
      </w:pPr>
      <w:r w:rsidRPr="009260B3">
        <w:rPr>
          <w:rFonts w:ascii="Times New Roman" w:cs="Times New Roman"/>
          <w:sz w:val="24"/>
          <w:szCs w:val="24"/>
        </w:rPr>
        <w:t>试验采用的比重计为广东中山美</w:t>
      </w:r>
      <w:proofErr w:type="gramStart"/>
      <w:r w:rsidRPr="009260B3">
        <w:rPr>
          <w:rFonts w:ascii="Times New Roman" w:cs="Times New Roman"/>
          <w:sz w:val="24"/>
          <w:szCs w:val="24"/>
        </w:rPr>
        <w:t>迪</w:t>
      </w:r>
      <w:proofErr w:type="gramEnd"/>
      <w:r w:rsidRPr="009260B3">
        <w:rPr>
          <w:rFonts w:ascii="Times New Roman" w:cs="Times New Roman"/>
          <w:sz w:val="24"/>
          <w:szCs w:val="24"/>
        </w:rPr>
        <w:t>分析仪器厂制造的真密度测定仪，采用氦气作为填充介质。试样有效体积的测定方法采用</w:t>
      </w:r>
      <w:r w:rsidRPr="009260B3">
        <w:rPr>
          <w:rFonts w:ascii="Times New Roman" w:hAnsi="Times New Roman" w:cs="Times New Roman"/>
          <w:sz w:val="24"/>
          <w:szCs w:val="24"/>
        </w:rPr>
        <w:t>YS/T63.9-2012</w:t>
      </w:r>
      <w:r w:rsidRPr="009260B3">
        <w:rPr>
          <w:rFonts w:ascii="Times New Roman" w:cs="Times New Roman"/>
          <w:sz w:val="24"/>
          <w:szCs w:val="24"/>
        </w:rPr>
        <w:t>。</w:t>
      </w:r>
    </w:p>
    <w:p w:rsidR="00E87086" w:rsidRPr="009260B3" w:rsidRDefault="00E87086" w:rsidP="00D6272B">
      <w:pPr>
        <w:ind w:firstLineChars="202" w:firstLine="485"/>
        <w:rPr>
          <w:rFonts w:ascii="Times New Roman" w:hAnsi="Times New Roman" w:cs="Times New Roman"/>
          <w:sz w:val="24"/>
          <w:szCs w:val="24"/>
        </w:rPr>
      </w:pPr>
      <w:r w:rsidRPr="009260B3">
        <w:rPr>
          <w:rFonts w:ascii="Times New Roman" w:cs="Times New Roman"/>
          <w:sz w:val="24"/>
          <w:szCs w:val="24"/>
        </w:rPr>
        <w:t>由于试验设备样品室的尺寸限制，圆柱试样的直径不大于</w:t>
      </w:r>
      <w:r w:rsidRPr="009260B3">
        <w:rPr>
          <w:rFonts w:ascii="Times New Roman" w:hAnsi="Times New Roman" w:cs="Times New Roman"/>
          <w:sz w:val="24"/>
          <w:szCs w:val="24"/>
        </w:rPr>
        <w:t>27</w:t>
      </w:r>
      <w:r w:rsidRPr="009260B3">
        <w:rPr>
          <w:rFonts w:ascii="Times New Roman" w:cs="Times New Roman"/>
          <w:sz w:val="24"/>
          <w:szCs w:val="24"/>
        </w:rPr>
        <w:t>，长度不大于</w:t>
      </w:r>
      <w:r w:rsidRPr="009260B3">
        <w:rPr>
          <w:rFonts w:ascii="Times New Roman" w:hAnsi="Times New Roman" w:cs="Times New Roman"/>
          <w:sz w:val="24"/>
          <w:szCs w:val="24"/>
        </w:rPr>
        <w:t>45</w:t>
      </w:r>
      <w:r w:rsidRPr="009260B3">
        <w:rPr>
          <w:rFonts w:ascii="Times New Roman" w:cs="Times New Roman"/>
          <w:sz w:val="24"/>
          <w:szCs w:val="24"/>
        </w:rPr>
        <w:t>。因此，本</w:t>
      </w:r>
      <w:r w:rsidR="004B42D0" w:rsidRPr="009260B3">
        <w:rPr>
          <w:rFonts w:ascii="Times New Roman" w:cs="Times New Roman"/>
          <w:sz w:val="24"/>
          <w:szCs w:val="24"/>
        </w:rPr>
        <w:t>重复性</w:t>
      </w:r>
      <w:r w:rsidRPr="009260B3">
        <w:rPr>
          <w:rFonts w:ascii="Times New Roman" w:cs="Times New Roman"/>
          <w:sz w:val="24"/>
          <w:szCs w:val="24"/>
        </w:rPr>
        <w:t>试验</w:t>
      </w:r>
      <w:r w:rsidR="004B42D0" w:rsidRPr="009260B3">
        <w:rPr>
          <w:rFonts w:ascii="Times New Roman" w:cs="Times New Roman"/>
          <w:sz w:val="24"/>
          <w:szCs w:val="24"/>
        </w:rPr>
        <w:t>将</w:t>
      </w:r>
      <w:r w:rsidRPr="009260B3">
        <w:rPr>
          <w:rFonts w:ascii="Times New Roman" w:cs="Times New Roman"/>
          <w:sz w:val="24"/>
          <w:szCs w:val="24"/>
        </w:rPr>
        <w:t>样品加工成</w:t>
      </w:r>
      <w:r w:rsidRPr="009260B3">
        <w:rPr>
          <w:rFonts w:ascii="Times New Roman" w:hAnsi="Times New Roman" w:cs="Times New Roman"/>
          <w:sz w:val="24"/>
          <w:szCs w:val="24"/>
        </w:rPr>
        <w:t>Φ25×40</w:t>
      </w:r>
      <w:r w:rsidRPr="009260B3">
        <w:rPr>
          <w:rFonts w:ascii="Times New Roman" w:cs="Times New Roman"/>
          <w:sz w:val="24"/>
          <w:szCs w:val="24"/>
        </w:rPr>
        <w:t>。</w:t>
      </w:r>
      <w:r w:rsidR="004B42D0" w:rsidRPr="009260B3">
        <w:rPr>
          <w:rFonts w:ascii="Times New Roman" w:cs="Times New Roman"/>
          <w:sz w:val="24"/>
          <w:szCs w:val="24"/>
        </w:rPr>
        <w:t>试样来源于国内主要铝用</w:t>
      </w:r>
      <w:proofErr w:type="gramStart"/>
      <w:r w:rsidR="004B42D0" w:rsidRPr="009260B3">
        <w:rPr>
          <w:rFonts w:ascii="Times New Roman" w:cs="Times New Roman"/>
          <w:sz w:val="24"/>
          <w:szCs w:val="24"/>
        </w:rPr>
        <w:t>炭素</w:t>
      </w:r>
      <w:proofErr w:type="gramEnd"/>
      <w:r w:rsidR="004B42D0" w:rsidRPr="009260B3">
        <w:rPr>
          <w:rFonts w:ascii="Times New Roman" w:cs="Times New Roman"/>
          <w:sz w:val="24"/>
          <w:szCs w:val="24"/>
        </w:rPr>
        <w:t>材料生产企业。</w:t>
      </w:r>
    </w:p>
    <w:p w:rsidR="00E87086" w:rsidRDefault="00294958" w:rsidP="00D6272B">
      <w:pPr>
        <w:rPr>
          <w:rFonts w:ascii="黑体" w:eastAsia="黑体" w:hAnsi="黑体" w:cs="Times New Roman"/>
          <w:sz w:val="24"/>
          <w:szCs w:val="24"/>
        </w:rPr>
      </w:pPr>
      <w:r w:rsidRPr="009260B3">
        <w:rPr>
          <w:rFonts w:ascii="黑体" w:eastAsia="黑体" w:hAnsi="黑体" w:cs="Times New Roman"/>
          <w:sz w:val="24"/>
          <w:szCs w:val="24"/>
        </w:rPr>
        <w:t>5.</w:t>
      </w:r>
      <w:r w:rsidR="00E87086" w:rsidRPr="009260B3">
        <w:rPr>
          <w:rFonts w:ascii="黑体" w:eastAsia="黑体" w:hAnsi="黑体" w:cs="Times New Roman"/>
          <w:sz w:val="24"/>
          <w:szCs w:val="24"/>
        </w:rPr>
        <w:t>1.1阴极炭块（GS-5和SM）的开气孔率试验数据分析</w:t>
      </w:r>
      <w:r w:rsidRPr="009260B3">
        <w:rPr>
          <w:rFonts w:ascii="黑体" w:eastAsia="黑体" w:hAnsi="黑体" w:cs="Times New Roman"/>
          <w:sz w:val="24"/>
          <w:szCs w:val="24"/>
        </w:rPr>
        <w:t>（单位%）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779"/>
        <w:gridCol w:w="779"/>
        <w:gridCol w:w="779"/>
        <w:gridCol w:w="779"/>
        <w:gridCol w:w="779"/>
        <w:gridCol w:w="779"/>
        <w:gridCol w:w="779"/>
        <w:gridCol w:w="1174"/>
        <w:gridCol w:w="721"/>
      </w:tblGrid>
      <w:tr w:rsidR="00613DE3" w:rsidRPr="009260B3" w:rsidTr="009310DC">
        <w:trPr>
          <w:trHeight w:val="270"/>
        </w:trPr>
        <w:tc>
          <w:tcPr>
            <w:tcW w:w="689" w:type="pct"/>
            <w:vMerge w:val="restart"/>
            <w:shd w:val="clear" w:color="auto" w:fill="auto"/>
            <w:noWrap/>
            <w:vAlign w:val="center"/>
            <w:hideMark/>
          </w:tcPr>
          <w:p w:rsidR="00613DE3" w:rsidRPr="009260B3" w:rsidRDefault="00613DE3"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试样编号</w:t>
            </w:r>
          </w:p>
        </w:tc>
        <w:tc>
          <w:tcPr>
            <w:tcW w:w="2742" w:type="pct"/>
            <w:gridSpan w:val="6"/>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测试次数</w:t>
            </w:r>
          </w:p>
        </w:tc>
        <w:tc>
          <w:tcPr>
            <w:tcW w:w="457" w:type="pct"/>
            <w:vMerge w:val="restart"/>
            <w:shd w:val="clear" w:color="auto" w:fill="auto"/>
            <w:noWrap/>
            <w:vAlign w:val="center"/>
            <w:hideMark/>
          </w:tcPr>
          <w:p w:rsidR="00613DE3" w:rsidRPr="009260B3" w:rsidRDefault="00613DE3"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平均</w:t>
            </w:r>
          </w:p>
        </w:tc>
        <w:tc>
          <w:tcPr>
            <w:tcW w:w="689" w:type="pct"/>
            <w:vMerge w:val="restart"/>
            <w:shd w:val="clear" w:color="auto" w:fill="auto"/>
            <w:noWrap/>
            <w:vAlign w:val="center"/>
            <w:hideMark/>
          </w:tcPr>
          <w:p w:rsidR="00613DE3" w:rsidRPr="009260B3" w:rsidRDefault="00613DE3"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标准偏差</w:t>
            </w:r>
          </w:p>
        </w:tc>
        <w:tc>
          <w:tcPr>
            <w:tcW w:w="423" w:type="pct"/>
            <w:vMerge w:val="restart"/>
            <w:vAlign w:val="center"/>
          </w:tcPr>
          <w:p w:rsidR="00613DE3" w:rsidRPr="009260B3" w:rsidRDefault="00613DE3"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极差</w:t>
            </w:r>
          </w:p>
        </w:tc>
      </w:tr>
      <w:tr w:rsidR="00613DE3" w:rsidRPr="009260B3" w:rsidTr="009310DC">
        <w:trPr>
          <w:trHeight w:val="270"/>
        </w:trPr>
        <w:tc>
          <w:tcPr>
            <w:tcW w:w="689" w:type="pct"/>
            <w:vMerge/>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p>
        </w:tc>
        <w:tc>
          <w:tcPr>
            <w:tcW w:w="457" w:type="pct"/>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1</w:t>
            </w:r>
          </w:p>
        </w:tc>
        <w:tc>
          <w:tcPr>
            <w:tcW w:w="457" w:type="pct"/>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w:t>
            </w:r>
          </w:p>
        </w:tc>
        <w:tc>
          <w:tcPr>
            <w:tcW w:w="457" w:type="pct"/>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3</w:t>
            </w:r>
          </w:p>
        </w:tc>
        <w:tc>
          <w:tcPr>
            <w:tcW w:w="457" w:type="pct"/>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4</w:t>
            </w:r>
          </w:p>
        </w:tc>
        <w:tc>
          <w:tcPr>
            <w:tcW w:w="457" w:type="pct"/>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5</w:t>
            </w:r>
          </w:p>
        </w:tc>
        <w:tc>
          <w:tcPr>
            <w:tcW w:w="457" w:type="pct"/>
          </w:tcPr>
          <w:p w:rsidR="00613DE3" w:rsidRPr="009260B3" w:rsidRDefault="00613DE3"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6</w:t>
            </w:r>
          </w:p>
        </w:tc>
        <w:tc>
          <w:tcPr>
            <w:tcW w:w="457" w:type="pct"/>
            <w:vMerge/>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p>
        </w:tc>
        <w:tc>
          <w:tcPr>
            <w:tcW w:w="689" w:type="pct"/>
            <w:vMerge/>
            <w:shd w:val="clear" w:color="auto" w:fill="auto"/>
            <w:noWrap/>
            <w:vAlign w:val="center"/>
            <w:hideMark/>
          </w:tcPr>
          <w:p w:rsidR="00613DE3" w:rsidRPr="009260B3" w:rsidRDefault="00613DE3" w:rsidP="00D6272B">
            <w:pPr>
              <w:widowControl/>
              <w:jc w:val="center"/>
              <w:rPr>
                <w:rFonts w:ascii="Times New Roman" w:hAnsi="Times New Roman" w:cs="Times New Roman"/>
                <w:color w:val="000000"/>
                <w:kern w:val="0"/>
                <w:sz w:val="18"/>
                <w:szCs w:val="18"/>
              </w:rPr>
            </w:pPr>
          </w:p>
        </w:tc>
        <w:tc>
          <w:tcPr>
            <w:tcW w:w="423" w:type="pct"/>
            <w:vMerge/>
          </w:tcPr>
          <w:p w:rsidR="00613DE3" w:rsidRPr="009260B3" w:rsidRDefault="00613DE3" w:rsidP="00D6272B">
            <w:pPr>
              <w:widowControl/>
              <w:jc w:val="center"/>
              <w:rPr>
                <w:rFonts w:ascii="Times New Roman" w:hAnsi="Times New Roman" w:cs="Times New Roman"/>
                <w:color w:val="000000"/>
                <w:kern w:val="0"/>
                <w:sz w:val="18"/>
                <w:szCs w:val="18"/>
              </w:rPr>
            </w:pPr>
          </w:p>
        </w:tc>
      </w:tr>
      <w:tr w:rsidR="00613DE3" w:rsidRPr="009260B3" w:rsidTr="009310DC">
        <w:trPr>
          <w:trHeight w:val="270"/>
        </w:trPr>
        <w:tc>
          <w:tcPr>
            <w:tcW w:w="689"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GS-5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16.74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16.68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16.65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16.76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16.69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16.65 </w:t>
            </w:r>
          </w:p>
        </w:tc>
        <w:tc>
          <w:tcPr>
            <w:tcW w:w="457" w:type="pct"/>
            <w:shd w:val="clear" w:color="auto" w:fill="auto"/>
            <w:noWrap/>
            <w:vAlign w:val="center"/>
            <w:hideMark/>
          </w:tcPr>
          <w:p w:rsidR="00613DE3" w:rsidRPr="009260B3" w:rsidRDefault="00613DE3" w:rsidP="00D6272B">
            <w:pPr>
              <w:jc w:val="right"/>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16.70 </w:t>
            </w:r>
          </w:p>
        </w:tc>
        <w:tc>
          <w:tcPr>
            <w:tcW w:w="689"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0.05</w:t>
            </w:r>
          </w:p>
        </w:tc>
        <w:tc>
          <w:tcPr>
            <w:tcW w:w="423" w:type="pct"/>
          </w:tcPr>
          <w:p w:rsidR="00613DE3" w:rsidRPr="009260B3" w:rsidRDefault="00613DE3"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0.11</w:t>
            </w:r>
          </w:p>
        </w:tc>
      </w:tr>
      <w:tr w:rsidR="00613DE3" w:rsidRPr="009260B3" w:rsidTr="009310DC">
        <w:trPr>
          <w:trHeight w:val="270"/>
        </w:trPr>
        <w:tc>
          <w:tcPr>
            <w:tcW w:w="689"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SM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20.17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20.13 </w:t>
            </w:r>
          </w:p>
        </w:tc>
        <w:tc>
          <w:tcPr>
            <w:tcW w:w="457"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20.12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20.19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20.17 </w:t>
            </w:r>
          </w:p>
        </w:tc>
        <w:tc>
          <w:tcPr>
            <w:tcW w:w="457" w:type="pct"/>
            <w:vAlign w:val="center"/>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20.15 </w:t>
            </w:r>
          </w:p>
        </w:tc>
        <w:tc>
          <w:tcPr>
            <w:tcW w:w="457" w:type="pct"/>
            <w:shd w:val="clear" w:color="auto" w:fill="auto"/>
            <w:noWrap/>
            <w:vAlign w:val="center"/>
            <w:hideMark/>
          </w:tcPr>
          <w:p w:rsidR="00613DE3" w:rsidRPr="009260B3" w:rsidRDefault="00613DE3" w:rsidP="00D6272B">
            <w:pPr>
              <w:jc w:val="right"/>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 xml:space="preserve">20.16 </w:t>
            </w:r>
          </w:p>
        </w:tc>
        <w:tc>
          <w:tcPr>
            <w:tcW w:w="689" w:type="pct"/>
            <w:shd w:val="clear" w:color="auto" w:fill="auto"/>
            <w:noWrap/>
            <w:vAlign w:val="center"/>
            <w:hideMark/>
          </w:tcPr>
          <w:p w:rsidR="00613DE3" w:rsidRPr="009260B3" w:rsidRDefault="00613DE3"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0.03</w:t>
            </w:r>
          </w:p>
        </w:tc>
        <w:tc>
          <w:tcPr>
            <w:tcW w:w="423" w:type="pct"/>
          </w:tcPr>
          <w:p w:rsidR="00613DE3" w:rsidRPr="009260B3" w:rsidRDefault="00613DE3"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0.07</w:t>
            </w:r>
          </w:p>
        </w:tc>
      </w:tr>
    </w:tbl>
    <w:p w:rsidR="00D6272B" w:rsidRDefault="00D6272B" w:rsidP="00D6272B">
      <w:pPr>
        <w:rPr>
          <w:rFonts w:ascii="黑体" w:eastAsia="黑体" w:hAnsi="黑体" w:cs="Times New Roman"/>
          <w:sz w:val="24"/>
          <w:szCs w:val="24"/>
        </w:rPr>
      </w:pPr>
    </w:p>
    <w:p w:rsidR="004B42D0" w:rsidRDefault="00294958" w:rsidP="00D6272B">
      <w:pPr>
        <w:rPr>
          <w:rFonts w:ascii="黑体" w:eastAsia="黑体" w:hAnsi="黑体" w:cs="Times New Roman"/>
          <w:sz w:val="24"/>
          <w:szCs w:val="24"/>
        </w:rPr>
      </w:pPr>
      <w:r w:rsidRPr="009260B3">
        <w:rPr>
          <w:rFonts w:ascii="黑体" w:eastAsia="黑体" w:hAnsi="黑体" w:cs="Times New Roman"/>
          <w:sz w:val="24"/>
          <w:szCs w:val="24"/>
        </w:rPr>
        <w:t>5.</w:t>
      </w:r>
      <w:r w:rsidR="00E87086" w:rsidRPr="009260B3">
        <w:rPr>
          <w:rFonts w:ascii="黑体" w:eastAsia="黑体" w:hAnsi="黑体" w:cs="Times New Roman"/>
          <w:sz w:val="24"/>
          <w:szCs w:val="24"/>
        </w:rPr>
        <w:t>1.2 预焙阳极的开气孔率试验数据分析</w:t>
      </w:r>
      <w:r w:rsidRPr="009260B3">
        <w:rPr>
          <w:rFonts w:ascii="黑体" w:eastAsia="黑体" w:hAnsi="黑体" w:cs="Times New Roman"/>
          <w:sz w:val="24"/>
          <w:szCs w:val="24"/>
        </w:rPr>
        <w:t>（单位%）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4"/>
        <w:gridCol w:w="779"/>
        <w:gridCol w:w="779"/>
        <w:gridCol w:w="779"/>
        <w:gridCol w:w="779"/>
        <w:gridCol w:w="779"/>
        <w:gridCol w:w="779"/>
        <w:gridCol w:w="779"/>
        <w:gridCol w:w="1174"/>
        <w:gridCol w:w="721"/>
      </w:tblGrid>
      <w:tr w:rsidR="002D553B" w:rsidRPr="009260B3" w:rsidTr="009310DC">
        <w:trPr>
          <w:trHeight w:val="270"/>
        </w:trPr>
        <w:tc>
          <w:tcPr>
            <w:tcW w:w="689" w:type="pct"/>
            <w:vMerge w:val="restart"/>
            <w:shd w:val="clear" w:color="auto" w:fill="auto"/>
            <w:noWrap/>
            <w:vAlign w:val="center"/>
            <w:hideMark/>
          </w:tcPr>
          <w:p w:rsidR="002D553B" w:rsidRPr="009260B3" w:rsidRDefault="002D553B"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试样编号</w:t>
            </w:r>
          </w:p>
        </w:tc>
        <w:tc>
          <w:tcPr>
            <w:tcW w:w="2742" w:type="pct"/>
            <w:gridSpan w:val="6"/>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测试次数</w:t>
            </w:r>
          </w:p>
        </w:tc>
        <w:tc>
          <w:tcPr>
            <w:tcW w:w="457" w:type="pct"/>
            <w:vMerge w:val="restart"/>
            <w:shd w:val="clear" w:color="auto" w:fill="auto"/>
            <w:noWrap/>
            <w:vAlign w:val="center"/>
            <w:hideMark/>
          </w:tcPr>
          <w:p w:rsidR="002D553B" w:rsidRPr="009260B3" w:rsidRDefault="002D553B"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平均</w:t>
            </w:r>
          </w:p>
        </w:tc>
        <w:tc>
          <w:tcPr>
            <w:tcW w:w="689" w:type="pct"/>
            <w:vMerge w:val="restart"/>
            <w:shd w:val="clear" w:color="auto" w:fill="auto"/>
            <w:noWrap/>
            <w:vAlign w:val="center"/>
            <w:hideMark/>
          </w:tcPr>
          <w:p w:rsidR="002D553B" w:rsidRPr="009260B3" w:rsidRDefault="002D553B"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标准偏差</w:t>
            </w:r>
          </w:p>
        </w:tc>
        <w:tc>
          <w:tcPr>
            <w:tcW w:w="423" w:type="pct"/>
            <w:vMerge w:val="restart"/>
            <w:vAlign w:val="center"/>
          </w:tcPr>
          <w:p w:rsidR="002D553B" w:rsidRPr="009260B3" w:rsidRDefault="002D553B" w:rsidP="00D6272B">
            <w:pPr>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极差</w:t>
            </w:r>
          </w:p>
        </w:tc>
      </w:tr>
      <w:tr w:rsidR="002D553B" w:rsidRPr="009260B3" w:rsidTr="009310DC">
        <w:trPr>
          <w:trHeight w:val="270"/>
        </w:trPr>
        <w:tc>
          <w:tcPr>
            <w:tcW w:w="689" w:type="pct"/>
            <w:vMerge/>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p>
        </w:tc>
        <w:tc>
          <w:tcPr>
            <w:tcW w:w="457" w:type="pct"/>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1</w:t>
            </w:r>
          </w:p>
        </w:tc>
        <w:tc>
          <w:tcPr>
            <w:tcW w:w="457" w:type="pct"/>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w:t>
            </w:r>
          </w:p>
        </w:tc>
        <w:tc>
          <w:tcPr>
            <w:tcW w:w="457" w:type="pct"/>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3</w:t>
            </w:r>
          </w:p>
        </w:tc>
        <w:tc>
          <w:tcPr>
            <w:tcW w:w="457" w:type="pct"/>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4</w:t>
            </w:r>
          </w:p>
        </w:tc>
        <w:tc>
          <w:tcPr>
            <w:tcW w:w="457" w:type="pct"/>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5</w:t>
            </w:r>
          </w:p>
        </w:tc>
        <w:tc>
          <w:tcPr>
            <w:tcW w:w="457" w:type="pct"/>
          </w:tcPr>
          <w:p w:rsidR="002D553B"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6</w:t>
            </w:r>
          </w:p>
        </w:tc>
        <w:tc>
          <w:tcPr>
            <w:tcW w:w="457" w:type="pct"/>
            <w:vMerge/>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p>
        </w:tc>
        <w:tc>
          <w:tcPr>
            <w:tcW w:w="689" w:type="pct"/>
            <w:vMerge/>
            <w:shd w:val="clear" w:color="auto" w:fill="auto"/>
            <w:noWrap/>
            <w:vAlign w:val="center"/>
            <w:hideMark/>
          </w:tcPr>
          <w:p w:rsidR="002D553B" w:rsidRPr="009260B3" w:rsidRDefault="002D553B" w:rsidP="00D6272B">
            <w:pPr>
              <w:widowControl/>
              <w:jc w:val="center"/>
              <w:rPr>
                <w:rFonts w:ascii="Times New Roman" w:hAnsi="Times New Roman" w:cs="Times New Roman"/>
                <w:color w:val="000000"/>
                <w:kern w:val="0"/>
                <w:sz w:val="18"/>
                <w:szCs w:val="18"/>
              </w:rPr>
            </w:pPr>
          </w:p>
        </w:tc>
        <w:tc>
          <w:tcPr>
            <w:tcW w:w="423" w:type="pct"/>
            <w:vMerge/>
          </w:tcPr>
          <w:p w:rsidR="002D553B" w:rsidRPr="009260B3" w:rsidRDefault="002D553B" w:rsidP="00D6272B">
            <w:pPr>
              <w:widowControl/>
              <w:jc w:val="center"/>
              <w:rPr>
                <w:rFonts w:ascii="Times New Roman" w:hAnsi="Times New Roman" w:cs="Times New Roman"/>
                <w:color w:val="000000"/>
                <w:kern w:val="0"/>
                <w:sz w:val="18"/>
                <w:szCs w:val="18"/>
              </w:rPr>
            </w:pPr>
          </w:p>
        </w:tc>
      </w:tr>
      <w:tr w:rsidR="002D553B" w:rsidRPr="009260B3" w:rsidTr="009310DC">
        <w:trPr>
          <w:trHeight w:val="270"/>
        </w:trPr>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BL</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24.88</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24.81</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24.80</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24.89</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24.84</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24.82</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24.84</w:t>
            </w:r>
          </w:p>
        </w:tc>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0.04</w:t>
            </w:r>
          </w:p>
        </w:tc>
        <w:tc>
          <w:tcPr>
            <w:tcW w:w="423" w:type="pct"/>
          </w:tcPr>
          <w:p w:rsidR="002D553B" w:rsidRPr="009260B3" w:rsidRDefault="002D553B"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0.09</w:t>
            </w:r>
          </w:p>
        </w:tc>
      </w:tr>
      <w:tr w:rsidR="002D553B" w:rsidRPr="009260B3" w:rsidTr="009310DC">
        <w:trPr>
          <w:trHeight w:val="270"/>
        </w:trPr>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lastRenderedPageBreak/>
              <w:t>STO</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21.44</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21.38</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21.36</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21.37</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21.36</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21.34</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21.38</w:t>
            </w:r>
          </w:p>
        </w:tc>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0.03</w:t>
            </w:r>
          </w:p>
        </w:tc>
        <w:tc>
          <w:tcPr>
            <w:tcW w:w="423" w:type="pct"/>
          </w:tcPr>
          <w:p w:rsidR="002D553B" w:rsidRPr="009260B3" w:rsidRDefault="002D553B"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0.10</w:t>
            </w:r>
          </w:p>
        </w:tc>
      </w:tr>
      <w:tr w:rsidR="002D553B" w:rsidRPr="009260B3" w:rsidTr="009310DC">
        <w:trPr>
          <w:trHeight w:val="270"/>
        </w:trPr>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WJ</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21.30</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21.29</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21.28</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21.30</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21.27</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21.25</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21.28</w:t>
            </w:r>
          </w:p>
        </w:tc>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0.02</w:t>
            </w:r>
          </w:p>
        </w:tc>
        <w:tc>
          <w:tcPr>
            <w:tcW w:w="423" w:type="pct"/>
          </w:tcPr>
          <w:p w:rsidR="002D553B" w:rsidRPr="009260B3" w:rsidRDefault="002D553B"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0.05</w:t>
            </w:r>
          </w:p>
        </w:tc>
      </w:tr>
      <w:tr w:rsidR="002D553B" w:rsidRPr="009260B3" w:rsidTr="009310DC">
        <w:trPr>
          <w:trHeight w:val="270"/>
        </w:trPr>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AH</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20.91</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20.88</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20.88</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20.89</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20.87</w:t>
            </w:r>
          </w:p>
        </w:tc>
        <w:tc>
          <w:tcPr>
            <w:tcW w:w="457" w:type="pct"/>
            <w:vAlign w:val="center"/>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20.85</w:t>
            </w:r>
          </w:p>
        </w:tc>
        <w:tc>
          <w:tcPr>
            <w:tcW w:w="457"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20.88</w:t>
            </w:r>
          </w:p>
        </w:tc>
        <w:tc>
          <w:tcPr>
            <w:tcW w:w="689" w:type="pct"/>
            <w:shd w:val="clear" w:color="auto" w:fill="auto"/>
            <w:noWrap/>
            <w:vAlign w:val="center"/>
            <w:hideMark/>
          </w:tcPr>
          <w:p w:rsidR="002D553B" w:rsidRPr="009260B3" w:rsidRDefault="002D553B" w:rsidP="00D6272B">
            <w:pPr>
              <w:jc w:val="center"/>
              <w:rPr>
                <w:rFonts w:ascii="Times New Roman" w:eastAsia="宋体" w:hAnsi="Times New Roman" w:cs="Times New Roman"/>
                <w:color w:val="000000"/>
                <w:sz w:val="18"/>
                <w:szCs w:val="18"/>
              </w:rPr>
            </w:pPr>
            <w:r w:rsidRPr="009260B3">
              <w:rPr>
                <w:rFonts w:ascii="Times New Roman" w:hAnsi="Times New Roman" w:cs="Times New Roman"/>
                <w:color w:val="000000"/>
                <w:sz w:val="18"/>
                <w:szCs w:val="18"/>
              </w:rPr>
              <w:t>0.02</w:t>
            </w:r>
          </w:p>
        </w:tc>
        <w:tc>
          <w:tcPr>
            <w:tcW w:w="423" w:type="pct"/>
          </w:tcPr>
          <w:p w:rsidR="002D553B" w:rsidRPr="009260B3" w:rsidRDefault="002D553B" w:rsidP="00D6272B">
            <w:pPr>
              <w:jc w:val="center"/>
              <w:rPr>
                <w:rFonts w:ascii="Times New Roman" w:hAnsi="Times New Roman" w:cs="Times New Roman"/>
                <w:color w:val="000000"/>
                <w:sz w:val="18"/>
                <w:szCs w:val="18"/>
              </w:rPr>
            </w:pPr>
            <w:r w:rsidRPr="009260B3">
              <w:rPr>
                <w:rFonts w:ascii="Times New Roman" w:hAnsi="Times New Roman" w:cs="Times New Roman"/>
                <w:color w:val="000000"/>
                <w:sz w:val="18"/>
                <w:szCs w:val="18"/>
              </w:rPr>
              <w:t>0.06</w:t>
            </w:r>
          </w:p>
        </w:tc>
      </w:tr>
    </w:tbl>
    <w:p w:rsidR="00E87086" w:rsidRPr="009260B3" w:rsidRDefault="00E87086" w:rsidP="00D6272B">
      <w:pPr>
        <w:ind w:firstLineChars="202" w:firstLine="485"/>
        <w:rPr>
          <w:rFonts w:ascii="Times New Roman" w:hAnsi="Times New Roman" w:cs="Times New Roman"/>
          <w:sz w:val="24"/>
          <w:szCs w:val="24"/>
        </w:rPr>
      </w:pPr>
      <w:r w:rsidRPr="009260B3">
        <w:rPr>
          <w:rFonts w:ascii="Times New Roman" w:cs="Times New Roman"/>
          <w:sz w:val="24"/>
          <w:szCs w:val="24"/>
        </w:rPr>
        <w:t>由上</w:t>
      </w:r>
      <w:r w:rsidR="00613DE3" w:rsidRPr="009260B3">
        <w:rPr>
          <w:rFonts w:ascii="Times New Roman" w:cs="Times New Roman"/>
          <w:sz w:val="24"/>
          <w:szCs w:val="24"/>
        </w:rPr>
        <w:t>阴极炭块和预焙阳极试样开气孔率的</w:t>
      </w:r>
      <w:r w:rsidRPr="009260B3">
        <w:rPr>
          <w:rFonts w:ascii="Times New Roman" w:cs="Times New Roman"/>
          <w:sz w:val="24"/>
          <w:szCs w:val="24"/>
        </w:rPr>
        <w:t>重复测试可知，当对同一</w:t>
      </w:r>
      <w:r w:rsidR="00613DE3" w:rsidRPr="009260B3">
        <w:rPr>
          <w:rFonts w:ascii="Times New Roman" w:cs="Times New Roman"/>
          <w:sz w:val="24"/>
          <w:szCs w:val="24"/>
        </w:rPr>
        <w:t>试样棒</w:t>
      </w:r>
      <w:r w:rsidRPr="009260B3">
        <w:rPr>
          <w:rFonts w:ascii="Times New Roman" w:cs="Times New Roman"/>
          <w:sz w:val="24"/>
          <w:szCs w:val="24"/>
        </w:rPr>
        <w:t>在重复性条件下进行测试时，测量</w:t>
      </w:r>
      <w:r w:rsidR="00613DE3" w:rsidRPr="009260B3">
        <w:rPr>
          <w:rFonts w:ascii="Times New Roman" w:cs="Times New Roman"/>
          <w:sz w:val="24"/>
          <w:szCs w:val="24"/>
        </w:rPr>
        <w:t>标准偏差</w:t>
      </w:r>
      <w:r w:rsidRPr="009260B3">
        <w:rPr>
          <w:rFonts w:ascii="Times New Roman" w:cs="Times New Roman"/>
          <w:sz w:val="24"/>
          <w:szCs w:val="24"/>
        </w:rPr>
        <w:t>不大于</w:t>
      </w:r>
      <w:r w:rsidRPr="009260B3">
        <w:rPr>
          <w:rFonts w:ascii="Times New Roman" w:hAnsi="Times New Roman" w:cs="Times New Roman"/>
          <w:sz w:val="24"/>
          <w:szCs w:val="24"/>
        </w:rPr>
        <w:t>0.</w:t>
      </w:r>
      <w:r w:rsidR="00613DE3" w:rsidRPr="009260B3">
        <w:rPr>
          <w:rFonts w:ascii="Times New Roman" w:hAnsi="Times New Roman" w:cs="Times New Roman"/>
          <w:sz w:val="24"/>
          <w:szCs w:val="24"/>
        </w:rPr>
        <w:t>05</w:t>
      </w:r>
      <w:r w:rsidRPr="009260B3">
        <w:rPr>
          <w:rFonts w:ascii="Times New Roman" w:hAnsi="Times New Roman" w:cs="Times New Roman"/>
          <w:sz w:val="24"/>
          <w:szCs w:val="24"/>
        </w:rPr>
        <w:t>%</w:t>
      </w:r>
      <w:r w:rsidRPr="009260B3">
        <w:rPr>
          <w:rFonts w:ascii="Times New Roman" w:cs="Times New Roman"/>
          <w:sz w:val="24"/>
          <w:szCs w:val="24"/>
        </w:rPr>
        <w:t>，</w:t>
      </w:r>
      <w:r w:rsidR="00613DE3" w:rsidRPr="009260B3">
        <w:rPr>
          <w:rFonts w:ascii="Times New Roman" w:cs="Times New Roman"/>
          <w:sz w:val="24"/>
          <w:szCs w:val="24"/>
        </w:rPr>
        <w:t>在置信度不</w:t>
      </w:r>
      <w:r w:rsidR="0026083D">
        <w:rPr>
          <w:rFonts w:ascii="Times New Roman" w:cs="Times New Roman"/>
          <w:sz w:val="24"/>
          <w:szCs w:val="24"/>
        </w:rPr>
        <w:t>小</w:t>
      </w:r>
      <w:r w:rsidR="00613DE3" w:rsidRPr="009260B3">
        <w:rPr>
          <w:rFonts w:ascii="Times New Roman" w:cs="Times New Roman"/>
          <w:sz w:val="24"/>
          <w:szCs w:val="24"/>
        </w:rPr>
        <w:t>于</w:t>
      </w:r>
      <w:r w:rsidR="00613DE3" w:rsidRPr="009260B3">
        <w:rPr>
          <w:rFonts w:ascii="Times New Roman" w:hAnsi="Times New Roman" w:cs="Times New Roman"/>
          <w:sz w:val="24"/>
          <w:szCs w:val="24"/>
        </w:rPr>
        <w:t>95%</w:t>
      </w:r>
      <w:r w:rsidR="00613DE3" w:rsidRPr="009260B3">
        <w:rPr>
          <w:rFonts w:ascii="Times New Roman" w:cs="Times New Roman"/>
          <w:sz w:val="24"/>
          <w:szCs w:val="24"/>
        </w:rPr>
        <w:t>的概率下，平行测定结果之差不超过</w:t>
      </w:r>
      <w:r w:rsidR="00613DE3" w:rsidRPr="009260B3">
        <w:rPr>
          <w:rFonts w:ascii="Times New Roman" w:hAnsi="Times New Roman" w:cs="Times New Roman"/>
          <w:sz w:val="24"/>
          <w:szCs w:val="24"/>
        </w:rPr>
        <w:t>0.2%</w:t>
      </w:r>
      <w:r w:rsidR="002D553B" w:rsidRPr="009260B3">
        <w:rPr>
          <w:rFonts w:ascii="Times New Roman" w:cs="Times New Roman"/>
          <w:sz w:val="24"/>
          <w:szCs w:val="24"/>
        </w:rPr>
        <w:t>（实测中平行测定结果最大偏差为</w:t>
      </w:r>
      <w:r w:rsidR="002D553B" w:rsidRPr="009260B3">
        <w:rPr>
          <w:rFonts w:ascii="Times New Roman" w:hAnsi="Times New Roman" w:cs="Times New Roman"/>
          <w:sz w:val="24"/>
          <w:szCs w:val="24"/>
        </w:rPr>
        <w:t>0.11%</w:t>
      </w:r>
      <w:r w:rsidR="002D553B" w:rsidRPr="009260B3">
        <w:rPr>
          <w:rFonts w:ascii="Times New Roman" w:cs="Times New Roman"/>
          <w:sz w:val="24"/>
          <w:szCs w:val="24"/>
        </w:rPr>
        <w:t>），</w:t>
      </w:r>
      <w:r w:rsidRPr="009260B3">
        <w:rPr>
          <w:rFonts w:ascii="Times New Roman" w:cs="Times New Roman"/>
          <w:sz w:val="24"/>
          <w:szCs w:val="24"/>
        </w:rPr>
        <w:t>重复测量结果</w:t>
      </w:r>
      <w:r w:rsidR="00613DE3" w:rsidRPr="009260B3">
        <w:rPr>
          <w:rFonts w:ascii="Times New Roman" w:cs="Times New Roman"/>
          <w:sz w:val="24"/>
          <w:szCs w:val="24"/>
        </w:rPr>
        <w:t>明显</w:t>
      </w:r>
      <w:r w:rsidRPr="009260B3">
        <w:rPr>
          <w:rFonts w:ascii="Times New Roman" w:cs="Times New Roman"/>
          <w:sz w:val="24"/>
          <w:szCs w:val="24"/>
        </w:rPr>
        <w:t>优于方法一（液体静力学法）的重复性限要求。</w:t>
      </w:r>
    </w:p>
    <w:p w:rsidR="00E87086" w:rsidRPr="009260B3" w:rsidRDefault="00294958" w:rsidP="00D6272B">
      <w:pPr>
        <w:rPr>
          <w:rFonts w:ascii="黑体" w:eastAsia="黑体" w:hAnsi="黑体" w:cs="Times New Roman"/>
          <w:sz w:val="24"/>
          <w:szCs w:val="24"/>
        </w:rPr>
      </w:pPr>
      <w:r w:rsidRPr="009260B3">
        <w:rPr>
          <w:rFonts w:ascii="黑体" w:eastAsia="黑体" w:hAnsi="黑体" w:cs="Times New Roman"/>
          <w:sz w:val="24"/>
          <w:szCs w:val="24"/>
        </w:rPr>
        <w:t>5.</w:t>
      </w:r>
      <w:r w:rsidR="00E87086" w:rsidRPr="009260B3">
        <w:rPr>
          <w:rFonts w:ascii="黑体" w:eastAsia="黑体" w:hAnsi="黑体" w:cs="Times New Roman"/>
          <w:sz w:val="24"/>
          <w:szCs w:val="24"/>
        </w:rPr>
        <w:t xml:space="preserve">2   </w:t>
      </w:r>
      <w:r w:rsidR="004B42D0" w:rsidRPr="009260B3">
        <w:rPr>
          <w:rFonts w:ascii="黑体" w:eastAsia="黑体" w:hAnsi="黑体" w:cs="Times New Roman"/>
          <w:sz w:val="24"/>
          <w:szCs w:val="24"/>
        </w:rPr>
        <w:t>方法二</w:t>
      </w:r>
      <w:r w:rsidR="00E87086" w:rsidRPr="009260B3">
        <w:rPr>
          <w:rFonts w:ascii="黑体" w:eastAsia="黑体" w:hAnsi="黑体" w:cs="Times New Roman"/>
          <w:sz w:val="24"/>
          <w:szCs w:val="24"/>
        </w:rPr>
        <w:t>再现性分析</w:t>
      </w:r>
    </w:p>
    <w:p w:rsidR="00E87086" w:rsidRPr="009260B3" w:rsidRDefault="00294958" w:rsidP="00D6272B">
      <w:pPr>
        <w:rPr>
          <w:rFonts w:ascii="黑体" w:eastAsia="黑体" w:hAnsi="黑体" w:cs="Times New Roman"/>
          <w:sz w:val="24"/>
          <w:szCs w:val="24"/>
        </w:rPr>
      </w:pPr>
      <w:r w:rsidRPr="009260B3">
        <w:rPr>
          <w:rFonts w:ascii="黑体" w:eastAsia="黑体" w:hAnsi="黑体" w:cs="Times New Roman"/>
          <w:sz w:val="24"/>
          <w:szCs w:val="24"/>
        </w:rPr>
        <w:t>5.</w:t>
      </w:r>
      <w:r w:rsidR="00E87086" w:rsidRPr="009260B3">
        <w:rPr>
          <w:rFonts w:ascii="黑体" w:eastAsia="黑体" w:hAnsi="黑体" w:cs="Times New Roman"/>
          <w:sz w:val="24"/>
          <w:szCs w:val="24"/>
        </w:rPr>
        <w:t>2.1  炭块均匀性问题</w:t>
      </w:r>
    </w:p>
    <w:p w:rsidR="00E87086" w:rsidRDefault="00E87086" w:rsidP="00D6272B">
      <w:pPr>
        <w:ind w:firstLineChars="202" w:firstLine="485"/>
        <w:rPr>
          <w:rFonts w:ascii="Times New Roman" w:cs="Times New Roman"/>
          <w:sz w:val="24"/>
          <w:szCs w:val="24"/>
        </w:rPr>
      </w:pPr>
      <w:r w:rsidRPr="009260B3">
        <w:rPr>
          <w:rFonts w:ascii="Times New Roman" w:cs="Times New Roman"/>
          <w:sz w:val="24"/>
          <w:szCs w:val="24"/>
        </w:rPr>
        <w:t>同一炭块不同部位样品的开气孔率测试结果如下表</w:t>
      </w:r>
      <w:r w:rsidR="00294958" w:rsidRPr="009260B3">
        <w:rPr>
          <w:rFonts w:ascii="Times New Roman" w:cs="Times New Roman"/>
          <w:sz w:val="24"/>
          <w:szCs w:val="24"/>
        </w:rPr>
        <w:t>（单位</w:t>
      </w:r>
      <w:r w:rsidR="00294958" w:rsidRPr="009260B3">
        <w:rPr>
          <w:rFonts w:ascii="Times New Roman" w:hAnsi="Times New Roman" w:cs="Times New Roman"/>
          <w:sz w:val="24"/>
          <w:szCs w:val="24"/>
        </w:rPr>
        <w:t>%</w:t>
      </w:r>
      <w:r w:rsidR="00294958" w:rsidRPr="009260B3">
        <w:rPr>
          <w:rFonts w:ascii="Times New Roman" w:cs="Times New Roman"/>
          <w:sz w:val="24"/>
          <w:szCs w:val="24"/>
        </w:rPr>
        <w:t>）</w:t>
      </w:r>
      <w:r w:rsidRPr="009260B3">
        <w:rPr>
          <w:rFonts w:ascii="Times New Roman" w:cs="Times New Roman"/>
          <w:sz w:val="24"/>
          <w:szCs w:val="24"/>
        </w:rPr>
        <w:t>，结果保留至小数点后一位（后续同样处理）</w:t>
      </w:r>
      <w:r w:rsidR="009260B3">
        <w:rPr>
          <w:rFonts w:ascii="Times New Roman" w:cs="Times New Roman"/>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0"/>
        <w:gridCol w:w="904"/>
        <w:gridCol w:w="903"/>
        <w:gridCol w:w="903"/>
        <w:gridCol w:w="903"/>
        <w:gridCol w:w="903"/>
        <w:gridCol w:w="905"/>
        <w:gridCol w:w="905"/>
        <w:gridCol w:w="1096"/>
      </w:tblGrid>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炭块编号</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1#</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3#</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4#</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5#</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6#</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平均值</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标准偏差</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GS-5</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16.7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18.3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20.0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16.4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17.0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16.7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17.5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1.39 </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SM</w:t>
            </w:r>
          </w:p>
        </w:tc>
        <w:tc>
          <w:tcPr>
            <w:tcW w:w="530" w:type="pct"/>
            <w:shd w:val="clear" w:color="auto" w:fill="auto"/>
            <w:noWrap/>
            <w:vAlign w:val="center"/>
            <w:hideMark/>
          </w:tcPr>
          <w:p w:rsidR="00E87086"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20.2</w:t>
            </w:r>
            <w:r w:rsidR="00E87086" w:rsidRPr="009260B3">
              <w:rPr>
                <w:rFonts w:ascii="Times New Roman" w:hAnsi="Times New Roman" w:cs="Times New Roman"/>
                <w:color w:val="000000"/>
                <w:kern w:val="0"/>
                <w:sz w:val="18"/>
                <w:szCs w:val="18"/>
              </w:rPr>
              <w:t xml:space="preserve">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19.8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15.4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20.1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20.0 </w:t>
            </w:r>
          </w:p>
        </w:tc>
        <w:tc>
          <w:tcPr>
            <w:tcW w:w="531" w:type="pct"/>
            <w:shd w:val="clear" w:color="auto" w:fill="auto"/>
            <w:noWrap/>
            <w:vAlign w:val="center"/>
            <w:hideMark/>
          </w:tcPr>
          <w:p w:rsidR="00E87086" w:rsidRPr="009260B3" w:rsidRDefault="002D553B"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19.5</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19.2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1.86 </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BL</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24.8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23.5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24.8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22.5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23.4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24.8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24.0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0.98 </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STO</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21.</w:t>
            </w:r>
            <w:r w:rsidR="002D553B" w:rsidRPr="009260B3">
              <w:rPr>
                <w:rFonts w:ascii="Times New Roman" w:hAnsi="Times New Roman" w:cs="Times New Roman"/>
                <w:color w:val="000000"/>
                <w:kern w:val="0"/>
                <w:sz w:val="18"/>
                <w:szCs w:val="18"/>
              </w:rPr>
              <w:t>4</w:t>
            </w:r>
            <w:r w:rsidRPr="009260B3">
              <w:rPr>
                <w:rFonts w:ascii="Times New Roman" w:hAnsi="Times New Roman" w:cs="Times New Roman"/>
                <w:color w:val="000000"/>
                <w:kern w:val="0"/>
                <w:sz w:val="18"/>
                <w:szCs w:val="18"/>
              </w:rPr>
              <w:t xml:space="preserve">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21.5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22.2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21.</w:t>
            </w:r>
            <w:r w:rsidR="002D553B" w:rsidRPr="009260B3">
              <w:rPr>
                <w:rFonts w:ascii="Times New Roman" w:hAnsi="Times New Roman" w:cs="Times New Roman"/>
                <w:color w:val="000000"/>
                <w:kern w:val="0"/>
                <w:sz w:val="18"/>
                <w:szCs w:val="18"/>
              </w:rPr>
              <w:t>8</w:t>
            </w:r>
            <w:r w:rsidRPr="009260B3">
              <w:rPr>
                <w:rFonts w:ascii="Times New Roman" w:hAnsi="Times New Roman" w:cs="Times New Roman"/>
                <w:color w:val="000000"/>
                <w:kern w:val="0"/>
                <w:sz w:val="18"/>
                <w:szCs w:val="18"/>
              </w:rPr>
              <w:t xml:space="preserve">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20.3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21.3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21.4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0.64 </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WJ</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21.3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21.5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20.2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21.3 </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22.1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22.2 </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21.4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0.72 </w:t>
            </w:r>
          </w:p>
        </w:tc>
      </w:tr>
      <w:tr w:rsidR="00E87086" w:rsidRPr="009260B3" w:rsidTr="009310DC">
        <w:trPr>
          <w:trHeight w:val="270"/>
        </w:trPr>
        <w:tc>
          <w:tcPr>
            <w:tcW w:w="645"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AH</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w:t>
            </w:r>
            <w:r w:rsidR="002D553B" w:rsidRPr="009260B3">
              <w:rPr>
                <w:rFonts w:ascii="Times New Roman" w:hAnsi="Times New Roman" w:cs="Times New Roman"/>
                <w:color w:val="000000"/>
                <w:kern w:val="0"/>
                <w:sz w:val="18"/>
                <w:szCs w:val="18"/>
              </w:rPr>
              <w:t>0.9</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20.1</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21.2</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20.9</w:t>
            </w:r>
          </w:p>
        </w:tc>
        <w:tc>
          <w:tcPr>
            <w:tcW w:w="530"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w:t>
            </w:r>
            <w:r w:rsidR="002D553B" w:rsidRPr="009260B3">
              <w:rPr>
                <w:rFonts w:ascii="Times New Roman" w:hAnsi="Times New Roman" w:cs="Times New Roman"/>
                <w:color w:val="000000"/>
                <w:kern w:val="0"/>
                <w:sz w:val="18"/>
                <w:szCs w:val="18"/>
              </w:rPr>
              <w:t>1.2</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20.2</w:t>
            </w:r>
          </w:p>
        </w:tc>
        <w:tc>
          <w:tcPr>
            <w:tcW w:w="531"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20.8 </w:t>
            </w:r>
          </w:p>
        </w:tc>
        <w:tc>
          <w:tcPr>
            <w:tcW w:w="643" w:type="pct"/>
            <w:shd w:val="clear" w:color="auto" w:fill="auto"/>
            <w:noWrap/>
            <w:vAlign w:val="center"/>
            <w:hideMark/>
          </w:tcPr>
          <w:p w:rsidR="00E87086" w:rsidRPr="009260B3" w:rsidRDefault="00E87086" w:rsidP="00D6272B">
            <w:pPr>
              <w:widowControl/>
              <w:jc w:val="center"/>
              <w:rPr>
                <w:rFonts w:ascii="Times New Roman" w:hAnsi="Times New Roman" w:cs="Times New Roman"/>
                <w:color w:val="000000"/>
                <w:kern w:val="0"/>
                <w:sz w:val="18"/>
                <w:szCs w:val="18"/>
              </w:rPr>
            </w:pPr>
            <w:r w:rsidRPr="009260B3">
              <w:rPr>
                <w:rFonts w:ascii="Times New Roman" w:hAnsi="Times New Roman" w:cs="Times New Roman"/>
                <w:color w:val="000000"/>
                <w:kern w:val="0"/>
                <w:sz w:val="18"/>
                <w:szCs w:val="18"/>
              </w:rPr>
              <w:t xml:space="preserve">0.48 </w:t>
            </w:r>
          </w:p>
        </w:tc>
      </w:tr>
    </w:tbl>
    <w:p w:rsidR="00E87086" w:rsidRPr="00E87086" w:rsidRDefault="00E87086" w:rsidP="00D6272B">
      <w:pPr>
        <w:ind w:firstLineChars="202" w:firstLine="485"/>
        <w:rPr>
          <w:sz w:val="24"/>
          <w:szCs w:val="24"/>
        </w:rPr>
      </w:pPr>
      <w:r w:rsidRPr="00E87086">
        <w:rPr>
          <w:rFonts w:hint="eastAsia"/>
          <w:sz w:val="24"/>
          <w:szCs w:val="24"/>
        </w:rPr>
        <w:t>同一样品不同部位测定标准偏差为同一试样棒标准偏差的</w:t>
      </w:r>
      <w:r w:rsidRPr="00E87086">
        <w:rPr>
          <w:rFonts w:hint="eastAsia"/>
          <w:sz w:val="24"/>
          <w:szCs w:val="24"/>
        </w:rPr>
        <w:t>8</w:t>
      </w:r>
      <w:r w:rsidRPr="00E87086">
        <w:rPr>
          <w:rFonts w:hint="eastAsia"/>
          <w:sz w:val="24"/>
          <w:szCs w:val="24"/>
        </w:rPr>
        <w:t>倍以上，</w:t>
      </w:r>
      <w:r w:rsidR="00790A43">
        <w:rPr>
          <w:rFonts w:hint="eastAsia"/>
          <w:sz w:val="24"/>
          <w:szCs w:val="24"/>
        </w:rPr>
        <w:t>表明</w:t>
      </w:r>
      <w:r w:rsidRPr="00E87086">
        <w:rPr>
          <w:rFonts w:hint="eastAsia"/>
          <w:sz w:val="24"/>
          <w:szCs w:val="24"/>
        </w:rPr>
        <w:t>炭块不均匀性可能会造成测试结果的偏差过大。</w:t>
      </w:r>
    </w:p>
    <w:p w:rsidR="00E87086" w:rsidRPr="009310DC" w:rsidRDefault="00294958" w:rsidP="00D6272B">
      <w:pPr>
        <w:rPr>
          <w:rFonts w:ascii="黑体" w:eastAsia="黑体" w:hAnsi="黑体"/>
          <w:color w:val="000000" w:themeColor="text1"/>
          <w:sz w:val="24"/>
          <w:szCs w:val="24"/>
        </w:rPr>
      </w:pPr>
      <w:r w:rsidRPr="009310DC">
        <w:rPr>
          <w:rFonts w:ascii="黑体" w:eastAsia="黑体" w:hAnsi="黑体" w:hint="eastAsia"/>
          <w:color w:val="000000" w:themeColor="text1"/>
          <w:sz w:val="24"/>
          <w:szCs w:val="24"/>
        </w:rPr>
        <w:t>5.</w:t>
      </w:r>
      <w:r w:rsidR="00E87086" w:rsidRPr="009310DC">
        <w:rPr>
          <w:rFonts w:ascii="黑体" w:eastAsia="黑体" w:hAnsi="黑体" w:hint="eastAsia"/>
          <w:color w:val="000000" w:themeColor="text1"/>
          <w:sz w:val="24"/>
          <w:szCs w:val="24"/>
        </w:rPr>
        <w:t>2.2不同尺寸间的差异</w:t>
      </w:r>
    </w:p>
    <w:p w:rsidR="00E87086" w:rsidRPr="00E87086" w:rsidRDefault="00E87086" w:rsidP="00D6272B">
      <w:pPr>
        <w:ind w:firstLineChars="202" w:firstLine="485"/>
        <w:rPr>
          <w:sz w:val="24"/>
          <w:szCs w:val="24"/>
        </w:rPr>
      </w:pPr>
      <w:r w:rsidRPr="00E87086">
        <w:rPr>
          <w:rFonts w:hint="eastAsia"/>
          <w:sz w:val="24"/>
          <w:szCs w:val="24"/>
        </w:rPr>
        <w:t>鉴于氦比重计样品池的尺寸限制，同时为了减少根据炭块均匀性不良导致测试偏差较大的问题，试验对各炭块的不同部位都进行了测试，采用同一部位试样加工成</w:t>
      </w:r>
      <w:r w:rsidRPr="00294958">
        <w:rPr>
          <w:rFonts w:ascii="Times New Roman" w:hAnsi="Times New Roman" w:cs="Times New Roman"/>
          <w:sz w:val="24"/>
          <w:szCs w:val="24"/>
        </w:rPr>
        <w:t>Φ25×40</w:t>
      </w:r>
      <w:r w:rsidRPr="00E87086">
        <w:rPr>
          <w:rFonts w:hint="eastAsia"/>
          <w:sz w:val="24"/>
          <w:szCs w:val="24"/>
        </w:rPr>
        <w:t>和</w:t>
      </w:r>
      <w:r w:rsidRPr="00294958">
        <w:rPr>
          <w:rFonts w:ascii="Times New Roman" w:hAnsi="Times New Roman" w:cs="Times New Roman"/>
          <w:sz w:val="24"/>
          <w:szCs w:val="24"/>
        </w:rPr>
        <w:t>Φ25×30</w:t>
      </w:r>
      <w:r w:rsidRPr="00E87086">
        <w:rPr>
          <w:sz w:val="24"/>
          <w:szCs w:val="24"/>
        </w:rPr>
        <w:t>两种尺寸</w:t>
      </w:r>
      <w:r w:rsidRPr="00E87086">
        <w:rPr>
          <w:rFonts w:hint="eastAsia"/>
          <w:sz w:val="24"/>
          <w:szCs w:val="24"/>
        </w:rPr>
        <w:t>来进行结果比对，以确定尺寸对结果偏差的影响程度。</w:t>
      </w:r>
    </w:p>
    <w:p w:rsidR="00E87086" w:rsidRPr="00E87086" w:rsidRDefault="00E87086" w:rsidP="00D6272B">
      <w:pPr>
        <w:ind w:firstLineChars="202" w:firstLine="485"/>
        <w:rPr>
          <w:sz w:val="24"/>
          <w:szCs w:val="24"/>
        </w:rPr>
      </w:pPr>
      <w:r w:rsidRPr="00294958">
        <w:rPr>
          <w:rFonts w:ascii="Times New Roman" w:hAnsi="Times New Roman" w:cs="Times New Roman"/>
          <w:sz w:val="24"/>
          <w:szCs w:val="24"/>
        </w:rPr>
        <w:t>Φ25×40</w:t>
      </w:r>
      <w:r w:rsidRPr="00294958">
        <w:rPr>
          <w:rFonts w:ascii="Times New Roman" w:cs="Times New Roman"/>
          <w:sz w:val="24"/>
          <w:szCs w:val="24"/>
        </w:rPr>
        <w:t>与</w:t>
      </w:r>
      <w:r w:rsidRPr="00294958">
        <w:rPr>
          <w:rFonts w:ascii="Times New Roman" w:hAnsi="Times New Roman" w:cs="Times New Roman"/>
          <w:sz w:val="24"/>
          <w:szCs w:val="24"/>
        </w:rPr>
        <w:t>Φ25×30</w:t>
      </w:r>
      <w:r w:rsidRPr="00E87086">
        <w:rPr>
          <w:rFonts w:hint="eastAsia"/>
          <w:sz w:val="24"/>
          <w:szCs w:val="24"/>
        </w:rPr>
        <w:t>尺寸下的结果如下表所示：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2"/>
        <w:gridCol w:w="1032"/>
        <w:gridCol w:w="690"/>
        <w:gridCol w:w="690"/>
        <w:gridCol w:w="690"/>
        <w:gridCol w:w="690"/>
        <w:gridCol w:w="690"/>
        <w:gridCol w:w="695"/>
        <w:gridCol w:w="963"/>
        <w:gridCol w:w="1190"/>
      </w:tblGrid>
      <w:tr w:rsidR="00E87086" w:rsidRPr="009310DC" w:rsidTr="00D6272B">
        <w:trPr>
          <w:trHeight w:val="207"/>
        </w:trPr>
        <w:tc>
          <w:tcPr>
            <w:tcW w:w="699" w:type="pct"/>
            <w:vMerge w:val="restar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炭块编号</w:t>
            </w:r>
          </w:p>
        </w:tc>
        <w:tc>
          <w:tcPr>
            <w:tcW w:w="605" w:type="pct"/>
            <w:vMerge w:val="restar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尺寸</w:t>
            </w:r>
          </w:p>
        </w:tc>
        <w:tc>
          <w:tcPr>
            <w:tcW w:w="2433" w:type="pct"/>
            <w:gridSpan w:val="6"/>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开气孔率（</w:t>
            </w:r>
            <w:r w:rsidRPr="009310DC">
              <w:rPr>
                <w:rFonts w:ascii="Times New Roman" w:hAnsi="Times New Roman" w:cs="Times New Roman"/>
                <w:color w:val="000000"/>
                <w:kern w:val="0"/>
                <w:sz w:val="18"/>
                <w:szCs w:val="18"/>
              </w:rPr>
              <w:t>%</w:t>
            </w:r>
            <w:r w:rsidRPr="009310DC">
              <w:rPr>
                <w:rFonts w:ascii="Times New Roman" w:hAnsi="宋体" w:cs="Times New Roman"/>
                <w:color w:val="000000"/>
                <w:kern w:val="0"/>
                <w:sz w:val="18"/>
                <w:szCs w:val="18"/>
              </w:rPr>
              <w:t>）</w:t>
            </w:r>
          </w:p>
        </w:tc>
        <w:tc>
          <w:tcPr>
            <w:tcW w:w="565" w:type="pct"/>
            <w:vMerge w:val="restart"/>
            <w:shd w:val="clear" w:color="auto" w:fill="auto"/>
            <w:vAlign w:val="center"/>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平均值</w:t>
            </w:r>
          </w:p>
        </w:tc>
        <w:tc>
          <w:tcPr>
            <w:tcW w:w="699" w:type="pct"/>
            <w:vMerge w:val="restart"/>
            <w:vAlign w:val="center"/>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标准偏差</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Merge/>
            <w:vAlign w:val="center"/>
          </w:tcPr>
          <w:p w:rsidR="00E87086" w:rsidRPr="009310DC" w:rsidRDefault="00E87086" w:rsidP="00D6272B">
            <w:pPr>
              <w:widowControl/>
              <w:jc w:val="center"/>
              <w:rPr>
                <w:rFonts w:ascii="Times New Roman" w:hAnsi="Times New Roman" w:cs="Times New Roman"/>
                <w:color w:val="000000"/>
                <w:kern w:val="0"/>
                <w:sz w:val="18"/>
                <w:szCs w:val="18"/>
              </w:rPr>
            </w:pP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5#</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6#</w:t>
            </w:r>
          </w:p>
        </w:tc>
        <w:tc>
          <w:tcPr>
            <w:tcW w:w="565"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99" w:type="pct"/>
            <w:vMerge/>
          </w:tcPr>
          <w:p w:rsidR="00E87086" w:rsidRPr="009310DC" w:rsidRDefault="00E87086" w:rsidP="00D6272B">
            <w:pPr>
              <w:widowControl/>
              <w:jc w:val="center"/>
              <w:rPr>
                <w:rFonts w:ascii="Times New Roman" w:hAnsi="Times New Roman" w:cs="Times New Roman"/>
                <w:color w:val="000000"/>
                <w:kern w:val="0"/>
                <w:sz w:val="18"/>
                <w:szCs w:val="18"/>
              </w:rPr>
            </w:pPr>
          </w:p>
        </w:tc>
      </w:tr>
      <w:tr w:rsidR="00E87086" w:rsidRPr="009310DC" w:rsidTr="00D6272B">
        <w:trPr>
          <w:trHeight w:val="249"/>
        </w:trPr>
        <w:tc>
          <w:tcPr>
            <w:tcW w:w="699" w:type="pct"/>
            <w:vMerge w:val="restar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GS-5</w:t>
            </w: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Φ25×40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16.7</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18.3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17.0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16.7</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17.5</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1.39</w:t>
            </w:r>
          </w:p>
        </w:tc>
      </w:tr>
      <w:tr w:rsidR="00E87086" w:rsidRPr="009310DC" w:rsidTr="009310DC">
        <w:trPr>
          <w:trHeight w:val="315"/>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Φ25×30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17.1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18.1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16.3</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17.3</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1.50</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sz w:val="18"/>
                <w:szCs w:val="18"/>
              </w:rPr>
            </w:pPr>
            <w:r w:rsidRPr="009310DC">
              <w:rPr>
                <w:rFonts w:ascii="Times New Roman" w:cs="Times New Roman"/>
                <w:sz w:val="18"/>
                <w:szCs w:val="18"/>
              </w:rPr>
              <w:t>偏差</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+0.2</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+0.9</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+0.4</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+0.2</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p>
        </w:tc>
      </w:tr>
      <w:tr w:rsidR="00E87086" w:rsidRPr="009310DC" w:rsidTr="00D6272B">
        <w:trPr>
          <w:trHeight w:val="70"/>
        </w:trPr>
        <w:tc>
          <w:tcPr>
            <w:tcW w:w="699" w:type="pct"/>
            <w:vMerge w:val="restar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SM</w:t>
            </w: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Φ25×40</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20.2</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19.8</w:t>
            </w:r>
          </w:p>
        </w:tc>
        <w:tc>
          <w:tcPr>
            <w:tcW w:w="405" w:type="pct"/>
            <w:shd w:val="clear" w:color="000000" w:fill="FF0000"/>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15.4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20.0</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19.5</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19.2</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1.86</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Φ25×30</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19.5</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kern w:val="0"/>
                <w:sz w:val="18"/>
                <w:szCs w:val="18"/>
              </w:rPr>
            </w:pPr>
            <w:r w:rsidRPr="009310DC">
              <w:rPr>
                <w:rFonts w:ascii="Times New Roman" w:hAnsi="Times New Roman" w:cs="Times New Roman"/>
                <w:kern w:val="0"/>
                <w:sz w:val="18"/>
                <w:szCs w:val="18"/>
              </w:rPr>
              <w:t>17.8</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19.8</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19.9</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19.7</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19.5</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0.84</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sz w:val="18"/>
                <w:szCs w:val="18"/>
              </w:rPr>
            </w:pPr>
            <w:r w:rsidRPr="009310DC">
              <w:rPr>
                <w:rFonts w:ascii="Times New Roman" w:cs="Times New Roman"/>
                <w:sz w:val="18"/>
                <w:szCs w:val="18"/>
              </w:rPr>
              <w:t>偏差</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FF0000"/>
                <w:kern w:val="0"/>
                <w:sz w:val="18"/>
                <w:szCs w:val="18"/>
              </w:rPr>
            </w:pPr>
            <w:r w:rsidRPr="009310DC">
              <w:rPr>
                <w:rFonts w:ascii="Times New Roman" w:hAnsi="Times New Roman" w:cs="Times New Roman"/>
                <w:color w:val="FF0000"/>
                <w:kern w:val="0"/>
                <w:sz w:val="18"/>
                <w:szCs w:val="18"/>
              </w:rPr>
              <w:t>-2.4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+0.1</w:t>
            </w:r>
          </w:p>
        </w:tc>
        <w:tc>
          <w:tcPr>
            <w:tcW w:w="405" w:type="pct"/>
            <w:shd w:val="clear" w:color="auto" w:fill="auto"/>
            <w:noWrap/>
            <w:vAlign w:val="center"/>
            <w:hideMark/>
          </w:tcPr>
          <w:p w:rsidR="00E87086" w:rsidRPr="009310DC" w:rsidRDefault="002D553B"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-0.2</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-0.3</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p>
        </w:tc>
      </w:tr>
      <w:tr w:rsidR="00E87086" w:rsidRPr="009310DC" w:rsidTr="00D6272B">
        <w:trPr>
          <w:trHeight w:val="70"/>
        </w:trPr>
        <w:tc>
          <w:tcPr>
            <w:tcW w:w="699" w:type="pct"/>
            <w:vMerge w:val="restar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STO</w:t>
            </w: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Φ25×40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21.8</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21.5</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22.2</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21.3</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21.4</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0.64</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Φ25×30</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22.1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20.6</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20.7</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20.0</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21.0</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0.73</w:t>
            </w:r>
          </w:p>
        </w:tc>
      </w:tr>
      <w:tr w:rsidR="00E87086" w:rsidRPr="009310DC" w:rsidTr="00D6272B">
        <w:trPr>
          <w:trHeight w:val="70"/>
        </w:trPr>
        <w:tc>
          <w:tcPr>
            <w:tcW w:w="699"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05" w:type="pct"/>
            <w:vAlign w:val="center"/>
          </w:tcPr>
          <w:p w:rsidR="00E87086" w:rsidRPr="009310DC" w:rsidRDefault="00E87086" w:rsidP="00D6272B">
            <w:pPr>
              <w:widowControl/>
              <w:jc w:val="center"/>
              <w:rPr>
                <w:rFonts w:ascii="Times New Roman" w:hAnsi="Times New Roman" w:cs="Times New Roman"/>
                <w:sz w:val="18"/>
                <w:szCs w:val="18"/>
              </w:rPr>
            </w:pPr>
            <w:r w:rsidRPr="009310DC">
              <w:rPr>
                <w:rFonts w:ascii="Times New Roman" w:cs="Times New Roman"/>
                <w:sz w:val="18"/>
                <w:szCs w:val="18"/>
              </w:rPr>
              <w:t>偏差</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-0.3</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+0.8</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+0.1</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-0.4</w:t>
            </w:r>
          </w:p>
        </w:tc>
        <w:tc>
          <w:tcPr>
            <w:tcW w:w="40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+1.3</w:t>
            </w:r>
          </w:p>
        </w:tc>
        <w:tc>
          <w:tcPr>
            <w:tcW w:w="56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+0.4</w:t>
            </w:r>
          </w:p>
        </w:tc>
        <w:tc>
          <w:tcPr>
            <w:tcW w:w="699"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p>
        </w:tc>
      </w:tr>
    </w:tbl>
    <w:p w:rsidR="00E87086" w:rsidRDefault="00E87086" w:rsidP="00D6272B">
      <w:pPr>
        <w:ind w:firstLineChars="202" w:firstLine="485"/>
        <w:rPr>
          <w:sz w:val="24"/>
          <w:szCs w:val="24"/>
        </w:rPr>
      </w:pPr>
      <w:r w:rsidRPr="00E87086">
        <w:rPr>
          <w:rFonts w:hint="eastAsia"/>
          <w:sz w:val="24"/>
          <w:szCs w:val="24"/>
        </w:rPr>
        <w:t>由上表可知，尺寸差异导致的结果偏差要明显小于不同部位，当然，也有个别数据由于样品的不均匀出现严重偏差，如</w:t>
      </w:r>
      <w:r w:rsidRPr="00E87086">
        <w:rPr>
          <w:rFonts w:hint="eastAsia"/>
          <w:sz w:val="24"/>
          <w:szCs w:val="24"/>
        </w:rPr>
        <w:t>SM</w:t>
      </w:r>
      <w:r w:rsidRPr="00E87086">
        <w:rPr>
          <w:rFonts w:hint="eastAsia"/>
          <w:sz w:val="24"/>
          <w:szCs w:val="24"/>
        </w:rPr>
        <w:t>的</w:t>
      </w:r>
      <w:r w:rsidRPr="00E87086">
        <w:rPr>
          <w:rFonts w:hint="eastAsia"/>
          <w:sz w:val="24"/>
          <w:szCs w:val="24"/>
        </w:rPr>
        <w:t>3#</w:t>
      </w:r>
      <w:r w:rsidRPr="00E87086">
        <w:rPr>
          <w:rFonts w:hint="eastAsia"/>
          <w:sz w:val="24"/>
          <w:szCs w:val="24"/>
        </w:rPr>
        <w:t>样品，其开气孔率比平均值要低近</w:t>
      </w:r>
      <w:r w:rsidRPr="00E87086">
        <w:rPr>
          <w:rFonts w:hint="eastAsia"/>
          <w:sz w:val="24"/>
          <w:szCs w:val="24"/>
        </w:rPr>
        <w:t>4.0%</w:t>
      </w:r>
      <w:r w:rsidRPr="00E87086">
        <w:rPr>
          <w:rFonts w:hint="eastAsia"/>
          <w:sz w:val="24"/>
          <w:szCs w:val="24"/>
        </w:rPr>
        <w:t>。</w:t>
      </w:r>
    </w:p>
    <w:p w:rsidR="00741EBA" w:rsidRPr="009310DC" w:rsidRDefault="00741EBA" w:rsidP="00D6272B">
      <w:pPr>
        <w:rPr>
          <w:rFonts w:ascii="黑体" w:eastAsia="黑体" w:hAnsi="黑体"/>
          <w:color w:val="000000" w:themeColor="text1"/>
          <w:sz w:val="24"/>
          <w:szCs w:val="24"/>
        </w:rPr>
      </w:pPr>
      <w:r w:rsidRPr="009310DC">
        <w:rPr>
          <w:rFonts w:ascii="黑体" w:eastAsia="黑体" w:hAnsi="黑体" w:hint="eastAsia"/>
          <w:color w:val="000000" w:themeColor="text1"/>
          <w:sz w:val="24"/>
          <w:szCs w:val="24"/>
        </w:rPr>
        <w:t>5.2.3 方法二实验室</w:t>
      </w:r>
      <w:proofErr w:type="gramStart"/>
      <w:r w:rsidRPr="009310DC">
        <w:rPr>
          <w:rFonts w:ascii="黑体" w:eastAsia="黑体" w:hAnsi="黑体" w:hint="eastAsia"/>
          <w:color w:val="000000" w:themeColor="text1"/>
          <w:sz w:val="24"/>
          <w:szCs w:val="24"/>
        </w:rPr>
        <w:t>间结果</w:t>
      </w:r>
      <w:proofErr w:type="gramEnd"/>
      <w:r w:rsidRPr="009310DC">
        <w:rPr>
          <w:rFonts w:ascii="黑体" w:eastAsia="黑体" w:hAnsi="黑体" w:hint="eastAsia"/>
          <w:color w:val="000000" w:themeColor="text1"/>
          <w:sz w:val="24"/>
          <w:szCs w:val="24"/>
        </w:rPr>
        <w:t>比对</w:t>
      </w:r>
    </w:p>
    <w:p w:rsidR="00741EBA" w:rsidRDefault="00741EBA" w:rsidP="00D6272B">
      <w:pPr>
        <w:ind w:firstLineChars="202" w:firstLine="485"/>
        <w:rPr>
          <w:rFonts w:ascii="Times New Roman" w:hAnsi="Times New Roman" w:cs="Times New Roman"/>
          <w:sz w:val="24"/>
          <w:szCs w:val="24"/>
        </w:rPr>
      </w:pPr>
      <w:r w:rsidRPr="009310DC">
        <w:rPr>
          <w:rFonts w:ascii="Times New Roman" w:cs="Times New Roman"/>
          <w:sz w:val="24"/>
          <w:szCs w:val="24"/>
        </w:rPr>
        <w:t>将编号为</w:t>
      </w:r>
      <w:r w:rsidRPr="009310DC">
        <w:rPr>
          <w:rFonts w:ascii="Times New Roman" w:hAnsi="Times New Roman" w:cs="Times New Roman"/>
          <w:sz w:val="24"/>
          <w:szCs w:val="24"/>
        </w:rPr>
        <w:t>WJ-1</w:t>
      </w:r>
      <w:r w:rsidRPr="009310DC">
        <w:rPr>
          <w:rFonts w:ascii="Times New Roman" w:cs="Times New Roman"/>
          <w:sz w:val="24"/>
          <w:szCs w:val="24"/>
        </w:rPr>
        <w:t>、</w:t>
      </w:r>
      <w:r w:rsidRPr="009310DC">
        <w:rPr>
          <w:rFonts w:ascii="Times New Roman" w:hAnsi="Times New Roman" w:cs="Times New Roman"/>
          <w:sz w:val="24"/>
          <w:szCs w:val="24"/>
        </w:rPr>
        <w:t>WJ-2</w:t>
      </w:r>
      <w:r w:rsidRPr="009310DC">
        <w:rPr>
          <w:rFonts w:ascii="Times New Roman" w:cs="Times New Roman"/>
          <w:sz w:val="24"/>
          <w:szCs w:val="24"/>
        </w:rPr>
        <w:t>、</w:t>
      </w:r>
      <w:r w:rsidRPr="009310DC">
        <w:rPr>
          <w:rFonts w:ascii="Times New Roman" w:hAnsi="Times New Roman" w:cs="Times New Roman"/>
          <w:sz w:val="24"/>
          <w:szCs w:val="24"/>
        </w:rPr>
        <w:t>WJ-3</w:t>
      </w:r>
      <w:r w:rsidRPr="009310DC">
        <w:rPr>
          <w:rFonts w:ascii="Times New Roman" w:cs="Times New Roman"/>
          <w:sz w:val="24"/>
          <w:szCs w:val="24"/>
        </w:rPr>
        <w:t>和</w:t>
      </w:r>
      <w:r w:rsidRPr="009310DC">
        <w:rPr>
          <w:rFonts w:ascii="Times New Roman" w:hAnsi="Times New Roman" w:cs="Times New Roman"/>
          <w:sz w:val="24"/>
          <w:szCs w:val="24"/>
        </w:rPr>
        <w:t>SM-4</w:t>
      </w:r>
      <w:r w:rsidRPr="009310DC">
        <w:rPr>
          <w:rFonts w:ascii="Times New Roman" w:cs="Times New Roman"/>
          <w:sz w:val="24"/>
          <w:szCs w:val="24"/>
        </w:rPr>
        <w:t>、</w:t>
      </w:r>
      <w:r w:rsidRPr="009310DC">
        <w:rPr>
          <w:rFonts w:ascii="Times New Roman" w:hAnsi="Times New Roman" w:cs="Times New Roman"/>
          <w:sz w:val="24"/>
          <w:szCs w:val="24"/>
        </w:rPr>
        <w:t>SM-5</w:t>
      </w:r>
      <w:r w:rsidRPr="009310DC">
        <w:rPr>
          <w:rFonts w:ascii="Times New Roman" w:cs="Times New Roman"/>
          <w:sz w:val="24"/>
          <w:szCs w:val="24"/>
        </w:rPr>
        <w:t>、</w:t>
      </w:r>
      <w:r w:rsidRPr="009310DC">
        <w:rPr>
          <w:rFonts w:ascii="Times New Roman" w:hAnsi="Times New Roman" w:cs="Times New Roman"/>
          <w:sz w:val="24"/>
          <w:szCs w:val="24"/>
        </w:rPr>
        <w:t>SM-6</w:t>
      </w:r>
      <w:r w:rsidRPr="009310DC">
        <w:rPr>
          <w:rFonts w:ascii="Times New Roman" w:cs="Times New Roman"/>
          <w:sz w:val="24"/>
          <w:szCs w:val="24"/>
        </w:rPr>
        <w:t>的试样（尺寸</w:t>
      </w:r>
      <w:r w:rsidRPr="009310DC">
        <w:rPr>
          <w:rFonts w:ascii="Times New Roman" w:hAnsi="Times New Roman" w:cs="Times New Roman"/>
          <w:sz w:val="24"/>
          <w:szCs w:val="24"/>
        </w:rPr>
        <w:t>Φ25×40</w:t>
      </w:r>
      <w:r w:rsidRPr="009310DC">
        <w:rPr>
          <w:rFonts w:ascii="Times New Roman" w:cs="Times New Roman"/>
          <w:sz w:val="24"/>
          <w:szCs w:val="24"/>
        </w:rPr>
        <w:t>），分别由郑州轻金属研究院（</w:t>
      </w:r>
      <w:proofErr w:type="spellStart"/>
      <w:r w:rsidRPr="009310DC">
        <w:rPr>
          <w:rFonts w:ascii="Times New Roman" w:hAnsi="Times New Roman" w:cs="Times New Roman"/>
          <w:sz w:val="24"/>
          <w:szCs w:val="24"/>
        </w:rPr>
        <w:t>rilm</w:t>
      </w:r>
      <w:proofErr w:type="spellEnd"/>
      <w:r w:rsidRPr="009310DC">
        <w:rPr>
          <w:rFonts w:ascii="Times New Roman" w:cs="Times New Roman"/>
          <w:sz w:val="24"/>
          <w:szCs w:val="24"/>
        </w:rPr>
        <w:t>）、索通发展</w:t>
      </w:r>
      <w:r w:rsidRPr="009310DC">
        <w:rPr>
          <w:rFonts w:ascii="Times New Roman" w:hAnsi="Times New Roman" w:cs="Times New Roman"/>
          <w:sz w:val="24"/>
          <w:szCs w:val="24"/>
        </w:rPr>
        <w:t>(</w:t>
      </w:r>
      <w:proofErr w:type="spellStart"/>
      <w:r w:rsidRPr="009310DC">
        <w:rPr>
          <w:rFonts w:ascii="Times New Roman" w:hAnsi="Times New Roman" w:cs="Times New Roman"/>
          <w:sz w:val="24"/>
          <w:szCs w:val="24"/>
        </w:rPr>
        <w:t>stfz</w:t>
      </w:r>
      <w:proofErr w:type="spellEnd"/>
      <w:r w:rsidRPr="009310DC">
        <w:rPr>
          <w:rFonts w:ascii="Times New Roman" w:hAnsi="Times New Roman" w:cs="Times New Roman"/>
          <w:sz w:val="24"/>
          <w:szCs w:val="24"/>
        </w:rPr>
        <w:t>)</w:t>
      </w:r>
      <w:r w:rsidRPr="009310DC">
        <w:rPr>
          <w:rFonts w:ascii="Times New Roman" w:cs="Times New Roman"/>
          <w:sz w:val="24"/>
          <w:szCs w:val="24"/>
        </w:rPr>
        <w:t>和济南澳海</w:t>
      </w:r>
      <w:proofErr w:type="gramStart"/>
      <w:r w:rsidRPr="009310DC">
        <w:rPr>
          <w:rFonts w:ascii="Times New Roman" w:cs="Times New Roman"/>
          <w:sz w:val="24"/>
          <w:szCs w:val="24"/>
        </w:rPr>
        <w:t>炭素</w:t>
      </w:r>
      <w:proofErr w:type="gramEnd"/>
      <w:r w:rsidRPr="009310DC">
        <w:rPr>
          <w:rFonts w:ascii="Times New Roman" w:cs="Times New Roman"/>
          <w:sz w:val="24"/>
          <w:szCs w:val="24"/>
        </w:rPr>
        <w:t>（</w:t>
      </w:r>
      <w:proofErr w:type="spellStart"/>
      <w:r w:rsidRPr="009310DC">
        <w:rPr>
          <w:rFonts w:ascii="Times New Roman" w:hAnsi="Times New Roman" w:cs="Times New Roman"/>
          <w:sz w:val="24"/>
          <w:szCs w:val="24"/>
        </w:rPr>
        <w:t>jnah</w:t>
      </w:r>
      <w:proofErr w:type="spellEnd"/>
      <w:r w:rsidRPr="009310DC">
        <w:rPr>
          <w:rFonts w:ascii="Times New Roman" w:cs="Times New Roman"/>
          <w:sz w:val="24"/>
          <w:szCs w:val="24"/>
        </w:rPr>
        <w:t>）进行同</w:t>
      </w:r>
      <w:r w:rsidRPr="009310DC">
        <w:rPr>
          <w:rFonts w:ascii="Times New Roman" w:cs="Times New Roman"/>
          <w:sz w:val="24"/>
          <w:szCs w:val="24"/>
        </w:rPr>
        <w:lastRenderedPageBreak/>
        <w:t>一试样的实验室间比对测试。测试结果如下表所示</w:t>
      </w:r>
      <w:r w:rsidRPr="009310DC">
        <w:rPr>
          <w:rFonts w:ascii="Times New Roman" w:hAnsi="Times New Roman" w:cs="Times New Roman"/>
          <w:sz w:val="24"/>
          <w:szCs w:val="24"/>
        </w:rPr>
        <w:t>:</w:t>
      </w:r>
    </w:p>
    <w:p w:rsidR="00D6272B" w:rsidRDefault="00D6272B" w:rsidP="00D6272B">
      <w:pPr>
        <w:ind w:firstLineChars="202" w:firstLine="485"/>
        <w:rPr>
          <w:rFonts w:ascii="Times New Roman" w:hAnsi="Times New Roman" w:cs="Times New Roman"/>
          <w:sz w:val="24"/>
          <w:szCs w:val="24"/>
        </w:rPr>
      </w:pPr>
    </w:p>
    <w:p w:rsidR="00D6272B" w:rsidRDefault="00D6272B" w:rsidP="00D6272B">
      <w:pPr>
        <w:ind w:firstLineChars="202" w:firstLine="485"/>
        <w:rPr>
          <w:rFonts w:ascii="Times New Roman" w:hAnsi="Times New Roman" w:cs="Times New Roman"/>
          <w:sz w:val="24"/>
          <w:szCs w:val="24"/>
        </w:rPr>
      </w:pPr>
    </w:p>
    <w:p w:rsidR="00D6272B" w:rsidRPr="009310DC" w:rsidRDefault="00D6272B" w:rsidP="00D6272B">
      <w:pPr>
        <w:ind w:firstLineChars="202" w:firstLine="485"/>
        <w:rPr>
          <w:rFonts w:ascii="Times New Roman" w:hAnsi="Times New Roman" w:cs="Times New Roman"/>
          <w:sz w:val="24"/>
          <w:szCs w:val="24"/>
        </w:rPr>
      </w:pPr>
    </w:p>
    <w:tbl>
      <w:tblPr>
        <w:tblW w:w="49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38"/>
        <w:gridCol w:w="1645"/>
        <w:gridCol w:w="1350"/>
        <w:gridCol w:w="1350"/>
        <w:gridCol w:w="2035"/>
      </w:tblGrid>
      <w:tr w:rsidR="00741EBA" w:rsidRPr="009310DC" w:rsidTr="009310DC">
        <w:trPr>
          <w:trHeight w:val="219"/>
        </w:trPr>
        <w:tc>
          <w:tcPr>
            <w:tcW w:w="1210"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试样编号</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实验室</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V</w:t>
            </w:r>
            <w:r w:rsidRPr="009310DC">
              <w:rPr>
                <w:rFonts w:ascii="Times New Roman" w:hAnsi="Times New Roman" w:cs="Times New Roman"/>
                <w:sz w:val="18"/>
                <w:szCs w:val="18"/>
                <w:vertAlign w:val="subscript"/>
              </w:rPr>
              <w:t>1</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sz w:val="18"/>
                <w:szCs w:val="18"/>
              </w:rPr>
              <w:t>V</w:t>
            </w:r>
            <w:r w:rsidRPr="009310DC">
              <w:rPr>
                <w:rFonts w:ascii="Times New Roman" w:hAnsi="Times New Roman" w:cs="Times New Roman"/>
                <w:sz w:val="18"/>
                <w:szCs w:val="18"/>
                <w:vertAlign w:val="subscript"/>
              </w:rPr>
              <w:t>2</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开气孔率</w:t>
            </w:r>
          </w:p>
        </w:tc>
      </w:tr>
      <w:tr w:rsidR="00741EBA" w:rsidRPr="009310DC" w:rsidTr="009310DC">
        <w:trPr>
          <w:trHeight w:val="177"/>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N1</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stfz</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19.70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15.58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20.9 </w:t>
            </w:r>
          </w:p>
        </w:tc>
      </w:tr>
      <w:tr w:rsidR="00741EBA" w:rsidRPr="009310DC" w:rsidTr="009310DC">
        <w:trPr>
          <w:trHeight w:val="70"/>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19.65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15.47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21.3 </w:t>
            </w:r>
          </w:p>
        </w:tc>
      </w:tr>
      <w:tr w:rsidR="00741EBA" w:rsidRPr="009310DC" w:rsidTr="009310DC">
        <w:trPr>
          <w:trHeight w:val="70"/>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0.05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0.11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-0.4 </w:t>
            </w:r>
          </w:p>
        </w:tc>
      </w:tr>
      <w:tr w:rsidR="00741EBA" w:rsidRPr="009310DC" w:rsidTr="009310DC">
        <w:trPr>
          <w:trHeight w:val="68"/>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N2</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stfz</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19.55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15.44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21.0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19.52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15.32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21.5 </w:t>
            </w:r>
          </w:p>
        </w:tc>
      </w:tr>
      <w:tr w:rsidR="00741EBA" w:rsidRPr="009310DC" w:rsidTr="009310DC">
        <w:trPr>
          <w:trHeight w:val="109"/>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0.03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0.12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-0.5 </w:t>
            </w:r>
          </w:p>
        </w:tc>
      </w:tr>
      <w:tr w:rsidR="00741EBA" w:rsidRPr="009310DC" w:rsidTr="009310DC">
        <w:trPr>
          <w:trHeight w:val="73"/>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N3</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stfz</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19.84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15.65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21.1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19.79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15.78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20.2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0.05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-0.13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FF0000"/>
                <w:kern w:val="0"/>
                <w:sz w:val="18"/>
                <w:szCs w:val="18"/>
              </w:rPr>
            </w:pPr>
            <w:r w:rsidRPr="009310DC">
              <w:rPr>
                <w:rFonts w:ascii="Times New Roman" w:hAnsi="Times New Roman" w:cs="Times New Roman"/>
                <w:color w:val="FF0000"/>
                <w:kern w:val="0"/>
                <w:sz w:val="18"/>
                <w:szCs w:val="18"/>
              </w:rPr>
              <w:t xml:space="preserve">0.9 </w:t>
            </w:r>
          </w:p>
        </w:tc>
      </w:tr>
      <w:tr w:rsidR="00741EBA" w:rsidRPr="009310DC" w:rsidTr="009310DC">
        <w:trPr>
          <w:trHeight w:val="87"/>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N4</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jnah</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19.63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15.83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19.4 </w:t>
            </w:r>
          </w:p>
        </w:tc>
      </w:tr>
      <w:tr w:rsidR="00741EBA" w:rsidRPr="009310DC" w:rsidTr="009310DC">
        <w:trPr>
          <w:trHeight w:val="200"/>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19.81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15.82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20.1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-0.18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0.01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-0.7 </w:t>
            </w:r>
          </w:p>
        </w:tc>
      </w:tr>
      <w:tr w:rsidR="00741EBA" w:rsidRPr="009310DC" w:rsidTr="009310DC">
        <w:trPr>
          <w:trHeight w:val="127"/>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N5</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jnah</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19.49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15.70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19.4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19.59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15.68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20.0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-0.10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0.02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-0.5 </w:t>
            </w:r>
          </w:p>
        </w:tc>
      </w:tr>
      <w:tr w:rsidR="00741EBA" w:rsidRPr="009310DC" w:rsidTr="009310DC">
        <w:trPr>
          <w:trHeight w:val="68"/>
        </w:trPr>
        <w:tc>
          <w:tcPr>
            <w:tcW w:w="1210" w:type="pct"/>
            <w:vMerge w:val="restart"/>
            <w:shd w:val="clear" w:color="auto" w:fill="auto"/>
            <w:noWrap/>
            <w:vAlign w:val="center"/>
            <w:hideMark/>
          </w:tcPr>
          <w:p w:rsidR="00741EBA" w:rsidRPr="009310DC" w:rsidRDefault="00790A43" w:rsidP="00D6272B">
            <w:pPr>
              <w:widowControl/>
              <w:jc w:val="center"/>
              <w:rPr>
                <w:rFonts w:ascii="Times New Roman" w:hAnsi="Times New Roman" w:cs="Times New Roman"/>
                <w:color w:val="000000"/>
                <w:kern w:val="0"/>
                <w:sz w:val="18"/>
                <w:szCs w:val="18"/>
              </w:rPr>
            </w:pPr>
            <w:r>
              <w:rPr>
                <w:rFonts w:ascii="Times New Roman" w:hAnsi="Times New Roman" w:cs="Times New Roman" w:hint="eastAsia"/>
                <w:color w:val="000000"/>
                <w:kern w:val="0"/>
                <w:sz w:val="18"/>
                <w:szCs w:val="18"/>
              </w:rPr>
              <w:t>N6</w:t>
            </w: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jnah</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19.45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15.63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19.6 </w:t>
            </w:r>
          </w:p>
        </w:tc>
      </w:tr>
      <w:tr w:rsidR="00741EBA" w:rsidRPr="009310DC" w:rsidTr="00D6272B">
        <w:trPr>
          <w:trHeight w:val="70"/>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proofErr w:type="spellStart"/>
            <w:r w:rsidRPr="009310DC">
              <w:rPr>
                <w:rFonts w:ascii="Times New Roman" w:hAnsi="Times New Roman" w:cs="Times New Roman"/>
                <w:color w:val="000000"/>
                <w:kern w:val="0"/>
                <w:sz w:val="18"/>
                <w:szCs w:val="18"/>
              </w:rPr>
              <w:t>rilm</w:t>
            </w:r>
            <w:proofErr w:type="spellEnd"/>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19.58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15.63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20.2 </w:t>
            </w:r>
          </w:p>
        </w:tc>
      </w:tr>
      <w:tr w:rsidR="00741EBA" w:rsidRPr="009310DC" w:rsidTr="009310DC">
        <w:trPr>
          <w:trHeight w:val="68"/>
        </w:trPr>
        <w:tc>
          <w:tcPr>
            <w:tcW w:w="1210" w:type="pct"/>
            <w:vMerge/>
            <w:vAlign w:val="center"/>
            <w:hideMark/>
          </w:tcPr>
          <w:p w:rsidR="00741EBA" w:rsidRPr="009310DC" w:rsidRDefault="00741EBA" w:rsidP="00D6272B">
            <w:pPr>
              <w:widowControl/>
              <w:jc w:val="left"/>
              <w:rPr>
                <w:rFonts w:ascii="Times New Roman" w:hAnsi="Times New Roman" w:cs="Times New Roman"/>
                <w:color w:val="000000"/>
                <w:kern w:val="0"/>
                <w:sz w:val="18"/>
                <w:szCs w:val="18"/>
              </w:rPr>
            </w:pPr>
          </w:p>
        </w:tc>
        <w:tc>
          <w:tcPr>
            <w:tcW w:w="977"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偏差</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-0.13 </w:t>
            </w:r>
          </w:p>
        </w:tc>
        <w:tc>
          <w:tcPr>
            <w:tcW w:w="802"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0.00 </w:t>
            </w:r>
          </w:p>
        </w:tc>
        <w:tc>
          <w:tcPr>
            <w:tcW w:w="1209" w:type="pct"/>
            <w:shd w:val="clear" w:color="auto" w:fill="auto"/>
            <w:noWrap/>
            <w:vAlign w:val="center"/>
            <w:hideMark/>
          </w:tcPr>
          <w:p w:rsidR="00741EBA" w:rsidRPr="009310DC" w:rsidRDefault="00741EBA"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-0.6 </w:t>
            </w:r>
          </w:p>
        </w:tc>
      </w:tr>
    </w:tbl>
    <w:p w:rsidR="00741EBA" w:rsidRPr="009310DC" w:rsidRDefault="00741EBA" w:rsidP="00D6272B">
      <w:pPr>
        <w:ind w:firstLineChars="202" w:firstLine="424"/>
        <w:rPr>
          <w:rFonts w:ascii="Times New Roman" w:hAnsi="Times New Roman" w:cs="Times New Roman"/>
          <w:szCs w:val="21"/>
        </w:rPr>
      </w:pPr>
      <w:r w:rsidRPr="00A71AD8">
        <w:rPr>
          <w:rFonts w:hint="eastAsia"/>
          <w:szCs w:val="21"/>
        </w:rPr>
        <w:t>表</w:t>
      </w:r>
      <w:r w:rsidRPr="009310DC">
        <w:rPr>
          <w:rFonts w:ascii="Times New Roman" w:cs="Times New Roman"/>
          <w:szCs w:val="21"/>
        </w:rPr>
        <w:t>中</w:t>
      </w:r>
      <w:r w:rsidRPr="009310DC">
        <w:rPr>
          <w:rFonts w:ascii="Times New Roman" w:hAnsi="Times New Roman" w:cs="Times New Roman"/>
          <w:szCs w:val="21"/>
        </w:rPr>
        <w:t>V</w:t>
      </w:r>
      <w:r w:rsidRPr="009310DC">
        <w:rPr>
          <w:rFonts w:ascii="Times New Roman" w:hAnsi="Times New Roman" w:cs="Times New Roman"/>
          <w:szCs w:val="21"/>
          <w:vertAlign w:val="subscript"/>
        </w:rPr>
        <w:t>1</w:t>
      </w:r>
      <w:r w:rsidRPr="009310DC">
        <w:rPr>
          <w:rFonts w:ascii="Times New Roman" w:cs="Times New Roman"/>
          <w:szCs w:val="21"/>
        </w:rPr>
        <w:t>表示表观体积，</w:t>
      </w:r>
      <w:r w:rsidRPr="009310DC">
        <w:rPr>
          <w:rFonts w:ascii="Times New Roman" w:hAnsi="Times New Roman" w:cs="Times New Roman"/>
          <w:szCs w:val="21"/>
        </w:rPr>
        <w:t>V</w:t>
      </w:r>
      <w:r w:rsidRPr="009310DC">
        <w:rPr>
          <w:rFonts w:ascii="Times New Roman" w:hAnsi="Times New Roman" w:cs="Times New Roman"/>
          <w:szCs w:val="21"/>
          <w:vertAlign w:val="subscript"/>
        </w:rPr>
        <w:t>2</w:t>
      </w:r>
      <w:r w:rsidRPr="009310DC">
        <w:rPr>
          <w:rFonts w:ascii="Times New Roman" w:cs="Times New Roman"/>
          <w:szCs w:val="21"/>
        </w:rPr>
        <w:t>表示氦比重计测定的体积</w:t>
      </w:r>
    </w:p>
    <w:p w:rsidR="00D6272B" w:rsidRDefault="00D6272B" w:rsidP="00D6272B">
      <w:pPr>
        <w:ind w:firstLineChars="202" w:firstLine="485"/>
        <w:rPr>
          <w:rFonts w:ascii="Times New Roman" w:cs="Times New Roman"/>
          <w:sz w:val="24"/>
          <w:szCs w:val="24"/>
        </w:rPr>
      </w:pPr>
    </w:p>
    <w:p w:rsidR="00741EBA" w:rsidRPr="00294958" w:rsidRDefault="00741EBA" w:rsidP="00D6272B">
      <w:pPr>
        <w:ind w:firstLineChars="202" w:firstLine="485"/>
        <w:rPr>
          <w:sz w:val="24"/>
          <w:szCs w:val="24"/>
        </w:rPr>
      </w:pPr>
      <w:r w:rsidRPr="009310DC">
        <w:rPr>
          <w:rFonts w:ascii="Times New Roman" w:cs="Times New Roman"/>
          <w:sz w:val="24"/>
          <w:szCs w:val="24"/>
        </w:rPr>
        <w:t>上表结果表明，同一试样在不同</w:t>
      </w:r>
      <w:r w:rsidRPr="00294958">
        <w:rPr>
          <w:rFonts w:hint="eastAsia"/>
          <w:sz w:val="24"/>
          <w:szCs w:val="24"/>
        </w:rPr>
        <w:t>实验室间的测量偏差要明显优于炭块不均匀、尺寸差异造成的偏差。</w:t>
      </w:r>
    </w:p>
    <w:p w:rsidR="00E87086" w:rsidRPr="009310DC" w:rsidRDefault="00294958" w:rsidP="00D6272B">
      <w:pPr>
        <w:rPr>
          <w:rFonts w:ascii="黑体" w:eastAsia="黑体" w:hAnsi="黑体"/>
          <w:sz w:val="24"/>
          <w:szCs w:val="24"/>
        </w:rPr>
      </w:pPr>
      <w:r w:rsidRPr="009310DC">
        <w:rPr>
          <w:rFonts w:ascii="黑体" w:eastAsia="黑体" w:hAnsi="黑体" w:hint="eastAsia"/>
          <w:sz w:val="24"/>
          <w:szCs w:val="24"/>
        </w:rPr>
        <w:t>5.</w:t>
      </w:r>
      <w:r w:rsidR="00741EBA" w:rsidRPr="009310DC">
        <w:rPr>
          <w:rFonts w:ascii="黑体" w:eastAsia="黑体" w:hAnsi="黑体" w:hint="eastAsia"/>
          <w:sz w:val="24"/>
          <w:szCs w:val="24"/>
        </w:rPr>
        <w:t xml:space="preserve"> </w:t>
      </w:r>
      <w:r w:rsidR="00E87086" w:rsidRPr="009310DC">
        <w:rPr>
          <w:rFonts w:ascii="黑体" w:eastAsia="黑体" w:hAnsi="黑体" w:hint="eastAsia"/>
          <w:sz w:val="24"/>
          <w:szCs w:val="24"/>
        </w:rPr>
        <w:t>3 方法</w:t>
      </w:r>
      <w:proofErr w:type="gramStart"/>
      <w:r w:rsidR="00E87086" w:rsidRPr="009310DC">
        <w:rPr>
          <w:rFonts w:ascii="黑体" w:eastAsia="黑体" w:hAnsi="黑体" w:hint="eastAsia"/>
          <w:sz w:val="24"/>
          <w:szCs w:val="24"/>
        </w:rPr>
        <w:t>一</w:t>
      </w:r>
      <w:proofErr w:type="gramEnd"/>
      <w:r w:rsidR="00E87086" w:rsidRPr="009310DC">
        <w:rPr>
          <w:rFonts w:ascii="黑体" w:eastAsia="黑体" w:hAnsi="黑体" w:hint="eastAsia"/>
          <w:sz w:val="24"/>
          <w:szCs w:val="24"/>
        </w:rPr>
        <w:t>与方法</w:t>
      </w:r>
      <w:proofErr w:type="gramStart"/>
      <w:r w:rsidR="00E87086" w:rsidRPr="009310DC">
        <w:rPr>
          <w:rFonts w:ascii="黑体" w:eastAsia="黑体" w:hAnsi="黑体" w:hint="eastAsia"/>
          <w:sz w:val="24"/>
          <w:szCs w:val="24"/>
        </w:rPr>
        <w:t>二结果</w:t>
      </w:r>
      <w:proofErr w:type="gramEnd"/>
      <w:r w:rsidR="00E87086" w:rsidRPr="009310DC">
        <w:rPr>
          <w:rFonts w:ascii="黑体" w:eastAsia="黑体" w:hAnsi="黑体" w:hint="eastAsia"/>
          <w:sz w:val="24"/>
          <w:szCs w:val="24"/>
        </w:rPr>
        <w:t>比对分析</w:t>
      </w:r>
    </w:p>
    <w:p w:rsidR="00E87086" w:rsidRPr="009310DC" w:rsidRDefault="00E87086" w:rsidP="00D6272B">
      <w:pPr>
        <w:ind w:firstLineChars="202" w:firstLine="485"/>
        <w:rPr>
          <w:rFonts w:ascii="Times New Roman" w:hAnsi="Times New Roman" w:cs="Times New Roman"/>
          <w:sz w:val="24"/>
          <w:szCs w:val="24"/>
        </w:rPr>
      </w:pPr>
      <w:r w:rsidRPr="00E87086">
        <w:rPr>
          <w:rFonts w:hint="eastAsia"/>
          <w:sz w:val="24"/>
          <w:szCs w:val="24"/>
        </w:rPr>
        <w:t>为了确定两种方法之间的差异，</w:t>
      </w:r>
      <w:r w:rsidRPr="009310DC">
        <w:rPr>
          <w:rFonts w:ascii="Times New Roman" w:cs="Times New Roman"/>
          <w:sz w:val="24"/>
          <w:szCs w:val="24"/>
        </w:rPr>
        <w:t>本试验先将每根炭块加工成</w:t>
      </w:r>
      <w:r w:rsidRPr="009310DC">
        <w:rPr>
          <w:rFonts w:ascii="Times New Roman" w:hAnsi="Times New Roman" w:cs="Times New Roman"/>
          <w:sz w:val="24"/>
          <w:szCs w:val="24"/>
        </w:rPr>
        <w:t>Φ50×50</w:t>
      </w:r>
      <w:r w:rsidRPr="009310DC">
        <w:rPr>
          <w:rFonts w:ascii="Times New Roman" w:cs="Times New Roman"/>
          <w:sz w:val="24"/>
          <w:szCs w:val="24"/>
        </w:rPr>
        <w:t>进行方法一的开气孔率测试，彻底干燥后加工成</w:t>
      </w:r>
      <w:r w:rsidRPr="009310DC">
        <w:rPr>
          <w:rFonts w:ascii="Times New Roman" w:hAnsi="Times New Roman" w:cs="Times New Roman"/>
          <w:sz w:val="24"/>
          <w:szCs w:val="24"/>
        </w:rPr>
        <w:t>Φ25×40</w:t>
      </w:r>
      <w:r w:rsidRPr="009310DC">
        <w:rPr>
          <w:rFonts w:ascii="Times New Roman" w:cs="Times New Roman"/>
          <w:sz w:val="24"/>
          <w:szCs w:val="24"/>
        </w:rPr>
        <w:t>的试样进行方法二的开气孔率测试。测试结果如下表所示：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1062"/>
        <w:gridCol w:w="752"/>
        <w:gridCol w:w="756"/>
        <w:gridCol w:w="756"/>
        <w:gridCol w:w="752"/>
        <w:gridCol w:w="753"/>
        <w:gridCol w:w="757"/>
        <w:gridCol w:w="1062"/>
        <w:gridCol w:w="936"/>
      </w:tblGrid>
      <w:tr w:rsidR="00E87086" w:rsidRPr="009310DC" w:rsidTr="00294958">
        <w:trPr>
          <w:trHeight w:val="270"/>
        </w:trPr>
        <w:tc>
          <w:tcPr>
            <w:tcW w:w="525" w:type="pct"/>
            <w:vMerge w:val="restar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炭块编号</w:t>
            </w:r>
          </w:p>
        </w:tc>
        <w:tc>
          <w:tcPr>
            <w:tcW w:w="638" w:type="pct"/>
          </w:tcPr>
          <w:p w:rsidR="00E87086" w:rsidRPr="009310DC" w:rsidRDefault="00E87086" w:rsidP="00D6272B">
            <w:pPr>
              <w:widowControl/>
              <w:jc w:val="center"/>
              <w:rPr>
                <w:rFonts w:ascii="Times New Roman" w:hAnsi="Times New Roman" w:cs="Times New Roman"/>
                <w:color w:val="000000"/>
                <w:kern w:val="0"/>
                <w:sz w:val="18"/>
                <w:szCs w:val="18"/>
              </w:rPr>
            </w:pPr>
          </w:p>
        </w:tc>
        <w:tc>
          <w:tcPr>
            <w:tcW w:w="3837" w:type="pct"/>
            <w:gridSpan w:val="8"/>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开气孔率（</w:t>
            </w:r>
            <w:r w:rsidRPr="009310DC">
              <w:rPr>
                <w:rFonts w:ascii="Times New Roman" w:hAnsi="Times New Roman" w:cs="Times New Roman"/>
                <w:color w:val="000000"/>
                <w:kern w:val="0"/>
                <w:sz w:val="18"/>
                <w:szCs w:val="18"/>
              </w:rPr>
              <w:t>%</w:t>
            </w:r>
            <w:r w:rsidRPr="009310DC">
              <w:rPr>
                <w:rFonts w:ascii="Times New Roman" w:hAnsi="宋体" w:cs="Times New Roman"/>
                <w:color w:val="000000"/>
                <w:kern w:val="0"/>
                <w:sz w:val="18"/>
                <w:szCs w:val="18"/>
              </w:rPr>
              <w:t>）</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3#</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4#</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5#</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6#</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平均值</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标准偏差</w:t>
            </w:r>
          </w:p>
        </w:tc>
      </w:tr>
      <w:tr w:rsidR="00296A5E" w:rsidRPr="009310DC" w:rsidTr="00294958">
        <w:trPr>
          <w:trHeight w:val="270"/>
        </w:trPr>
        <w:tc>
          <w:tcPr>
            <w:tcW w:w="525" w:type="pct"/>
            <w:vMerge w:val="restart"/>
            <w:shd w:val="clear" w:color="auto" w:fill="auto"/>
            <w:noWrap/>
            <w:vAlign w:val="center"/>
            <w:hideMark/>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GS-5</w:t>
            </w: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方法二</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16.7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18.3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20.0 </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16.4 </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17.0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16.7 </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17.5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1.39 </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left"/>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roofErr w:type="gramStart"/>
            <w:r w:rsidRPr="009310DC">
              <w:rPr>
                <w:rFonts w:ascii="Times New Roman" w:hAnsi="宋体" w:cs="Times New Roman"/>
                <w:color w:val="000000"/>
                <w:kern w:val="0"/>
                <w:sz w:val="18"/>
                <w:szCs w:val="18"/>
              </w:rPr>
              <w:t>一</w:t>
            </w:r>
            <w:proofErr w:type="gramEnd"/>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15.3</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16.2</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18.8</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15.1</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15.0</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15.5</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16.0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1.44 </w:t>
            </w:r>
          </w:p>
        </w:tc>
      </w:tr>
      <w:tr w:rsidR="00296A5E" w:rsidRPr="009310DC" w:rsidTr="00294958">
        <w:trPr>
          <w:trHeight w:val="270"/>
        </w:trPr>
        <w:tc>
          <w:tcPr>
            <w:tcW w:w="525" w:type="pct"/>
            <w:vMerge w:val="restart"/>
            <w:shd w:val="clear" w:color="auto" w:fill="auto"/>
            <w:noWrap/>
            <w:vAlign w:val="center"/>
            <w:hideMark/>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SM</w:t>
            </w: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方法二</w:t>
            </w:r>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20.2</w:t>
            </w:r>
            <w:r w:rsidR="00E87086" w:rsidRPr="009310DC">
              <w:rPr>
                <w:rFonts w:ascii="Times New Roman" w:hAnsi="Times New Roman" w:cs="Times New Roman"/>
                <w:color w:val="000000"/>
                <w:kern w:val="0"/>
                <w:sz w:val="18"/>
                <w:szCs w:val="18"/>
              </w:rPr>
              <w:t xml:space="preserve">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19.8 </w:t>
            </w:r>
          </w:p>
        </w:tc>
        <w:tc>
          <w:tcPr>
            <w:tcW w:w="458" w:type="pct"/>
            <w:shd w:val="clear" w:color="000000" w:fill="FF0000"/>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15.4 </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20.1 </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20.0 </w:t>
            </w:r>
          </w:p>
        </w:tc>
        <w:tc>
          <w:tcPr>
            <w:tcW w:w="458"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19.5</w:t>
            </w:r>
            <w:r w:rsidR="00E87086" w:rsidRPr="009310DC">
              <w:rPr>
                <w:rFonts w:ascii="Times New Roman" w:hAnsi="Times New Roman" w:cs="Times New Roman"/>
                <w:color w:val="000000"/>
                <w:kern w:val="0"/>
                <w:sz w:val="18"/>
                <w:szCs w:val="18"/>
              </w:rPr>
              <w:t xml:space="preserve"> </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19.2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1.86 </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left"/>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roofErr w:type="gramStart"/>
            <w:r w:rsidRPr="009310DC">
              <w:rPr>
                <w:rFonts w:ascii="Times New Roman" w:hAnsi="宋体" w:cs="Times New Roman"/>
                <w:color w:val="000000"/>
                <w:kern w:val="0"/>
                <w:sz w:val="18"/>
                <w:szCs w:val="18"/>
              </w:rPr>
              <w:t>一</w:t>
            </w:r>
            <w:proofErr w:type="gramEnd"/>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17.6</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18.0</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13.3</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18.5</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18.1</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17.</w:t>
            </w:r>
            <w:r w:rsidR="00296A5E" w:rsidRPr="009310DC">
              <w:rPr>
                <w:rFonts w:ascii="Times New Roman" w:hAnsi="Times New Roman" w:cs="Times New Roman"/>
                <w:color w:val="00B050"/>
                <w:kern w:val="0"/>
                <w:sz w:val="18"/>
                <w:szCs w:val="18"/>
              </w:rPr>
              <w:t>4</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17.2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1.93 </w:t>
            </w:r>
          </w:p>
        </w:tc>
      </w:tr>
      <w:tr w:rsidR="00296A5E" w:rsidRPr="009310DC" w:rsidTr="00294958">
        <w:trPr>
          <w:trHeight w:val="270"/>
        </w:trPr>
        <w:tc>
          <w:tcPr>
            <w:tcW w:w="525" w:type="pct"/>
            <w:vMerge w:val="restart"/>
            <w:shd w:val="clear" w:color="auto" w:fill="auto"/>
            <w:noWrap/>
            <w:vAlign w:val="center"/>
            <w:hideMark/>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STO</w:t>
            </w: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方法二</w:t>
            </w:r>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21.4</w:t>
            </w:r>
            <w:r w:rsidR="00E87086" w:rsidRPr="009310DC">
              <w:rPr>
                <w:rFonts w:ascii="Times New Roman" w:hAnsi="Times New Roman" w:cs="Times New Roman"/>
                <w:color w:val="000000"/>
                <w:kern w:val="0"/>
                <w:sz w:val="18"/>
                <w:szCs w:val="18"/>
              </w:rPr>
              <w:t xml:space="preserve">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21.5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22.2 </w:t>
            </w:r>
          </w:p>
        </w:tc>
        <w:tc>
          <w:tcPr>
            <w:tcW w:w="455"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21.8</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20.3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21.3 </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21.4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0.64 </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left"/>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roofErr w:type="gramStart"/>
            <w:r w:rsidRPr="009310DC">
              <w:rPr>
                <w:rFonts w:ascii="Times New Roman" w:hAnsi="宋体" w:cs="Times New Roman"/>
                <w:color w:val="000000"/>
                <w:kern w:val="0"/>
                <w:sz w:val="18"/>
                <w:szCs w:val="18"/>
              </w:rPr>
              <w:t>一</w:t>
            </w:r>
            <w:proofErr w:type="gramEnd"/>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19.1</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19.1</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19.6</w:t>
            </w:r>
          </w:p>
        </w:tc>
        <w:tc>
          <w:tcPr>
            <w:tcW w:w="455"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19.5</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19.4</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19.3</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19.3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0.21 </w:t>
            </w:r>
          </w:p>
        </w:tc>
      </w:tr>
      <w:tr w:rsidR="00296A5E" w:rsidRPr="009310DC" w:rsidTr="00294958">
        <w:trPr>
          <w:trHeight w:val="270"/>
        </w:trPr>
        <w:tc>
          <w:tcPr>
            <w:tcW w:w="525" w:type="pct"/>
            <w:vMerge w:val="restart"/>
            <w:shd w:val="clear" w:color="auto" w:fill="auto"/>
            <w:noWrap/>
            <w:vAlign w:val="center"/>
            <w:hideMark/>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WJ</w:t>
            </w: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方法二</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21.3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21.5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20.2 </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21.3 </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22.1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22.2 </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21.4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0.72 </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left"/>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roofErr w:type="gramStart"/>
            <w:r w:rsidRPr="009310DC">
              <w:rPr>
                <w:rFonts w:ascii="Times New Roman" w:hAnsi="宋体" w:cs="Times New Roman"/>
                <w:color w:val="000000"/>
                <w:kern w:val="0"/>
                <w:sz w:val="18"/>
                <w:szCs w:val="18"/>
              </w:rPr>
              <w:t>一</w:t>
            </w:r>
            <w:proofErr w:type="gramEnd"/>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19.0</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18.6</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19.2</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19.2</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19.5</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19.9</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19.2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0.44 </w:t>
            </w:r>
          </w:p>
        </w:tc>
      </w:tr>
      <w:tr w:rsidR="00296A5E" w:rsidRPr="009310DC" w:rsidTr="00294958">
        <w:trPr>
          <w:trHeight w:val="270"/>
        </w:trPr>
        <w:tc>
          <w:tcPr>
            <w:tcW w:w="525" w:type="pct"/>
            <w:vMerge w:val="restart"/>
            <w:shd w:val="clear" w:color="auto" w:fill="auto"/>
            <w:noWrap/>
            <w:vAlign w:val="center"/>
            <w:hideMark/>
          </w:tcPr>
          <w:p w:rsidR="00E87086" w:rsidRPr="009310DC" w:rsidRDefault="00E87086" w:rsidP="00D6272B">
            <w:pPr>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AH</w:t>
            </w: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方法二</w:t>
            </w:r>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20.9</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20.1</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21.2</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20.9</w:t>
            </w:r>
          </w:p>
        </w:tc>
        <w:tc>
          <w:tcPr>
            <w:tcW w:w="456" w:type="pct"/>
            <w:shd w:val="clear" w:color="auto" w:fill="auto"/>
            <w:noWrap/>
            <w:vAlign w:val="center"/>
            <w:hideMark/>
          </w:tcPr>
          <w:p w:rsidR="00E87086" w:rsidRPr="009310DC" w:rsidRDefault="00296A5E"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21.2</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20.2</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20.8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0000"/>
                <w:kern w:val="0"/>
                <w:sz w:val="18"/>
                <w:szCs w:val="18"/>
              </w:rPr>
            </w:pPr>
            <w:r w:rsidRPr="009310DC">
              <w:rPr>
                <w:rFonts w:ascii="Times New Roman" w:hAnsi="Times New Roman" w:cs="Times New Roman"/>
                <w:color w:val="000000"/>
                <w:kern w:val="0"/>
                <w:sz w:val="18"/>
                <w:szCs w:val="18"/>
              </w:rPr>
              <w:t xml:space="preserve">0.48 </w:t>
            </w:r>
          </w:p>
        </w:tc>
      </w:tr>
      <w:tr w:rsidR="00296A5E" w:rsidRPr="009310DC" w:rsidTr="00294958">
        <w:trPr>
          <w:trHeight w:val="270"/>
        </w:trPr>
        <w:tc>
          <w:tcPr>
            <w:tcW w:w="525" w:type="pct"/>
            <w:vMerge/>
            <w:shd w:val="clear" w:color="auto" w:fill="auto"/>
            <w:noWrap/>
            <w:vAlign w:val="center"/>
            <w:hideMark/>
          </w:tcPr>
          <w:p w:rsidR="00E87086" w:rsidRPr="009310DC" w:rsidRDefault="00E87086" w:rsidP="00D6272B">
            <w:pPr>
              <w:widowControl/>
              <w:jc w:val="left"/>
              <w:rPr>
                <w:rFonts w:ascii="Times New Roman" w:hAnsi="Times New Roman" w:cs="Times New Roman"/>
                <w:color w:val="000000"/>
                <w:kern w:val="0"/>
                <w:sz w:val="18"/>
                <w:szCs w:val="18"/>
              </w:rPr>
            </w:pPr>
          </w:p>
        </w:tc>
        <w:tc>
          <w:tcPr>
            <w:tcW w:w="638" w:type="pct"/>
            <w:vAlign w:val="center"/>
          </w:tcPr>
          <w:p w:rsidR="00E87086" w:rsidRPr="009310DC" w:rsidRDefault="00E87086" w:rsidP="00D6272B">
            <w:pPr>
              <w:widowControl/>
              <w:jc w:val="left"/>
              <w:rPr>
                <w:rFonts w:ascii="Times New Roman" w:hAnsi="Times New Roman" w:cs="Times New Roman"/>
                <w:color w:val="000000"/>
                <w:kern w:val="0"/>
                <w:sz w:val="18"/>
                <w:szCs w:val="18"/>
              </w:rPr>
            </w:pPr>
            <w:r w:rsidRPr="009310DC">
              <w:rPr>
                <w:rFonts w:ascii="Times New Roman" w:hAnsi="宋体" w:cs="Times New Roman"/>
                <w:color w:val="000000"/>
                <w:kern w:val="0"/>
                <w:sz w:val="18"/>
                <w:szCs w:val="18"/>
              </w:rPr>
              <w:t>方法</w:t>
            </w:r>
            <w:proofErr w:type="gramStart"/>
            <w:r w:rsidRPr="009310DC">
              <w:rPr>
                <w:rFonts w:ascii="Times New Roman" w:hAnsi="宋体" w:cs="Times New Roman"/>
                <w:color w:val="000000"/>
                <w:kern w:val="0"/>
                <w:sz w:val="18"/>
                <w:szCs w:val="18"/>
              </w:rPr>
              <w:t>一</w:t>
            </w:r>
            <w:proofErr w:type="gramEnd"/>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w:t>
            </w:r>
            <w:r w:rsidR="00296A5E" w:rsidRPr="009310DC">
              <w:rPr>
                <w:rFonts w:ascii="Times New Roman" w:hAnsi="Times New Roman" w:cs="Times New Roman"/>
                <w:color w:val="00B050"/>
                <w:kern w:val="0"/>
                <w:sz w:val="18"/>
                <w:szCs w:val="18"/>
              </w:rPr>
              <w:t>3</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18.3</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19.2</w:t>
            </w:r>
          </w:p>
        </w:tc>
        <w:tc>
          <w:tcPr>
            <w:tcW w:w="455"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19.1</w:t>
            </w:r>
          </w:p>
        </w:tc>
        <w:tc>
          <w:tcPr>
            <w:tcW w:w="456"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w:t>
            </w:r>
            <w:r w:rsidR="00296A5E" w:rsidRPr="009310DC">
              <w:rPr>
                <w:rFonts w:ascii="Times New Roman" w:hAnsi="Times New Roman" w:cs="Times New Roman"/>
                <w:color w:val="00B050"/>
                <w:kern w:val="0"/>
                <w:sz w:val="18"/>
                <w:szCs w:val="18"/>
              </w:rPr>
              <w:t>5</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19.2</w:t>
            </w:r>
          </w:p>
        </w:tc>
        <w:tc>
          <w:tcPr>
            <w:tcW w:w="637"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19.1 </w:t>
            </w:r>
          </w:p>
        </w:tc>
        <w:tc>
          <w:tcPr>
            <w:tcW w:w="458" w:type="pct"/>
            <w:shd w:val="clear" w:color="auto" w:fill="auto"/>
            <w:noWrap/>
            <w:vAlign w:val="center"/>
            <w:hideMark/>
          </w:tcPr>
          <w:p w:rsidR="00E87086" w:rsidRPr="009310DC" w:rsidRDefault="00E87086" w:rsidP="00D6272B">
            <w:pPr>
              <w:widowControl/>
              <w:jc w:val="center"/>
              <w:rPr>
                <w:rFonts w:ascii="Times New Roman" w:hAnsi="Times New Roman" w:cs="Times New Roman"/>
                <w:color w:val="00B050"/>
                <w:kern w:val="0"/>
                <w:sz w:val="18"/>
                <w:szCs w:val="18"/>
              </w:rPr>
            </w:pPr>
            <w:r w:rsidRPr="009310DC">
              <w:rPr>
                <w:rFonts w:ascii="Times New Roman" w:hAnsi="Times New Roman" w:cs="Times New Roman"/>
                <w:color w:val="00B050"/>
                <w:kern w:val="0"/>
                <w:sz w:val="18"/>
                <w:szCs w:val="18"/>
              </w:rPr>
              <w:t xml:space="preserve">0.41 </w:t>
            </w:r>
          </w:p>
        </w:tc>
      </w:tr>
    </w:tbl>
    <w:p w:rsidR="00D6272B" w:rsidRDefault="00D6272B" w:rsidP="00D6272B">
      <w:pPr>
        <w:ind w:firstLineChars="202" w:firstLine="485"/>
        <w:rPr>
          <w:rFonts w:ascii="Times New Roman" w:cs="Times New Roman"/>
          <w:sz w:val="24"/>
          <w:szCs w:val="24"/>
        </w:rPr>
      </w:pPr>
    </w:p>
    <w:p w:rsidR="00E87086" w:rsidRPr="009310DC" w:rsidRDefault="00E87086" w:rsidP="00D6272B">
      <w:pPr>
        <w:ind w:firstLineChars="202" w:firstLine="485"/>
        <w:rPr>
          <w:rFonts w:ascii="Times New Roman" w:hAnsi="Times New Roman" w:cs="Times New Roman"/>
          <w:sz w:val="24"/>
          <w:szCs w:val="24"/>
        </w:rPr>
      </w:pPr>
      <w:r w:rsidRPr="009310DC">
        <w:rPr>
          <w:rFonts w:ascii="Times New Roman" w:cs="Times New Roman"/>
          <w:sz w:val="24"/>
          <w:szCs w:val="24"/>
        </w:rPr>
        <w:t>从上表比对结果可明显看出，方法</w:t>
      </w:r>
      <w:r w:rsidR="00324630" w:rsidRPr="009310DC">
        <w:rPr>
          <w:rFonts w:ascii="Times New Roman" w:cs="Times New Roman"/>
          <w:sz w:val="24"/>
          <w:szCs w:val="24"/>
        </w:rPr>
        <w:t>二</w:t>
      </w:r>
      <w:r w:rsidRPr="009310DC">
        <w:rPr>
          <w:rFonts w:ascii="Times New Roman" w:cs="Times New Roman"/>
          <w:sz w:val="24"/>
          <w:szCs w:val="24"/>
        </w:rPr>
        <w:t>与方法</w:t>
      </w:r>
      <w:proofErr w:type="gramStart"/>
      <w:r w:rsidR="00324630" w:rsidRPr="009310DC">
        <w:rPr>
          <w:rFonts w:ascii="Times New Roman" w:cs="Times New Roman"/>
          <w:sz w:val="24"/>
          <w:szCs w:val="24"/>
        </w:rPr>
        <w:t>一</w:t>
      </w:r>
      <w:proofErr w:type="gramEnd"/>
      <w:r w:rsidRPr="009310DC">
        <w:rPr>
          <w:rFonts w:ascii="Times New Roman" w:cs="Times New Roman"/>
          <w:sz w:val="24"/>
          <w:szCs w:val="24"/>
        </w:rPr>
        <w:t>测试平均值之间相差在</w:t>
      </w:r>
      <w:r w:rsidRPr="009310DC">
        <w:rPr>
          <w:rFonts w:ascii="Times New Roman" w:hAnsi="Times New Roman" w:cs="Times New Roman"/>
          <w:sz w:val="24"/>
          <w:szCs w:val="24"/>
        </w:rPr>
        <w:t>1.3-2.2%</w:t>
      </w:r>
      <w:r w:rsidRPr="009310DC">
        <w:rPr>
          <w:rFonts w:ascii="Times New Roman" w:cs="Times New Roman"/>
          <w:sz w:val="24"/>
          <w:szCs w:val="24"/>
        </w:rPr>
        <w:t>，两者之间的差异如下图所示。</w:t>
      </w:r>
    </w:p>
    <w:p w:rsidR="00E87086" w:rsidRDefault="00E87086" w:rsidP="00D6272B">
      <w:pPr>
        <w:ind w:firstLineChars="202" w:firstLine="566"/>
        <w:jc w:val="center"/>
        <w:rPr>
          <w:sz w:val="28"/>
          <w:szCs w:val="28"/>
        </w:rPr>
      </w:pPr>
      <w:r>
        <w:rPr>
          <w:noProof/>
          <w:sz w:val="28"/>
          <w:szCs w:val="28"/>
        </w:rPr>
        <w:drawing>
          <wp:inline distT="0" distB="0" distL="0" distR="0">
            <wp:extent cx="4210050" cy="2228850"/>
            <wp:effectExtent l="19050" t="0" r="19050" b="0"/>
            <wp:docPr id="1" name="图表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D6272B" w:rsidRDefault="00D6272B" w:rsidP="00D6272B">
      <w:pPr>
        <w:ind w:firstLineChars="202" w:firstLine="485"/>
        <w:rPr>
          <w:sz w:val="24"/>
          <w:szCs w:val="24"/>
        </w:rPr>
      </w:pPr>
    </w:p>
    <w:p w:rsidR="00294958" w:rsidRPr="00294958" w:rsidRDefault="00E87086" w:rsidP="00D6272B">
      <w:pPr>
        <w:ind w:firstLineChars="202" w:firstLine="485"/>
        <w:rPr>
          <w:sz w:val="24"/>
          <w:szCs w:val="24"/>
        </w:rPr>
      </w:pPr>
      <w:r w:rsidRPr="00E87086">
        <w:rPr>
          <w:rFonts w:hint="eastAsia"/>
          <w:sz w:val="24"/>
          <w:szCs w:val="24"/>
        </w:rPr>
        <w:t>由于测试采用的炭块均匀性存在较大的问题，测量的标准偏差较大，但两种方法间的离散程度是一致的。</w:t>
      </w:r>
    </w:p>
    <w:p w:rsidR="00E87086" w:rsidRPr="00294958" w:rsidRDefault="00294958" w:rsidP="00D6272B">
      <w:pPr>
        <w:ind w:firstLineChars="202" w:firstLine="485"/>
        <w:rPr>
          <w:rFonts w:ascii="宋体" w:hAnsi="宋体"/>
          <w:sz w:val="24"/>
        </w:rPr>
      </w:pPr>
      <w:r w:rsidRPr="00294958">
        <w:rPr>
          <w:rFonts w:hint="eastAsia"/>
          <w:sz w:val="24"/>
          <w:szCs w:val="24"/>
        </w:rPr>
        <w:t>综上讨论，考虑</w:t>
      </w:r>
      <w:proofErr w:type="gramStart"/>
      <w:r w:rsidRPr="00294958">
        <w:rPr>
          <w:rFonts w:hint="eastAsia"/>
          <w:sz w:val="24"/>
          <w:szCs w:val="24"/>
        </w:rPr>
        <w:t>到铝用炭素</w:t>
      </w:r>
      <w:proofErr w:type="gramEnd"/>
      <w:r w:rsidRPr="00294958">
        <w:rPr>
          <w:rFonts w:hint="eastAsia"/>
          <w:sz w:val="24"/>
          <w:szCs w:val="24"/>
        </w:rPr>
        <w:t>材料的均匀性质量现状，方法</w:t>
      </w:r>
      <w:proofErr w:type="gramStart"/>
      <w:r w:rsidRPr="00294958">
        <w:rPr>
          <w:rFonts w:hint="eastAsia"/>
          <w:sz w:val="24"/>
          <w:szCs w:val="24"/>
        </w:rPr>
        <w:t>一</w:t>
      </w:r>
      <w:proofErr w:type="gramEnd"/>
      <w:r w:rsidRPr="00294958">
        <w:rPr>
          <w:rFonts w:hint="eastAsia"/>
          <w:sz w:val="24"/>
          <w:szCs w:val="24"/>
        </w:rPr>
        <w:t>和方法二在重复性限和再现性限上均保持一致。</w:t>
      </w:r>
    </w:p>
    <w:p w:rsidR="00323BAA" w:rsidRPr="00C0060C" w:rsidRDefault="00294958" w:rsidP="00D6272B">
      <w:pPr>
        <w:rPr>
          <w:rFonts w:ascii="黑体" w:eastAsia="黑体"/>
          <w:sz w:val="24"/>
        </w:rPr>
      </w:pPr>
      <w:r>
        <w:rPr>
          <w:rFonts w:ascii="黑体" w:eastAsia="黑体" w:hint="eastAsia"/>
          <w:sz w:val="24"/>
        </w:rPr>
        <w:t>6</w:t>
      </w:r>
      <w:r w:rsidR="00323BAA" w:rsidRPr="00C0060C">
        <w:rPr>
          <w:rFonts w:ascii="黑体" w:eastAsia="黑体" w:hint="eastAsia"/>
          <w:sz w:val="24"/>
        </w:rPr>
        <w:t>、标准水平分析</w:t>
      </w:r>
    </w:p>
    <w:p w:rsidR="00323BAA" w:rsidRDefault="00323BAA" w:rsidP="00D6272B">
      <w:pPr>
        <w:ind w:firstLine="482"/>
        <w:rPr>
          <w:rFonts w:ascii="宋体" w:eastAsia="宋体" w:hAnsi="宋体"/>
          <w:sz w:val="24"/>
        </w:rPr>
      </w:pPr>
      <w:r w:rsidRPr="00C0060C">
        <w:rPr>
          <w:rFonts w:ascii="宋体" w:hAnsi="宋体" w:hint="eastAsia"/>
          <w:sz w:val="24"/>
        </w:rPr>
        <w:t>本部分标准包括2个方法，在方法精密度等主要技术指标方面达到</w:t>
      </w:r>
      <w:r>
        <w:rPr>
          <w:rFonts w:ascii="宋体" w:hAnsi="宋体" w:hint="eastAsia"/>
          <w:sz w:val="24"/>
        </w:rPr>
        <w:t>了国际先进水平。</w:t>
      </w:r>
    </w:p>
    <w:p w:rsidR="00323BAA" w:rsidRDefault="00294958" w:rsidP="00D6272B">
      <w:pPr>
        <w:rPr>
          <w:rFonts w:ascii="黑体" w:eastAsia="黑体" w:hAnsi="Times New Roman"/>
          <w:sz w:val="24"/>
        </w:rPr>
      </w:pPr>
      <w:r>
        <w:rPr>
          <w:rFonts w:ascii="黑体" w:eastAsia="黑体" w:hint="eastAsia"/>
          <w:sz w:val="24"/>
        </w:rPr>
        <w:t>7</w:t>
      </w:r>
      <w:r w:rsidR="00323BAA">
        <w:rPr>
          <w:rFonts w:ascii="黑体" w:eastAsia="黑体" w:hint="eastAsia"/>
          <w:sz w:val="24"/>
        </w:rPr>
        <w:t>、与有关的现行法律、法规和强制性国家标准的关系</w:t>
      </w:r>
    </w:p>
    <w:p w:rsidR="00323BAA" w:rsidRDefault="00323BAA" w:rsidP="00D6272B">
      <w:pPr>
        <w:ind w:firstLineChars="200" w:firstLine="480"/>
        <w:rPr>
          <w:rFonts w:ascii="宋体" w:eastAsia="宋体" w:hAnsi="宋体"/>
          <w:sz w:val="24"/>
        </w:rPr>
      </w:pPr>
      <w:r>
        <w:rPr>
          <w:rFonts w:ascii="宋体" w:hAnsi="宋体" w:hint="eastAsia"/>
          <w:sz w:val="24"/>
        </w:rPr>
        <w:t>本部分所规定的内容，完全满足国家法规要求。</w:t>
      </w:r>
    </w:p>
    <w:p w:rsidR="00323BAA" w:rsidRDefault="00294958" w:rsidP="00D6272B">
      <w:pPr>
        <w:rPr>
          <w:rFonts w:ascii="黑体" w:eastAsia="黑体" w:hAnsi="Times New Roman"/>
          <w:sz w:val="24"/>
        </w:rPr>
      </w:pPr>
      <w:r>
        <w:rPr>
          <w:rFonts w:ascii="黑体" w:eastAsia="黑体" w:hint="eastAsia"/>
          <w:sz w:val="24"/>
        </w:rPr>
        <w:t>8</w:t>
      </w:r>
      <w:r w:rsidR="00323BAA">
        <w:rPr>
          <w:rFonts w:ascii="黑体" w:eastAsia="黑体" w:hint="eastAsia"/>
          <w:sz w:val="24"/>
        </w:rPr>
        <w:t>、重大分歧意见的处理经过和依据</w:t>
      </w:r>
    </w:p>
    <w:p w:rsidR="00323BAA" w:rsidRDefault="00323BAA" w:rsidP="00D6272B">
      <w:pPr>
        <w:ind w:firstLineChars="200" w:firstLine="480"/>
        <w:rPr>
          <w:rFonts w:ascii="宋体" w:eastAsia="宋体" w:hAnsi="宋体"/>
          <w:sz w:val="24"/>
        </w:rPr>
      </w:pPr>
      <w:r>
        <w:rPr>
          <w:rFonts w:ascii="宋体" w:hAnsi="宋体" w:hint="eastAsia"/>
          <w:sz w:val="24"/>
        </w:rPr>
        <w:t>没有重大分歧。</w:t>
      </w:r>
    </w:p>
    <w:p w:rsidR="00323BAA" w:rsidRDefault="00294958" w:rsidP="00D6272B">
      <w:pPr>
        <w:rPr>
          <w:rFonts w:ascii="黑体" w:eastAsia="黑体" w:hAnsi="Times New Roman"/>
          <w:sz w:val="24"/>
        </w:rPr>
      </w:pPr>
      <w:r>
        <w:rPr>
          <w:rFonts w:ascii="黑体" w:eastAsia="黑体" w:hint="eastAsia"/>
          <w:sz w:val="24"/>
        </w:rPr>
        <w:t>9</w:t>
      </w:r>
      <w:r w:rsidR="00323BAA">
        <w:rPr>
          <w:rFonts w:ascii="黑体" w:eastAsia="黑体" w:hint="eastAsia"/>
          <w:sz w:val="24"/>
        </w:rPr>
        <w:t>、标准作为强制性或推荐性标准的建议</w:t>
      </w:r>
    </w:p>
    <w:p w:rsidR="00323BAA" w:rsidRDefault="00323BAA" w:rsidP="00D6272B">
      <w:pPr>
        <w:ind w:firstLineChars="200" w:firstLine="480"/>
        <w:rPr>
          <w:rFonts w:ascii="宋体" w:eastAsia="宋体" w:hAnsi="宋体"/>
          <w:sz w:val="24"/>
        </w:rPr>
      </w:pPr>
      <w:r>
        <w:rPr>
          <w:rFonts w:ascii="宋体" w:hAnsi="宋体" w:hint="eastAsia"/>
          <w:sz w:val="24"/>
        </w:rPr>
        <w:t>建议该标准为推荐性行业标准。</w:t>
      </w:r>
    </w:p>
    <w:p w:rsidR="00323BAA" w:rsidRDefault="00294958" w:rsidP="00D6272B">
      <w:pPr>
        <w:rPr>
          <w:rFonts w:ascii="黑体" w:eastAsia="黑体" w:hAnsi="Times New Roman"/>
          <w:sz w:val="24"/>
        </w:rPr>
      </w:pPr>
      <w:r>
        <w:rPr>
          <w:rFonts w:ascii="黑体" w:eastAsia="黑体" w:hint="eastAsia"/>
          <w:sz w:val="24"/>
        </w:rPr>
        <w:t>10</w:t>
      </w:r>
      <w:r w:rsidR="00323BAA">
        <w:rPr>
          <w:rFonts w:ascii="黑体" w:eastAsia="黑体" w:hint="eastAsia"/>
          <w:sz w:val="24"/>
        </w:rPr>
        <w:t>、贯彻标准的要求和措施建议</w:t>
      </w:r>
    </w:p>
    <w:p w:rsidR="00323BAA" w:rsidRDefault="00323BAA" w:rsidP="00D6272B">
      <w:pPr>
        <w:ind w:firstLineChars="200" w:firstLine="480"/>
        <w:rPr>
          <w:rFonts w:ascii="宋体" w:eastAsia="宋体" w:hAnsi="宋体"/>
          <w:sz w:val="24"/>
        </w:rPr>
      </w:pPr>
      <w:r>
        <w:rPr>
          <w:rFonts w:ascii="宋体" w:hAnsi="宋体" w:hint="eastAsia"/>
          <w:sz w:val="24"/>
        </w:rPr>
        <w:t>本部分为标准修订，没有特殊要求，与其它年份发布的26个部分，共同组成了较为完善的铝用</w:t>
      </w:r>
      <w:proofErr w:type="gramStart"/>
      <w:r>
        <w:rPr>
          <w:rFonts w:ascii="宋体" w:hAnsi="宋体" w:hint="eastAsia"/>
          <w:sz w:val="24"/>
        </w:rPr>
        <w:t>炭素</w:t>
      </w:r>
      <w:proofErr w:type="gramEnd"/>
      <w:r>
        <w:rPr>
          <w:rFonts w:ascii="宋体" w:hAnsi="宋体" w:hint="eastAsia"/>
          <w:sz w:val="24"/>
        </w:rPr>
        <w:t>材料检测方法标准体系，在适当时期，可以组织相关的宣贯和培训。</w:t>
      </w:r>
    </w:p>
    <w:p w:rsidR="00323BAA" w:rsidRDefault="00323BAA" w:rsidP="00D6272B">
      <w:pPr>
        <w:rPr>
          <w:rFonts w:ascii="黑体" w:eastAsia="黑体" w:hAnsi="Times New Roman"/>
          <w:sz w:val="24"/>
        </w:rPr>
      </w:pPr>
      <w:r>
        <w:rPr>
          <w:rFonts w:ascii="黑体" w:eastAsia="黑体" w:hint="eastAsia"/>
          <w:sz w:val="24"/>
        </w:rPr>
        <w:t>1</w:t>
      </w:r>
      <w:r w:rsidR="00294958">
        <w:rPr>
          <w:rFonts w:ascii="黑体" w:eastAsia="黑体" w:hint="eastAsia"/>
          <w:sz w:val="24"/>
        </w:rPr>
        <w:t>1</w:t>
      </w:r>
      <w:r>
        <w:rPr>
          <w:rFonts w:ascii="黑体" w:eastAsia="黑体" w:hint="eastAsia"/>
          <w:sz w:val="24"/>
        </w:rPr>
        <w:t>、废止现行有关标准的建议</w:t>
      </w:r>
    </w:p>
    <w:p w:rsidR="00323BAA" w:rsidRDefault="00323BAA" w:rsidP="00D6272B">
      <w:pPr>
        <w:ind w:firstLineChars="200" w:firstLine="480"/>
        <w:rPr>
          <w:rFonts w:ascii="宋体" w:eastAsia="宋体" w:hAnsi="宋体"/>
          <w:sz w:val="24"/>
        </w:rPr>
      </w:pPr>
      <w:r>
        <w:rPr>
          <w:rFonts w:ascii="宋体" w:hAnsi="宋体" w:hint="eastAsia"/>
          <w:sz w:val="24"/>
        </w:rPr>
        <w:t>无。</w:t>
      </w:r>
    </w:p>
    <w:p w:rsidR="00323BAA" w:rsidRDefault="00323BAA" w:rsidP="00D6272B">
      <w:pPr>
        <w:rPr>
          <w:rFonts w:ascii="黑体" w:eastAsia="黑体" w:hAnsi="Times New Roman"/>
          <w:sz w:val="24"/>
        </w:rPr>
      </w:pPr>
      <w:r>
        <w:rPr>
          <w:rFonts w:ascii="黑体" w:eastAsia="黑体" w:hint="eastAsia"/>
          <w:sz w:val="24"/>
        </w:rPr>
        <w:t>1</w:t>
      </w:r>
      <w:r w:rsidR="00294958">
        <w:rPr>
          <w:rFonts w:ascii="黑体" w:eastAsia="黑体" w:hint="eastAsia"/>
          <w:sz w:val="24"/>
        </w:rPr>
        <w:t>2</w:t>
      </w:r>
      <w:r>
        <w:rPr>
          <w:rFonts w:ascii="黑体" w:eastAsia="黑体" w:hint="eastAsia"/>
          <w:sz w:val="24"/>
        </w:rPr>
        <w:t>、其他应予说明的事项</w:t>
      </w:r>
    </w:p>
    <w:p w:rsidR="00323BAA" w:rsidRDefault="00323BAA" w:rsidP="00D6272B">
      <w:pPr>
        <w:ind w:firstLineChars="200" w:firstLine="480"/>
        <w:rPr>
          <w:rFonts w:ascii="宋体" w:eastAsia="宋体" w:hAnsi="宋体"/>
          <w:sz w:val="24"/>
        </w:rPr>
      </w:pPr>
      <w:r>
        <w:rPr>
          <w:rFonts w:ascii="宋体" w:hAnsi="宋体" w:hint="eastAsia"/>
          <w:sz w:val="24"/>
        </w:rPr>
        <w:t>无。</w:t>
      </w:r>
    </w:p>
    <w:p w:rsidR="00323BAA" w:rsidRDefault="00323BAA" w:rsidP="00D6272B">
      <w:pPr>
        <w:rPr>
          <w:rFonts w:ascii="黑体" w:eastAsia="黑体" w:hAnsi="Times New Roman"/>
          <w:sz w:val="24"/>
        </w:rPr>
      </w:pPr>
      <w:r>
        <w:rPr>
          <w:rFonts w:ascii="黑体" w:eastAsia="黑体" w:hint="eastAsia"/>
          <w:sz w:val="24"/>
        </w:rPr>
        <w:t>1</w:t>
      </w:r>
      <w:r w:rsidR="00294958">
        <w:rPr>
          <w:rFonts w:ascii="黑体" w:eastAsia="黑体" w:hint="eastAsia"/>
          <w:sz w:val="24"/>
        </w:rPr>
        <w:t>3</w:t>
      </w:r>
      <w:r>
        <w:rPr>
          <w:rFonts w:ascii="黑体" w:eastAsia="黑体" w:hint="eastAsia"/>
          <w:sz w:val="24"/>
        </w:rPr>
        <w:t>、预期效果</w:t>
      </w:r>
    </w:p>
    <w:p w:rsidR="00323BAA" w:rsidRDefault="00323BAA" w:rsidP="00D6272B">
      <w:pPr>
        <w:ind w:firstLine="480"/>
        <w:rPr>
          <w:rFonts w:ascii="宋体" w:eastAsia="宋体" w:hAnsi="宋体"/>
          <w:sz w:val="24"/>
        </w:rPr>
      </w:pPr>
      <w:r>
        <w:rPr>
          <w:rFonts w:ascii="宋体" w:hAnsi="宋体" w:hint="eastAsia"/>
          <w:sz w:val="24"/>
        </w:rPr>
        <w:t>本部分的制定，将为中国的铝用</w:t>
      </w:r>
      <w:proofErr w:type="gramStart"/>
      <w:r>
        <w:rPr>
          <w:rFonts w:ascii="宋体" w:hAnsi="宋体" w:hint="eastAsia"/>
          <w:sz w:val="24"/>
        </w:rPr>
        <w:t>炭素</w:t>
      </w:r>
      <w:proofErr w:type="gramEnd"/>
      <w:r>
        <w:rPr>
          <w:rFonts w:ascii="宋体" w:hAnsi="宋体" w:hint="eastAsia"/>
          <w:sz w:val="24"/>
        </w:rPr>
        <w:t>材料生产及出口贸易等提供技术支持，为铝用</w:t>
      </w:r>
      <w:proofErr w:type="gramStart"/>
      <w:r>
        <w:rPr>
          <w:rFonts w:ascii="宋体" w:hAnsi="宋体" w:hint="eastAsia"/>
          <w:sz w:val="24"/>
        </w:rPr>
        <w:t>炭素</w:t>
      </w:r>
      <w:proofErr w:type="gramEnd"/>
      <w:r>
        <w:rPr>
          <w:rFonts w:ascii="宋体" w:hAnsi="宋体" w:hint="eastAsia"/>
          <w:sz w:val="24"/>
        </w:rPr>
        <w:t>行业</w:t>
      </w:r>
      <w:proofErr w:type="gramStart"/>
      <w:r>
        <w:rPr>
          <w:rFonts w:ascii="宋体" w:hAnsi="宋体" w:hint="eastAsia"/>
          <w:sz w:val="24"/>
        </w:rPr>
        <w:t>制订既</w:t>
      </w:r>
      <w:proofErr w:type="gramEnd"/>
      <w:r>
        <w:rPr>
          <w:rFonts w:ascii="宋体" w:hAnsi="宋体" w:hint="eastAsia"/>
          <w:sz w:val="24"/>
        </w:rPr>
        <w:t>符合实际又先进可靠的产品指标标准提供参考。</w:t>
      </w:r>
    </w:p>
    <w:p w:rsidR="00323BAA" w:rsidRDefault="00323BAA" w:rsidP="00D6272B">
      <w:pPr>
        <w:ind w:firstLine="480"/>
        <w:rPr>
          <w:rFonts w:ascii="宋体" w:hAnsi="宋体"/>
          <w:sz w:val="24"/>
        </w:rPr>
      </w:pPr>
    </w:p>
    <w:p w:rsidR="00323BAA" w:rsidRDefault="00323BAA" w:rsidP="00D6272B">
      <w:pPr>
        <w:ind w:firstLine="480"/>
        <w:rPr>
          <w:rFonts w:ascii="宋体" w:hAnsi="宋体"/>
          <w:sz w:val="24"/>
        </w:rPr>
      </w:pPr>
      <w:r>
        <w:rPr>
          <w:rFonts w:ascii="宋体" w:hAnsi="宋体" w:hint="eastAsia"/>
          <w:sz w:val="24"/>
        </w:rPr>
        <w:t xml:space="preserve">                                          标准编制组</w:t>
      </w:r>
    </w:p>
    <w:p w:rsidR="00323BAA" w:rsidRDefault="00323BAA" w:rsidP="00D6272B">
      <w:pPr>
        <w:ind w:firstLine="480"/>
        <w:rPr>
          <w:rFonts w:ascii="黑体" w:eastAsia="黑体" w:hAnsi="宋体"/>
          <w:sz w:val="15"/>
          <w:szCs w:val="15"/>
        </w:rPr>
      </w:pPr>
      <w:r>
        <w:rPr>
          <w:rFonts w:ascii="宋体" w:hAnsi="宋体" w:hint="eastAsia"/>
          <w:sz w:val="24"/>
        </w:rPr>
        <w:t xml:space="preserve">                                          </w:t>
      </w:r>
      <w:r w:rsidR="003C1D2A">
        <w:rPr>
          <w:rFonts w:ascii="宋体" w:hAnsi="宋体" w:hint="eastAsia"/>
          <w:sz w:val="24"/>
        </w:rPr>
        <w:t xml:space="preserve"> </w:t>
      </w:r>
      <w:r>
        <w:rPr>
          <w:rFonts w:ascii="宋体" w:hAnsi="宋体" w:hint="eastAsia"/>
          <w:sz w:val="24"/>
        </w:rPr>
        <w:t>201</w:t>
      </w:r>
      <w:r w:rsidR="00790A43">
        <w:rPr>
          <w:rFonts w:ascii="宋体" w:hAnsi="宋体" w:hint="eastAsia"/>
          <w:sz w:val="24"/>
        </w:rPr>
        <w:t>8</w:t>
      </w:r>
      <w:r w:rsidR="00895B9B">
        <w:rPr>
          <w:rFonts w:ascii="宋体" w:hAnsi="宋体" w:hint="eastAsia"/>
          <w:sz w:val="24"/>
        </w:rPr>
        <w:t>年10月</w:t>
      </w:r>
    </w:p>
    <w:p w:rsidR="003D2286" w:rsidRDefault="003D2286" w:rsidP="00D6272B"/>
    <w:sectPr w:rsidR="003D2286" w:rsidSect="007131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6683" w:rsidRDefault="00326683" w:rsidP="0036353B">
      <w:r>
        <w:separator/>
      </w:r>
    </w:p>
  </w:endnote>
  <w:endnote w:type="continuationSeparator" w:id="0">
    <w:p w:rsidR="00326683" w:rsidRDefault="00326683" w:rsidP="003635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楷体_GB2312">
    <w:altName w:val="Arial Unicode MS"/>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6683" w:rsidRDefault="00326683" w:rsidP="0036353B">
      <w:r>
        <w:separator/>
      </w:r>
    </w:p>
  </w:footnote>
  <w:footnote w:type="continuationSeparator" w:id="0">
    <w:p w:rsidR="00326683" w:rsidRDefault="00326683" w:rsidP="003635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23BAA"/>
    <w:rsid w:val="0011445E"/>
    <w:rsid w:val="00126D24"/>
    <w:rsid w:val="001A39FE"/>
    <w:rsid w:val="001C3C60"/>
    <w:rsid w:val="001D24D8"/>
    <w:rsid w:val="001F28F0"/>
    <w:rsid w:val="0026083D"/>
    <w:rsid w:val="00294958"/>
    <w:rsid w:val="00296A5E"/>
    <w:rsid w:val="002D553B"/>
    <w:rsid w:val="002F100D"/>
    <w:rsid w:val="00323BAA"/>
    <w:rsid w:val="00324630"/>
    <w:rsid w:val="00326683"/>
    <w:rsid w:val="003376BE"/>
    <w:rsid w:val="0036353B"/>
    <w:rsid w:val="003A5133"/>
    <w:rsid w:val="003C1D2A"/>
    <w:rsid w:val="003D2286"/>
    <w:rsid w:val="00446311"/>
    <w:rsid w:val="004B42D0"/>
    <w:rsid w:val="00570226"/>
    <w:rsid w:val="00613DE3"/>
    <w:rsid w:val="00680716"/>
    <w:rsid w:val="006824B4"/>
    <w:rsid w:val="006F7A4E"/>
    <w:rsid w:val="007131E5"/>
    <w:rsid w:val="00715C85"/>
    <w:rsid w:val="00741EBA"/>
    <w:rsid w:val="00790A43"/>
    <w:rsid w:val="007E3BA4"/>
    <w:rsid w:val="00861C05"/>
    <w:rsid w:val="00895B9B"/>
    <w:rsid w:val="008D64FE"/>
    <w:rsid w:val="009260B3"/>
    <w:rsid w:val="009310DC"/>
    <w:rsid w:val="00977D0D"/>
    <w:rsid w:val="00A63189"/>
    <w:rsid w:val="00AE054B"/>
    <w:rsid w:val="00AF5501"/>
    <w:rsid w:val="00B11C19"/>
    <w:rsid w:val="00BA21F5"/>
    <w:rsid w:val="00C0060C"/>
    <w:rsid w:val="00C06E90"/>
    <w:rsid w:val="00C44311"/>
    <w:rsid w:val="00C72808"/>
    <w:rsid w:val="00CB4383"/>
    <w:rsid w:val="00CC6034"/>
    <w:rsid w:val="00D6272B"/>
    <w:rsid w:val="00DC65D1"/>
    <w:rsid w:val="00DF5599"/>
    <w:rsid w:val="00E2168E"/>
    <w:rsid w:val="00E87086"/>
    <w:rsid w:val="00EA3F32"/>
    <w:rsid w:val="00EE0EC4"/>
    <w:rsid w:val="00F200E0"/>
    <w:rsid w:val="00F579E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1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rsid w:val="00323BAA"/>
    <w:rPr>
      <w:rFonts w:ascii="Arial" w:eastAsia="楷体_GB2312" w:hAnsi="Arial" w:cs="Times New Roman"/>
      <w:sz w:val="32"/>
      <w:szCs w:val="20"/>
    </w:rPr>
  </w:style>
  <w:style w:type="character" w:customStyle="1" w:styleId="Char">
    <w:name w:val="日期 Char"/>
    <w:basedOn w:val="a0"/>
    <w:link w:val="a3"/>
    <w:semiHidden/>
    <w:rsid w:val="00323BAA"/>
    <w:rPr>
      <w:rFonts w:ascii="Arial" w:eastAsia="楷体_GB2312" w:hAnsi="Arial" w:cs="Times New Roman"/>
      <w:sz w:val="32"/>
      <w:szCs w:val="20"/>
    </w:rPr>
  </w:style>
  <w:style w:type="table" w:styleId="a4">
    <w:name w:val="Table Grid"/>
    <w:basedOn w:val="a1"/>
    <w:rsid w:val="00C0060C"/>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semiHidden/>
    <w:unhideWhenUsed/>
    <w:rsid w:val="0036353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36353B"/>
    <w:rPr>
      <w:sz w:val="18"/>
      <w:szCs w:val="18"/>
    </w:rPr>
  </w:style>
  <w:style w:type="paragraph" w:styleId="a6">
    <w:name w:val="footer"/>
    <w:basedOn w:val="a"/>
    <w:link w:val="Char1"/>
    <w:uiPriority w:val="99"/>
    <w:semiHidden/>
    <w:unhideWhenUsed/>
    <w:rsid w:val="0036353B"/>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36353B"/>
    <w:rPr>
      <w:sz w:val="18"/>
      <w:szCs w:val="18"/>
    </w:rPr>
  </w:style>
  <w:style w:type="paragraph" w:styleId="a7">
    <w:name w:val="Balloon Text"/>
    <w:basedOn w:val="a"/>
    <w:link w:val="Char2"/>
    <w:uiPriority w:val="99"/>
    <w:semiHidden/>
    <w:unhideWhenUsed/>
    <w:rsid w:val="00E87086"/>
    <w:rPr>
      <w:sz w:val="18"/>
      <w:szCs w:val="18"/>
    </w:rPr>
  </w:style>
  <w:style w:type="character" w:customStyle="1" w:styleId="Char2">
    <w:name w:val="批注框文本 Char"/>
    <w:basedOn w:val="a0"/>
    <w:link w:val="a7"/>
    <w:uiPriority w:val="99"/>
    <w:semiHidden/>
    <w:rsid w:val="00E87086"/>
    <w:rPr>
      <w:sz w:val="18"/>
      <w:szCs w:val="18"/>
    </w:rPr>
  </w:style>
</w:styles>
</file>

<file path=word/webSettings.xml><?xml version="1.0" encoding="utf-8"?>
<w:webSettings xmlns:r="http://schemas.openxmlformats.org/officeDocument/2006/relationships" xmlns:w="http://schemas.openxmlformats.org/wordprocessingml/2006/main">
  <w:divs>
    <w:div w:id="925458043">
      <w:bodyDiv w:val="1"/>
      <w:marLeft w:val="0"/>
      <w:marRight w:val="0"/>
      <w:marTop w:val="0"/>
      <w:marBottom w:val="0"/>
      <w:divBdr>
        <w:top w:val="none" w:sz="0" w:space="0" w:color="auto"/>
        <w:left w:val="none" w:sz="0" w:space="0" w:color="auto"/>
        <w:bottom w:val="none" w:sz="0" w:space="0" w:color="auto"/>
        <w:right w:val="none" w:sz="0" w:space="0" w:color="auto"/>
      </w:divBdr>
    </w:div>
    <w:div w:id="137377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oleObject" Target="file:///D:\&#26446;&#33635;&#26609;\&#26631;&#20934;\&#26446;&#33635;&#26609;\2017&#24180;\&#24320;&#27668;&#23380;&#29575;&#26631;&#20934;&#21046;&#20462;&#35746;\&#24320;&#27668;&#23380;&#29575;&#35797;&#39564;&#25968;&#25454;\&#25968;&#25454;&#27719;&#2463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plotArea>
      <c:layout/>
      <c:lineChart>
        <c:grouping val="standard"/>
        <c:ser>
          <c:idx val="0"/>
          <c:order val="0"/>
          <c:tx>
            <c:v>方法二</c:v>
          </c:tx>
          <c:val>
            <c:numRef>
              <c:f>Sheet3!$A$1:$AD$1</c:f>
              <c:numCache>
                <c:formatCode>0.0_);[Red]\(0.0\)</c:formatCode>
                <c:ptCount val="30"/>
                <c:pt idx="0">
                  <c:v>16.7</c:v>
                </c:pt>
                <c:pt idx="1">
                  <c:v>18.3</c:v>
                </c:pt>
                <c:pt idx="2">
                  <c:v>20</c:v>
                </c:pt>
                <c:pt idx="3">
                  <c:v>16.399999999999999</c:v>
                </c:pt>
                <c:pt idx="4">
                  <c:v>17</c:v>
                </c:pt>
                <c:pt idx="5">
                  <c:v>16.7</c:v>
                </c:pt>
                <c:pt idx="6">
                  <c:v>19.5</c:v>
                </c:pt>
                <c:pt idx="7">
                  <c:v>19.8</c:v>
                </c:pt>
                <c:pt idx="8">
                  <c:v>15.4</c:v>
                </c:pt>
                <c:pt idx="9">
                  <c:v>20.100000000000001</c:v>
                </c:pt>
                <c:pt idx="10">
                  <c:v>20</c:v>
                </c:pt>
                <c:pt idx="11">
                  <c:v>20.2</c:v>
                </c:pt>
                <c:pt idx="12">
                  <c:v>21.8</c:v>
                </c:pt>
                <c:pt idx="13">
                  <c:v>21.5</c:v>
                </c:pt>
                <c:pt idx="14">
                  <c:v>22.2</c:v>
                </c:pt>
                <c:pt idx="15">
                  <c:v>21.4</c:v>
                </c:pt>
                <c:pt idx="16">
                  <c:v>20.3</c:v>
                </c:pt>
                <c:pt idx="17">
                  <c:v>21.3</c:v>
                </c:pt>
                <c:pt idx="18">
                  <c:v>21.3</c:v>
                </c:pt>
                <c:pt idx="19">
                  <c:v>21.5</c:v>
                </c:pt>
                <c:pt idx="20">
                  <c:v>20.2</c:v>
                </c:pt>
                <c:pt idx="21">
                  <c:v>21.3</c:v>
                </c:pt>
                <c:pt idx="22">
                  <c:v>22.1</c:v>
                </c:pt>
                <c:pt idx="23">
                  <c:v>22.2</c:v>
                </c:pt>
                <c:pt idx="24">
                  <c:v>21.2</c:v>
                </c:pt>
                <c:pt idx="25">
                  <c:v>20.100000000000001</c:v>
                </c:pt>
                <c:pt idx="26">
                  <c:v>21.2</c:v>
                </c:pt>
                <c:pt idx="27">
                  <c:v>20.9</c:v>
                </c:pt>
                <c:pt idx="28">
                  <c:v>20.9</c:v>
                </c:pt>
                <c:pt idx="29">
                  <c:v>20.2</c:v>
                </c:pt>
              </c:numCache>
            </c:numRef>
          </c:val>
        </c:ser>
        <c:ser>
          <c:idx val="1"/>
          <c:order val="1"/>
          <c:tx>
            <c:v>方法一</c:v>
          </c:tx>
          <c:val>
            <c:numRef>
              <c:f>Sheet3!$A$2:$AD$2</c:f>
              <c:numCache>
                <c:formatCode>0.0_);[Red]\(0.0\)</c:formatCode>
                <c:ptCount val="30"/>
                <c:pt idx="0">
                  <c:v>15.3</c:v>
                </c:pt>
                <c:pt idx="1">
                  <c:v>16.2</c:v>
                </c:pt>
                <c:pt idx="2">
                  <c:v>18.8</c:v>
                </c:pt>
                <c:pt idx="3">
                  <c:v>15.1</c:v>
                </c:pt>
                <c:pt idx="4">
                  <c:v>15</c:v>
                </c:pt>
                <c:pt idx="5">
                  <c:v>15.5</c:v>
                </c:pt>
                <c:pt idx="6">
                  <c:v>17.399999999999999</c:v>
                </c:pt>
                <c:pt idx="7">
                  <c:v>18</c:v>
                </c:pt>
                <c:pt idx="8">
                  <c:v>13.3</c:v>
                </c:pt>
                <c:pt idx="9">
                  <c:v>18.5</c:v>
                </c:pt>
                <c:pt idx="10">
                  <c:v>18.100000000000001</c:v>
                </c:pt>
                <c:pt idx="11">
                  <c:v>17.600000000000001</c:v>
                </c:pt>
                <c:pt idx="12">
                  <c:v>19.5</c:v>
                </c:pt>
                <c:pt idx="13">
                  <c:v>19.100000000000001</c:v>
                </c:pt>
                <c:pt idx="14">
                  <c:v>19.600000000000001</c:v>
                </c:pt>
                <c:pt idx="15">
                  <c:v>19.100000000000001</c:v>
                </c:pt>
                <c:pt idx="16">
                  <c:v>19.399999999999999</c:v>
                </c:pt>
                <c:pt idx="17">
                  <c:v>19.3</c:v>
                </c:pt>
                <c:pt idx="18">
                  <c:v>19</c:v>
                </c:pt>
                <c:pt idx="19">
                  <c:v>18.600000000000001</c:v>
                </c:pt>
                <c:pt idx="20">
                  <c:v>19.2</c:v>
                </c:pt>
                <c:pt idx="21">
                  <c:v>19.2</c:v>
                </c:pt>
                <c:pt idx="22">
                  <c:v>19.5</c:v>
                </c:pt>
                <c:pt idx="23">
                  <c:v>19.899999999999999</c:v>
                </c:pt>
                <c:pt idx="24">
                  <c:v>19.5</c:v>
                </c:pt>
                <c:pt idx="25">
                  <c:v>18.3</c:v>
                </c:pt>
                <c:pt idx="26">
                  <c:v>19.2</c:v>
                </c:pt>
                <c:pt idx="27">
                  <c:v>19.100000000000001</c:v>
                </c:pt>
                <c:pt idx="28">
                  <c:v>19.3</c:v>
                </c:pt>
                <c:pt idx="29">
                  <c:v>19.2</c:v>
                </c:pt>
              </c:numCache>
            </c:numRef>
          </c:val>
        </c:ser>
        <c:marker val="1"/>
        <c:axId val="120541568"/>
        <c:axId val="120543104"/>
      </c:lineChart>
      <c:catAx>
        <c:axId val="120541568"/>
        <c:scaling>
          <c:orientation val="minMax"/>
        </c:scaling>
        <c:axPos val="b"/>
        <c:tickLblPos val="nextTo"/>
        <c:crossAx val="120543104"/>
        <c:crosses val="autoZero"/>
        <c:auto val="1"/>
        <c:lblAlgn val="ctr"/>
        <c:lblOffset val="100"/>
      </c:catAx>
      <c:valAx>
        <c:axId val="120543104"/>
        <c:scaling>
          <c:orientation val="minMax"/>
        </c:scaling>
        <c:axPos val="l"/>
        <c:majorGridlines/>
        <c:numFmt formatCode="0.0_);[Red]\(0.0\)" sourceLinked="1"/>
        <c:tickLblPos val="nextTo"/>
        <c:crossAx val="120541568"/>
        <c:crosses val="autoZero"/>
        <c:crossBetween val="between"/>
      </c:valAx>
    </c:plotArea>
    <c:legend>
      <c:legendPos val="r"/>
    </c:legend>
    <c:plotVisOnly val="1"/>
  </c:chart>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6</Pages>
  <Words>898</Words>
  <Characters>5124</Characters>
  <Application>Microsoft Office Word</Application>
  <DocSecurity>0</DocSecurity>
  <Lines>42</Lines>
  <Paragraphs>12</Paragraphs>
  <ScaleCrop>false</ScaleCrop>
  <Company>rilm.com.cn</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李荣柱-郑研院质检中心</cp:lastModifiedBy>
  <cp:revision>11</cp:revision>
  <dcterms:created xsi:type="dcterms:W3CDTF">2018-03-21T08:03:00Z</dcterms:created>
  <dcterms:modified xsi:type="dcterms:W3CDTF">2018-10-08T03:23:00Z</dcterms:modified>
</cp:coreProperties>
</file>