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1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点击此处添加ICS号</w:t>
      </w:r>
      <w:r>
        <w:fldChar w:fldCharType="end"/>
      </w:r>
      <w:bookmarkEnd w:id="0"/>
    </w:p>
    <w:p>
      <w:pPr>
        <w:pStyle w:val="101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3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1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641350" cy="146050"/>
                      <wp:effectExtent l="0" t="0" r="6350" b="635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1.5pt;width:50.5pt;z-index:-251655168;mso-width-relative:page;mso-height-relative:page;" fillcolor="#FFFFFF" filled="t" stroked="f" coordsize="21600,21600" o:gfxdata="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H/mVPTTAAAABgEAAA8AAAAAAAAAAQAgAAAAIgAAAGRy&#10;cy9kb3ducmV2LnhtbFBLAQIUABQAAAAIAIdO4kAA3TlrmAEAACIDAAAOAAAAAAAAAAEAIAAAACIB&#10;AABkcnMvZTJvRG9jLnhtbFBLBQYAAAAABgAGAFkBAAAs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74"/>
      </w:pPr>
      <w:bookmarkStart w:id="3" w:name="c1"/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XB</w:t>
      </w:r>
      <w:r>
        <w:fldChar w:fldCharType="end"/>
      </w:r>
      <w:bookmarkEnd w:id="3"/>
    </w:p>
    <w:p>
      <w:pPr>
        <w:pStyle w:val="97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稀土</w:t>
      </w:r>
      <w:r>
        <w:fldChar w:fldCharType="end"/>
      </w:r>
      <w:bookmarkEnd w:id="4"/>
      <w:r>
        <w:rPr>
          <w:rFonts w:hint="eastAsia"/>
        </w:rPr>
        <w:t>行业标准</w:t>
      </w:r>
    </w:p>
    <w:p>
      <w:pPr>
        <w:pStyle w:val="52"/>
        <w:rPr>
          <w:rFonts w:hAnsi="黑体"/>
        </w:rPr>
      </w:pPr>
      <w:bookmarkStart w:id="5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XB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201X</w:t>
      </w:r>
      <w:r>
        <w:rPr>
          <w:rFonts w:hAnsi="黑体"/>
        </w:rPr>
        <w:fldChar w:fldCharType="end"/>
      </w:r>
      <w:bookmarkEnd w:id="7"/>
    </w:p>
    <w:tbl>
      <w:tblPr>
        <w:tblStyle w:val="35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4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868680" cy="173355"/>
                      <wp:effectExtent l="0" t="0" r="7620" b="17145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3.65pt;width:68.4pt;z-index:-251658240;mso-width-relative:page;mso-height-relative:page;" fillcolor="#FFFFFF" filled="t" stroked="f" coordsize="21600,21600" o:gfxdata="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FnxII9cAAAAIAQAADwAAAAAAAAABACAAAAAiAAAA&#10;ZHJzL2Rvd25yZXYueG1sUEsBAhQAFAAAAAgAh07iQFmLyD6WAQAAIQMAAA4AAAAAAAAAAQAgAAAA&#10;JgEAAGRycy9lMm9Eb2MueG1sUEsFBgAAAAAGAAYAWQEAAC4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52"/>
        <w:rPr>
          <w:rFonts w:hAnsi="黑体"/>
        </w:rPr>
      </w:pPr>
    </w:p>
    <w:p>
      <w:pPr>
        <w:pStyle w:val="52"/>
        <w:rPr>
          <w:rFonts w:hAnsi="黑体"/>
        </w:rPr>
      </w:pPr>
    </w:p>
    <w:p>
      <w:pPr>
        <w:pStyle w:val="44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硫化镧铈</w:t>
      </w:r>
      <w:r>
        <w:fldChar w:fldCharType="end"/>
      </w:r>
      <w:bookmarkEnd w:id="9"/>
    </w:p>
    <w:p>
      <w:pPr>
        <w:pStyle w:val="43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Lanthanum-cerium Sulfide</w:t>
      </w:r>
      <w:r>
        <w:fldChar w:fldCharType="end"/>
      </w:r>
      <w:bookmarkEnd w:id="10"/>
    </w:p>
    <w:p>
      <w:pPr>
        <w:pStyle w:val="42"/>
      </w:pPr>
      <w:bookmarkStart w:id="11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35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1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371600" cy="182880"/>
                      <wp:effectExtent l="0" t="0" r="0" b="762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14.4pt;width:108pt;z-index:-251656192;mso-width-relative:page;mso-height-relative:page;" fillcolor="#FFFFFF" filled="t" stroked="f" coordsize="21600,21600" o:gfxdata="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/+5cbXAAAACgEAAA8AAAAAAAAAAQAgAAAA&#10;IgAAAGRycy9kb3ducmV2LnhtbFBLAQIUABQAAAAIAIdO4kAXpTZ8mgEAACIDAAAOAAAAAAAAAAEA&#10;IAAAACYBAABkcnMvZTJvRG9jLnhtbFBLBQYAAAAABgAGAFkBAAAy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914400" cy="219075"/>
                      <wp:effectExtent l="0" t="0" r="0" b="9525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17.25pt;width:72pt;z-index:-251657216;mso-width-relative:page;mso-height-relative:page;" fillcolor="#FFFFFF" filled="t" stroked="f" coordsize="21600,21600" o:gfxdata="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amg33tcAAAAJAQAADwAAAAAAAAABACAAAAAiAAAA&#10;ZHJzL2Rvd25yZXYueG1sUEsBAhQAFAAAAAgAh07iQBNc2j6WAQAAIQMAAA4AAAAAAAAAAQAgAAAA&#10;JgEAAGRycy9lMm9Eb2MueG1sUEsFBgAAAAAGAAYAWQEAAC4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0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119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3060065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240.95pt;mso-position-vertical-relative:page;z-index:251662336;mso-width-relative:page;mso-height-relative:page;" filled="f" stroked="t" coordsize="21600,21600" o:gfxdata="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JI7KtUAAAALAQAADwAAAAAAAAABACAAAAAiAAAAZHJzL2Rvd25yZXYueG1s&#10;UEsBAhQAFAAAAAgAh07iQFskiB/CAQAAggMAAA4AAAAAAAAAAQAgAAAAJ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17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03"/>
      </w:pPr>
      <w:bookmarkStart w:id="19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中华人民共和国工业和信息化部</w:t>
      </w:r>
      <w:r>
        <w:fldChar w:fldCharType="end"/>
      </w:r>
      <w:bookmarkEnd w:id="19"/>
      <w:r>
        <w:rPr>
          <w:rFonts w:hint="eastAsia" w:ascii="MS Mincho" w:hAnsi="MS Mincho" w:eastAsia="MS Mincho" w:cs="MS Mincho"/>
        </w:rPr>
        <w:t>   </w:t>
      </w:r>
      <w:r>
        <w:rPr>
          <w:rStyle w:val="130"/>
          <w:rFonts w:hint="eastAsia"/>
        </w:rPr>
        <w:t>发布</w:t>
      </w:r>
    </w:p>
    <w:p>
      <w:pPr>
        <w:pStyle w:val="21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3060065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240.95pt;z-index:251663360;mso-width-relative:page;mso-height-relative:page;" filled="f" stroked="t" coordsize="21600,21600" o:gfxdata="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bE4Y9YAAAAJAQAADwAAAAAAAAABACAAAAAiAAAAZHJzL2Rvd25yZXYu&#10;eG1sUEsBAhQAFAAAAAgAh07iQJofU77EAQAAggMAAA4AAAAAAAAAAQAgAAAAJ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1"/>
      </w:pPr>
      <w:r>
        <w:rPr>
          <w:rFonts w:hint="eastAsia"/>
          <w:position w:val="-10"/>
        </w:rPr>
        <w:object>
          <v:shape id="_x0000_i1025" o:spt="75" type="#_x0000_t75" style="height:17.4pt;width:7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>前</w:t>
      </w:r>
      <w:bookmarkStart w:id="20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0"/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本标准是按照GB/T 1.1-2009给出的规则起草的。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本标准由全国稀土标准化技术委员会SAC/TC 229 提出并归口。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本标准起草单位：包头市宏博特科技有限责任公司、包头稀土研究院提出。</w:t>
      </w:r>
    </w:p>
    <w:p>
      <w:pPr>
        <w:spacing w:line="360" w:lineRule="exact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本标准参加起草单位：广东省稀有金属研究所，山东国瓷功能材料股份有限公司</w:t>
      </w:r>
      <w:r>
        <w:rPr>
          <w:rFonts w:hint="eastAsia"/>
          <w:szCs w:val="21"/>
          <w:lang w:eastAsia="zh-CN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/>
          <w:szCs w:val="21"/>
        </w:rPr>
        <w:t>本标准主要起草人：</w:t>
      </w:r>
      <w:r>
        <w:rPr>
          <w:rFonts w:hint="eastAsia"/>
        </w:rPr>
        <w:t>张成、张文达、夏乐、张晓凡、何友梅、任旭东、谢萍、吴丹、应红、司留启、倪海勇</w:t>
      </w:r>
      <w:r>
        <w:t>、丁建红</w:t>
      </w:r>
      <w:r>
        <w:rPr>
          <w:rFonts w:hint="eastAsia"/>
        </w:rPr>
        <w:t>。</w:t>
      </w:r>
    </w:p>
    <w:p>
      <w:pPr>
        <w:pStyle w:val="21"/>
      </w:pPr>
      <w:r>
        <w:rPr>
          <w:rFonts w:hint="eastAsia"/>
        </w:rPr>
        <w:t>本标准为首次发布。</w:t>
      </w:r>
    </w:p>
    <w:p>
      <w:pPr>
        <w:pStyle w:val="21"/>
        <w:ind w:firstLine="0" w:firstLineChars="0"/>
      </w:pP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91"/>
      </w:pPr>
      <w:r>
        <w:rPr>
          <w:rFonts w:hint="eastAsia"/>
        </w:rPr>
        <w:t>硫化镧铈</w:t>
      </w:r>
    </w:p>
    <w:p>
      <w:pPr>
        <w:pStyle w:val="85"/>
      </w:pPr>
      <w:r>
        <w:rPr>
          <w:rFonts w:hint="eastAsia"/>
        </w:rPr>
        <w:t>范围</w:t>
      </w:r>
    </w:p>
    <w:p>
      <w:pPr>
        <w:spacing w:line="360" w:lineRule="exact"/>
        <w:ind w:firstLine="420" w:firstLineChars="200"/>
        <w:rPr>
          <w:b/>
          <w:bCs/>
          <w:color w:val="000000"/>
          <w:sz w:val="32"/>
        </w:rPr>
      </w:pPr>
      <w:r>
        <w:rPr>
          <w:rFonts w:hint="eastAsia"/>
          <w:color w:val="000000"/>
        </w:rPr>
        <w:t>本标准规定了硫化镧铈的要求分类、试验方法、检验规则、标志、包装、运输、贮存及质量证明书。</w:t>
      </w:r>
    </w:p>
    <w:p>
      <w:pPr>
        <w:spacing w:line="360" w:lineRule="exact"/>
        <w:ind w:firstLine="420" w:firstLineChars="200"/>
      </w:pPr>
      <w:r>
        <w:rPr>
          <w:rFonts w:hint="eastAsia"/>
          <w:color w:val="000000"/>
        </w:rPr>
        <w:t>本标准适用于以镧铈的氧化物、碳酸盐</w:t>
      </w:r>
      <w:r>
        <w:rPr>
          <w:rFonts w:hint="eastAsia"/>
        </w:rPr>
        <w:t>及其化合物，经化学方法制得的硫化镧铈，供做塑料、涂料、搪瓷、玻璃、橡胶、油墨、建筑等行业的颜料用。</w:t>
      </w:r>
    </w:p>
    <w:p>
      <w:pPr>
        <w:pStyle w:val="85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1"/>
      </w:pPr>
      <w:r>
        <w:rPr>
          <w:rFonts w:hint="eastAsia"/>
        </w:rPr>
        <w:t>GB</w:t>
      </w:r>
      <w:r>
        <w:rPr>
          <w:rFonts w:hint="eastAsia" w:hAnsi="宋体" w:cs="宋体"/>
        </w:rPr>
        <w:t>/T</w:t>
      </w:r>
      <w:r>
        <w:rPr>
          <w:rFonts w:hint="eastAsia"/>
        </w:rPr>
        <w:t xml:space="preserve"> 1717  颜料水悬浮液pH值的测定</w:t>
      </w:r>
    </w:p>
    <w:p>
      <w:pPr>
        <w:pStyle w:val="21"/>
      </w:pPr>
      <w:r>
        <w:rPr>
          <w:rFonts w:hint="eastAsia" w:hAnsi="宋体" w:cs="宋体"/>
        </w:rPr>
        <w:t>GB/T 1864  颜料和体质颜料通用试验方法  颜料颜色的比较</w:t>
      </w:r>
    </w:p>
    <w:p>
      <w:pPr>
        <w:pStyle w:val="21"/>
      </w:pPr>
      <w:r>
        <w:rPr>
          <w:rFonts w:hint="eastAsia"/>
        </w:rPr>
        <w:t xml:space="preserve">GB/T 5211.3  </w:t>
      </w:r>
      <w:r>
        <w:t xml:space="preserve"> </w:t>
      </w:r>
      <w:r>
        <w:rPr>
          <w:rFonts w:hint="eastAsia"/>
        </w:rPr>
        <w:t>颜料在105℃挥发物的测定</w:t>
      </w:r>
    </w:p>
    <w:p>
      <w:pPr>
        <w:pStyle w:val="21"/>
      </w:pPr>
      <w:r>
        <w:rPr>
          <w:rFonts w:hint="eastAsia"/>
        </w:rPr>
        <w:t>GB/T 5211.15  颜料和体质颜料通用试验方法  第15部分：吸油量的测定</w:t>
      </w:r>
    </w:p>
    <w:p>
      <w:pPr>
        <w:pStyle w:val="21"/>
      </w:pPr>
      <w:r>
        <w:rPr>
          <w:rFonts w:hint="eastAsia"/>
        </w:rPr>
        <w:t>GB/T 5211.19  着色颜料的相对着色力和冲淡色的测定  目视比较法</w:t>
      </w:r>
    </w:p>
    <w:p>
      <w:pPr>
        <w:pStyle w:val="21"/>
      </w:pPr>
      <w:r>
        <w:rPr>
          <w:rFonts w:hint="eastAsia"/>
        </w:rPr>
        <w:t>GB/T 5211.20  在本色体系中白色、黑色和着色颜料颜色的比较 色度法</w:t>
      </w:r>
    </w:p>
    <w:p>
      <w:pPr>
        <w:pStyle w:val="21"/>
      </w:pPr>
      <w:r>
        <w:rPr>
          <w:rFonts w:hint="eastAsia"/>
        </w:rPr>
        <w:t xml:space="preserve">GB/T </w:t>
      </w:r>
      <w:r>
        <w:t xml:space="preserve">8170  </w:t>
      </w:r>
      <w:r>
        <w:rPr>
          <w:rFonts w:hint="eastAsia"/>
        </w:rPr>
        <w:t>数值修约规则</w:t>
      </w:r>
      <w:r>
        <w:t>与极限数值的表示</w:t>
      </w:r>
      <w:r>
        <w:rPr>
          <w:rFonts w:hint="eastAsia"/>
        </w:rPr>
        <w:t xml:space="preserve">和判定  </w:t>
      </w:r>
    </w:p>
    <w:p>
      <w:pPr>
        <w:pStyle w:val="21"/>
      </w:pPr>
      <w:r>
        <w:rPr>
          <w:rFonts w:hint="eastAsia"/>
        </w:rPr>
        <w:t>GB/T 12690.5  稀土金属及其氧化物中非稀土杂质化学分析方法 钴、锰、铅、镍、铜、锌、铝、铬、镁</w:t>
      </w:r>
      <w:r>
        <w:t>、镉、钒</w:t>
      </w:r>
      <w:r>
        <w:rPr>
          <w:rFonts w:hint="eastAsia"/>
        </w:rPr>
        <w:t xml:space="preserve">、铁量的测定 </w:t>
      </w:r>
    </w:p>
    <w:p>
      <w:pPr>
        <w:pStyle w:val="21"/>
      </w:pPr>
      <w:r>
        <w:rPr>
          <w:rFonts w:hint="eastAsia"/>
        </w:rPr>
        <w:t>GB/T 12690.</w:t>
      </w:r>
      <w:r>
        <w:t>19</w:t>
      </w:r>
      <w:r>
        <w:rPr>
          <w:rFonts w:hint="eastAsia"/>
        </w:rPr>
        <w:t xml:space="preserve"> 稀土金属及其氧化物中非稀土杂质化学分析方法 砷</w:t>
      </w:r>
      <w:r>
        <w:t>、</w:t>
      </w:r>
      <w:r>
        <w:rPr>
          <w:rFonts w:hint="eastAsia"/>
        </w:rPr>
        <w:t>汞</w:t>
      </w:r>
      <w:r>
        <w:t>量</w:t>
      </w:r>
      <w:r>
        <w:rPr>
          <w:rFonts w:hint="eastAsia"/>
        </w:rPr>
        <w:t>的测定</w:t>
      </w:r>
    </w:p>
    <w:p>
      <w:pPr>
        <w:pStyle w:val="21"/>
      </w:pPr>
      <w:r>
        <w:rPr>
          <w:rFonts w:hint="eastAsia"/>
        </w:rPr>
        <w:t>GB/T 14635  稀土金属及其化合物化学分析方法 稀土总量的测定</w:t>
      </w:r>
    </w:p>
    <w:p>
      <w:pPr>
        <w:pStyle w:val="21"/>
      </w:pPr>
      <w:r>
        <w:rPr>
          <w:rFonts w:hint="eastAsia"/>
        </w:rPr>
        <w:t>GB/T 17803  稀土产品牌号表示方法</w:t>
      </w:r>
    </w:p>
    <w:p>
      <w:pPr>
        <w:pStyle w:val="21"/>
      </w:pPr>
      <w:r>
        <w:rPr>
          <w:rFonts w:hint="eastAsia"/>
        </w:rPr>
        <w:t>GB/T 20170.1 稀土金属及其化合物物理性能测试方法  稀土化合物粒度分布的测定</w:t>
      </w:r>
    </w:p>
    <w:p>
      <w:pPr>
        <w:pStyle w:val="21"/>
      </w:pPr>
      <w:r>
        <w:rPr>
          <w:rFonts w:hint="eastAsia"/>
        </w:rPr>
        <w:t>HG/T 3852  颜料筛余物测定法</w:t>
      </w:r>
    </w:p>
    <w:p>
      <w:pPr>
        <w:pStyle w:val="21"/>
      </w:pPr>
      <w:r>
        <w:rPr>
          <w:rFonts w:hint="eastAsia"/>
        </w:rPr>
        <w:t>HG/T 3853  颜料干粉耐热性测定法</w:t>
      </w:r>
    </w:p>
    <w:p>
      <w:pPr>
        <w:pStyle w:val="85"/>
        <w:ind w:left="4" w:hanging="4"/>
      </w:pPr>
      <w:r>
        <w:rPr>
          <w:rFonts w:hint="eastAsia"/>
        </w:rPr>
        <w:t>要求</w:t>
      </w:r>
    </w:p>
    <w:p>
      <w:pPr>
        <w:pStyle w:val="59"/>
      </w:pPr>
      <w:r>
        <w:rPr>
          <w:rFonts w:hint="eastAsia"/>
        </w:rPr>
        <w:t>产品分类</w:t>
      </w:r>
    </w:p>
    <w:p>
      <w:pPr>
        <w:pStyle w:val="21"/>
      </w:pPr>
      <w:r>
        <w:rPr>
          <w:rFonts w:ascii="Times New Roman"/>
          <w:color w:val="000000"/>
          <w:szCs w:val="21"/>
        </w:rPr>
        <w:t>产品按化学成分分为</w:t>
      </w:r>
      <w:r>
        <w:rPr>
          <w:rFonts w:hint="eastAsia" w:hAnsi="宋体" w:cs="宋体"/>
          <w:szCs w:val="18"/>
        </w:rPr>
        <w:t>（LaCe）</w:t>
      </w:r>
      <w:r>
        <w:rPr>
          <w:rFonts w:hint="eastAsia" w:hAnsi="宋体" w:cs="宋体"/>
          <w:szCs w:val="18"/>
          <w:vertAlign w:val="subscript"/>
        </w:rPr>
        <w:t>2</w:t>
      </w:r>
      <w:r>
        <w:rPr>
          <w:rFonts w:hint="eastAsia" w:hAnsi="宋体" w:cs="宋体"/>
          <w:szCs w:val="18"/>
        </w:rPr>
        <w:t>S</w:t>
      </w:r>
      <w:r>
        <w:rPr>
          <w:rFonts w:hint="eastAsia" w:hAnsi="宋体" w:cs="宋体"/>
          <w:szCs w:val="18"/>
          <w:vertAlign w:val="subscript"/>
        </w:rPr>
        <w:t>3</w:t>
      </w:r>
      <w:r>
        <w:rPr>
          <w:rFonts w:hint="eastAsia" w:hAnsi="宋体" w:cs="宋体"/>
          <w:szCs w:val="18"/>
        </w:rPr>
        <w:t>-65Ce</w:t>
      </w:r>
      <w:r>
        <w:rPr>
          <w:rFonts w:hint="eastAsia" w:hAnsi="宋体" w:cs="宋体"/>
          <w:color w:val="000000"/>
          <w:szCs w:val="21"/>
        </w:rPr>
        <w:t>、</w:t>
      </w:r>
      <w:r>
        <w:rPr>
          <w:rFonts w:hint="eastAsia" w:hAnsi="宋体" w:cs="宋体"/>
          <w:szCs w:val="18"/>
        </w:rPr>
        <w:t>（LaCe）</w:t>
      </w:r>
      <w:r>
        <w:rPr>
          <w:rFonts w:hint="eastAsia" w:hAnsi="宋体" w:cs="宋体"/>
          <w:szCs w:val="18"/>
          <w:vertAlign w:val="subscript"/>
        </w:rPr>
        <w:t>2</w:t>
      </w:r>
      <w:r>
        <w:rPr>
          <w:rFonts w:hint="eastAsia" w:hAnsi="宋体" w:cs="宋体"/>
          <w:szCs w:val="18"/>
        </w:rPr>
        <w:t>S</w:t>
      </w:r>
      <w:r>
        <w:rPr>
          <w:rFonts w:hint="eastAsia" w:hAnsi="宋体" w:cs="宋体"/>
          <w:szCs w:val="18"/>
          <w:vertAlign w:val="subscript"/>
        </w:rPr>
        <w:t>3</w:t>
      </w:r>
      <w:r>
        <w:rPr>
          <w:rFonts w:hint="eastAsia" w:hAnsi="宋体" w:cs="宋体"/>
          <w:szCs w:val="18"/>
        </w:rPr>
        <w:t>-50Ce</w:t>
      </w:r>
      <w:r>
        <w:rPr>
          <w:rFonts w:ascii="Times New Roman"/>
          <w:szCs w:val="18"/>
        </w:rPr>
        <w:t>两个</w:t>
      </w:r>
      <w:r>
        <w:rPr>
          <w:rFonts w:ascii="Times New Roman"/>
          <w:color w:val="000000"/>
          <w:szCs w:val="21"/>
        </w:rPr>
        <w:t xml:space="preserve">牌号。产品牌号表示方法应符合GB/T </w:t>
      </w:r>
      <w:r>
        <w:rPr>
          <w:rFonts w:hint="eastAsia" w:hAnsi="宋体" w:cs="宋体"/>
          <w:color w:val="000000"/>
          <w:szCs w:val="21"/>
        </w:rPr>
        <w:t>17803</w:t>
      </w:r>
      <w:r>
        <w:rPr>
          <w:rFonts w:ascii="Times New Roman"/>
          <w:color w:val="000000"/>
          <w:szCs w:val="21"/>
        </w:rPr>
        <w:t>的规定。</w:t>
      </w:r>
      <w:r>
        <w:rPr>
          <w:rFonts w:hint="eastAsia" w:ascii="Times New Roman"/>
          <w:color w:val="000000"/>
          <w:szCs w:val="21"/>
        </w:rPr>
        <w:t>（PO，依据《颜料索引》，颜料橘黄。）</w:t>
      </w:r>
    </w:p>
    <w:p>
      <w:pPr>
        <w:pStyle w:val="59"/>
      </w:pPr>
      <w:r>
        <w:rPr>
          <w:rFonts w:hint="eastAsia"/>
        </w:rPr>
        <w:t>外观</w:t>
      </w:r>
    </w:p>
    <w:p>
      <w:pPr>
        <w:pStyle w:val="21"/>
        <w:ind w:firstLine="0" w:firstLineChars="0"/>
      </w:pPr>
      <w:r>
        <w:rPr>
          <w:rFonts w:hint="eastAsia"/>
        </w:rPr>
        <w:t>3.2.1</w:t>
      </w:r>
      <w:r>
        <w:t xml:space="preserve"> </w:t>
      </w:r>
      <w:r>
        <w:rPr>
          <w:rFonts w:hint="eastAsia"/>
        </w:rPr>
        <w:t>产品为橙色或浅橙色软质干燥粉末。</w:t>
      </w:r>
    </w:p>
    <w:p>
      <w:pPr>
        <w:pStyle w:val="21"/>
        <w:ind w:firstLine="0" w:firstLineChars="0"/>
      </w:pPr>
      <w:r>
        <w:rPr>
          <w:rFonts w:hint="eastAsia"/>
        </w:rPr>
        <w:t>3.2.2</w:t>
      </w:r>
      <w:r>
        <w:t xml:space="preserve"> </w:t>
      </w:r>
      <w:r>
        <w:rPr>
          <w:rFonts w:hint="eastAsia"/>
        </w:rPr>
        <w:t>产品应洁净无目视可见夹杂物。</w:t>
      </w:r>
    </w:p>
    <w:p>
      <w:pPr>
        <w:pStyle w:val="59"/>
      </w:pPr>
      <w:r>
        <w:rPr>
          <w:rFonts w:hint="eastAsia"/>
        </w:rPr>
        <w:t>理化性能</w:t>
      </w:r>
    </w:p>
    <w:p>
      <w:pPr>
        <w:spacing w:line="360" w:lineRule="exact"/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产品的理化性能应符合表</w:t>
      </w:r>
      <w:r>
        <w:rPr>
          <w:rFonts w:hint="eastAsia" w:ascii="宋体" w:hAnsi="宋体" w:cs="宋体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的规定。如需方有特殊要求，可由供需双方协商确定。</w:t>
      </w:r>
    </w:p>
    <w:p>
      <w:pPr>
        <w:pStyle w:val="39"/>
      </w:pPr>
    </w:p>
    <w:tbl>
      <w:tblPr>
        <w:tblStyle w:val="35"/>
        <w:tblW w:w="9206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694"/>
        <w:gridCol w:w="2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理化性能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（LaCe）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-65Ce（PO-001）</w:t>
            </w:r>
          </w:p>
        </w:tc>
        <w:tc>
          <w:tcPr>
            <w:tcW w:w="268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（LaCe）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-50Ce（PO-002）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化学成分</w:t>
            </w:r>
          </w:p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（质量分数）/%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REO，不小于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68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REO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 w:hAnsi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 w:hAnsi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REO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  <w:r>
              <w:rPr>
                <w:rFonts w:hint="eastAsia" w:hAnsi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 w:hAnsi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S，不小于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68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杂质含量/%</w:t>
            </w: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Cd，大不于</w:t>
            </w:r>
          </w:p>
        </w:tc>
        <w:tc>
          <w:tcPr>
            <w:tcW w:w="26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0.0001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Pb，不大于</w:t>
            </w:r>
          </w:p>
        </w:tc>
        <w:tc>
          <w:tcPr>
            <w:tcW w:w="2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Hg，不大于</w:t>
            </w:r>
          </w:p>
        </w:tc>
        <w:tc>
          <w:tcPr>
            <w:tcW w:w="26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Cr，不大于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0.001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物理性能</w:t>
            </w: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颜色</w:t>
            </w:r>
          </w:p>
        </w:tc>
        <w:tc>
          <w:tcPr>
            <w:tcW w:w="269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橙色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浅橙色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筛余物，325目/%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＜0.3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中心粒径(D[V,50])/</w:t>
            </w:r>
            <w:r>
              <w:rPr>
                <w:rFonts w:ascii="Times New Roman" w:hAnsi="Times New Roman"/>
                <w:sz w:val="18"/>
                <w:szCs w:val="18"/>
              </w:rPr>
              <w:t>μm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2-3</w:t>
            </w:r>
            <w:r>
              <w:rPr>
                <w:rFonts w:ascii="Times New Roman" w:hAnsi="Times New Roman"/>
                <w:sz w:val="18"/>
                <w:szCs w:val="18"/>
              </w:rPr>
              <w:t>μm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吸油量/（g/100g）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40-50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pH值（水悬浮液）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7～8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挥发物（105℃）/%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＜0.3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耐热性，℃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z w:val="18"/>
                <w:szCs w:val="18"/>
              </w:rPr>
              <w:t>±20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相对着色力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95%-120%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总色差△E</w:t>
            </w:r>
          </w:p>
        </w:tc>
        <w:tc>
          <w:tcPr>
            <w:tcW w:w="53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≤3</w:t>
            </w:r>
          </w:p>
        </w:tc>
      </w:tr>
    </w:tbl>
    <w:p>
      <w:pPr>
        <w:pStyle w:val="85"/>
      </w:pPr>
      <w:r>
        <w:rPr>
          <w:rFonts w:hint="eastAsia"/>
        </w:rPr>
        <w:t>试验方法</w:t>
      </w:r>
    </w:p>
    <w:p>
      <w:pPr>
        <w:pStyle w:val="59"/>
      </w:pPr>
      <w:r>
        <w:rPr>
          <w:rFonts w:hint="eastAsia"/>
        </w:rPr>
        <w:t>化学成分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稀土总量的分析方法参照</w:t>
      </w:r>
      <w:r>
        <w:rPr>
          <w:rFonts w:hint="eastAsia" w:ascii="宋体" w:hAnsi="宋体" w:eastAsia="宋体"/>
        </w:rPr>
        <w:t>GB/T 14635的规定进行。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/>
        </w:rPr>
        <w:t>氧化镧、氧化铈分量的分析方法按供需双方协商方法进行。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硫含量的分析方法按本标准中附录 A 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铅、</w:t>
      </w:r>
      <w:r>
        <w:rPr>
          <w:rFonts w:ascii="宋体" w:hAnsi="宋体" w:eastAsia="宋体"/>
        </w:rPr>
        <w:t>铬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镉</w:t>
      </w:r>
      <w:r>
        <w:rPr>
          <w:rFonts w:hint="eastAsia" w:ascii="宋体" w:hAnsi="宋体" w:eastAsia="宋体"/>
        </w:rPr>
        <w:t xml:space="preserve">含量参照 GB/T </w:t>
      </w:r>
      <w:r>
        <w:rPr>
          <w:rFonts w:ascii="宋体" w:hAnsi="宋体" w:eastAsia="宋体"/>
        </w:rPr>
        <w:t>12690.5</w:t>
      </w:r>
      <w:r>
        <w:rPr>
          <w:rFonts w:hint="eastAsia" w:ascii="宋体" w:hAnsi="宋体" w:eastAsia="宋体"/>
        </w:rPr>
        <w:t xml:space="preserve"> 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汞含量参照 GB/T </w:t>
      </w:r>
      <w:r>
        <w:rPr>
          <w:rFonts w:ascii="宋体" w:hAnsi="宋体" w:eastAsia="宋体"/>
        </w:rPr>
        <w:t>12690.19</w:t>
      </w:r>
      <w:r>
        <w:rPr>
          <w:rFonts w:hint="eastAsia" w:ascii="宋体" w:hAnsi="宋体" w:eastAsia="宋体"/>
        </w:rPr>
        <w:t xml:space="preserve"> 中的规定进行。</w:t>
      </w:r>
    </w:p>
    <w:p>
      <w:pPr>
        <w:pStyle w:val="59"/>
        <w:ind w:left="15" w:hanging="14" w:hangingChars="7"/>
      </w:pPr>
      <w:r>
        <w:rPr>
          <w:rFonts w:hint="eastAsia"/>
        </w:rPr>
        <w:t>物理性能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颜色的测定采用目视法或仪器法进行测定，目视法参照 GB/T 1864 的规定进行，仪器法参照 GB/T 5211.20 的规定进行，如需方有特殊要求，供需双方可另行协商。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筛余物的测定按照HG/T 3852 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中心粒径(D[V,50])的测定按照GB/T 20170.1中的规定进行。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吸油量的测定按照GB/T 5211.15中的规定进行。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水悬浮液pH值的测定按照GB/T 1717中的规定进行。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挥发物的测定按照GB/T 5211.3中的规定进行。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耐热性的测定按照HG/T 3853中的规定进行。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相对着色力的测定参照 GB/T 5211.19 中的规定进行。如需方有特殊要求，可由供需双方商定其他测试方法。</w:t>
      </w:r>
    </w:p>
    <w:p>
      <w:pPr>
        <w:pStyle w:val="83"/>
        <w:spacing w:before="156" w:after="156"/>
        <w:ind w:left="15" w:hanging="14" w:hangingChars="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总色差的测定参照 GB/T 5211.20 中的规定进行，得到L、a、b色差即△L、△a、△b，总色差</w:t>
      </w:r>
      <w:r>
        <w:rPr>
          <w:rFonts w:hint="eastAsia" w:ascii="宋体" w:hAnsi="宋体" w:eastAsia="宋体" w:cs="宋体"/>
        </w:rPr>
        <w:object>
          <v:shape id="_x0000_i1026" o:spt="75" type="#_x0000_t75" style="height:21pt;width:174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</w:p>
    <w:p>
      <w:pPr>
        <w:pStyle w:val="59"/>
        <w:ind w:left="15" w:hanging="14" w:hangingChars="7"/>
      </w:pPr>
      <w:r>
        <w:rPr>
          <w:rFonts w:hint="eastAsia"/>
        </w:rPr>
        <w:t>外观质量</w:t>
      </w:r>
    </w:p>
    <w:p>
      <w:pPr>
        <w:pStyle w:val="21"/>
      </w:pPr>
      <w:r>
        <w:rPr>
          <w:rFonts w:hint="eastAsia"/>
        </w:rPr>
        <w:t>用</w:t>
      </w:r>
      <w:r>
        <w:t>目视检查</w:t>
      </w:r>
      <w:r>
        <w:rPr>
          <w:rFonts w:hint="eastAsia"/>
        </w:rPr>
        <w:t>。</w:t>
      </w:r>
    </w:p>
    <w:p>
      <w:pPr>
        <w:pStyle w:val="59"/>
        <w:ind w:left="15" w:hanging="14" w:hangingChars="7"/>
      </w:pPr>
      <w:r>
        <w:rPr>
          <w:rFonts w:hint="eastAsia"/>
        </w:rPr>
        <w:t>数值修约</w:t>
      </w:r>
    </w:p>
    <w:p>
      <w:pPr>
        <w:pStyle w:val="21"/>
      </w:pPr>
      <w:r>
        <w:rPr>
          <w:rFonts w:hint="eastAsia"/>
        </w:rPr>
        <w:t>按照GB/T 8170的规定进行</w:t>
      </w:r>
      <w:r>
        <w:t>。</w:t>
      </w:r>
    </w:p>
    <w:p>
      <w:pPr>
        <w:pStyle w:val="85"/>
      </w:pPr>
      <w:r>
        <w:rPr>
          <w:rFonts w:hint="eastAsia"/>
        </w:rPr>
        <w:t>检验规则</w:t>
      </w:r>
    </w:p>
    <w:p>
      <w:pPr>
        <w:pStyle w:val="59"/>
      </w:pPr>
      <w:r>
        <w:rPr>
          <w:rFonts w:hint="eastAsia"/>
        </w:rPr>
        <w:t>检查与验收</w:t>
      </w:r>
    </w:p>
    <w:p>
      <w:pPr>
        <w:pStyle w:val="59"/>
        <w:numPr>
          <w:ilvl w:val="1"/>
          <w:numId w:val="0"/>
        </w:numPr>
      </w:pPr>
      <w:r>
        <w:rPr>
          <w:rFonts w:hint="eastAsia"/>
        </w:rPr>
        <w:t>5.1.1检查</w:t>
      </w:r>
    </w:p>
    <w:p>
      <w:pPr>
        <w:pStyle w:val="21"/>
      </w:pPr>
      <w:r>
        <w:rPr>
          <w:rFonts w:hint="eastAsia"/>
        </w:rPr>
        <w:t>产品由供方质量检验部门进行检验，保证产品质量符合本标准规定，并填写产品质量证明书。</w:t>
      </w:r>
    </w:p>
    <w:p>
      <w:pPr>
        <w:pStyle w:val="83"/>
        <w:numPr>
          <w:ilvl w:val="2"/>
          <w:numId w:val="0"/>
        </w:numPr>
        <w:spacing w:before="156" w:after="156"/>
        <w:ind w:left="-17" w:leftChars="-8"/>
        <w:rPr>
          <w:rFonts w:hAnsi="黑体"/>
        </w:rPr>
      </w:pPr>
      <w:r>
        <w:rPr>
          <w:rFonts w:hint="eastAsia" w:hAnsi="黑体"/>
        </w:rPr>
        <w:t>5.1.2验收</w:t>
      </w:r>
    </w:p>
    <w:p>
      <w:pPr>
        <w:pStyle w:val="21"/>
      </w:pPr>
      <w:r>
        <w:rPr>
          <w:rFonts w:hint="eastAsia"/>
        </w:rPr>
        <w:t>需方应对收到的产品按本标准的规定进行检验，如检验结果与本标准规定不符，应在收到产品之日起1个月内向供方提出，由供需双方协商解决。如需仲裁，可委托双方认可的有资质的机构进行，并双方约定取样。</w:t>
      </w:r>
    </w:p>
    <w:p>
      <w:pPr>
        <w:pStyle w:val="59"/>
      </w:pPr>
      <w:r>
        <w:rPr>
          <w:rFonts w:hint="eastAsia"/>
        </w:rPr>
        <w:t>组批</w:t>
      </w:r>
    </w:p>
    <w:p>
      <w:pPr>
        <w:pStyle w:val="21"/>
      </w:pPr>
      <w:r>
        <w:rPr>
          <w:rFonts w:hint="eastAsia"/>
        </w:rPr>
        <w:t>产品应成批提交检验，每批应由同一牌号的产品组成。</w:t>
      </w:r>
    </w:p>
    <w:p>
      <w:pPr>
        <w:pStyle w:val="59"/>
      </w:pPr>
      <w:r>
        <w:rPr>
          <w:rFonts w:hint="eastAsia"/>
        </w:rPr>
        <w:t>检验项目</w:t>
      </w:r>
    </w:p>
    <w:p>
      <w:pPr>
        <w:pStyle w:val="21"/>
      </w:pPr>
      <w:r>
        <w:rPr>
          <w:rFonts w:hint="eastAsia"/>
        </w:rPr>
        <w:t>每批产品应进行外观及理化性能检测。</w:t>
      </w:r>
    </w:p>
    <w:p>
      <w:pPr>
        <w:pStyle w:val="59"/>
      </w:pPr>
      <w:r>
        <w:rPr>
          <w:rFonts w:hint="eastAsia"/>
        </w:rPr>
        <w:t>取样与制样</w:t>
      </w:r>
    </w:p>
    <w:p>
      <w:pPr>
        <w:pStyle w:val="21"/>
      </w:pPr>
      <w:r>
        <w:rPr>
          <w:rFonts w:hint="eastAsia"/>
        </w:rPr>
        <w:t>产品的取样数量按表2规定进行。每袋取样量不少于 10g。将取得的试样经充分混匀后，以四分法缩分至试样的所需量，装入清洁干燥的塑料样品袋中封口，待测。</w:t>
      </w:r>
    </w:p>
    <w:p>
      <w:pPr>
        <w:pStyle w:val="39"/>
        <w:numPr>
          <w:ilvl w:val="0"/>
          <w:numId w:val="0"/>
        </w:numPr>
      </w:pPr>
      <w:r>
        <w:rPr>
          <w:rFonts w:hint="eastAsia"/>
        </w:rPr>
        <w:t>表2</w:t>
      </w:r>
    </w:p>
    <w:tbl>
      <w:tblPr>
        <w:tblStyle w:val="35"/>
        <w:tblW w:w="9766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43"/>
        <w:gridCol w:w="1418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  <w:szCs w:val="18"/>
              </w:rPr>
              <w:t>每批件（袋）数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1～5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6～49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50～100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取样件（袋）数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件（袋）数的100%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取5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件（袋）数的10%取整数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Ansi="宋体"/>
                <w:sz w:val="18"/>
              </w:rPr>
            </w:pPr>
            <w:r>
              <w:rPr>
                <w:rFonts w:hint="eastAsia" w:hAnsi="宋体"/>
                <w:sz w:val="18"/>
              </w:rPr>
              <w:t>件（袋）数的平方根取正整数</w:t>
            </w:r>
          </w:p>
        </w:tc>
      </w:tr>
    </w:tbl>
    <w:p>
      <w:pPr>
        <w:pStyle w:val="21"/>
        <w:ind w:firstLine="0" w:firstLineChars="0"/>
      </w:pPr>
    </w:p>
    <w:p>
      <w:pPr>
        <w:pStyle w:val="59"/>
      </w:pPr>
      <w:r>
        <w:rPr>
          <w:rFonts w:hint="eastAsia"/>
        </w:rPr>
        <w:t xml:space="preserve">检验结果判断 </w:t>
      </w:r>
    </w:p>
    <w:p>
      <w:pPr>
        <w:pStyle w:val="21"/>
        <w:ind w:firstLine="0" w:firstLineChars="0"/>
      </w:pPr>
      <w:r>
        <w:rPr>
          <w:rFonts w:hint="eastAsia"/>
        </w:rPr>
        <w:t>5.5.1　化学成分、物理性能仲裁分析结果与本标准规定不符时，则从该批产品中取双倍试样，对不合格项目进行重复试验；如仍有一项结果不合格，则判该批产品为不合格。</w:t>
      </w:r>
    </w:p>
    <w:p>
      <w:pPr>
        <w:pStyle w:val="21"/>
        <w:ind w:firstLine="0" w:firstLineChars="0"/>
      </w:pPr>
      <w:r>
        <w:rPr>
          <w:rFonts w:hint="eastAsia"/>
        </w:rPr>
        <w:t>5.5.2　外观检验结果与本标准规定不符合时，则直接判定该批产品不合格。</w:t>
      </w:r>
    </w:p>
    <w:p>
      <w:pPr>
        <w:pStyle w:val="85"/>
      </w:pPr>
      <w:r>
        <w:rPr>
          <w:rFonts w:hint="eastAsia"/>
        </w:rPr>
        <w:t>标志、包装、运输与贮存及质量证明书</w:t>
      </w:r>
    </w:p>
    <w:p>
      <w:pPr>
        <w:pStyle w:val="59"/>
      </w:pPr>
      <w:r>
        <w:rPr>
          <w:rFonts w:hint="eastAsia"/>
        </w:rPr>
        <w:t>标志</w:t>
      </w:r>
    </w:p>
    <w:p>
      <w:pPr>
        <w:pStyle w:val="21"/>
      </w:pPr>
      <w:r>
        <w:rPr>
          <w:rFonts w:hint="eastAsia"/>
        </w:rPr>
        <w:t>每箱</w:t>
      </w:r>
      <w:r>
        <w:t>（</w:t>
      </w:r>
      <w:r>
        <w:rPr>
          <w:rFonts w:hint="eastAsia"/>
        </w:rPr>
        <w:t>桶、</w:t>
      </w:r>
      <w:r>
        <w:t>袋）</w:t>
      </w:r>
      <w:r>
        <w:rPr>
          <w:rFonts w:hint="eastAsia"/>
        </w:rPr>
        <w:t>外注明：</w:t>
      </w:r>
    </w:p>
    <w:p>
      <w:pPr>
        <w:pStyle w:val="21"/>
      </w:pPr>
      <w:r>
        <w:rPr>
          <w:rFonts w:hint="eastAsia"/>
        </w:rPr>
        <w:t>a)供方名称；</w:t>
      </w:r>
    </w:p>
    <w:p>
      <w:pPr>
        <w:pStyle w:val="21"/>
      </w:pPr>
      <w:r>
        <w:rPr>
          <w:rFonts w:hint="eastAsia"/>
        </w:rPr>
        <w:t>b)产品名称和牌号；</w:t>
      </w:r>
    </w:p>
    <w:p>
      <w:pPr>
        <w:pStyle w:val="21"/>
      </w:pPr>
      <w:r>
        <w:rPr>
          <w:rFonts w:hint="eastAsia"/>
        </w:rPr>
        <w:t>c)批号；</w:t>
      </w:r>
    </w:p>
    <w:p>
      <w:pPr>
        <w:pStyle w:val="21"/>
      </w:pPr>
      <w:r>
        <w:rPr>
          <w:rFonts w:hint="eastAsia"/>
        </w:rPr>
        <w:t>d)净重、毛重；</w:t>
      </w:r>
    </w:p>
    <w:p>
      <w:pPr>
        <w:pStyle w:val="21"/>
      </w:pPr>
      <w:r>
        <w:rPr>
          <w:rFonts w:hint="eastAsia"/>
        </w:rPr>
        <w:t>e)出厂日期；</w:t>
      </w:r>
    </w:p>
    <w:p>
      <w:pPr>
        <w:pStyle w:val="21"/>
      </w:pPr>
      <w:r>
        <w:rPr>
          <w:rFonts w:hint="eastAsia"/>
        </w:rPr>
        <w:t>f)“防潮”标志或字样。</w:t>
      </w:r>
    </w:p>
    <w:p>
      <w:pPr>
        <w:pStyle w:val="59"/>
      </w:pPr>
      <w:r>
        <w:rPr>
          <w:rFonts w:hint="eastAsia"/>
        </w:rPr>
        <w:t>包装</w:t>
      </w:r>
    </w:p>
    <w:p>
      <w:pPr>
        <w:pStyle w:val="21"/>
      </w:pPr>
      <w:r>
        <w:rPr>
          <w:rFonts w:hint="eastAsia"/>
        </w:rPr>
        <w:t>产品装于双层塑料袋中密封，每袋净重分别为10kg、25kg；外包装为塑料桶、纸箱或铁桶。如需方有特殊要求，由供需双方协商确定。</w:t>
      </w:r>
    </w:p>
    <w:p>
      <w:pPr>
        <w:pStyle w:val="59"/>
      </w:pPr>
      <w:r>
        <w:rPr>
          <w:rFonts w:hint="eastAsia"/>
        </w:rPr>
        <w:t>运输与贮存</w:t>
      </w:r>
    </w:p>
    <w:p>
      <w:pPr>
        <w:pStyle w:val="21"/>
      </w:pPr>
      <w:r>
        <w:rPr>
          <w:rFonts w:hint="eastAsia"/>
        </w:rPr>
        <w:t>产品应于通风、干燥、避光、清洁处保存，</w:t>
      </w:r>
      <w:r>
        <w:t>不得露天堆放</w:t>
      </w:r>
      <w:r>
        <w:rPr>
          <w:rFonts w:hint="eastAsia"/>
        </w:rPr>
        <w:t>；运输装卸时要求轻装轻卸，防止碰撞和破裂，严防雨淋受潮；严禁与酸、碱物品接触。</w:t>
      </w:r>
    </w:p>
    <w:p>
      <w:pPr>
        <w:pStyle w:val="59"/>
      </w:pPr>
      <w:r>
        <w:rPr>
          <w:rFonts w:hint="eastAsia"/>
        </w:rPr>
        <w:t>质量证明书</w:t>
      </w:r>
    </w:p>
    <w:p>
      <w:pPr>
        <w:pStyle w:val="83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Calibri" w:eastAsia="宋体" w:cs="Times New Roman"/>
          <w:sz w:val="21"/>
          <w:szCs w:val="22"/>
          <w:lang w:val="en-US" w:eastAsia="zh-CN" w:bidi="ar-SA"/>
        </w:rPr>
        <w:t>每批产品应附有质量说明书，注明：</w:t>
      </w:r>
    </w:p>
    <w:p>
      <w:pPr>
        <w:pStyle w:val="21"/>
      </w:pPr>
      <w:r>
        <w:rPr>
          <w:rFonts w:hint="eastAsia"/>
        </w:rPr>
        <w:t>a)供方名称、地址、电话、传真；</w:t>
      </w:r>
    </w:p>
    <w:p>
      <w:pPr>
        <w:pStyle w:val="21"/>
      </w:pPr>
      <w:r>
        <w:rPr>
          <w:rFonts w:hint="eastAsia"/>
        </w:rPr>
        <w:t>b)产品名称；</w:t>
      </w:r>
    </w:p>
    <w:p>
      <w:pPr>
        <w:pStyle w:val="21"/>
      </w:pPr>
      <w:r>
        <w:rPr>
          <w:rFonts w:hint="eastAsia"/>
        </w:rPr>
        <w:t>c)牌号、批号；</w:t>
      </w:r>
    </w:p>
    <w:p>
      <w:pPr>
        <w:pStyle w:val="21"/>
      </w:pPr>
      <w:r>
        <w:rPr>
          <w:rFonts w:hint="eastAsia"/>
        </w:rPr>
        <w:t>d)生产日期；</w:t>
      </w:r>
    </w:p>
    <w:p>
      <w:pPr>
        <w:pStyle w:val="21"/>
      </w:pPr>
      <w:r>
        <w:rPr>
          <w:rFonts w:hint="eastAsia"/>
        </w:rPr>
        <w:t>e)数量（净重和件数）；</w:t>
      </w:r>
    </w:p>
    <w:p>
      <w:pPr>
        <w:pStyle w:val="21"/>
      </w:pPr>
      <w:r>
        <w:rPr>
          <w:rFonts w:hint="eastAsia"/>
        </w:rPr>
        <w:t>f)分析检验结果和供方质量检验部门印记；</w:t>
      </w:r>
    </w:p>
    <w:p>
      <w:pPr>
        <w:pStyle w:val="21"/>
        <w:rPr>
          <w:rFonts w:hint="eastAsia" w:eastAsia="宋体"/>
          <w:lang w:eastAsia="zh-CN"/>
        </w:rPr>
      </w:pPr>
      <w:r>
        <w:rPr>
          <w:rFonts w:hint="eastAsia"/>
        </w:rPr>
        <w:t>g)产品标准编号或合同</w:t>
      </w:r>
      <w:r>
        <w:rPr>
          <w:rFonts w:hint="eastAsia"/>
          <w:lang w:eastAsia="zh-CN"/>
        </w:rPr>
        <w:t>。</w:t>
      </w:r>
    </w:p>
    <w:p>
      <w:pPr>
        <w:jc w:val="center"/>
        <w:rPr>
          <w:rFonts w:ascii="黑体" w:eastAsia="黑体"/>
          <w:kern w:val="0"/>
          <w:szCs w:val="20"/>
        </w:rPr>
      </w:pPr>
    </w:p>
    <w:p>
      <w:pPr>
        <w:jc w:val="center"/>
        <w:rPr>
          <w:rFonts w:ascii="黑体" w:eastAsia="黑体"/>
          <w:kern w:val="0"/>
          <w:szCs w:val="20"/>
        </w:rPr>
      </w:pPr>
    </w:p>
    <w:p>
      <w:pPr>
        <w:jc w:val="center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br w:type="textWrapping"/>
      </w:r>
    </w:p>
    <w:p>
      <w:pPr>
        <w:jc w:val="center"/>
        <w:rPr>
          <w:rFonts w:ascii="黑体" w:eastAsia="黑体"/>
          <w:kern w:val="0"/>
          <w:szCs w:val="20"/>
        </w:rPr>
      </w:pP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附录A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（规范性附录）</w:t>
      </w:r>
      <w:r>
        <w:br w:type="textWrapping"/>
      </w:r>
      <w:r>
        <w:rPr>
          <w:rFonts w:hint="eastAsia" w:ascii="黑体" w:hAnsi="黑体" w:eastAsia="黑体" w:cs="黑体"/>
        </w:rPr>
        <w:t>硫化稀土化学分析方法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硫量的测定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间接碘量法</w:t>
      </w:r>
    </w:p>
    <w:p>
      <w:pPr>
        <w:widowControl/>
        <w:numPr>
          <w:ilvl w:val="1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312" w:beforeLines="100" w:after="312" w:afterLines="100"/>
        <w:textAlignment w:val="baseline"/>
        <w:outlineLvl w:val="1"/>
        <w:rPr>
          <w:rFonts w:ascii="黑体" w:hAnsi="黑体" w:eastAsia="黑体" w:cs="黑体"/>
          <w:kern w:val="21"/>
          <w:szCs w:val="20"/>
        </w:rPr>
      </w:pPr>
      <w:r>
        <w:rPr>
          <w:rFonts w:hint="eastAsia" w:ascii="黑体" w:hAnsi="黑体" w:eastAsia="黑体" w:cs="黑体"/>
          <w:kern w:val="21"/>
          <w:szCs w:val="20"/>
        </w:rPr>
        <w:t>A.1 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本附录规定了硫化镧铈中硫含量的测定方法。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本附录适用于硫化镧铈中硫含量的测定。测定范围 5</w:t>
      </w:r>
      <w:r>
        <w:rPr>
          <w:rFonts w:ascii="宋体"/>
          <w:kern w:val="0"/>
          <w:szCs w:val="20"/>
        </w:rPr>
        <w:t>.00</w:t>
      </w:r>
      <w:r>
        <w:rPr>
          <w:rFonts w:hint="eastAsia" w:ascii="宋体"/>
          <w:kern w:val="0"/>
          <w:szCs w:val="20"/>
        </w:rPr>
        <w:t>% ～ 40</w:t>
      </w:r>
      <w:r>
        <w:rPr>
          <w:rFonts w:ascii="宋体"/>
          <w:kern w:val="0"/>
          <w:szCs w:val="20"/>
        </w:rPr>
        <w:t>.00</w:t>
      </w:r>
      <w:r>
        <w:rPr>
          <w:rFonts w:hint="eastAsia" w:ascii="宋体"/>
          <w:kern w:val="0"/>
          <w:szCs w:val="20"/>
        </w:rPr>
        <w:t>% 。</w:t>
      </w:r>
    </w:p>
    <w:p>
      <w:pPr>
        <w:widowControl/>
        <w:numPr>
          <w:ilvl w:val="1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312" w:beforeLines="100" w:after="312" w:afterLines="100"/>
        <w:textAlignment w:val="baseline"/>
        <w:outlineLvl w:val="1"/>
        <w:rPr>
          <w:rFonts w:asci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A.2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hint="eastAsia" w:ascii="黑体" w:eastAsia="黑体"/>
          <w:kern w:val="21"/>
          <w:szCs w:val="20"/>
        </w:rPr>
        <w:t>原理</w:t>
      </w:r>
    </w:p>
    <w:p>
      <w:pPr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</w:rPr>
        <w:t>试样与</w:t>
      </w:r>
      <w:r>
        <w:rPr>
          <w:rFonts w:hint="eastAsia" w:ascii="宋体" w:hAnsi="宋体"/>
          <w:kern w:val="0"/>
        </w:rPr>
        <w:t>盐酸反应生成的硫化氢与过量的碘标准溶液反应，用硫代硫酸钠标准溶液滴定剩余碘量，从而间接计算出稀土硫化物中硫含量。</w:t>
      </w:r>
    </w:p>
    <w:p>
      <w:pPr>
        <w:widowControl/>
        <w:numPr>
          <w:ilvl w:val="1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312" w:beforeLines="100" w:after="312" w:afterLines="100"/>
        <w:textAlignment w:val="baseline"/>
        <w:outlineLvl w:val="1"/>
        <w:rPr>
          <w:rFonts w:ascii="黑体" w:hAnsi="黑体" w:eastAsia="黑体"/>
          <w:color w:val="auto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ascii="黑体" w:eastAsia="黑体"/>
          <w:color w:val="auto"/>
          <w:kern w:val="21"/>
          <w:szCs w:val="20"/>
        </w:rPr>
        <w:t xml:space="preserve"> </w:t>
      </w:r>
      <w:r>
        <w:rPr>
          <w:rFonts w:hint="eastAsia" w:ascii="黑体" w:eastAsia="黑体"/>
          <w:color w:val="auto"/>
          <w:kern w:val="21"/>
          <w:szCs w:val="20"/>
        </w:rPr>
        <w:t>试剂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A.3.1</w:t>
      </w:r>
      <w:r>
        <w:rPr>
          <w:rFonts w:hint="eastAsia" w:ascii="宋体" w:hAnsi="宋体" w:cs="宋体"/>
          <w:kern w:val="21"/>
          <w:szCs w:val="20"/>
        </w:rPr>
        <w:t xml:space="preserve"> 硫代硫酸钠。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A.3.2 碳酸钠。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21"/>
          <w:szCs w:val="20"/>
        </w:rPr>
        <w:t>A.3.3 基准</w:t>
      </w:r>
      <w:r>
        <w:rPr>
          <w:rFonts w:hint="eastAsia" w:ascii="宋体" w:hAnsi="宋体" w:cs="宋体"/>
          <w:kern w:val="0"/>
          <w:szCs w:val="20"/>
        </w:rPr>
        <w:t>重铬酸钾。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21"/>
          <w:szCs w:val="20"/>
        </w:rPr>
        <w:t xml:space="preserve">A.3.4 </w:t>
      </w:r>
      <w:r>
        <w:rPr>
          <w:rFonts w:hint="eastAsia" w:ascii="宋体" w:hAnsi="宋体" w:cs="宋体"/>
          <w:kern w:val="0"/>
          <w:szCs w:val="20"/>
        </w:rPr>
        <w:t>碘化钾。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A.3.5 碘。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A.3.6 淀粉。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A.3.7 硫酸（1+4）。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21"/>
          <w:szCs w:val="20"/>
        </w:rPr>
        <w:t xml:space="preserve">A.3.8 </w:t>
      </w:r>
      <w:r>
        <w:rPr>
          <w:rFonts w:hint="eastAsia" w:ascii="宋体" w:hAnsi="宋体" w:cs="宋体"/>
          <w:kern w:val="0"/>
          <w:szCs w:val="20"/>
        </w:rPr>
        <w:t>盐酸（1+1）。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21"/>
          <w:szCs w:val="20"/>
        </w:rPr>
      </w:pPr>
      <w:r>
        <w:rPr>
          <w:rFonts w:hint="eastAsia" w:ascii="宋体" w:hAnsi="宋体" w:cs="宋体"/>
          <w:kern w:val="21"/>
          <w:szCs w:val="20"/>
        </w:rPr>
        <w:t>A.3.9 硫代硫酸钠标准溶液</w:t>
      </w:r>
      <w:r>
        <w:rPr>
          <w:rFonts w:hint="eastAsia" w:ascii="宋体" w:hAnsi="宋体" w:cs="宋体"/>
          <w:kern w:val="21"/>
          <w:szCs w:val="20"/>
          <w:lang w:eastAsia="zh-CN"/>
        </w:rPr>
        <w:t>（</w:t>
      </w:r>
      <w:r>
        <w:rPr>
          <w:rFonts w:hint="eastAsia" w:ascii="宋体" w:hAnsi="宋体" w:cs="宋体"/>
          <w:kern w:val="21"/>
          <w:szCs w:val="20"/>
          <w:lang w:val="en-US" w:eastAsia="zh-CN"/>
        </w:rPr>
        <w:t>c≈0.1mol/L</w:t>
      </w:r>
      <w:r>
        <w:rPr>
          <w:rFonts w:hint="eastAsia" w:ascii="宋体" w:hAnsi="宋体" w:cs="宋体"/>
          <w:kern w:val="21"/>
          <w:szCs w:val="20"/>
          <w:lang w:eastAsia="zh-CN"/>
        </w:rPr>
        <w:t>）</w:t>
      </w:r>
      <w:r>
        <w:rPr>
          <w:rFonts w:hint="eastAsia" w:ascii="宋体" w:hAnsi="宋体" w:cs="宋体"/>
          <w:kern w:val="21"/>
          <w:szCs w:val="20"/>
        </w:rPr>
        <w:t>。</w:t>
      </w:r>
    </w:p>
    <w:p>
      <w:pPr>
        <w:widowControl/>
        <w:autoSpaceDE w:val="0"/>
        <w:autoSpaceDN w:val="0"/>
        <w:rPr>
          <w:rFonts w:ascii="宋体" w:hAnsi="宋体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>9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 xml:space="preserve">1 </w:t>
      </w:r>
      <w:r>
        <w:rPr>
          <w:rFonts w:ascii="宋体" w:hAnsi="宋体"/>
        </w:rPr>
        <w:t>配制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称取</w:t>
      </w:r>
      <w:r>
        <w:rPr>
          <w:rFonts w:hint="eastAsia" w:ascii="宋体" w:hAnsi="宋体"/>
          <w:kern w:val="0"/>
        </w:rPr>
        <w:t xml:space="preserve"> 2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</w:t>
      </w:r>
      <w:r>
        <w:rPr>
          <w:rFonts w:hint="eastAsia" w:ascii="宋体" w:hAnsi="宋体"/>
          <w:kern w:val="0"/>
        </w:rPr>
        <w:t xml:space="preserve"> 硫代硫酸钠(A.3.1)</w:t>
      </w:r>
      <w:r>
        <w:rPr>
          <w:rFonts w:ascii="宋体" w:hAnsi="宋体"/>
          <w:kern w:val="0"/>
        </w:rPr>
        <w:t>，溶于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1000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mL水中，加入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0.2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碳酸钠</w:t>
      </w:r>
      <w:r>
        <w:rPr>
          <w:rFonts w:hint="eastAsia" w:ascii="宋体" w:hAnsi="宋体"/>
          <w:kern w:val="0"/>
        </w:rPr>
        <w:t>(A.3.2)</w:t>
      </w:r>
      <w:r>
        <w:rPr>
          <w:rFonts w:ascii="宋体" w:hAnsi="宋体"/>
          <w:kern w:val="0"/>
        </w:rPr>
        <w:t>，缓慢煮沸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10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min，冷却。将配置好的溶液置于棕色瓶中，放置两周，再用基准物标定。</w:t>
      </w:r>
    </w:p>
    <w:p>
      <w:pPr>
        <w:widowControl/>
        <w:autoSpaceDE w:val="0"/>
        <w:autoSpaceDN w:val="0"/>
        <w:rPr>
          <w:rFonts w:ascii="宋体" w:hAnsi="宋体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>9</w:t>
      </w:r>
      <w:r>
        <w:rPr>
          <w:rFonts w:hint="eastAsia" w:ascii="黑体" w:eastAsia="黑体"/>
          <w:kern w:val="21"/>
          <w:szCs w:val="20"/>
        </w:rPr>
        <w:t>.2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宋体" w:hAnsi="宋体"/>
          <w:kern w:val="0"/>
        </w:rPr>
        <w:t>标定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称取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0.15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于1</w:t>
      </w:r>
      <w:r>
        <w:rPr>
          <w:rFonts w:hint="eastAsia" w:ascii="宋体" w:hAnsi="宋体"/>
          <w:kern w:val="0"/>
        </w:rPr>
        <w:t>4</w:t>
      </w:r>
      <w:r>
        <w:rPr>
          <w:rFonts w:ascii="宋体" w:hAnsi="宋体"/>
          <w:kern w:val="0"/>
        </w:rPr>
        <w:t>0</w:t>
      </w:r>
      <w:r>
        <w:rPr>
          <w:rFonts w:hint="eastAsia" w:ascii="宋体" w:hAnsi="宋体" w:cs="宋体"/>
          <w:kern w:val="0"/>
        </w:rPr>
        <w:t>℃-150℃</w:t>
      </w:r>
      <w:r>
        <w:rPr>
          <w:rFonts w:ascii="宋体" w:hAnsi="宋体"/>
          <w:kern w:val="0"/>
        </w:rPr>
        <w:t>烘至质量恒定的基准重铬酸钾</w:t>
      </w:r>
      <w:r>
        <w:rPr>
          <w:rFonts w:hint="eastAsia" w:ascii="宋体" w:hAnsi="宋体"/>
          <w:kern w:val="0"/>
        </w:rPr>
        <w:t>(A.3.3)</w:t>
      </w:r>
      <w:r>
        <w:rPr>
          <w:rFonts w:ascii="宋体" w:hAnsi="宋体"/>
          <w:kern w:val="0"/>
        </w:rPr>
        <w:t>(精确</w:t>
      </w:r>
      <w:r>
        <w:rPr>
          <w:rFonts w:hint="eastAsia" w:ascii="宋体" w:hAnsi="宋体"/>
          <w:kern w:val="0"/>
        </w:rPr>
        <w:t xml:space="preserve">至 </w:t>
      </w:r>
      <w:r>
        <w:rPr>
          <w:rFonts w:ascii="Times New Roman" w:hAnsi="Times New Roman"/>
          <w:kern w:val="0"/>
        </w:rPr>
        <w:t>0.000 1 g</w:t>
      </w:r>
      <w:r>
        <w:rPr>
          <w:rFonts w:ascii="宋体" w:hAnsi="宋体"/>
          <w:kern w:val="0"/>
        </w:rPr>
        <w:t>)，置于碘量瓶中，溶于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25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水</w:t>
      </w:r>
      <w:r>
        <w:rPr>
          <w:rFonts w:hint="eastAsia" w:ascii="宋体" w:hAnsi="宋体"/>
          <w:kern w:val="0"/>
        </w:rPr>
        <w:t>中</w:t>
      </w:r>
      <w:r>
        <w:rPr>
          <w:rFonts w:ascii="宋体" w:hAnsi="宋体"/>
          <w:kern w:val="0"/>
        </w:rPr>
        <w:t>，加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碘化钾</w:t>
      </w:r>
      <w:r>
        <w:rPr>
          <w:rFonts w:hint="eastAsia" w:ascii="宋体" w:hAnsi="宋体"/>
          <w:kern w:val="0"/>
        </w:rPr>
        <w:t>(A.3.4)</w:t>
      </w:r>
      <w:r>
        <w:rPr>
          <w:rFonts w:ascii="宋体" w:hAnsi="宋体"/>
          <w:kern w:val="0"/>
        </w:rPr>
        <w:t>及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20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硫酸</w:t>
      </w:r>
      <w:r>
        <w:rPr>
          <w:rFonts w:hint="eastAsia" w:ascii="宋体" w:hAnsi="宋体"/>
          <w:kern w:val="0"/>
        </w:rPr>
        <w:t>(A.3.7)</w:t>
      </w:r>
      <w:r>
        <w:rPr>
          <w:rFonts w:ascii="宋体" w:hAnsi="宋体"/>
          <w:kern w:val="0"/>
        </w:rPr>
        <w:t>，摇匀，于暗处放置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10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min。加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150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水，用配制好的硫代硫酸钠标准溶液滴定。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近终点时加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mL</w:t>
      </w:r>
      <w:r>
        <w:rPr>
          <w:rFonts w:hint="eastAsia"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淀</w:t>
      </w:r>
      <w:r>
        <w:rPr>
          <w:rFonts w:ascii="宋体" w:hAnsi="宋体"/>
          <w:kern w:val="0"/>
        </w:rPr>
        <w:t>粉溶液(</w:t>
      </w:r>
      <w:r>
        <w:rPr>
          <w:rFonts w:hint="eastAsia" w:ascii="宋体" w:hAnsi="宋体"/>
          <w:kern w:val="0"/>
        </w:rPr>
        <w:t>A.3.11</w:t>
      </w:r>
      <w:r>
        <w:rPr>
          <w:rFonts w:ascii="宋体" w:hAnsi="宋体"/>
          <w:kern w:val="0"/>
        </w:rPr>
        <w:t>)，再滴定至溶液由蓝色变为亮绿色</w:t>
      </w:r>
      <w:r>
        <w:rPr>
          <w:rFonts w:hint="eastAsia" w:ascii="宋体" w:hAnsi="宋体"/>
          <w:kern w:val="0"/>
        </w:rPr>
        <w:t>为终点</w:t>
      </w:r>
      <w:r>
        <w:rPr>
          <w:rFonts w:ascii="宋体" w:hAnsi="宋体"/>
          <w:kern w:val="0"/>
        </w:rPr>
        <w:t>。</w:t>
      </w:r>
      <w:r>
        <w:rPr>
          <w:rFonts w:hint="eastAsia" w:ascii="宋体" w:hAnsi="宋体"/>
          <w:kern w:val="0"/>
        </w:rPr>
        <w:t>平行标定3份，所消耗的硫代硫酸钠标准溶液</w:t>
      </w:r>
      <w:r>
        <w:rPr>
          <w:rFonts w:ascii="宋体" w:hAnsi="宋体"/>
          <w:kern w:val="0"/>
        </w:rPr>
        <w:t>(</w:t>
      </w:r>
      <w:r>
        <w:rPr>
          <w:rFonts w:hint="eastAsia" w:ascii="宋体" w:hAnsi="宋体"/>
          <w:kern w:val="0"/>
        </w:rPr>
        <w:t>A.3.9</w:t>
      </w:r>
      <w:r>
        <w:rPr>
          <w:rFonts w:ascii="宋体" w:hAnsi="宋体"/>
          <w:kern w:val="0"/>
        </w:rPr>
        <w:t>)</w:t>
      </w:r>
      <w:r>
        <w:rPr>
          <w:rFonts w:hint="eastAsia" w:ascii="宋体" w:hAnsi="宋体"/>
          <w:kern w:val="0"/>
        </w:rPr>
        <w:t>体积的极差值不应超过 0.10 mL，取其平均值。</w:t>
      </w:r>
      <w:r>
        <w:rPr>
          <w:rFonts w:ascii="宋体" w:hAnsi="宋体"/>
          <w:kern w:val="0"/>
        </w:rPr>
        <w:t>同时作空白试验。</w:t>
      </w:r>
    </w:p>
    <w:p>
      <w:pPr>
        <w:widowControl/>
        <w:autoSpaceDE w:val="0"/>
        <w:autoSpaceDN w:val="0"/>
        <w:ind w:firstLine="420" w:firstLineChars="200"/>
        <w:rPr>
          <w:kern w:val="0"/>
        </w:rPr>
      </w:pPr>
      <w:r>
        <w:rPr>
          <w:rFonts w:ascii="宋体" w:hAnsi="宋体"/>
          <w:kern w:val="0"/>
        </w:rPr>
        <w:t>硫代硫酸钠标准溶液</w:t>
      </w:r>
      <w:r>
        <w:rPr>
          <w:rFonts w:hint="eastAsia" w:ascii="宋体" w:hAnsi="宋体"/>
          <w:kern w:val="0"/>
        </w:rPr>
        <w:t>质量</w:t>
      </w:r>
      <w:r>
        <w:rPr>
          <w:rFonts w:ascii="宋体" w:hAnsi="宋体"/>
          <w:kern w:val="0"/>
        </w:rPr>
        <w:t>浓度按公式</w:t>
      </w:r>
      <w:r>
        <w:rPr>
          <w:rFonts w:hint="eastAsia" w:ascii="宋体" w:hAnsi="宋体"/>
          <w:kern w:val="0"/>
        </w:rPr>
        <w:t>(A.1)</w:t>
      </w:r>
      <w:r>
        <w:rPr>
          <w:rFonts w:ascii="宋体" w:hAnsi="宋体"/>
          <w:kern w:val="0"/>
        </w:rPr>
        <w:t>计算：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eastAsia"/>
          <w:kern w:val="0"/>
          <w:szCs w:val="20"/>
        </w:rPr>
        <w:t xml:space="preserve">          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 xml:space="preserve">             </w:t>
      </w:r>
      <w:r>
        <w:rPr>
          <w:rFonts w:hint="eastAsia"/>
          <w:kern w:val="0"/>
          <w:position w:val="-34"/>
          <w:szCs w:val="20"/>
        </w:rPr>
        <w:object>
          <v:shape id="_x0000_i1027" o:spt="75" type="#_x0000_t75" style="height:36pt;width:159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hint="eastAsia" w:ascii="宋体"/>
          <w:kern w:val="0"/>
          <w:sz w:val="18"/>
          <w:szCs w:val="18"/>
        </w:rPr>
        <w:t xml:space="preserve">      …………………………</w:t>
      </w:r>
      <w:r>
        <w:rPr>
          <w:rFonts w:ascii="宋体"/>
          <w:kern w:val="0"/>
          <w:szCs w:val="20"/>
        </w:rPr>
        <w:t>（</w:t>
      </w:r>
      <w:r>
        <w:rPr>
          <w:rFonts w:hint="eastAsia" w:ascii="宋体" w:hAnsi="宋体" w:cs="宋体"/>
          <w:kern w:val="0"/>
          <w:szCs w:val="20"/>
        </w:rPr>
        <w:t>A.1）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式中：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hint="eastAsia" w:asciiTheme="minorEastAsia" w:hAnsiTheme="minorEastAsia" w:eastAsiaTheme="minorEastAsia" w:cstheme="minorEastAsia"/>
          <w:i/>
          <w:iCs/>
        </w:rPr>
        <w:t>c</w:t>
      </w:r>
      <w:r>
        <w:rPr>
          <w:rFonts w:hint="eastAsia" w:ascii="宋体" w:hAnsi="宋体"/>
          <w:kern w:val="0"/>
        </w:rPr>
        <w:t>—硫代硫酸钠标准溶液浓度，单位为摩尔每升（mol/L）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m</w:t>
      </w:r>
      <w:r>
        <w:rPr>
          <w:rFonts w:ascii="宋体" w:hAnsi="宋体"/>
          <w:kern w:val="0"/>
        </w:rPr>
        <w:t>—重铬酸钾的质量，单位为</w:t>
      </w:r>
      <w:r>
        <w:rPr>
          <w:rFonts w:hint="eastAsia" w:ascii="宋体" w:hAnsi="宋体"/>
          <w:kern w:val="0"/>
        </w:rPr>
        <w:t>克（g）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V</w:t>
      </w:r>
      <w:r>
        <w:rPr>
          <w:rFonts w:ascii="宋体" w:hAnsi="宋体"/>
          <w:kern w:val="0"/>
        </w:rPr>
        <w:t>—硫代硫酸钠用量，单位为</w:t>
      </w:r>
      <w:r>
        <w:rPr>
          <w:rFonts w:hint="eastAsia" w:ascii="宋体" w:hAnsi="宋体"/>
          <w:kern w:val="0"/>
        </w:rPr>
        <w:t>毫升（mL）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V</w:t>
      </w:r>
      <w:r>
        <w:rPr>
          <w:rFonts w:ascii="宋体" w:hAnsi="宋体"/>
          <w:i/>
          <w:iCs/>
          <w:kern w:val="0"/>
          <w:vertAlign w:val="subscript"/>
        </w:rPr>
        <w:t>0</w:t>
      </w:r>
      <w:r>
        <w:rPr>
          <w:rFonts w:ascii="宋体" w:hAnsi="宋体"/>
          <w:kern w:val="0"/>
        </w:rPr>
        <w:t>—空白试验硫代硫酸钠标准溶液用量，单位为</w:t>
      </w:r>
      <w:r>
        <w:rPr>
          <w:rFonts w:hint="eastAsia" w:ascii="宋体" w:hAnsi="宋体"/>
          <w:kern w:val="0"/>
        </w:rPr>
        <w:t>毫升（mL）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M</w:t>
      </w:r>
      <w:r>
        <w:rPr>
          <w:rFonts w:ascii="宋体" w:hAnsi="宋体"/>
          <w:kern w:val="0"/>
        </w:rPr>
        <w:t>（1/6K</w:t>
      </w:r>
      <w:r>
        <w:rPr>
          <w:rFonts w:ascii="宋体" w:hAnsi="宋体"/>
          <w:kern w:val="0"/>
          <w:vertAlign w:val="subscript"/>
        </w:rPr>
        <w:t>2</w:t>
      </w:r>
      <w:r>
        <w:rPr>
          <w:rFonts w:ascii="宋体" w:hAnsi="宋体"/>
          <w:kern w:val="0"/>
        </w:rPr>
        <w:t>Cr</w:t>
      </w:r>
      <w:r>
        <w:rPr>
          <w:rFonts w:ascii="宋体" w:hAnsi="宋体"/>
          <w:kern w:val="0"/>
          <w:vertAlign w:val="subscript"/>
        </w:rPr>
        <w:t>2</w:t>
      </w:r>
      <w:r>
        <w:rPr>
          <w:rFonts w:ascii="宋体" w:hAnsi="宋体"/>
          <w:kern w:val="0"/>
        </w:rPr>
        <w:t>O</w:t>
      </w:r>
      <w:r>
        <w:rPr>
          <w:rFonts w:ascii="宋体" w:hAnsi="宋体"/>
          <w:kern w:val="0"/>
          <w:vertAlign w:val="subscript"/>
        </w:rPr>
        <w:t>7</w:t>
      </w:r>
      <w:r>
        <w:rPr>
          <w:rFonts w:ascii="宋体" w:hAnsi="宋体"/>
          <w:kern w:val="0"/>
        </w:rPr>
        <w:t>)—以（1/6K</w:t>
      </w:r>
      <w:r>
        <w:rPr>
          <w:rFonts w:ascii="宋体" w:hAnsi="宋体"/>
          <w:kern w:val="0"/>
          <w:vertAlign w:val="subscript"/>
        </w:rPr>
        <w:t>2</w:t>
      </w:r>
      <w:r>
        <w:rPr>
          <w:rFonts w:ascii="宋体" w:hAnsi="宋体"/>
          <w:kern w:val="0"/>
        </w:rPr>
        <w:t>Cr</w:t>
      </w:r>
      <w:r>
        <w:rPr>
          <w:rFonts w:ascii="宋体" w:hAnsi="宋体"/>
          <w:kern w:val="0"/>
          <w:vertAlign w:val="subscript"/>
        </w:rPr>
        <w:t>2</w:t>
      </w:r>
      <w:r>
        <w:rPr>
          <w:rFonts w:ascii="宋体" w:hAnsi="宋体"/>
          <w:kern w:val="0"/>
        </w:rPr>
        <w:t>O</w:t>
      </w:r>
      <w:r>
        <w:rPr>
          <w:rFonts w:ascii="宋体" w:hAnsi="宋体"/>
          <w:kern w:val="0"/>
          <w:vertAlign w:val="subscript"/>
        </w:rPr>
        <w:t>7</w:t>
      </w:r>
      <w:r>
        <w:rPr>
          <w:rFonts w:ascii="宋体" w:hAnsi="宋体"/>
          <w:kern w:val="0"/>
        </w:rPr>
        <w:t>)为基本单元的摩尔质量（49.03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g/mol）</w:t>
      </w:r>
      <w:r>
        <w:rPr>
          <w:rFonts w:hint="eastAsia" w:ascii="宋体" w:hAnsi="宋体"/>
          <w:kern w:val="0"/>
        </w:rPr>
        <w:t>，单位为克每摩尔（g/mol）。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 xml:space="preserve">10 </w:t>
      </w:r>
      <w:r>
        <w:rPr>
          <w:rFonts w:ascii="黑体" w:hAnsi="黑体" w:eastAsia="黑体"/>
          <w:kern w:val="21"/>
          <w:szCs w:val="20"/>
        </w:rPr>
        <w:t>碘标准溶液</w:t>
      </w:r>
    </w:p>
    <w:p>
      <w:pPr>
        <w:widowControl/>
        <w:autoSpaceDE w:val="0"/>
        <w:autoSpaceDN w:val="0"/>
        <w:rPr>
          <w:rFonts w:ascii="宋体" w:hAnsi="宋体" w:cs="宋体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>10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 xml:space="preserve">1 </w:t>
      </w:r>
      <w:r>
        <w:rPr>
          <w:rFonts w:hint="eastAsia" w:ascii="黑体" w:hAnsi="黑体" w:eastAsia="黑体"/>
          <w:kern w:val="21"/>
          <w:szCs w:val="20"/>
        </w:rPr>
        <w:t>配制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称取 35 g 碘化钾(A.3.4)，加 100 mL 水溶解，再加 13 g 碘(A.3.5)溶解后用水稀释至 1 000 mL ，摇匀，保存于棕色具塞瓶中。</w:t>
      </w:r>
    </w:p>
    <w:p>
      <w:pPr>
        <w:widowControl/>
        <w:autoSpaceDE w:val="0"/>
        <w:autoSpaceDN w:val="0"/>
        <w:rPr>
          <w:rFonts w:asci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>10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 xml:space="preserve">2 </w:t>
      </w:r>
      <w:r>
        <w:rPr>
          <w:rFonts w:hint="eastAsia" w:ascii="黑体" w:eastAsia="黑体"/>
          <w:kern w:val="21"/>
          <w:szCs w:val="20"/>
        </w:rPr>
        <w:t>标定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用滴定管准确量取 10 mL 碘标准溶液</w:t>
      </w:r>
      <w:r>
        <w:rPr>
          <w:rFonts w:hint="eastAsia" w:ascii="宋体" w:hAnsi="宋体"/>
          <w:kern w:val="0"/>
        </w:rPr>
        <w:t>(A.3.10)</w:t>
      </w:r>
      <w:r>
        <w:rPr>
          <w:rFonts w:hint="eastAsia" w:ascii="宋体" w:hAnsi="宋体" w:cs="宋体"/>
          <w:kern w:val="0"/>
        </w:rPr>
        <w:t>置于已装有 150 mL 水的碘量瓶中，后用硫代硫酸钠标准溶液(A.3.9)滴定，滴至淡黄色后加 3 mL 淀粉溶液</w:t>
      </w:r>
      <w:r>
        <w:rPr>
          <w:rFonts w:hint="eastAsia" w:ascii="宋体" w:hAnsi="宋体"/>
          <w:kern w:val="0"/>
        </w:rPr>
        <w:t>(A.3.11)</w:t>
      </w:r>
      <w:r>
        <w:rPr>
          <w:rFonts w:hint="eastAsia" w:ascii="宋体" w:hAnsi="宋体" w:cs="宋体"/>
          <w:kern w:val="0"/>
        </w:rPr>
        <w:t>，继续滴定至蓝色消失为终点。平行标定３份，所消耗的硫代硫酸钠标准溶液</w:t>
      </w:r>
      <w:r>
        <w:rPr>
          <w:rFonts w:hint="eastAsia" w:ascii="宋体" w:hAnsi="宋体"/>
          <w:kern w:val="0"/>
        </w:rPr>
        <w:t>(A.3.9)</w:t>
      </w:r>
      <w:r>
        <w:rPr>
          <w:rFonts w:hint="eastAsia" w:ascii="宋体" w:hAnsi="宋体" w:cs="宋体"/>
          <w:kern w:val="0"/>
        </w:rPr>
        <w:t>体积的极差值不应超过 0.10 mL，取其平均值。</w:t>
      </w:r>
    </w:p>
    <w:p>
      <w:pPr>
        <w:widowControl/>
        <w:autoSpaceDE w:val="0"/>
        <w:autoSpaceDN w:val="0"/>
        <w:ind w:firstLine="420" w:firstLineChars="200"/>
        <w:rPr>
          <w:kern w:val="0"/>
        </w:rPr>
      </w:pPr>
      <w:r>
        <w:rPr>
          <w:rFonts w:ascii="宋体" w:hAnsi="宋体"/>
          <w:kern w:val="0"/>
        </w:rPr>
        <w:t>碘标准溶液浓度按公式</w:t>
      </w:r>
      <w:r>
        <w:rPr>
          <w:rFonts w:hint="eastAsia" w:ascii="宋体" w:hAnsi="宋体"/>
          <w:kern w:val="0"/>
        </w:rPr>
        <w:t>(A.2)</w:t>
      </w:r>
      <w:r>
        <w:rPr>
          <w:rFonts w:ascii="宋体" w:hAnsi="宋体"/>
          <w:kern w:val="0"/>
        </w:rPr>
        <w:t>计算：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center"/>
        <w:rPr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                                         </w:t>
      </w:r>
      <w:r>
        <w:rPr>
          <w:rFonts w:hint="eastAsia" w:ascii="宋体"/>
          <w:kern w:val="0"/>
          <w:sz w:val="18"/>
          <w:szCs w:val="18"/>
        </w:rPr>
        <w:t xml:space="preserve">   </w:t>
      </w:r>
      <w:r>
        <w:rPr>
          <w:rFonts w:hint="eastAsia"/>
          <w:kern w:val="0"/>
          <w:position w:val="-30"/>
          <w:szCs w:val="20"/>
        </w:rPr>
        <w:object>
          <v:shape id="_x0000_i1028" o:spt="75" type="#_x0000_t75" style="height:34pt;width:50.0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hint="eastAsia" w:ascii="宋体"/>
          <w:kern w:val="0"/>
          <w:sz w:val="18"/>
          <w:szCs w:val="18"/>
        </w:rPr>
        <w:t xml:space="preserve">  ………………………………………</w:t>
      </w:r>
      <w:r>
        <w:rPr>
          <w:rFonts w:ascii="宋体"/>
          <w:kern w:val="0"/>
          <w:szCs w:val="20"/>
        </w:rPr>
        <w:t>（</w:t>
      </w:r>
      <w:r>
        <w:rPr>
          <w:rFonts w:hint="eastAsia" w:ascii="宋体"/>
          <w:kern w:val="0"/>
          <w:szCs w:val="20"/>
        </w:rPr>
        <w:t>A.2</w:t>
      </w:r>
      <w:r>
        <w:rPr>
          <w:rFonts w:ascii="宋体"/>
          <w:kern w:val="0"/>
          <w:szCs w:val="20"/>
        </w:rPr>
        <w:t>）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式中：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c</w:t>
      </w:r>
      <w:r>
        <w:rPr>
          <w:rFonts w:hint="eastAsia" w:ascii="宋体" w:hAnsi="宋体" w:cs="宋体"/>
          <w:kern w:val="0"/>
          <w:vertAlign w:val="subscript"/>
        </w:rPr>
        <w:t>1</w:t>
      </w:r>
      <w:r>
        <w:rPr>
          <w:rFonts w:hint="eastAsia" w:ascii="宋体" w:hAnsi="宋体" w:cs="宋体"/>
          <w:kern w:val="0"/>
        </w:rPr>
        <w:t>—碘标准溶液浓度，单位为摩尔每升(mol/L)；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>V</w:t>
      </w:r>
      <w:r>
        <w:rPr>
          <w:rFonts w:hint="eastAsia" w:ascii="宋体" w:hAnsi="宋体" w:cs="宋体"/>
          <w:kern w:val="0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—碘标液取用量，单位为毫升（mL）。</w:t>
      </w:r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c—硫代硫酸钠摩尔浓度，单位为摩尔每升(mol/L)；</w:t>
      </w:r>
      <w:bookmarkStart w:id="21" w:name="_GoBack"/>
      <w:bookmarkEnd w:id="21"/>
    </w:p>
    <w:p>
      <w:pPr>
        <w:widowControl/>
        <w:autoSpaceDE w:val="0"/>
        <w:autoSpaceDN w:val="0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V—硫代硫酸钠用量，单位为毫升（mL）；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0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3</w:t>
      </w:r>
      <w:r>
        <w:rPr>
          <w:rFonts w:hint="eastAsia" w:ascii="黑体" w:eastAsia="黑体"/>
          <w:kern w:val="21"/>
          <w:szCs w:val="20"/>
        </w:rPr>
        <w:t>.</w:t>
      </w:r>
      <w:r>
        <w:rPr>
          <w:rFonts w:ascii="黑体" w:eastAsia="黑体"/>
          <w:kern w:val="21"/>
          <w:szCs w:val="20"/>
        </w:rPr>
        <w:t xml:space="preserve">11 </w:t>
      </w:r>
      <w:r>
        <w:rPr>
          <w:rFonts w:ascii="黑体" w:hAnsi="黑体" w:eastAsia="黑体"/>
          <w:kern w:val="0"/>
          <w:szCs w:val="20"/>
        </w:rPr>
        <w:t>淀粉溶液(</w:t>
      </w:r>
      <w:r>
        <w:rPr>
          <w:rFonts w:hint="eastAsia" w:ascii="黑体" w:hAnsi="黑体" w:eastAsia="黑体"/>
          <w:kern w:val="0"/>
          <w:szCs w:val="20"/>
        </w:rPr>
        <w:t xml:space="preserve"> </w:t>
      </w:r>
      <w:r>
        <w:rPr>
          <w:rFonts w:ascii="黑体" w:hAnsi="黑体" w:eastAsia="黑体"/>
          <w:kern w:val="0"/>
          <w:szCs w:val="20"/>
        </w:rPr>
        <w:t>10 g/L</w:t>
      </w:r>
      <w:r>
        <w:rPr>
          <w:rFonts w:hint="eastAsia" w:ascii="黑体" w:hAnsi="黑体" w:eastAsia="黑体"/>
          <w:kern w:val="0"/>
          <w:szCs w:val="20"/>
        </w:rPr>
        <w:t xml:space="preserve"> </w:t>
      </w:r>
      <w:r>
        <w:rPr>
          <w:rFonts w:ascii="黑体" w:hAnsi="黑体" w:eastAsia="黑体"/>
          <w:kern w:val="0"/>
          <w:szCs w:val="20"/>
        </w:rPr>
        <w:t>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21"/>
          <w:szCs w:val="20"/>
        </w:rPr>
      </w:pPr>
      <w:r>
        <w:rPr>
          <w:rFonts w:ascii="宋体" w:hAnsi="宋体"/>
          <w:kern w:val="0"/>
          <w:szCs w:val="20"/>
        </w:rPr>
        <w:t>取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1 g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淀粉</w:t>
      </w:r>
      <w:r>
        <w:rPr>
          <w:rFonts w:hint="eastAsia" w:ascii="宋体" w:hAnsi="宋体"/>
          <w:kern w:val="0"/>
          <w:szCs w:val="20"/>
        </w:rPr>
        <w:t>(A.3.6)</w:t>
      </w:r>
      <w:r>
        <w:rPr>
          <w:rFonts w:ascii="宋体" w:hAnsi="宋体"/>
          <w:kern w:val="0"/>
          <w:szCs w:val="20"/>
        </w:rPr>
        <w:t>用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10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mL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冷水调匀，搅拌加入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90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mL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煮沸过的</w:t>
      </w:r>
      <w:r>
        <w:rPr>
          <w:rFonts w:ascii="宋体" w:hAnsi="宋体"/>
          <w:color w:val="auto"/>
          <w:kern w:val="0"/>
          <w:szCs w:val="20"/>
        </w:rPr>
        <w:t>水</w:t>
      </w:r>
      <w:r>
        <w:rPr>
          <w:rFonts w:ascii="宋体" w:hAnsi="宋体"/>
          <w:color w:val="FF0000"/>
          <w:kern w:val="0"/>
          <w:szCs w:val="20"/>
        </w:rPr>
        <w:t>，</w:t>
      </w:r>
      <w:r>
        <w:rPr>
          <w:rFonts w:ascii="宋体" w:hAnsi="宋体"/>
          <w:kern w:val="0"/>
          <w:szCs w:val="20"/>
        </w:rPr>
        <w:t>继续煮沸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5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min,冷却备用。</w:t>
      </w:r>
    </w:p>
    <w:p>
      <w:pPr>
        <w:widowControl/>
        <w:numPr>
          <w:ilvl w:val="1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312" w:beforeLines="100" w:after="312" w:afterLines="100"/>
        <w:textAlignment w:val="baseline"/>
        <w:outlineLvl w:val="1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 xml:space="preserve">4 </w:t>
      </w:r>
      <w:r>
        <w:rPr>
          <w:rFonts w:ascii="黑体" w:hAnsi="黑体" w:eastAsia="黑体"/>
          <w:kern w:val="21"/>
          <w:szCs w:val="20"/>
        </w:rPr>
        <w:t xml:space="preserve">分析步骤  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.1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黑体" w:hAnsi="黑体" w:eastAsia="黑体"/>
          <w:kern w:val="21"/>
          <w:szCs w:val="20"/>
        </w:rPr>
        <w:t>试料</w:t>
      </w:r>
    </w:p>
    <w:p>
      <w:pPr>
        <w:widowControl/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ind w:firstLine="420" w:firstLineChars="200"/>
        <w:textAlignment w:val="baseline"/>
        <w:outlineLvl w:val="2"/>
        <w:rPr>
          <w:rFonts w:ascii="宋体" w:hAnsi="宋体"/>
          <w:kern w:val="21"/>
          <w:szCs w:val="20"/>
        </w:rPr>
      </w:pPr>
      <w:r>
        <w:rPr>
          <w:rFonts w:ascii="宋体" w:hAnsi="宋体"/>
          <w:kern w:val="21"/>
          <w:szCs w:val="20"/>
        </w:rPr>
        <w:t>称取</w:t>
      </w:r>
      <w:r>
        <w:rPr>
          <w:rFonts w:hint="eastAsia" w:ascii="宋体" w:hAnsi="宋体"/>
          <w:kern w:val="21"/>
          <w:szCs w:val="20"/>
        </w:rPr>
        <w:t xml:space="preserve"> </w:t>
      </w:r>
      <w:r>
        <w:rPr>
          <w:rFonts w:ascii="宋体" w:hAnsi="宋体"/>
          <w:kern w:val="21"/>
          <w:szCs w:val="20"/>
        </w:rPr>
        <w:t>0.</w:t>
      </w:r>
      <w:r>
        <w:rPr>
          <w:rFonts w:hint="eastAsia" w:ascii="宋体" w:hAnsi="宋体"/>
          <w:kern w:val="21"/>
          <w:szCs w:val="20"/>
          <w:lang w:val="en-US" w:eastAsia="zh-CN"/>
        </w:rPr>
        <w:t>3</w:t>
      </w:r>
      <w:r>
        <w:rPr>
          <w:rFonts w:hint="eastAsia" w:ascii="宋体" w:hAnsi="宋体"/>
          <w:kern w:val="21"/>
          <w:szCs w:val="20"/>
        </w:rPr>
        <w:t xml:space="preserve"> </w:t>
      </w:r>
      <w:r>
        <w:rPr>
          <w:rFonts w:ascii="宋体" w:hAnsi="宋体"/>
          <w:kern w:val="21"/>
          <w:szCs w:val="20"/>
        </w:rPr>
        <w:t>g</w:t>
      </w:r>
      <w:r>
        <w:rPr>
          <w:rFonts w:hint="eastAsia" w:ascii="宋体" w:hAnsi="宋体"/>
          <w:kern w:val="21"/>
          <w:szCs w:val="20"/>
        </w:rPr>
        <w:t xml:space="preserve"> </w:t>
      </w:r>
      <w:r>
        <w:rPr>
          <w:rFonts w:ascii="宋体" w:hAnsi="宋体"/>
          <w:kern w:val="21"/>
          <w:szCs w:val="20"/>
        </w:rPr>
        <w:t>试样(精确</w:t>
      </w:r>
      <w:r>
        <w:rPr>
          <w:rFonts w:hint="eastAsia" w:ascii="宋体" w:hAnsi="宋体"/>
          <w:kern w:val="21"/>
          <w:szCs w:val="20"/>
        </w:rPr>
        <w:t xml:space="preserve">至 </w:t>
      </w:r>
      <w:r>
        <w:rPr>
          <w:rFonts w:ascii="宋体" w:hAnsi="宋体"/>
          <w:kern w:val="21"/>
          <w:szCs w:val="20"/>
        </w:rPr>
        <w:t>0.000 1 g)。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.2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黑体" w:hAnsi="黑体" w:eastAsia="黑体"/>
          <w:kern w:val="0"/>
          <w:szCs w:val="20"/>
        </w:rPr>
        <w:t>测定次数</w:t>
      </w:r>
    </w:p>
    <w:p>
      <w:pPr>
        <w:widowControl/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ind w:firstLine="420" w:firstLineChars="200"/>
        <w:textAlignment w:val="baseline"/>
        <w:outlineLvl w:val="2"/>
        <w:rPr>
          <w:rFonts w:ascii="宋体" w:hAnsi="宋体"/>
          <w:kern w:val="21"/>
          <w:szCs w:val="20"/>
        </w:rPr>
      </w:pPr>
      <w:r>
        <w:rPr>
          <w:rFonts w:ascii="宋体" w:hAnsi="宋体"/>
          <w:kern w:val="21"/>
          <w:szCs w:val="20"/>
        </w:rPr>
        <w:t>称取两份试料进行平行测定，取其平均值。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0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.3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hint="eastAsia" w:ascii="黑体" w:hAnsi="黑体" w:eastAsia="黑体"/>
          <w:kern w:val="0"/>
          <w:szCs w:val="20"/>
        </w:rPr>
        <w:t>空白试验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 w:cs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 xml:space="preserve">   </w:t>
      </w:r>
      <w:r>
        <w:rPr>
          <w:rFonts w:hint="eastAsia" w:ascii="宋体" w:hAnsi="宋体" w:cs="宋体"/>
          <w:kern w:val="0"/>
          <w:szCs w:val="20"/>
        </w:rPr>
        <w:t xml:space="preserve"> 随同试料进行空白试验。</w:t>
      </w:r>
    </w:p>
    <w:p>
      <w:pPr>
        <w:widowControl/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宋体" w:hAnsi="宋体"/>
          <w:kern w:val="21"/>
          <w:szCs w:val="20"/>
        </w:rPr>
      </w:pP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.4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黑体" w:hAnsi="黑体" w:eastAsia="黑体"/>
          <w:kern w:val="21"/>
          <w:szCs w:val="20"/>
        </w:rPr>
        <w:t>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  <w:color w:val="auto"/>
        </w:rPr>
        <w:t>称取</w:t>
      </w:r>
      <w:r>
        <w:rPr>
          <w:rFonts w:ascii="宋体" w:hAnsi="宋体"/>
          <w:color w:val="auto"/>
          <w:kern w:val="0"/>
        </w:rPr>
        <w:t>试料</w:t>
      </w:r>
      <w:r>
        <w:rPr>
          <w:rFonts w:hint="eastAsia" w:ascii="宋体" w:hAnsi="宋体"/>
          <w:color w:val="auto"/>
          <w:kern w:val="0"/>
        </w:rPr>
        <w:t>(A.4.</w:t>
      </w:r>
      <w:r>
        <w:rPr>
          <w:rFonts w:hint="eastAsia" w:ascii="宋体" w:hAnsi="宋体"/>
          <w:color w:val="auto"/>
          <w:kern w:val="0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</w:rPr>
        <w:t>)</w:t>
      </w:r>
      <w:r>
        <w:rPr>
          <w:rFonts w:ascii="宋体" w:hAnsi="宋体"/>
          <w:color w:val="auto"/>
          <w:kern w:val="0"/>
        </w:rPr>
        <w:t>于</w:t>
      </w:r>
      <w:r>
        <w:rPr>
          <w:rFonts w:hint="eastAsia" w:ascii="宋体" w:hAnsi="宋体"/>
          <w:color w:val="auto"/>
          <w:kern w:val="0"/>
        </w:rPr>
        <w:t xml:space="preserve"> </w:t>
      </w:r>
      <w:r>
        <w:rPr>
          <w:rFonts w:ascii="宋体" w:hAnsi="宋体"/>
          <w:color w:val="auto"/>
          <w:kern w:val="0"/>
        </w:rPr>
        <w:t>300</w:t>
      </w:r>
      <w:r>
        <w:rPr>
          <w:rFonts w:hint="eastAsia" w:ascii="宋体" w:hAnsi="宋体"/>
          <w:color w:val="auto"/>
          <w:kern w:val="0"/>
        </w:rPr>
        <w:t xml:space="preserve"> </w:t>
      </w:r>
      <w:r>
        <w:rPr>
          <w:rFonts w:ascii="宋体" w:hAnsi="宋体"/>
          <w:color w:val="auto"/>
          <w:kern w:val="0"/>
        </w:rPr>
        <w:t>mL</w:t>
      </w:r>
      <w:r>
        <w:rPr>
          <w:rFonts w:hint="eastAsia" w:ascii="宋体" w:hAnsi="宋体"/>
          <w:color w:val="auto"/>
          <w:kern w:val="0"/>
        </w:rPr>
        <w:t xml:space="preserve"> </w:t>
      </w:r>
      <w:r>
        <w:rPr>
          <w:rFonts w:ascii="宋体" w:hAnsi="宋体"/>
          <w:color w:val="auto"/>
          <w:kern w:val="0"/>
        </w:rPr>
        <w:t>碘量瓶中，</w:t>
      </w:r>
      <w:r>
        <w:rPr>
          <w:rFonts w:ascii="宋体" w:hAnsi="宋体"/>
          <w:kern w:val="0"/>
        </w:rPr>
        <w:t>用滴定管准确滴加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35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碘标准溶液</w:t>
      </w:r>
      <w:r>
        <w:rPr>
          <w:rFonts w:hint="eastAsia" w:ascii="宋体" w:hAnsi="宋体"/>
          <w:kern w:val="0"/>
        </w:rPr>
        <w:t>(A.3.10)</w:t>
      </w:r>
      <w:r>
        <w:rPr>
          <w:rFonts w:ascii="宋体" w:hAnsi="宋体"/>
          <w:kern w:val="0"/>
        </w:rPr>
        <w:t>，缓慢滴加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盐酸(</w:t>
      </w:r>
      <w:r>
        <w:rPr>
          <w:rFonts w:hint="eastAsia" w:ascii="宋体" w:hAnsi="宋体"/>
          <w:kern w:val="0"/>
        </w:rPr>
        <w:t>A.3.8</w:t>
      </w:r>
      <w:r>
        <w:rPr>
          <w:rFonts w:ascii="宋体" w:hAnsi="宋体"/>
          <w:kern w:val="0"/>
        </w:rPr>
        <w:t>)（边滴加边摇动碘量瓶），盖上瓶塞，剧烈摇动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2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min，</w:t>
      </w:r>
      <w:r>
        <w:rPr>
          <w:rFonts w:hint="eastAsia" w:ascii="宋体" w:hAnsi="宋体"/>
          <w:kern w:val="0"/>
          <w:lang w:eastAsia="zh-CN"/>
        </w:rPr>
        <w:t>静止并打开瓶塞，用水吹洗瓶塞，</w:t>
      </w:r>
      <w:r>
        <w:rPr>
          <w:rFonts w:ascii="宋体" w:hAnsi="宋体"/>
          <w:kern w:val="0"/>
        </w:rPr>
        <w:t>用硫代硫酸钠标准溶液</w:t>
      </w:r>
      <w:r>
        <w:rPr>
          <w:rFonts w:hint="eastAsia" w:ascii="宋体" w:hAnsi="宋体"/>
          <w:kern w:val="0"/>
        </w:rPr>
        <w:t>(A.3.9)</w:t>
      </w:r>
      <w:r>
        <w:rPr>
          <w:rFonts w:ascii="宋体" w:hAnsi="宋体"/>
          <w:kern w:val="0"/>
        </w:rPr>
        <w:t>滴定至淡黄色后，加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淀粉溶液(</w:t>
      </w:r>
      <w:r>
        <w:rPr>
          <w:rFonts w:hint="eastAsia" w:ascii="宋体" w:hAnsi="宋体"/>
          <w:kern w:val="0"/>
        </w:rPr>
        <w:t>A.3.11</w:t>
      </w:r>
      <w:r>
        <w:rPr>
          <w:rFonts w:ascii="宋体" w:hAnsi="宋体"/>
          <w:kern w:val="0"/>
        </w:rPr>
        <w:t>)，继续滴定至蓝色消失，即为终点。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.5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黑体" w:hAnsi="黑体" w:eastAsia="黑体"/>
          <w:kern w:val="21"/>
          <w:szCs w:val="20"/>
        </w:rPr>
        <w:t>分析结果的计算与表述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按公式</w:t>
      </w:r>
      <w:r>
        <w:rPr>
          <w:rFonts w:hint="eastAsia" w:ascii="宋体" w:hAnsi="宋体"/>
          <w:kern w:val="0"/>
          <w:szCs w:val="20"/>
        </w:rPr>
        <w:t>(A.3)</w:t>
      </w:r>
      <w:r>
        <w:rPr>
          <w:rFonts w:ascii="宋体" w:hAnsi="宋体"/>
          <w:kern w:val="0"/>
          <w:szCs w:val="20"/>
        </w:rPr>
        <w:t>计算样品中硫的质量分数：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center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 xml:space="preserve">                       </w:t>
      </w:r>
      <w:r>
        <w:rPr>
          <w:rFonts w:hint="eastAsia" w:ascii="宋体" w:hAnsi="宋体"/>
          <w:kern w:val="0"/>
          <w:position w:val="-66"/>
          <w:szCs w:val="20"/>
        </w:rPr>
        <w:object>
          <v:shape id="_x0000_i1029" o:spt="75" type="#_x0000_t75" style="height:54pt;width:16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/>
          <w:kern w:val="0"/>
          <w:szCs w:val="20"/>
        </w:rPr>
        <w:t xml:space="preserve">  </w:t>
      </w:r>
      <w:r>
        <w:rPr>
          <w:rFonts w:hint="eastAsia" w:ascii="宋体" w:hAnsi="宋体"/>
          <w:kern w:val="0"/>
          <w:sz w:val="18"/>
          <w:szCs w:val="18"/>
        </w:rPr>
        <w:t xml:space="preserve">    </w:t>
      </w:r>
      <w:r>
        <w:rPr>
          <w:rFonts w:hint="eastAsia" w:ascii="宋体"/>
          <w:kern w:val="0"/>
          <w:sz w:val="18"/>
          <w:szCs w:val="18"/>
        </w:rPr>
        <w:t xml:space="preserve">  …………………………</w:t>
      </w:r>
      <w:r>
        <w:rPr>
          <w:rFonts w:ascii="宋体"/>
          <w:kern w:val="0"/>
          <w:szCs w:val="20"/>
        </w:rPr>
        <w:t>（</w:t>
      </w:r>
      <w:r>
        <w:rPr>
          <w:rFonts w:hint="eastAsia" w:ascii="宋体"/>
          <w:kern w:val="0"/>
          <w:szCs w:val="20"/>
        </w:rPr>
        <w:t>A.3</w:t>
      </w:r>
      <w:r>
        <w:rPr>
          <w:rFonts w:ascii="宋体"/>
          <w:kern w:val="0"/>
          <w:szCs w:val="20"/>
        </w:rPr>
        <w:t>）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式中：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c</w:t>
      </w:r>
      <w:r>
        <w:rPr>
          <w:rFonts w:ascii="宋体" w:hAnsi="宋体"/>
          <w:i/>
          <w:iCs/>
          <w:kern w:val="0"/>
          <w:vertAlign w:val="subscript"/>
        </w:rPr>
        <w:t>1</w:t>
      </w:r>
      <w:r>
        <w:rPr>
          <w:rFonts w:ascii="宋体" w:hAnsi="宋体"/>
          <w:kern w:val="0"/>
        </w:rPr>
        <w:t>—碘标准溶液物质的量浓度，单位为</w:t>
      </w:r>
      <w:r>
        <w:rPr>
          <w:rFonts w:hint="eastAsia" w:ascii="宋体" w:hAnsi="宋体"/>
          <w:kern w:val="0"/>
        </w:rPr>
        <w:t>摩尔每升（</w:t>
      </w:r>
      <w:r>
        <w:rPr>
          <w:rFonts w:ascii="宋体" w:hAnsi="宋体"/>
          <w:kern w:val="0"/>
        </w:rPr>
        <w:t>mol/L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V</w:t>
      </w:r>
      <w:r>
        <w:rPr>
          <w:rFonts w:ascii="宋体" w:hAnsi="宋体"/>
          <w:i/>
          <w:iCs/>
          <w:kern w:val="0"/>
          <w:vertAlign w:val="subscript"/>
        </w:rPr>
        <w:t>1</w:t>
      </w:r>
      <w:r>
        <w:rPr>
          <w:rFonts w:ascii="宋体" w:hAnsi="宋体"/>
          <w:kern w:val="0"/>
        </w:rPr>
        <w:t>—碘标准溶液之用量，单位为</w:t>
      </w:r>
      <w:r>
        <w:rPr>
          <w:rFonts w:hint="eastAsia" w:ascii="宋体" w:hAnsi="宋体"/>
          <w:kern w:val="0"/>
        </w:rPr>
        <w:t>毫升（</w:t>
      </w:r>
      <w:r>
        <w:rPr>
          <w:rFonts w:ascii="宋体" w:hAnsi="宋体"/>
          <w:kern w:val="0"/>
        </w:rPr>
        <w:t>mL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c</w:t>
      </w:r>
      <w:r>
        <w:rPr>
          <w:rFonts w:ascii="宋体" w:hAnsi="宋体"/>
          <w:kern w:val="0"/>
        </w:rPr>
        <w:t>—硫代硫酸钠标准溶液物质的量浓度，单位为</w:t>
      </w:r>
      <w:r>
        <w:rPr>
          <w:rFonts w:hint="eastAsia" w:ascii="宋体" w:hAnsi="宋体"/>
          <w:kern w:val="0"/>
        </w:rPr>
        <w:t>摩尔每升（</w:t>
      </w:r>
      <w:r>
        <w:rPr>
          <w:rFonts w:ascii="宋体" w:hAnsi="宋体"/>
          <w:kern w:val="0"/>
        </w:rPr>
        <w:t>mol/L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V</w:t>
      </w:r>
      <w:r>
        <w:rPr>
          <w:rFonts w:ascii="宋体" w:hAnsi="宋体"/>
          <w:kern w:val="0"/>
        </w:rPr>
        <w:t>—滴定消耗硫代硫酸钠标准溶液的体积，单位为</w:t>
      </w:r>
      <w:r>
        <w:rPr>
          <w:rFonts w:hint="eastAsia" w:ascii="宋体" w:hAnsi="宋体"/>
          <w:kern w:val="0"/>
        </w:rPr>
        <w:t>毫升（mL）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M</w:t>
      </w:r>
      <w:r>
        <w:rPr>
          <w:rFonts w:ascii="宋体" w:hAnsi="宋体"/>
          <w:kern w:val="0"/>
          <w:vertAlign w:val="subscript"/>
        </w:rPr>
        <w:t>(1/2S)</w:t>
      </w:r>
      <w:r>
        <w:rPr>
          <w:rFonts w:ascii="宋体" w:hAnsi="宋体"/>
          <w:kern w:val="0"/>
        </w:rPr>
        <w:t>—以（1/2S）为基本单元之摩尔质量（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16.03 g/mol）</w:t>
      </w:r>
      <w:r>
        <w:rPr>
          <w:rFonts w:hint="eastAsia" w:ascii="宋体" w:hAnsi="宋体"/>
          <w:kern w:val="0"/>
        </w:rPr>
        <w:t>，单位为克每摩尔（g/mol）</w:t>
      </w:r>
      <w:r>
        <w:rPr>
          <w:rFonts w:ascii="宋体" w:hAnsi="宋体"/>
          <w:kern w:val="0"/>
        </w:rPr>
        <w:t>；</w:t>
      </w:r>
    </w:p>
    <w:p>
      <w:pPr>
        <w:widowControl/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i/>
          <w:iCs/>
          <w:kern w:val="0"/>
        </w:rPr>
        <w:t>m</w:t>
      </w:r>
      <w:r>
        <w:rPr>
          <w:rFonts w:ascii="宋体" w:hAnsi="宋体"/>
          <w:kern w:val="0"/>
        </w:rPr>
        <w:t>—样品的质量，单位为</w:t>
      </w:r>
      <w:r>
        <w:rPr>
          <w:rFonts w:hint="eastAsia" w:ascii="宋体" w:hAnsi="宋体"/>
          <w:kern w:val="0"/>
        </w:rPr>
        <w:t>克（g）</w:t>
      </w:r>
      <w:r>
        <w:rPr>
          <w:rFonts w:ascii="宋体" w:hAnsi="宋体"/>
          <w:kern w:val="0"/>
        </w:rPr>
        <w:t>。</w:t>
      </w:r>
    </w:p>
    <w:p>
      <w:pPr>
        <w:widowControl/>
        <w:numPr>
          <w:ilvl w:val="2"/>
          <w:numId w:val="0"/>
        </w:numPr>
        <w:tabs>
          <w:tab w:val="left" w:pos="360"/>
        </w:tabs>
        <w:wordWrap w:val="0"/>
        <w:overflowPunct w:val="0"/>
        <w:autoSpaceDE w:val="0"/>
        <w:autoSpaceDN w:val="0"/>
        <w:spacing w:before="156" w:beforeLines="50" w:after="156" w:afterLines="50"/>
        <w:textAlignment w:val="baseline"/>
        <w:outlineLvl w:val="2"/>
        <w:rPr>
          <w:rFonts w:ascii="黑体" w:hAnsi="黑体" w:eastAsia="黑体"/>
          <w:kern w:val="21"/>
          <w:szCs w:val="20"/>
        </w:rPr>
      </w:pPr>
      <w:r>
        <w:rPr>
          <w:rFonts w:hint="eastAsia" w:ascii="黑体" w:eastAsia="黑体"/>
          <w:kern w:val="21"/>
          <w:szCs w:val="20"/>
        </w:rPr>
        <w:t>A.</w:t>
      </w:r>
      <w:r>
        <w:rPr>
          <w:rFonts w:ascii="黑体" w:eastAsia="黑体"/>
          <w:kern w:val="21"/>
          <w:szCs w:val="20"/>
        </w:rPr>
        <w:t>4</w:t>
      </w:r>
      <w:r>
        <w:rPr>
          <w:rFonts w:hint="eastAsia" w:ascii="黑体" w:eastAsia="黑体"/>
          <w:kern w:val="21"/>
          <w:szCs w:val="20"/>
        </w:rPr>
        <w:t>.6</w:t>
      </w:r>
      <w:r>
        <w:rPr>
          <w:rFonts w:ascii="黑体" w:eastAsia="黑体"/>
          <w:kern w:val="21"/>
          <w:szCs w:val="20"/>
        </w:rPr>
        <w:t xml:space="preserve"> </w:t>
      </w:r>
      <w:r>
        <w:rPr>
          <w:rFonts w:ascii="黑体" w:hAnsi="黑体" w:eastAsia="黑体"/>
          <w:kern w:val="21"/>
          <w:szCs w:val="20"/>
        </w:rPr>
        <w:t>允许差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实验室</w:t>
      </w:r>
      <w:r>
        <w:rPr>
          <w:rFonts w:ascii="宋体" w:hAnsi="宋体"/>
          <w:kern w:val="0"/>
        </w:rPr>
        <w:t>之间分析结果的差值应不大于表A.1中所列允许差。</w:t>
      </w:r>
    </w:p>
    <w:p>
      <w:pPr>
        <w:numPr>
          <w:ilvl w:val="1"/>
          <w:numId w:val="8"/>
        </w:numPr>
        <w:tabs>
          <w:tab w:val="left" w:pos="180"/>
        </w:tabs>
        <w:spacing w:before="156" w:beforeLines="50" w:after="156" w:afterLines="50"/>
        <w:ind w:left="0" w:firstLine="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允许差</w:t>
      </w:r>
    </w:p>
    <w:tbl>
      <w:tblPr>
        <w:tblStyle w:val="35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硫的质量分数，%</w:t>
            </w:r>
          </w:p>
        </w:tc>
        <w:tc>
          <w:tcPr>
            <w:tcW w:w="478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允许差，%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＞5.00～10.00</w:t>
            </w:r>
          </w:p>
        </w:tc>
        <w:tc>
          <w:tcPr>
            <w:tcW w:w="4785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＞10.00～20.00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＞20.00～30.00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＞30.00～40.00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0.60</w:t>
            </w:r>
          </w:p>
        </w:tc>
      </w:tr>
    </w:tbl>
    <w:p>
      <w:pPr>
        <w:pStyle w:val="21"/>
      </w:pPr>
    </w:p>
    <w:p>
      <w:pPr>
        <w:pStyle w:val="98"/>
      </w:pPr>
      <w:r>
        <w:t>_________________________________</w:t>
      </w:r>
    </w:p>
    <w:sectPr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6"/>
    </w:pPr>
    <w:r>
      <w:t>XX/T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</w:pPr>
    <w:r>
      <w:t>XX/T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2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2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8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7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4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1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8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11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7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5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0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5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1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3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5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9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8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0" w:hash="gfr9oswOWKzOBKsOIKDNdUvbgps=" w:salt="v9CsODZUIziv478AF/mjB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0589"/>
    <w:rsid w:val="000320A7"/>
    <w:rsid w:val="00035925"/>
    <w:rsid w:val="000578BA"/>
    <w:rsid w:val="0006087F"/>
    <w:rsid w:val="00067CDF"/>
    <w:rsid w:val="00074FBE"/>
    <w:rsid w:val="00076AB1"/>
    <w:rsid w:val="0008355A"/>
    <w:rsid w:val="00083A09"/>
    <w:rsid w:val="0009005E"/>
    <w:rsid w:val="00092857"/>
    <w:rsid w:val="000A20A9"/>
    <w:rsid w:val="000A48B1"/>
    <w:rsid w:val="000A774B"/>
    <w:rsid w:val="000B3143"/>
    <w:rsid w:val="000B6C20"/>
    <w:rsid w:val="000C6B05"/>
    <w:rsid w:val="000C6DD6"/>
    <w:rsid w:val="000C73D4"/>
    <w:rsid w:val="000C7F05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26152"/>
    <w:rsid w:val="0013175F"/>
    <w:rsid w:val="001504D5"/>
    <w:rsid w:val="001512B4"/>
    <w:rsid w:val="001620A5"/>
    <w:rsid w:val="00164E53"/>
    <w:rsid w:val="001653CD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4C9F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2043"/>
    <w:rsid w:val="0024574F"/>
    <w:rsid w:val="00247FEE"/>
    <w:rsid w:val="00250E7D"/>
    <w:rsid w:val="002565D5"/>
    <w:rsid w:val="002622C0"/>
    <w:rsid w:val="0026737F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6D0B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04AE"/>
    <w:rsid w:val="00301F39"/>
    <w:rsid w:val="00325926"/>
    <w:rsid w:val="00327A8A"/>
    <w:rsid w:val="00331C48"/>
    <w:rsid w:val="00336610"/>
    <w:rsid w:val="00336897"/>
    <w:rsid w:val="00343F73"/>
    <w:rsid w:val="00345060"/>
    <w:rsid w:val="0035323B"/>
    <w:rsid w:val="00357C06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4BF2"/>
    <w:rsid w:val="003E1867"/>
    <w:rsid w:val="003E5729"/>
    <w:rsid w:val="003F4EE0"/>
    <w:rsid w:val="00402153"/>
    <w:rsid w:val="00402FC1"/>
    <w:rsid w:val="00410731"/>
    <w:rsid w:val="004215D4"/>
    <w:rsid w:val="00425082"/>
    <w:rsid w:val="00431DEB"/>
    <w:rsid w:val="00440D94"/>
    <w:rsid w:val="004419CF"/>
    <w:rsid w:val="00446B29"/>
    <w:rsid w:val="004512B6"/>
    <w:rsid w:val="00453F9A"/>
    <w:rsid w:val="00463252"/>
    <w:rsid w:val="00471E91"/>
    <w:rsid w:val="00474675"/>
    <w:rsid w:val="0047470C"/>
    <w:rsid w:val="00477B4C"/>
    <w:rsid w:val="004A0EF3"/>
    <w:rsid w:val="004A35F9"/>
    <w:rsid w:val="004B24C1"/>
    <w:rsid w:val="004C292F"/>
    <w:rsid w:val="004D53AE"/>
    <w:rsid w:val="004F4D1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00E1"/>
    <w:rsid w:val="005703DE"/>
    <w:rsid w:val="005736BE"/>
    <w:rsid w:val="0058464E"/>
    <w:rsid w:val="00593B48"/>
    <w:rsid w:val="005A01CB"/>
    <w:rsid w:val="005A58FF"/>
    <w:rsid w:val="005A5EAF"/>
    <w:rsid w:val="005A64C0"/>
    <w:rsid w:val="005B3C11"/>
    <w:rsid w:val="005C0A5E"/>
    <w:rsid w:val="005C1C28"/>
    <w:rsid w:val="005C6DB5"/>
    <w:rsid w:val="005D6931"/>
    <w:rsid w:val="005E19E7"/>
    <w:rsid w:val="005F0152"/>
    <w:rsid w:val="005F0D35"/>
    <w:rsid w:val="006121BC"/>
    <w:rsid w:val="0061716C"/>
    <w:rsid w:val="006243A1"/>
    <w:rsid w:val="00632E56"/>
    <w:rsid w:val="00635CBA"/>
    <w:rsid w:val="0064338B"/>
    <w:rsid w:val="00643824"/>
    <w:rsid w:val="0064411A"/>
    <w:rsid w:val="00646542"/>
    <w:rsid w:val="006504F4"/>
    <w:rsid w:val="00654BC9"/>
    <w:rsid w:val="006552FD"/>
    <w:rsid w:val="00663AF3"/>
    <w:rsid w:val="00666B6C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7004AD"/>
    <w:rsid w:val="00704DF6"/>
    <w:rsid w:val="0070651C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76713"/>
    <w:rsid w:val="007805BF"/>
    <w:rsid w:val="007913AB"/>
    <w:rsid w:val="007914F7"/>
    <w:rsid w:val="007A39B7"/>
    <w:rsid w:val="007B1625"/>
    <w:rsid w:val="007B4DD2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57214"/>
    <w:rsid w:val="0087198C"/>
    <w:rsid w:val="00872C1F"/>
    <w:rsid w:val="00873B42"/>
    <w:rsid w:val="008856D8"/>
    <w:rsid w:val="00892E82"/>
    <w:rsid w:val="008C1B58"/>
    <w:rsid w:val="008C39AE"/>
    <w:rsid w:val="008C590D"/>
    <w:rsid w:val="008D554E"/>
    <w:rsid w:val="008E031B"/>
    <w:rsid w:val="008E3E5C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43326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13B2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4EA0"/>
    <w:rsid w:val="00A6730D"/>
    <w:rsid w:val="00A711F8"/>
    <w:rsid w:val="00A71625"/>
    <w:rsid w:val="00A71B9B"/>
    <w:rsid w:val="00A751C7"/>
    <w:rsid w:val="00A87844"/>
    <w:rsid w:val="00A95D28"/>
    <w:rsid w:val="00AA038C"/>
    <w:rsid w:val="00AA7A09"/>
    <w:rsid w:val="00AB3B50"/>
    <w:rsid w:val="00AC05B1"/>
    <w:rsid w:val="00AD206A"/>
    <w:rsid w:val="00AD356C"/>
    <w:rsid w:val="00AE2914"/>
    <w:rsid w:val="00AE6D15"/>
    <w:rsid w:val="00AF08ED"/>
    <w:rsid w:val="00B04182"/>
    <w:rsid w:val="00B07AE3"/>
    <w:rsid w:val="00B11430"/>
    <w:rsid w:val="00B353EB"/>
    <w:rsid w:val="00B439C4"/>
    <w:rsid w:val="00B4535E"/>
    <w:rsid w:val="00B52A8C"/>
    <w:rsid w:val="00B636A8"/>
    <w:rsid w:val="00B6588D"/>
    <w:rsid w:val="00B665C6"/>
    <w:rsid w:val="00B748B7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3A07"/>
    <w:rsid w:val="00BF617A"/>
    <w:rsid w:val="00BF6FCE"/>
    <w:rsid w:val="00C0379D"/>
    <w:rsid w:val="00C03931"/>
    <w:rsid w:val="00C05FE3"/>
    <w:rsid w:val="00C15ECB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57734"/>
    <w:rsid w:val="00C601D2"/>
    <w:rsid w:val="00C65BCC"/>
    <w:rsid w:val="00C66970"/>
    <w:rsid w:val="00C7437B"/>
    <w:rsid w:val="00C76F51"/>
    <w:rsid w:val="00C8691C"/>
    <w:rsid w:val="00CA0A87"/>
    <w:rsid w:val="00CA168A"/>
    <w:rsid w:val="00CA357E"/>
    <w:rsid w:val="00CA44F9"/>
    <w:rsid w:val="00CA4A69"/>
    <w:rsid w:val="00CB7815"/>
    <w:rsid w:val="00CC3E0C"/>
    <w:rsid w:val="00CC58D3"/>
    <w:rsid w:val="00CC784D"/>
    <w:rsid w:val="00CD29EA"/>
    <w:rsid w:val="00D0337B"/>
    <w:rsid w:val="00D079B2"/>
    <w:rsid w:val="00D114E9"/>
    <w:rsid w:val="00D429C6"/>
    <w:rsid w:val="00D47748"/>
    <w:rsid w:val="00D54CC3"/>
    <w:rsid w:val="00D6041A"/>
    <w:rsid w:val="00D633EB"/>
    <w:rsid w:val="00D65231"/>
    <w:rsid w:val="00D82FF7"/>
    <w:rsid w:val="00D847FE"/>
    <w:rsid w:val="00D93122"/>
    <w:rsid w:val="00D93512"/>
    <w:rsid w:val="00D964EA"/>
    <w:rsid w:val="00D966D0"/>
    <w:rsid w:val="00DA0C59"/>
    <w:rsid w:val="00DA3991"/>
    <w:rsid w:val="00DB0990"/>
    <w:rsid w:val="00DB7E6C"/>
    <w:rsid w:val="00DD5A29"/>
    <w:rsid w:val="00DD5D9D"/>
    <w:rsid w:val="00DE35CB"/>
    <w:rsid w:val="00DF21E9"/>
    <w:rsid w:val="00E00F14"/>
    <w:rsid w:val="00E06386"/>
    <w:rsid w:val="00E143D2"/>
    <w:rsid w:val="00E24EB4"/>
    <w:rsid w:val="00E320ED"/>
    <w:rsid w:val="00E33AFB"/>
    <w:rsid w:val="00E34218"/>
    <w:rsid w:val="00E46282"/>
    <w:rsid w:val="00E477C0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26E92"/>
    <w:rsid w:val="00F27202"/>
    <w:rsid w:val="00F34B99"/>
    <w:rsid w:val="00F36BCE"/>
    <w:rsid w:val="00F52DAB"/>
    <w:rsid w:val="00F543F0"/>
    <w:rsid w:val="00F81D29"/>
    <w:rsid w:val="00F91C4D"/>
    <w:rsid w:val="00F92FD9"/>
    <w:rsid w:val="00F975FE"/>
    <w:rsid w:val="00FA6684"/>
    <w:rsid w:val="00FA731E"/>
    <w:rsid w:val="00FB2B38"/>
    <w:rsid w:val="00FB6B97"/>
    <w:rsid w:val="00FC6358"/>
    <w:rsid w:val="00FD01CF"/>
    <w:rsid w:val="00FD320D"/>
    <w:rsid w:val="00FE1813"/>
    <w:rsid w:val="00FE23DE"/>
    <w:rsid w:val="00FF3C06"/>
    <w:rsid w:val="023B4FE1"/>
    <w:rsid w:val="02407015"/>
    <w:rsid w:val="044F2C36"/>
    <w:rsid w:val="04EA473C"/>
    <w:rsid w:val="06A229B7"/>
    <w:rsid w:val="06AE4778"/>
    <w:rsid w:val="097007F5"/>
    <w:rsid w:val="09882A3B"/>
    <w:rsid w:val="09FD333D"/>
    <w:rsid w:val="0ABC1F48"/>
    <w:rsid w:val="0AEC49E4"/>
    <w:rsid w:val="0BBF4B2A"/>
    <w:rsid w:val="0C7D0603"/>
    <w:rsid w:val="0CEF24DD"/>
    <w:rsid w:val="0DD85D09"/>
    <w:rsid w:val="0E8655FC"/>
    <w:rsid w:val="0FD1214F"/>
    <w:rsid w:val="10663275"/>
    <w:rsid w:val="10C6761F"/>
    <w:rsid w:val="11DA07FD"/>
    <w:rsid w:val="132D3774"/>
    <w:rsid w:val="146F300E"/>
    <w:rsid w:val="14734B93"/>
    <w:rsid w:val="19694C12"/>
    <w:rsid w:val="19BB705B"/>
    <w:rsid w:val="1A3D6F6C"/>
    <w:rsid w:val="1A95765C"/>
    <w:rsid w:val="1AC91B3B"/>
    <w:rsid w:val="1B65498B"/>
    <w:rsid w:val="1BE64159"/>
    <w:rsid w:val="1C7842E1"/>
    <w:rsid w:val="1C9710D8"/>
    <w:rsid w:val="1E355288"/>
    <w:rsid w:val="1F4D0FED"/>
    <w:rsid w:val="1FD30D43"/>
    <w:rsid w:val="1FFD5DBD"/>
    <w:rsid w:val="204F599E"/>
    <w:rsid w:val="212E264E"/>
    <w:rsid w:val="21D741E5"/>
    <w:rsid w:val="21FA748B"/>
    <w:rsid w:val="22002BE4"/>
    <w:rsid w:val="221E73C5"/>
    <w:rsid w:val="233A4FD9"/>
    <w:rsid w:val="246C727C"/>
    <w:rsid w:val="25400F97"/>
    <w:rsid w:val="25B22EBE"/>
    <w:rsid w:val="25DF5C08"/>
    <w:rsid w:val="27D5551D"/>
    <w:rsid w:val="28CF6EF7"/>
    <w:rsid w:val="29B462B9"/>
    <w:rsid w:val="29C274C2"/>
    <w:rsid w:val="2B412AAF"/>
    <w:rsid w:val="2B640205"/>
    <w:rsid w:val="2B9C2313"/>
    <w:rsid w:val="2DCD59F3"/>
    <w:rsid w:val="2E9C511D"/>
    <w:rsid w:val="2EB72F31"/>
    <w:rsid w:val="2EF93C91"/>
    <w:rsid w:val="2FC21201"/>
    <w:rsid w:val="2FC54623"/>
    <w:rsid w:val="30270FAC"/>
    <w:rsid w:val="31DA4798"/>
    <w:rsid w:val="31DB4484"/>
    <w:rsid w:val="31F53F7D"/>
    <w:rsid w:val="31FB35BC"/>
    <w:rsid w:val="32A63D1B"/>
    <w:rsid w:val="348E255A"/>
    <w:rsid w:val="34E543D2"/>
    <w:rsid w:val="35037A7A"/>
    <w:rsid w:val="371B2F6D"/>
    <w:rsid w:val="376729C3"/>
    <w:rsid w:val="37D94CA4"/>
    <w:rsid w:val="391F6E7C"/>
    <w:rsid w:val="39D504A1"/>
    <w:rsid w:val="3A813C9D"/>
    <w:rsid w:val="3BE91234"/>
    <w:rsid w:val="3E160733"/>
    <w:rsid w:val="3E5770E6"/>
    <w:rsid w:val="3FF87C71"/>
    <w:rsid w:val="400210C0"/>
    <w:rsid w:val="40D80103"/>
    <w:rsid w:val="41037A0C"/>
    <w:rsid w:val="42DC73DB"/>
    <w:rsid w:val="43543AFA"/>
    <w:rsid w:val="443702E6"/>
    <w:rsid w:val="45372F5A"/>
    <w:rsid w:val="45D87D4B"/>
    <w:rsid w:val="46295E2B"/>
    <w:rsid w:val="47946C1D"/>
    <w:rsid w:val="484B16AD"/>
    <w:rsid w:val="48607A03"/>
    <w:rsid w:val="49280BBA"/>
    <w:rsid w:val="4AB833E4"/>
    <w:rsid w:val="4B317FD1"/>
    <w:rsid w:val="4B700C35"/>
    <w:rsid w:val="4B782BD5"/>
    <w:rsid w:val="4BC25314"/>
    <w:rsid w:val="4E435E6F"/>
    <w:rsid w:val="4E4B72BE"/>
    <w:rsid w:val="4E6420B2"/>
    <w:rsid w:val="4EC452A8"/>
    <w:rsid w:val="4F367058"/>
    <w:rsid w:val="51563D49"/>
    <w:rsid w:val="51F32BB1"/>
    <w:rsid w:val="52C01886"/>
    <w:rsid w:val="55E66D95"/>
    <w:rsid w:val="57100958"/>
    <w:rsid w:val="58722E5E"/>
    <w:rsid w:val="59951908"/>
    <w:rsid w:val="59EE6C5C"/>
    <w:rsid w:val="5A322782"/>
    <w:rsid w:val="5AAE2C00"/>
    <w:rsid w:val="5C607707"/>
    <w:rsid w:val="5CA64062"/>
    <w:rsid w:val="5D9256E2"/>
    <w:rsid w:val="5E823966"/>
    <w:rsid w:val="614E1B2E"/>
    <w:rsid w:val="61FE0673"/>
    <w:rsid w:val="633D1A20"/>
    <w:rsid w:val="648E0ED8"/>
    <w:rsid w:val="648E6319"/>
    <w:rsid w:val="64A378C4"/>
    <w:rsid w:val="658D197F"/>
    <w:rsid w:val="67E43A33"/>
    <w:rsid w:val="68E05714"/>
    <w:rsid w:val="69627BC0"/>
    <w:rsid w:val="69A66DCC"/>
    <w:rsid w:val="69EF4BB5"/>
    <w:rsid w:val="6A4C2F02"/>
    <w:rsid w:val="6AD3619F"/>
    <w:rsid w:val="6BD44BDE"/>
    <w:rsid w:val="6CA52D32"/>
    <w:rsid w:val="6D3E19EC"/>
    <w:rsid w:val="6DD22881"/>
    <w:rsid w:val="6E5C44A8"/>
    <w:rsid w:val="70923C5E"/>
    <w:rsid w:val="71D5332F"/>
    <w:rsid w:val="720135C7"/>
    <w:rsid w:val="723C7E09"/>
    <w:rsid w:val="725D6236"/>
    <w:rsid w:val="72EC45BD"/>
    <w:rsid w:val="732A4C69"/>
    <w:rsid w:val="737D75C2"/>
    <w:rsid w:val="73CB3BF2"/>
    <w:rsid w:val="73ED59DA"/>
    <w:rsid w:val="74F41C42"/>
    <w:rsid w:val="750F177B"/>
    <w:rsid w:val="75645926"/>
    <w:rsid w:val="760D15D7"/>
    <w:rsid w:val="766949F6"/>
    <w:rsid w:val="76CD2CF1"/>
    <w:rsid w:val="778B1D2D"/>
    <w:rsid w:val="77DA7030"/>
    <w:rsid w:val="784B6D73"/>
    <w:rsid w:val="78793FC0"/>
    <w:rsid w:val="79450175"/>
    <w:rsid w:val="7A56415C"/>
    <w:rsid w:val="7ABC2552"/>
    <w:rsid w:val="7BDB5F5A"/>
    <w:rsid w:val="7CCA6E3B"/>
    <w:rsid w:val="7D1B1AFE"/>
    <w:rsid w:val="7E6F209E"/>
    <w:rsid w:val="7F3E4B33"/>
    <w:rsid w:val="7F696D46"/>
    <w:rsid w:val="7F7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1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37">
    <w:name w:val="标准书眉一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8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39">
    <w:name w:val="正文表标题"/>
    <w:next w:val="21"/>
    <w:qFormat/>
    <w:uiPriority w:val="0"/>
    <w:pPr>
      <w:numPr>
        <w:ilvl w:val="0"/>
        <w:numId w:val="2"/>
      </w:numPr>
      <w:tabs>
        <w:tab w:val="left" w:pos="360"/>
      </w:tabs>
      <w:spacing w:before="156" w:beforeLines="50" w:after="156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0">
    <w:name w:val="封面标准文稿编辑信息"/>
    <w:basedOn w:val="41"/>
    <w:qFormat/>
    <w:uiPriority w:val="0"/>
    <w:pPr>
      <w:spacing w:before="180" w:line="180" w:lineRule="exact"/>
    </w:pPr>
    <w:rPr>
      <w:sz w:val="21"/>
    </w:rPr>
  </w:style>
  <w:style w:type="paragraph" w:customStyle="1" w:styleId="41">
    <w:name w:val="封面标准文稿类别"/>
    <w:basedOn w:val="42"/>
    <w:qFormat/>
    <w:uiPriority w:val="0"/>
    <w:pPr>
      <w:spacing w:after="160" w:line="240" w:lineRule="auto"/>
    </w:pPr>
    <w:rPr>
      <w:sz w:val="24"/>
    </w:rPr>
  </w:style>
  <w:style w:type="paragraph" w:customStyle="1" w:styleId="42">
    <w:name w:val="封面一致性程度标识"/>
    <w:basedOn w:val="43"/>
    <w:qFormat/>
    <w:uiPriority w:val="0"/>
    <w:pPr>
      <w:spacing w:before="440"/>
    </w:pPr>
    <w:rPr>
      <w:rFonts w:ascii="宋体" w:eastAsia="宋体"/>
    </w:rPr>
  </w:style>
  <w:style w:type="paragraph" w:customStyle="1" w:styleId="43">
    <w:name w:val="封面标准英文名称"/>
    <w:basedOn w:val="4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45">
    <w:name w:val="标准书脚_奇数页"/>
    <w:qFormat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  <w:ind w:left="221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47">
    <w:name w:val="目次、索引正文"/>
    <w:qFormat/>
    <w:uiPriority w:val="0"/>
    <w:pPr>
      <w:spacing w:line="320" w:lineRule="exact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48">
    <w:name w:val="图表脚注说明"/>
    <w:basedOn w:val="1"/>
    <w:qFormat/>
    <w:uiPriority w:val="0"/>
    <w:pPr>
      <w:numPr>
        <w:ilvl w:val="0"/>
        <w:numId w:val="3"/>
      </w:numPr>
    </w:pPr>
    <w:rPr>
      <w:rFonts w:ascii="宋体"/>
      <w:sz w:val="18"/>
      <w:szCs w:val="18"/>
    </w:rPr>
  </w:style>
  <w:style w:type="paragraph" w:customStyle="1" w:styleId="49">
    <w:name w:val="列项说明数字编号"/>
    <w:qFormat/>
    <w:uiPriority w:val="0"/>
    <w:pPr>
      <w:ind w:left="600" w:leftChars="400" w:hanging="200" w:hangingChars="200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0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sz w:val="28"/>
      <w:szCs w:val="28"/>
      <w:lang w:val="en-US" w:eastAsia="zh-CN" w:bidi="ar-SA"/>
    </w:rPr>
  </w:style>
  <w:style w:type="paragraph" w:customStyle="1" w:styleId="5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Calibri" w:hAnsi="Calibri" w:eastAsia="黑体" w:cs="Times New Roman"/>
      <w:sz w:val="28"/>
      <w:lang w:val="en-US" w:eastAsia="zh-CN" w:bidi="ar-SA"/>
    </w:rPr>
  </w:style>
  <w:style w:type="paragraph" w:customStyle="1" w:styleId="54">
    <w:name w:val="附录章标题"/>
    <w:next w:val="2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55">
    <w:name w:val="正文1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附录标识"/>
    <w:basedOn w:val="1"/>
    <w:next w:val="2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7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8">
    <w:name w:val="一级无"/>
    <w:basedOn w:val="5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59">
    <w:name w:val="一级条标题"/>
    <w:next w:val="21"/>
    <w:qFormat/>
    <w:uiPriority w:val="0"/>
    <w:pPr>
      <w:numPr>
        <w:ilvl w:val="1"/>
        <w:numId w:val="7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60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/>
      <w:szCs w:val="21"/>
    </w:rPr>
  </w:style>
  <w:style w:type="paragraph" w:customStyle="1" w:styleId="61">
    <w:name w:val="附录一级无"/>
    <w:basedOn w:val="62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62">
    <w:name w:val="附录一级条标题"/>
    <w:basedOn w:val="54"/>
    <w:next w:val="21"/>
    <w:qFormat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63">
    <w:name w:val="示例内容"/>
    <w:qFormat/>
    <w:uiPriority w:val="0"/>
    <w:pPr>
      <w:ind w:firstLine="200" w:firstLineChars="200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64">
    <w:name w:val="附录三级条标题"/>
    <w:basedOn w:val="65"/>
    <w:next w:val="21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65">
    <w:name w:val="附录二级条标题"/>
    <w:basedOn w:val="1"/>
    <w:next w:val="21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6">
    <w:name w:val="附录五级条标题"/>
    <w:basedOn w:val="67"/>
    <w:next w:val="21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67">
    <w:name w:val="附录四级条标题"/>
    <w:basedOn w:val="64"/>
    <w:next w:val="21"/>
    <w:qFormat/>
    <w:uiPriority w:val="0"/>
    <w:pPr>
      <w:numPr>
        <w:ilvl w:val="5"/>
      </w:numPr>
      <w:outlineLvl w:val="5"/>
    </w:pPr>
  </w:style>
  <w:style w:type="paragraph" w:customStyle="1" w:styleId="68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附录表标题"/>
    <w:basedOn w:val="1"/>
    <w:next w:val="21"/>
    <w:qFormat/>
    <w:uiPriority w:val="0"/>
    <w:pPr>
      <w:numPr>
        <w:ilvl w:val="1"/>
        <w:numId w:val="8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70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7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72">
    <w:name w:val="封面标准名称2"/>
    <w:basedOn w:val="44"/>
    <w:qFormat/>
    <w:uiPriority w:val="0"/>
    <w:pPr>
      <w:framePr w:y="4469"/>
      <w:spacing w:before="630" w:beforeLines="630"/>
    </w:pPr>
  </w:style>
  <w:style w:type="paragraph" w:customStyle="1" w:styleId="73">
    <w:name w:val="正文图标题"/>
    <w:next w:val="21"/>
    <w:qFormat/>
    <w:uiPriority w:val="0"/>
    <w:pPr>
      <w:numPr>
        <w:ilvl w:val="0"/>
        <w:numId w:val="10"/>
      </w:numPr>
      <w:spacing w:before="156" w:beforeLines="50" w:after="156" w:afterLines="5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74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Calibri" w:hAnsi="Calibri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5">
    <w:name w:val="封面标准文稿类别2"/>
    <w:basedOn w:val="41"/>
    <w:qFormat/>
    <w:uiPriority w:val="0"/>
    <w:pPr>
      <w:framePr w:y="4469"/>
    </w:pPr>
  </w:style>
  <w:style w:type="paragraph" w:customStyle="1" w:styleId="76">
    <w:name w:val="实施日期"/>
    <w:basedOn w:val="53"/>
    <w:qFormat/>
    <w:uiPriority w:val="0"/>
    <w:pPr>
      <w:framePr w:vAnchor="page" w:hAnchor="text"/>
      <w:jc w:val="right"/>
    </w:pPr>
  </w:style>
  <w:style w:type="paragraph" w:customStyle="1" w:styleId="77">
    <w:name w:val="编号列项（三级）"/>
    <w:qFormat/>
    <w:uiPriority w:val="0"/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79">
    <w:name w:val="附录二级无"/>
    <w:basedOn w:val="6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0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81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82">
    <w:name w:val="三级条标题"/>
    <w:basedOn w:val="83"/>
    <w:next w:val="21"/>
    <w:link w:val="135"/>
    <w:qFormat/>
    <w:uiPriority w:val="0"/>
    <w:pPr>
      <w:numPr>
        <w:ilvl w:val="0"/>
        <w:numId w:val="0"/>
      </w:numPr>
      <w:outlineLvl w:val="4"/>
    </w:pPr>
  </w:style>
  <w:style w:type="paragraph" w:customStyle="1" w:styleId="83">
    <w:name w:val="二级条标题"/>
    <w:basedOn w:val="59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4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5">
    <w:name w:val="章标题"/>
    <w:next w:val="21"/>
    <w:qFormat/>
    <w:uiPriority w:val="0"/>
    <w:pPr>
      <w:numPr>
        <w:ilvl w:val="0"/>
        <w:numId w:val="7"/>
      </w:numPr>
      <w:spacing w:before="312" w:beforeLines="100" w:after="312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86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示例"/>
    <w:next w:val="63"/>
    <w:qFormat/>
    <w:uiPriority w:val="0"/>
    <w:pPr>
      <w:widowControl w:val="0"/>
      <w:numPr>
        <w:ilvl w:val="0"/>
        <w:numId w:val="11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88">
    <w:name w:val="四级条标题"/>
    <w:basedOn w:val="82"/>
    <w:next w:val="21"/>
    <w:qFormat/>
    <w:uiPriority w:val="0"/>
    <w:pPr>
      <w:numPr>
        <w:ilvl w:val="4"/>
        <w:numId w:val="7"/>
      </w:numPr>
      <w:outlineLvl w:val="5"/>
    </w:pPr>
  </w:style>
  <w:style w:type="paragraph" w:customStyle="1" w:styleId="89">
    <w:name w:val="注："/>
    <w:next w:val="21"/>
    <w:qFormat/>
    <w:uiPriority w:val="0"/>
    <w:pPr>
      <w:widowControl w:val="0"/>
      <w:numPr>
        <w:ilvl w:val="0"/>
        <w:numId w:val="12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90">
    <w:name w:val="附录字母编号列项（一级）"/>
    <w:qFormat/>
    <w:uiPriority w:val="0"/>
    <w:pPr>
      <w:numPr>
        <w:ilvl w:val="0"/>
        <w:numId w:val="13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1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2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3">
    <w:name w:val="封面正文"/>
    <w:qFormat/>
    <w:uiPriority w:val="0"/>
    <w:pPr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94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95">
    <w:name w:val="附录数字编号列项（二级）"/>
    <w:qFormat/>
    <w:uiPriority w:val="0"/>
    <w:pPr>
      <w:numPr>
        <w:ilvl w:val="1"/>
        <w:numId w:val="13"/>
      </w:numPr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96">
    <w:name w:val="附录三级无"/>
    <w:basedOn w:val="6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9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99">
    <w:name w:val="四级无"/>
    <w:basedOn w:val="8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0">
    <w:name w:val="示例×："/>
    <w:basedOn w:val="85"/>
    <w:qFormat/>
    <w:uiPriority w:val="0"/>
    <w:pPr>
      <w:numPr>
        <w:numId w:val="14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02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Calibri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3">
    <w:name w:val="其他发布部门"/>
    <w:basedOn w:val="10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4">
    <w:name w:val="二级无"/>
    <w:basedOn w:val="83"/>
    <w:qFormat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105">
    <w:name w:val="附录五级无"/>
    <w:basedOn w:val="6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6">
    <w:name w:val="标准书眉_偶数页"/>
    <w:basedOn w:val="78"/>
    <w:next w:val="1"/>
    <w:qFormat/>
    <w:uiPriority w:val="0"/>
    <w:pPr>
      <w:jc w:val="left"/>
    </w:pPr>
  </w:style>
  <w:style w:type="paragraph" w:customStyle="1" w:styleId="107">
    <w:name w:val="封面标准英文名称2"/>
    <w:basedOn w:val="43"/>
    <w:qFormat/>
    <w:uiPriority w:val="0"/>
    <w:pPr>
      <w:framePr w:y="4469"/>
    </w:pPr>
  </w:style>
  <w:style w:type="paragraph" w:customStyle="1" w:styleId="108">
    <w:name w:val="五级条标题"/>
    <w:basedOn w:val="88"/>
    <w:next w:val="21"/>
    <w:qFormat/>
    <w:uiPriority w:val="0"/>
    <w:pPr>
      <w:numPr>
        <w:ilvl w:val="5"/>
      </w:numPr>
      <w:outlineLvl w:val="6"/>
    </w:pPr>
  </w:style>
  <w:style w:type="paragraph" w:customStyle="1" w:styleId="109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0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Calibri" w:eastAsia="宋体" w:cs="Times New Roman"/>
      <w:sz w:val="18"/>
      <w:lang w:val="en-US" w:eastAsia="zh-CN" w:bidi="ar-SA"/>
    </w:rPr>
  </w:style>
  <w:style w:type="paragraph" w:customStyle="1" w:styleId="111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Calibri" w:eastAsia="黑体" w:cs="Times New Roman"/>
      <w:sz w:val="32"/>
      <w:lang w:val="en-US" w:eastAsia="zh-CN" w:bidi="ar-SA"/>
    </w:rPr>
  </w:style>
  <w:style w:type="paragraph" w:customStyle="1" w:styleId="112">
    <w:name w:val="注：（正文）"/>
    <w:basedOn w:val="89"/>
    <w:next w:val="21"/>
    <w:qFormat/>
    <w:uiPriority w:val="0"/>
    <w:pPr>
      <w:numPr>
        <w:ilvl w:val="0"/>
        <w:numId w:val="15"/>
      </w:numPr>
    </w:pPr>
  </w:style>
  <w:style w:type="paragraph" w:customStyle="1" w:styleId="113">
    <w:name w:val="注×：（正文）"/>
    <w:qFormat/>
    <w:uiPriority w:val="0"/>
    <w:pPr>
      <w:numPr>
        <w:ilvl w:val="0"/>
        <w:numId w:val="16"/>
      </w:numPr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1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5">
    <w:name w:val="附录表标号"/>
    <w:basedOn w:val="1"/>
    <w:next w:val="21"/>
    <w:qFormat/>
    <w:uiPriority w:val="0"/>
    <w:pPr>
      <w:numPr>
        <w:ilvl w:val="0"/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6">
    <w:name w:val="封面标准文稿编辑信息2"/>
    <w:basedOn w:val="40"/>
    <w:qFormat/>
    <w:uiPriority w:val="0"/>
    <w:pPr>
      <w:framePr w:y="4469"/>
    </w:pPr>
  </w:style>
  <w:style w:type="paragraph" w:customStyle="1" w:styleId="117">
    <w:name w:val="其他实施日期"/>
    <w:basedOn w:val="76"/>
    <w:qFormat/>
    <w:uiPriority w:val="0"/>
  </w:style>
  <w:style w:type="paragraph" w:customStyle="1" w:styleId="118">
    <w:name w:val="附录公式"/>
    <w:basedOn w:val="21"/>
    <w:next w:val="21"/>
    <w:link w:val="133"/>
    <w:qFormat/>
    <w:uiPriority w:val="0"/>
  </w:style>
  <w:style w:type="paragraph" w:customStyle="1" w:styleId="119">
    <w:name w:val="其他发布日期"/>
    <w:basedOn w:val="53"/>
    <w:qFormat/>
    <w:uiPriority w:val="0"/>
    <w:pPr>
      <w:framePr w:vAnchor="page" w:hAnchor="text" w:x="1419"/>
    </w:pPr>
  </w:style>
  <w:style w:type="paragraph" w:customStyle="1" w:styleId="120">
    <w:name w:val="五级无"/>
    <w:basedOn w:val="10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Calibri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2">
    <w:name w:val="其他标准标志"/>
    <w:basedOn w:val="74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23">
    <w:name w:val="封面一致性程度标识2"/>
    <w:basedOn w:val="42"/>
    <w:qFormat/>
    <w:uiPriority w:val="0"/>
    <w:pPr>
      <w:framePr w:y="4469"/>
    </w:pPr>
  </w:style>
  <w:style w:type="paragraph" w:customStyle="1" w:styleId="1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 w:eastAsia="宋体" w:cs="Times New Roman"/>
      <w:sz w:val="21"/>
      <w:szCs w:val="21"/>
      <w:lang w:val="en-US" w:eastAsia="zh-CN" w:bidi="ar-SA"/>
    </w:rPr>
  </w:style>
  <w:style w:type="paragraph" w:customStyle="1" w:styleId="125">
    <w:name w:val="附录四级无"/>
    <w:basedOn w:val="6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6">
    <w:name w:val="注×："/>
    <w:qFormat/>
    <w:uiPriority w:val="0"/>
    <w:pPr>
      <w:widowControl w:val="0"/>
      <w:numPr>
        <w:ilvl w:val="0"/>
        <w:numId w:val="17"/>
      </w:numPr>
      <w:autoSpaceDE w:val="0"/>
      <w:autoSpaceDN w:val="0"/>
      <w:jc w:val="both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paragraph" w:customStyle="1" w:styleId="127">
    <w:name w:val="三级无"/>
    <w:basedOn w:val="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8">
    <w:name w:val="附录图标题"/>
    <w:basedOn w:val="1"/>
    <w:next w:val="21"/>
    <w:qFormat/>
    <w:uiPriority w:val="0"/>
    <w:pPr>
      <w:numPr>
        <w:ilvl w:val="1"/>
        <w:numId w:val="9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9">
    <w:name w:val="首示例"/>
    <w:next w:val="21"/>
    <w:link w:val="132"/>
    <w:qFormat/>
    <w:uiPriority w:val="0"/>
    <w:pPr>
      <w:numPr>
        <w:ilvl w:val="0"/>
        <w:numId w:val="18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character" w:customStyle="1" w:styleId="132">
    <w:name w:val="首示例 Char"/>
    <w:link w:val="12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33">
    <w:name w:val="附录公式 Char"/>
    <w:basedOn w:val="131"/>
    <w:link w:val="118"/>
    <w:qFormat/>
    <w:uiPriority w:val="0"/>
    <w:rPr>
      <w:rFonts w:ascii="宋体"/>
      <w:sz w:val="21"/>
      <w:lang w:val="en-US" w:eastAsia="zh-CN" w:bidi="ar-SA"/>
    </w:rPr>
  </w:style>
  <w:style w:type="character" w:customStyle="1" w:styleId="13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135">
    <w:name w:val="三级条标题 Char"/>
    <w:link w:val="82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</Pages>
  <Words>861</Words>
  <Characters>4914</Characters>
  <Lines>40</Lines>
  <Paragraphs>11</Paragraphs>
  <TotalTime>0</TotalTime>
  <ScaleCrop>false</ScaleCrop>
  <LinksUpToDate>false</LinksUpToDate>
  <CharactersWithSpaces>5764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2018-06-12T04:03:00Z</dcterms:created>
  <dc:creator>CNIS</dc:creator>
  <cp:lastModifiedBy>张吟瑄</cp:lastModifiedBy>
  <cp:lastPrinted>2018-08-07T06:51:00Z</cp:lastPrinted>
  <dcterms:modified xsi:type="dcterms:W3CDTF">2018-10-17T08:29:03Z</dcterms:modified>
  <dc:title>标准名称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