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9CA" w:rsidRDefault="00A132A0">
      <w:pPr>
        <w:spacing w:line="360" w:lineRule="auto"/>
        <w:jc w:val="center"/>
        <w:rPr>
          <w:rFonts w:ascii="宋体" w:eastAsia="宋体" w:hAnsi="宋体"/>
          <w:sz w:val="36"/>
          <w:szCs w:val="28"/>
        </w:rPr>
      </w:pPr>
      <w:r>
        <w:rPr>
          <w:rFonts w:ascii="宋体" w:eastAsia="宋体" w:hAnsi="宋体" w:hint="eastAsia"/>
          <w:sz w:val="36"/>
          <w:szCs w:val="28"/>
        </w:rPr>
        <w:t>行业标准铥镱镥富集物</w:t>
      </w:r>
    </w:p>
    <w:p w:rsidR="00B859CA" w:rsidRDefault="00A132A0">
      <w:pPr>
        <w:spacing w:line="360" w:lineRule="auto"/>
        <w:jc w:val="center"/>
        <w:rPr>
          <w:rFonts w:ascii="宋体" w:eastAsia="宋体" w:hAnsi="宋体"/>
          <w:sz w:val="36"/>
          <w:szCs w:val="28"/>
        </w:rPr>
      </w:pPr>
      <w:r>
        <w:rPr>
          <w:rFonts w:ascii="宋体" w:eastAsia="宋体" w:hAnsi="宋体" w:hint="eastAsia"/>
          <w:sz w:val="36"/>
          <w:szCs w:val="28"/>
        </w:rPr>
        <w:t>（征求意见稿）编制说明</w:t>
      </w:r>
    </w:p>
    <w:p w:rsidR="00B859CA" w:rsidRDefault="00A132A0">
      <w:pPr>
        <w:spacing w:line="360" w:lineRule="auto"/>
        <w:rPr>
          <w:rFonts w:ascii="宋体" w:eastAsia="宋体" w:hAnsi="宋体"/>
          <w:b/>
          <w:sz w:val="28"/>
          <w:szCs w:val="28"/>
        </w:rPr>
      </w:pPr>
      <w:r>
        <w:rPr>
          <w:rFonts w:ascii="宋体" w:eastAsia="宋体" w:hAnsi="宋体" w:hint="eastAsia"/>
          <w:b/>
          <w:sz w:val="28"/>
          <w:szCs w:val="28"/>
        </w:rPr>
        <w:t>一、工作简况</w:t>
      </w:r>
    </w:p>
    <w:p w:rsidR="00B859CA" w:rsidRDefault="00A132A0">
      <w:pPr>
        <w:pStyle w:val="a8"/>
        <w:spacing w:line="360" w:lineRule="auto"/>
        <w:ind w:firstLineChars="0" w:firstLine="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立项目的及意义</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铥镱镥富集物是以铥、镱、镥三种稀土元素对应的氧化物、料液或碳酸盐形式存在的产品，它是最近几年开始进行贸易流转的稀土矿产品。由于国内稀土分离企业的十五种稀土元素的分离能力或者分离需求不同，铥镱镥富集物作为稀土原矿的萃取分离产物，它和其它稀土矿产品一样，可用于有能力或需求的稀土分离企业分离生产铥、镱、镥单一元素化合物的原材料。</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氧化镥由于特殊的电子层结构及特殊的物理性能，在国内外的应用非常的广泛，需求量大。（</w:t>
      </w:r>
      <w:r>
        <w:rPr>
          <w:rFonts w:ascii="宋体" w:eastAsia="宋体" w:hAnsi="宋体" w:hint="eastAsia"/>
          <w:sz w:val="28"/>
          <w:szCs w:val="28"/>
        </w:rPr>
        <w:t>1</w:t>
      </w:r>
      <w:r>
        <w:rPr>
          <w:rFonts w:ascii="宋体" w:eastAsia="宋体" w:hAnsi="宋体" w:hint="eastAsia"/>
          <w:sz w:val="28"/>
          <w:szCs w:val="28"/>
        </w:rPr>
        <w:t>）氧化镥在</w:t>
      </w:r>
      <w:r>
        <w:rPr>
          <w:rFonts w:ascii="宋体" w:eastAsia="宋体" w:hAnsi="宋体"/>
          <w:sz w:val="28"/>
          <w:szCs w:val="28"/>
        </w:rPr>
        <w:t>LED</w:t>
      </w:r>
      <w:r>
        <w:rPr>
          <w:rFonts w:ascii="宋体" w:eastAsia="宋体" w:hAnsi="宋体"/>
          <w:sz w:val="28"/>
          <w:szCs w:val="28"/>
        </w:rPr>
        <w:t>方面的运用</w:t>
      </w: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在高纯超细纳米材料的运用</w:t>
      </w: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稀土离子掺杂氧化镥透明陶瓷材料及新型硅酸钇镥晶体在民用</w:t>
      </w:r>
      <w:r>
        <w:rPr>
          <w:rFonts w:ascii="宋体" w:eastAsia="宋体" w:hAnsi="宋体"/>
          <w:sz w:val="28"/>
          <w:szCs w:val="28"/>
        </w:rPr>
        <w:t>PET</w:t>
      </w:r>
      <w:r>
        <w:rPr>
          <w:rFonts w:ascii="宋体" w:eastAsia="宋体" w:hAnsi="宋体"/>
          <w:sz w:val="28"/>
          <w:szCs w:val="28"/>
        </w:rPr>
        <w:t>机国产化中的运用等。在</w:t>
      </w:r>
      <w:r>
        <w:rPr>
          <w:rFonts w:ascii="宋体" w:eastAsia="宋体" w:hAnsi="宋体"/>
          <w:sz w:val="28"/>
          <w:szCs w:val="28"/>
        </w:rPr>
        <w:t>LED</w:t>
      </w:r>
      <w:r>
        <w:rPr>
          <w:rFonts w:ascii="宋体" w:eastAsia="宋体" w:hAnsi="宋体"/>
          <w:sz w:val="28"/>
          <w:szCs w:val="28"/>
        </w:rPr>
        <w:t>方面的运用年需求量</w:t>
      </w:r>
      <w:r>
        <w:rPr>
          <w:rFonts w:ascii="宋体" w:eastAsia="宋体" w:hAnsi="宋体"/>
          <w:sz w:val="28"/>
          <w:szCs w:val="28"/>
        </w:rPr>
        <w:t>10t</w:t>
      </w:r>
      <w:r>
        <w:rPr>
          <w:rFonts w:ascii="宋体" w:eastAsia="宋体" w:hAnsi="宋体"/>
          <w:sz w:val="28"/>
          <w:szCs w:val="28"/>
        </w:rPr>
        <w:t>左右，而新型硅酸钇镥晶体在民用</w:t>
      </w:r>
      <w:r>
        <w:rPr>
          <w:rFonts w:ascii="宋体" w:eastAsia="宋体" w:hAnsi="宋体"/>
          <w:sz w:val="28"/>
          <w:szCs w:val="28"/>
        </w:rPr>
        <w:t>PET</w:t>
      </w:r>
      <w:r>
        <w:rPr>
          <w:rFonts w:ascii="宋体" w:eastAsia="宋体" w:hAnsi="宋体"/>
          <w:sz w:val="28"/>
          <w:szCs w:val="28"/>
        </w:rPr>
        <w:t>机国产化中的运用，年需求量</w:t>
      </w:r>
      <w:r>
        <w:rPr>
          <w:rFonts w:ascii="宋体" w:eastAsia="宋体" w:hAnsi="宋体"/>
          <w:sz w:val="28"/>
          <w:szCs w:val="28"/>
        </w:rPr>
        <w:t>40</w:t>
      </w:r>
      <w:r>
        <w:rPr>
          <w:rFonts w:ascii="宋体" w:eastAsia="宋体" w:hAnsi="宋体" w:cs="宋体" w:hint="eastAsia"/>
          <w:sz w:val="28"/>
          <w:szCs w:val="28"/>
        </w:rPr>
        <w:t>～</w:t>
      </w:r>
      <w:r>
        <w:rPr>
          <w:rFonts w:ascii="宋体" w:eastAsia="宋体" w:hAnsi="宋体"/>
          <w:sz w:val="28"/>
          <w:szCs w:val="28"/>
        </w:rPr>
        <w:t>50t</w:t>
      </w:r>
      <w:r>
        <w:rPr>
          <w:rFonts w:ascii="宋体" w:eastAsia="宋体" w:hAnsi="宋体"/>
          <w:sz w:val="28"/>
          <w:szCs w:val="28"/>
        </w:rPr>
        <w:t>左右；</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铥的主要用途有以下几个方面：（</w:t>
      </w:r>
      <w:r>
        <w:rPr>
          <w:rFonts w:ascii="宋体" w:eastAsia="宋体" w:hAnsi="宋体"/>
          <w:sz w:val="28"/>
          <w:szCs w:val="28"/>
        </w:rPr>
        <w:t>1</w:t>
      </w:r>
      <w:r>
        <w:rPr>
          <w:rFonts w:ascii="宋体" w:eastAsia="宋体" w:hAnsi="宋体"/>
          <w:sz w:val="28"/>
          <w:szCs w:val="28"/>
        </w:rPr>
        <w:t>）铥用作医用轻便</w:t>
      </w:r>
      <w:r>
        <w:rPr>
          <w:rFonts w:ascii="宋体" w:eastAsia="宋体" w:hAnsi="宋体"/>
          <w:sz w:val="28"/>
          <w:szCs w:val="28"/>
        </w:rPr>
        <w:t>X</w:t>
      </w:r>
      <w:r>
        <w:rPr>
          <w:rFonts w:ascii="宋体" w:eastAsia="宋体" w:hAnsi="宋体"/>
          <w:sz w:val="28"/>
          <w:szCs w:val="28"/>
        </w:rPr>
        <w:t>光机射线源；（</w:t>
      </w:r>
      <w:r>
        <w:rPr>
          <w:rFonts w:ascii="宋体" w:eastAsia="宋体" w:hAnsi="宋体"/>
          <w:sz w:val="28"/>
          <w:szCs w:val="28"/>
        </w:rPr>
        <w:t>2</w:t>
      </w:r>
      <w:r>
        <w:rPr>
          <w:rFonts w:ascii="宋体" w:eastAsia="宋体" w:hAnsi="宋体"/>
          <w:sz w:val="28"/>
          <w:szCs w:val="28"/>
        </w:rPr>
        <w:t>）铥还可应用于临床诊断和治疗肿瘤；（</w:t>
      </w:r>
      <w:r>
        <w:rPr>
          <w:rFonts w:ascii="宋体" w:eastAsia="宋体" w:hAnsi="宋体"/>
          <w:sz w:val="28"/>
          <w:szCs w:val="28"/>
        </w:rPr>
        <w:t>3</w:t>
      </w:r>
      <w:r>
        <w:rPr>
          <w:rFonts w:ascii="宋体" w:eastAsia="宋体" w:hAnsi="宋体"/>
          <w:sz w:val="28"/>
          <w:szCs w:val="28"/>
        </w:rPr>
        <w:t>）铥在金属卤素灯做添加剂；（</w:t>
      </w:r>
      <w:r>
        <w:rPr>
          <w:rFonts w:ascii="宋体" w:eastAsia="宋体" w:hAnsi="宋体"/>
          <w:sz w:val="28"/>
          <w:szCs w:val="28"/>
        </w:rPr>
        <w:t>4</w:t>
      </w:r>
      <w:r>
        <w:rPr>
          <w:rFonts w:ascii="宋体" w:eastAsia="宋体" w:hAnsi="宋体"/>
          <w:sz w:val="28"/>
          <w:szCs w:val="28"/>
        </w:rPr>
        <w:t>）</w:t>
      </w:r>
      <w:r>
        <w:rPr>
          <w:rFonts w:ascii="宋体" w:eastAsia="宋体" w:hAnsi="宋体"/>
          <w:sz w:val="28"/>
          <w:szCs w:val="28"/>
        </w:rPr>
        <w:t>Tm3+</w:t>
      </w:r>
      <w:r>
        <w:rPr>
          <w:rFonts w:ascii="宋体" w:eastAsia="宋体" w:hAnsi="宋体"/>
          <w:sz w:val="28"/>
          <w:szCs w:val="28"/>
        </w:rPr>
        <w:t>加入到玻璃中可制成稀土玻璃激光材料，这是目前输出脉冲量最大，输出功率最高的固体激光材料；（</w:t>
      </w:r>
      <w:r>
        <w:rPr>
          <w:rFonts w:ascii="宋体" w:eastAsia="宋体" w:hAnsi="宋体"/>
          <w:sz w:val="28"/>
          <w:szCs w:val="28"/>
        </w:rPr>
        <w:t>5</w:t>
      </w:r>
      <w:r>
        <w:rPr>
          <w:rFonts w:ascii="宋体" w:eastAsia="宋体" w:hAnsi="宋体"/>
          <w:sz w:val="28"/>
          <w:szCs w:val="28"/>
        </w:rPr>
        <w:t>）铥在</w:t>
      </w:r>
      <w:r>
        <w:rPr>
          <w:rFonts w:ascii="宋体" w:eastAsia="宋体" w:hAnsi="宋体"/>
          <w:sz w:val="28"/>
          <w:szCs w:val="28"/>
        </w:rPr>
        <w:t>X</w:t>
      </w:r>
      <w:r>
        <w:rPr>
          <w:rFonts w:ascii="宋体" w:eastAsia="宋体" w:hAnsi="宋体"/>
          <w:sz w:val="28"/>
          <w:szCs w:val="28"/>
        </w:rPr>
        <w:t>射线增感屏用荧光粉</w:t>
      </w:r>
      <w:r>
        <w:rPr>
          <w:rFonts w:ascii="宋体" w:eastAsia="宋体" w:hAnsi="宋体"/>
          <w:sz w:val="28"/>
          <w:szCs w:val="28"/>
        </w:rPr>
        <w:t>中做激活剂</w:t>
      </w:r>
      <w:r>
        <w:rPr>
          <w:rFonts w:ascii="宋体" w:eastAsia="宋体" w:hAnsi="宋体"/>
          <w:sz w:val="28"/>
          <w:szCs w:val="28"/>
        </w:rPr>
        <w:t>LaOBr:Br</w:t>
      </w:r>
      <w:r>
        <w:rPr>
          <w:rFonts w:ascii="宋体" w:eastAsia="宋体" w:hAnsi="宋体"/>
          <w:sz w:val="28"/>
          <w:szCs w:val="28"/>
        </w:rPr>
        <w:t>（蓝色），达到增强光学灵敏度，因而降低了</w:t>
      </w:r>
      <w:r>
        <w:rPr>
          <w:rFonts w:ascii="宋体" w:eastAsia="宋体" w:hAnsi="宋体"/>
          <w:sz w:val="28"/>
          <w:szCs w:val="28"/>
        </w:rPr>
        <w:t>X</w:t>
      </w:r>
      <w:r>
        <w:rPr>
          <w:rFonts w:ascii="宋体" w:eastAsia="宋体" w:hAnsi="宋体"/>
          <w:sz w:val="28"/>
          <w:szCs w:val="28"/>
        </w:rPr>
        <w:t>射线对人的照射和危害，与以前钨酸钙增感屏相比可降</w:t>
      </w:r>
      <w:r>
        <w:rPr>
          <w:rFonts w:ascii="宋体" w:eastAsia="宋体" w:hAnsi="宋体"/>
          <w:sz w:val="28"/>
          <w:szCs w:val="28"/>
        </w:rPr>
        <w:lastRenderedPageBreak/>
        <w:t>低</w:t>
      </w:r>
      <w:r>
        <w:rPr>
          <w:rFonts w:ascii="宋体" w:eastAsia="宋体" w:hAnsi="宋体"/>
          <w:sz w:val="28"/>
          <w:szCs w:val="28"/>
        </w:rPr>
        <w:t>X</w:t>
      </w:r>
      <w:r>
        <w:rPr>
          <w:rFonts w:ascii="宋体" w:eastAsia="宋体" w:hAnsi="宋体"/>
          <w:sz w:val="28"/>
          <w:szCs w:val="28"/>
        </w:rPr>
        <w:t>射线剂量</w:t>
      </w:r>
      <w:r>
        <w:rPr>
          <w:rFonts w:ascii="宋体" w:eastAsia="宋体" w:hAnsi="宋体"/>
          <w:sz w:val="28"/>
          <w:szCs w:val="28"/>
        </w:rPr>
        <w:t>50%</w:t>
      </w:r>
      <w:r>
        <w:rPr>
          <w:rFonts w:ascii="宋体" w:eastAsia="宋体" w:hAnsi="宋体"/>
          <w:sz w:val="28"/>
          <w:szCs w:val="28"/>
        </w:rPr>
        <w:t>，这在医学应用具有重要现实的意义。</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氧化镱则拥有优异的光谱特性，掺杂</w:t>
      </w:r>
      <w:r>
        <w:rPr>
          <w:rFonts w:ascii="宋体" w:eastAsia="宋体" w:hAnsi="宋体"/>
          <w:sz w:val="28"/>
          <w:szCs w:val="28"/>
        </w:rPr>
        <w:t>Yb</w:t>
      </w:r>
      <w:r>
        <w:rPr>
          <w:rFonts w:ascii="宋体" w:eastAsia="宋体" w:hAnsi="宋体"/>
          <w:sz w:val="28"/>
          <w:szCs w:val="28"/>
        </w:rPr>
        <w:t>的光纤放大器可以实现功率放大，用于光纤传感器、自由空间激光通信领域。另外镱的半导体作为激光材料，在红外制导武器中具有重要的军事意义。</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依据氧化镥的需求量推算需要消耗</w:t>
      </w:r>
      <w:r>
        <w:rPr>
          <w:rFonts w:ascii="宋体" w:eastAsia="宋体" w:hAnsi="宋体"/>
          <w:sz w:val="28"/>
          <w:szCs w:val="28"/>
        </w:rPr>
        <w:t>30</w:t>
      </w:r>
      <w:r>
        <w:rPr>
          <w:rFonts w:ascii="宋体" w:eastAsia="宋体" w:hAnsi="宋体"/>
          <w:sz w:val="28"/>
          <w:szCs w:val="28"/>
        </w:rPr>
        <w:t>，</w:t>
      </w:r>
      <w:r>
        <w:rPr>
          <w:rFonts w:ascii="宋体" w:eastAsia="宋体" w:hAnsi="宋体"/>
          <w:sz w:val="28"/>
          <w:szCs w:val="28"/>
        </w:rPr>
        <w:t>000t</w:t>
      </w:r>
      <w:r>
        <w:rPr>
          <w:rFonts w:ascii="宋体" w:eastAsia="宋体" w:hAnsi="宋体"/>
          <w:sz w:val="28"/>
          <w:szCs w:val="28"/>
        </w:rPr>
        <w:t>左右的离子型稀土矿（根据目前</w:t>
      </w:r>
      <w:r>
        <w:rPr>
          <w:rFonts w:ascii="宋体" w:eastAsia="宋体" w:hAnsi="宋体"/>
          <w:sz w:val="28"/>
          <w:szCs w:val="28"/>
        </w:rPr>
        <w:t>0.2%</w:t>
      </w:r>
      <w:r>
        <w:rPr>
          <w:rFonts w:ascii="宋体" w:eastAsia="宋体" w:hAnsi="宋体"/>
          <w:sz w:val="28"/>
          <w:szCs w:val="28"/>
        </w:rPr>
        <w:t>氧化镥含量的稀土矿计算），而铥镱镥富集物则需要</w:t>
      </w:r>
      <w:r>
        <w:rPr>
          <w:rFonts w:ascii="宋体" w:eastAsia="宋体" w:hAnsi="宋体"/>
          <w:sz w:val="28"/>
          <w:szCs w:val="28"/>
        </w:rPr>
        <w:t>500t</w:t>
      </w:r>
      <w:r>
        <w:rPr>
          <w:rFonts w:ascii="宋体" w:eastAsia="宋体" w:hAnsi="宋体"/>
          <w:sz w:val="28"/>
          <w:szCs w:val="28"/>
        </w:rPr>
        <w:t>左右（按照目前</w:t>
      </w:r>
      <w:r>
        <w:rPr>
          <w:rFonts w:ascii="宋体" w:eastAsia="宋体" w:hAnsi="宋体"/>
          <w:sz w:val="28"/>
          <w:szCs w:val="28"/>
        </w:rPr>
        <w:t>12%</w:t>
      </w:r>
      <w:r>
        <w:rPr>
          <w:rFonts w:ascii="宋体" w:eastAsia="宋体" w:hAnsi="宋体"/>
          <w:sz w:val="28"/>
          <w:szCs w:val="28"/>
        </w:rPr>
        <w:t>氧化镥含量的铥镱镥</w:t>
      </w:r>
      <w:r>
        <w:rPr>
          <w:rFonts w:ascii="宋体" w:eastAsia="宋体" w:hAnsi="宋体"/>
          <w:sz w:val="28"/>
          <w:szCs w:val="28"/>
        </w:rPr>
        <w:t>富集物计算）。根据福建省长汀金龙稀土有限公司近年贸易及使用铥镱镥富集物情况，从</w:t>
      </w:r>
      <w:r>
        <w:rPr>
          <w:rFonts w:ascii="宋体" w:eastAsia="宋体" w:hAnsi="宋体"/>
          <w:sz w:val="28"/>
          <w:szCs w:val="28"/>
        </w:rPr>
        <w:t>2014</w:t>
      </w:r>
      <w:r>
        <w:rPr>
          <w:rFonts w:ascii="宋体" w:eastAsia="宋体" w:hAnsi="宋体"/>
          <w:sz w:val="28"/>
          <w:szCs w:val="28"/>
        </w:rPr>
        <w:t>年底开始，至今福建省长汀金龙稀土有限公司共计与</w:t>
      </w:r>
      <w:r>
        <w:rPr>
          <w:rFonts w:ascii="宋体" w:eastAsia="宋体" w:hAnsi="宋体"/>
          <w:sz w:val="28"/>
          <w:szCs w:val="28"/>
        </w:rPr>
        <w:t>24</w:t>
      </w:r>
      <w:r>
        <w:rPr>
          <w:rFonts w:ascii="宋体" w:eastAsia="宋体" w:hAnsi="宋体"/>
          <w:sz w:val="28"/>
          <w:szCs w:val="28"/>
        </w:rPr>
        <w:t>家不同的稀土生产企业或贸易公司进行铥镱镥富集物的贸易往来。</w:t>
      </w:r>
    </w:p>
    <w:p w:rsidR="00B859CA" w:rsidRDefault="00A132A0">
      <w:pPr>
        <w:pStyle w:val="a8"/>
        <w:spacing w:line="360" w:lineRule="auto"/>
        <w:ind w:firstLine="560"/>
        <w:rPr>
          <w:rFonts w:ascii="宋体" w:eastAsia="宋体" w:hAnsi="宋体"/>
          <w:sz w:val="28"/>
          <w:szCs w:val="28"/>
        </w:rPr>
      </w:pPr>
      <w:r>
        <w:rPr>
          <w:rFonts w:ascii="宋体" w:eastAsia="宋体" w:hAnsi="宋体" w:hint="eastAsia"/>
          <w:sz w:val="28"/>
          <w:szCs w:val="28"/>
        </w:rPr>
        <w:t>目前国内镥主要存在于在离子型稀土矿储量比较丰富的南方地区，但是矿物中镥元素配分较低，一般占矿物总量不到</w:t>
      </w:r>
      <w:r>
        <w:rPr>
          <w:rFonts w:ascii="宋体" w:eastAsia="宋体" w:hAnsi="宋体"/>
          <w:sz w:val="28"/>
          <w:szCs w:val="28"/>
        </w:rPr>
        <w:t>0.3%</w:t>
      </w:r>
      <w:r>
        <w:rPr>
          <w:rFonts w:ascii="宋体" w:eastAsia="宋体" w:hAnsi="宋体"/>
          <w:sz w:val="28"/>
          <w:szCs w:val="28"/>
        </w:rPr>
        <w:t>，属于极度稀缺资源。而铥镱镥富集物</w:t>
      </w:r>
      <w:r>
        <w:rPr>
          <w:rFonts w:ascii="宋体" w:eastAsia="宋体" w:hAnsi="宋体" w:hint="eastAsia"/>
          <w:sz w:val="28"/>
          <w:szCs w:val="28"/>
        </w:rPr>
        <w:t>中镥含量占比</w:t>
      </w:r>
      <w:r>
        <w:rPr>
          <w:rFonts w:ascii="宋体" w:eastAsia="宋体" w:hAnsi="宋体" w:hint="eastAsia"/>
          <w:sz w:val="28"/>
          <w:szCs w:val="28"/>
        </w:rPr>
        <w:t>5</w:t>
      </w:r>
      <w:r>
        <w:rPr>
          <w:rFonts w:ascii="宋体" w:eastAsia="宋体" w:hAnsi="宋体"/>
          <w:sz w:val="28"/>
          <w:szCs w:val="28"/>
        </w:rPr>
        <w:t>%</w:t>
      </w:r>
      <w:r>
        <w:rPr>
          <w:rFonts w:ascii="宋体" w:eastAsia="宋体" w:hAnsi="宋体" w:cs="宋体" w:hint="eastAsia"/>
          <w:sz w:val="28"/>
          <w:szCs w:val="28"/>
        </w:rPr>
        <w:t>～</w:t>
      </w:r>
      <w:r>
        <w:rPr>
          <w:rFonts w:ascii="宋体" w:eastAsia="宋体" w:hAnsi="宋体" w:hint="eastAsia"/>
          <w:sz w:val="28"/>
          <w:szCs w:val="28"/>
        </w:rPr>
        <w:t>3</w:t>
      </w:r>
      <w:r>
        <w:rPr>
          <w:rFonts w:ascii="宋体" w:eastAsia="宋体" w:hAnsi="宋体"/>
          <w:sz w:val="28"/>
          <w:szCs w:val="28"/>
        </w:rPr>
        <w:t>0%</w:t>
      </w:r>
      <w:r>
        <w:rPr>
          <w:rFonts w:ascii="宋体" w:eastAsia="宋体" w:hAnsi="宋体"/>
          <w:sz w:val="28"/>
          <w:szCs w:val="28"/>
        </w:rPr>
        <w:t>，作为氧化镥的原料有极大的利用价值。由于含镥稀土矿产品的价格昂贵，目前无论生产企业</w:t>
      </w:r>
      <w:r>
        <w:rPr>
          <w:rFonts w:ascii="宋体" w:eastAsia="宋体" w:hAnsi="宋体" w:hint="eastAsia"/>
          <w:sz w:val="28"/>
          <w:szCs w:val="28"/>
        </w:rPr>
        <w:t>、</w:t>
      </w:r>
      <w:r>
        <w:rPr>
          <w:rFonts w:ascii="宋体" w:eastAsia="宋体" w:hAnsi="宋体"/>
          <w:sz w:val="28"/>
          <w:szCs w:val="28"/>
        </w:rPr>
        <w:t>用户企业还是贸易中都没有一个统一标准，</w:t>
      </w:r>
      <w:r>
        <w:rPr>
          <w:rFonts w:ascii="宋体" w:eastAsia="宋体" w:hAnsi="宋体" w:hint="eastAsia"/>
          <w:sz w:val="28"/>
          <w:szCs w:val="28"/>
        </w:rPr>
        <w:t>为</w:t>
      </w:r>
      <w:r>
        <w:rPr>
          <w:rFonts w:ascii="宋体" w:eastAsia="宋体" w:hAnsi="宋体"/>
          <w:sz w:val="28"/>
          <w:szCs w:val="28"/>
        </w:rPr>
        <w:t>避免贸易双方出现争议，所</w:t>
      </w:r>
      <w:r>
        <w:rPr>
          <w:rFonts w:ascii="宋体" w:eastAsia="宋体" w:hAnsi="宋体"/>
          <w:sz w:val="28"/>
          <w:szCs w:val="28"/>
        </w:rPr>
        <w:t>以很有必要尽快制定铥镱镥的产品标准，及早搭建配套的检测方法，为生产企业、贸易双方提供有力的技术保障。</w:t>
      </w:r>
    </w:p>
    <w:p w:rsidR="00B859CA" w:rsidRDefault="00A132A0">
      <w:pPr>
        <w:pStyle w:val="a8"/>
        <w:spacing w:line="360" w:lineRule="auto"/>
        <w:ind w:firstLineChars="0" w:firstLine="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任务来源</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本单位于</w:t>
      </w:r>
      <w:r>
        <w:rPr>
          <w:rFonts w:ascii="宋体" w:eastAsia="宋体" w:hAnsi="宋体" w:hint="eastAsia"/>
          <w:sz w:val="28"/>
          <w:szCs w:val="28"/>
        </w:rPr>
        <w:t>2016</w:t>
      </w:r>
      <w:r>
        <w:rPr>
          <w:rFonts w:ascii="宋体" w:eastAsia="宋体" w:hAnsi="宋体" w:hint="eastAsia"/>
          <w:sz w:val="28"/>
          <w:szCs w:val="28"/>
        </w:rPr>
        <w:t>年向全国稀标委秘书处提出产品标准立项申请，并在</w:t>
      </w:r>
      <w:r>
        <w:rPr>
          <w:rFonts w:ascii="宋体" w:eastAsia="宋体" w:hAnsi="宋体" w:hint="eastAsia"/>
          <w:sz w:val="28"/>
          <w:szCs w:val="28"/>
        </w:rPr>
        <w:t>2016</w:t>
      </w:r>
      <w:r>
        <w:rPr>
          <w:rFonts w:ascii="宋体" w:eastAsia="宋体" w:hAnsi="宋体" w:hint="eastAsia"/>
          <w:sz w:val="28"/>
          <w:szCs w:val="28"/>
        </w:rPr>
        <w:t>年度全国稀土标准化技术委员会年会暨《烧结钕铁硼永磁材料》等</w:t>
      </w:r>
      <w:r>
        <w:rPr>
          <w:rFonts w:ascii="宋体" w:eastAsia="宋体" w:hAnsi="宋体" w:hint="eastAsia"/>
          <w:sz w:val="28"/>
          <w:szCs w:val="28"/>
        </w:rPr>
        <w:t>16</w:t>
      </w:r>
      <w:r>
        <w:rPr>
          <w:rFonts w:ascii="宋体" w:eastAsia="宋体" w:hAnsi="宋体" w:hint="eastAsia"/>
          <w:sz w:val="28"/>
          <w:szCs w:val="28"/>
        </w:rPr>
        <w:t>项稀土标准工作会议上做了立项论证报告，经参会专家代表讨论后同意该项目申请并报送稀标委。</w:t>
      </w:r>
      <w:r>
        <w:rPr>
          <w:rFonts w:ascii="宋体" w:eastAsia="宋体" w:hAnsi="宋体" w:hint="eastAsia"/>
          <w:sz w:val="28"/>
          <w:szCs w:val="28"/>
        </w:rPr>
        <w:t xml:space="preserve"> </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根据“国家标准委关于下达</w:t>
      </w:r>
      <w:r>
        <w:rPr>
          <w:rFonts w:ascii="宋体" w:eastAsia="宋体" w:hAnsi="宋体" w:hint="eastAsia"/>
          <w:sz w:val="28"/>
          <w:szCs w:val="28"/>
        </w:rPr>
        <w:t>2017</w:t>
      </w:r>
      <w:r>
        <w:rPr>
          <w:rFonts w:ascii="宋体" w:eastAsia="宋体" w:hAnsi="宋体" w:hint="eastAsia"/>
          <w:sz w:val="28"/>
          <w:szCs w:val="28"/>
        </w:rPr>
        <w:t>年第四批国家标准制修订计划的通知”（国标委综合【</w:t>
      </w:r>
      <w:r>
        <w:rPr>
          <w:rFonts w:ascii="宋体" w:eastAsia="宋体" w:hAnsi="宋体" w:hint="eastAsia"/>
          <w:sz w:val="28"/>
          <w:szCs w:val="28"/>
        </w:rPr>
        <w:t>2017</w:t>
      </w:r>
      <w:r>
        <w:rPr>
          <w:rFonts w:ascii="宋体" w:eastAsia="宋体" w:hAnsi="宋体" w:hint="eastAsia"/>
          <w:sz w:val="28"/>
          <w:szCs w:val="28"/>
        </w:rPr>
        <w:t>】</w:t>
      </w:r>
      <w:r>
        <w:rPr>
          <w:rFonts w:ascii="宋体" w:eastAsia="宋体" w:hAnsi="宋体" w:hint="eastAsia"/>
          <w:sz w:val="28"/>
          <w:szCs w:val="28"/>
        </w:rPr>
        <w:t>128</w:t>
      </w:r>
      <w:r>
        <w:rPr>
          <w:rFonts w:ascii="宋体" w:eastAsia="宋体" w:hAnsi="宋体" w:hint="eastAsia"/>
          <w:sz w:val="28"/>
          <w:szCs w:val="28"/>
        </w:rPr>
        <w:t>号）、“工业和信息化办公厅关于印发</w:t>
      </w:r>
      <w:r>
        <w:rPr>
          <w:rFonts w:ascii="宋体" w:eastAsia="宋体" w:hAnsi="宋体" w:hint="eastAsia"/>
          <w:sz w:val="28"/>
          <w:szCs w:val="28"/>
        </w:rPr>
        <w:t>2017</w:t>
      </w:r>
      <w:r>
        <w:rPr>
          <w:rFonts w:ascii="宋体" w:eastAsia="宋体" w:hAnsi="宋体" w:hint="eastAsia"/>
          <w:sz w:val="28"/>
          <w:szCs w:val="28"/>
        </w:rPr>
        <w:t>年第二批行业标准制修订计划的通知”（工信厅科【</w:t>
      </w:r>
      <w:r>
        <w:rPr>
          <w:rFonts w:ascii="宋体" w:eastAsia="宋体" w:hAnsi="宋体" w:hint="eastAsia"/>
          <w:sz w:val="28"/>
          <w:szCs w:val="28"/>
        </w:rPr>
        <w:t>2017</w:t>
      </w:r>
      <w:r>
        <w:rPr>
          <w:rFonts w:ascii="宋体" w:eastAsia="宋体" w:hAnsi="宋体" w:hint="eastAsia"/>
          <w:sz w:val="28"/>
          <w:szCs w:val="28"/>
        </w:rPr>
        <w:t>】</w:t>
      </w:r>
      <w:r>
        <w:rPr>
          <w:rFonts w:ascii="宋体" w:eastAsia="宋体" w:hAnsi="宋体" w:hint="eastAsia"/>
          <w:sz w:val="28"/>
          <w:szCs w:val="28"/>
        </w:rPr>
        <w:t>106</w:t>
      </w:r>
      <w:r>
        <w:rPr>
          <w:rFonts w:ascii="宋体" w:eastAsia="宋体" w:hAnsi="宋体" w:hint="eastAsia"/>
          <w:sz w:val="28"/>
          <w:szCs w:val="28"/>
        </w:rPr>
        <w:t>号），《铥镱镥富集物》行业标准计划正式下达，计划编号</w:t>
      </w:r>
      <w:r>
        <w:rPr>
          <w:rFonts w:ascii="宋体" w:eastAsia="宋体" w:hAnsi="宋体"/>
          <w:sz w:val="28"/>
          <w:szCs w:val="28"/>
        </w:rPr>
        <w:t>2017-1360T-XB</w:t>
      </w:r>
      <w:r>
        <w:rPr>
          <w:rFonts w:ascii="宋体" w:eastAsia="宋体" w:hAnsi="宋体" w:hint="eastAsia"/>
          <w:sz w:val="28"/>
          <w:szCs w:val="28"/>
        </w:rPr>
        <w:t>，完成年限</w:t>
      </w:r>
      <w:r>
        <w:rPr>
          <w:rFonts w:ascii="宋体" w:eastAsia="宋体" w:hAnsi="宋体" w:hint="eastAsia"/>
          <w:sz w:val="28"/>
          <w:szCs w:val="28"/>
        </w:rPr>
        <w:t>201</w:t>
      </w:r>
      <w:r>
        <w:rPr>
          <w:rFonts w:ascii="宋体" w:eastAsia="宋体" w:hAnsi="宋体" w:hint="eastAsia"/>
          <w:sz w:val="28"/>
          <w:szCs w:val="28"/>
        </w:rPr>
        <w:t>8</w:t>
      </w:r>
      <w:r>
        <w:rPr>
          <w:rFonts w:ascii="宋体" w:eastAsia="宋体" w:hAnsi="宋体" w:hint="eastAsia"/>
          <w:sz w:val="28"/>
          <w:szCs w:val="28"/>
        </w:rPr>
        <w:t>年。本标准</w:t>
      </w:r>
      <w:r>
        <w:rPr>
          <w:rFonts w:ascii="宋体" w:eastAsia="宋体" w:hAnsi="宋体" w:hint="eastAsia"/>
          <w:sz w:val="28"/>
          <w:szCs w:val="28"/>
        </w:rPr>
        <w:t>由</w:t>
      </w:r>
      <w:r>
        <w:rPr>
          <w:rFonts w:ascii="宋体" w:eastAsia="宋体" w:hAnsi="宋体" w:hint="eastAsia"/>
          <w:sz w:val="28"/>
          <w:szCs w:val="28"/>
        </w:rPr>
        <w:t>福建省长汀金龙稀土有限公司</w:t>
      </w:r>
      <w:r>
        <w:rPr>
          <w:rFonts w:ascii="宋体" w:eastAsia="宋体" w:hAnsi="宋体" w:hint="eastAsia"/>
          <w:sz w:val="28"/>
          <w:szCs w:val="28"/>
        </w:rPr>
        <w:t>、江西省钨与稀土研究院</w:t>
      </w:r>
      <w:r>
        <w:rPr>
          <w:rFonts w:ascii="宋体" w:eastAsia="宋体" w:hAnsi="宋体" w:hint="eastAsia"/>
          <w:sz w:val="28"/>
          <w:szCs w:val="28"/>
        </w:rPr>
        <w:t>牵头起草，参与单位为</w:t>
      </w:r>
      <w:r>
        <w:rPr>
          <w:rFonts w:ascii="宋体" w:eastAsia="宋体" w:hAnsi="宋体" w:hint="eastAsia"/>
          <w:sz w:val="28"/>
          <w:szCs w:val="28"/>
        </w:rPr>
        <w:t>广东珠江稀土有限公司、江阴加华新材料资源有限公司、赣县红金稀土有限公司、赣州晨光稀土新材料有限公司、湖南稀土金属金属材料研究院</w:t>
      </w:r>
      <w:r>
        <w:rPr>
          <w:rFonts w:ascii="宋体" w:eastAsia="宋体" w:hAnsi="宋体" w:hint="eastAsia"/>
          <w:sz w:val="28"/>
          <w:szCs w:val="28"/>
        </w:rPr>
        <w:t>等。</w:t>
      </w:r>
    </w:p>
    <w:p w:rsidR="00B859CA" w:rsidRDefault="00A132A0">
      <w:pPr>
        <w:pStyle w:val="a8"/>
        <w:spacing w:line="360" w:lineRule="auto"/>
        <w:ind w:firstLineChars="0" w:firstLine="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工作组简介</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福建省长汀金龙稀土有限公司（以下简称金龙公司）是福建省稀土产业的龙头企业，是国有控股上市公司厦门钨业股份有限公司全资子公司，主要从事稀土分离、稀土精深加工以及稀土功能材料的研发与应用。</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金龙公司主要对外经营稀土化合物及稀土金属产品、发光材料、钕铁硼磁铁合金、钕铁硼磁体以及其它稀土深加工产品、稀土新材料生产与销售；稀土高科技应用产品及相应设备的开发、生产与销售；经营本企业生产所需的原辅材料、仪器仪表、机械设备、零配件及技术的进口业务（国家限定公司经营和国家禁止出口的商品除外）；技术咨询；对外检测；</w:t>
      </w:r>
      <w:r>
        <w:rPr>
          <w:rFonts w:ascii="宋体" w:eastAsia="宋体" w:hAnsi="宋体" w:hint="eastAsia"/>
          <w:sz w:val="28"/>
          <w:szCs w:val="28"/>
        </w:rPr>
        <w:t>电镀线、元器件对外加工。公司拥有高标准建造的国际化标准厂房</w:t>
      </w:r>
      <w:r>
        <w:rPr>
          <w:rFonts w:ascii="宋体" w:eastAsia="宋体" w:hAnsi="宋体"/>
          <w:sz w:val="28"/>
          <w:szCs w:val="28"/>
        </w:rPr>
        <w:t>,</w:t>
      </w:r>
      <w:r>
        <w:rPr>
          <w:rFonts w:ascii="宋体" w:eastAsia="宋体" w:hAnsi="宋体"/>
          <w:sz w:val="28"/>
          <w:szCs w:val="28"/>
        </w:rPr>
        <w:t>先进的生产设备和分析测控仪器</w:t>
      </w:r>
      <w:r>
        <w:rPr>
          <w:rFonts w:ascii="宋体" w:eastAsia="宋体" w:hAnsi="宋体"/>
          <w:sz w:val="28"/>
          <w:szCs w:val="28"/>
        </w:rPr>
        <w:t>,</w:t>
      </w:r>
      <w:r>
        <w:rPr>
          <w:rFonts w:ascii="宋体" w:eastAsia="宋体" w:hAnsi="宋体"/>
          <w:sz w:val="28"/>
          <w:szCs w:val="28"/>
        </w:rPr>
        <w:t>梯队完备的科技人员组织结构</w:t>
      </w:r>
      <w:r>
        <w:rPr>
          <w:rFonts w:ascii="宋体" w:eastAsia="宋体" w:hAnsi="宋体"/>
          <w:sz w:val="28"/>
          <w:szCs w:val="28"/>
        </w:rPr>
        <w:t>,</w:t>
      </w:r>
      <w:r>
        <w:rPr>
          <w:rFonts w:ascii="宋体" w:eastAsia="宋体" w:hAnsi="宋体"/>
          <w:sz w:val="28"/>
          <w:szCs w:val="28"/>
        </w:rPr>
        <w:t>并通过与国內外稀土领域相关科研学术机构的广泛密切合作</w:t>
      </w:r>
      <w:r>
        <w:rPr>
          <w:rFonts w:ascii="宋体" w:eastAsia="宋体" w:hAnsi="宋体"/>
          <w:sz w:val="28"/>
          <w:szCs w:val="28"/>
        </w:rPr>
        <w:t>,</w:t>
      </w:r>
      <w:r>
        <w:rPr>
          <w:rFonts w:ascii="宋体" w:eastAsia="宋体" w:hAnsi="宋体"/>
          <w:sz w:val="28"/>
          <w:szCs w:val="28"/>
        </w:rPr>
        <w:t>形成企业在稀土分离与应用领</w:t>
      </w:r>
      <w:r>
        <w:rPr>
          <w:rFonts w:ascii="宋体" w:eastAsia="宋体" w:hAnsi="宋体" w:hint="eastAsia"/>
          <w:sz w:val="28"/>
          <w:szCs w:val="28"/>
        </w:rPr>
        <w:t>域持续良好的自主技术创新</w:t>
      </w:r>
      <w:r>
        <w:rPr>
          <w:rFonts w:ascii="宋体" w:eastAsia="宋体" w:hAnsi="宋体" w:hint="eastAsia"/>
          <w:sz w:val="28"/>
          <w:szCs w:val="28"/>
        </w:rPr>
        <w:lastRenderedPageBreak/>
        <w:t>能力。员工总人数</w:t>
      </w:r>
      <w:r>
        <w:rPr>
          <w:rFonts w:ascii="宋体" w:eastAsia="宋体" w:hAnsi="宋体"/>
          <w:sz w:val="28"/>
          <w:szCs w:val="28"/>
        </w:rPr>
        <w:t>1209</w:t>
      </w:r>
      <w:r>
        <w:rPr>
          <w:rFonts w:ascii="宋体" w:eastAsia="宋体" w:hAnsi="宋体"/>
          <w:sz w:val="28"/>
          <w:szCs w:val="28"/>
        </w:rPr>
        <w:t>人，投产以来的年均营业收入达到</w:t>
      </w:r>
      <w:r>
        <w:rPr>
          <w:rFonts w:ascii="宋体" w:eastAsia="宋体" w:hAnsi="宋体"/>
          <w:sz w:val="28"/>
          <w:szCs w:val="28"/>
        </w:rPr>
        <w:t>36.7</w:t>
      </w:r>
      <w:r>
        <w:rPr>
          <w:rFonts w:ascii="宋体" w:eastAsia="宋体" w:hAnsi="宋体"/>
          <w:sz w:val="28"/>
          <w:szCs w:val="28"/>
        </w:rPr>
        <w:t>亿元，税利达</w:t>
      </w:r>
      <w:r>
        <w:rPr>
          <w:rFonts w:ascii="宋体" w:eastAsia="宋体" w:hAnsi="宋体"/>
          <w:sz w:val="28"/>
          <w:szCs w:val="28"/>
        </w:rPr>
        <w:t>3100</w:t>
      </w:r>
      <w:r>
        <w:rPr>
          <w:rFonts w:ascii="宋体" w:eastAsia="宋体" w:hAnsi="宋体"/>
          <w:sz w:val="28"/>
          <w:szCs w:val="28"/>
        </w:rPr>
        <w:t>万元。</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检测中心成立于</w:t>
      </w:r>
      <w:r>
        <w:rPr>
          <w:rFonts w:ascii="宋体" w:eastAsia="宋体" w:hAnsi="宋体" w:hint="eastAsia"/>
          <w:sz w:val="28"/>
          <w:szCs w:val="28"/>
        </w:rPr>
        <w:t>2009</w:t>
      </w:r>
      <w:r>
        <w:rPr>
          <w:rFonts w:ascii="宋体" w:eastAsia="宋体" w:hAnsi="宋体" w:hint="eastAsia"/>
          <w:sz w:val="28"/>
          <w:szCs w:val="28"/>
        </w:rPr>
        <w:t>年，主要从事稀土冶炼分离和稀土深加工材料的检测服务。检测中心人员</w:t>
      </w:r>
      <w:r>
        <w:rPr>
          <w:rFonts w:ascii="宋体" w:eastAsia="宋体" w:hAnsi="宋体" w:hint="eastAsia"/>
          <w:sz w:val="28"/>
          <w:szCs w:val="28"/>
        </w:rPr>
        <w:t>60</w:t>
      </w:r>
      <w:r>
        <w:rPr>
          <w:rFonts w:ascii="宋体" w:eastAsia="宋体" w:hAnsi="宋体" w:hint="eastAsia"/>
          <w:sz w:val="28"/>
          <w:szCs w:val="28"/>
        </w:rPr>
        <w:t>余人，实验室面积</w:t>
      </w:r>
      <w:r>
        <w:rPr>
          <w:rFonts w:ascii="宋体" w:eastAsia="宋体" w:hAnsi="宋体" w:hint="eastAsia"/>
          <w:sz w:val="28"/>
          <w:szCs w:val="28"/>
        </w:rPr>
        <w:t>2700</w:t>
      </w:r>
      <w:r>
        <w:rPr>
          <w:rFonts w:ascii="宋体" w:eastAsia="宋体" w:hAnsi="宋体" w:hint="eastAsia"/>
          <w:sz w:val="28"/>
          <w:szCs w:val="28"/>
        </w:rPr>
        <w:t>平方米，拥有国内外先进的精密分析仪器共</w:t>
      </w:r>
      <w:r>
        <w:rPr>
          <w:rFonts w:ascii="宋体" w:eastAsia="宋体" w:hAnsi="宋体" w:hint="eastAsia"/>
          <w:sz w:val="28"/>
          <w:szCs w:val="28"/>
        </w:rPr>
        <w:t>70</w:t>
      </w:r>
      <w:r>
        <w:rPr>
          <w:rFonts w:ascii="宋体" w:eastAsia="宋体" w:hAnsi="宋体" w:hint="eastAsia"/>
          <w:sz w:val="28"/>
          <w:szCs w:val="28"/>
        </w:rPr>
        <w:t>多台，总价值超过</w:t>
      </w:r>
      <w:r>
        <w:rPr>
          <w:rFonts w:ascii="宋体" w:eastAsia="宋体" w:hAnsi="宋体" w:hint="eastAsia"/>
          <w:sz w:val="28"/>
          <w:szCs w:val="28"/>
        </w:rPr>
        <w:t>2000</w:t>
      </w:r>
      <w:r>
        <w:rPr>
          <w:rFonts w:ascii="宋体" w:eastAsia="宋体" w:hAnsi="宋体" w:hint="eastAsia"/>
          <w:sz w:val="28"/>
          <w:szCs w:val="28"/>
        </w:rPr>
        <w:t>万元。</w:t>
      </w:r>
      <w:r>
        <w:rPr>
          <w:rFonts w:ascii="宋体" w:eastAsia="宋体" w:hAnsi="宋体" w:hint="eastAsia"/>
          <w:sz w:val="28"/>
          <w:szCs w:val="28"/>
        </w:rPr>
        <w:t>2015</w:t>
      </w:r>
      <w:r>
        <w:rPr>
          <w:rFonts w:ascii="宋体" w:eastAsia="宋体" w:hAnsi="宋体" w:hint="eastAsia"/>
          <w:sz w:val="28"/>
          <w:szCs w:val="28"/>
        </w:rPr>
        <w:t>年通过</w:t>
      </w:r>
      <w:r>
        <w:rPr>
          <w:rFonts w:ascii="宋体" w:eastAsia="宋体" w:hAnsi="宋体" w:hint="eastAsia"/>
          <w:sz w:val="28"/>
          <w:szCs w:val="28"/>
        </w:rPr>
        <w:t>了中国合格评定国家认可委员会（</w:t>
      </w:r>
      <w:r>
        <w:rPr>
          <w:rFonts w:ascii="宋体" w:eastAsia="宋体" w:hAnsi="宋体" w:hint="eastAsia"/>
          <w:sz w:val="28"/>
          <w:szCs w:val="28"/>
        </w:rPr>
        <w:t>CNAS</w:t>
      </w:r>
      <w:r>
        <w:rPr>
          <w:rFonts w:ascii="宋体" w:eastAsia="宋体" w:hAnsi="宋体" w:hint="eastAsia"/>
          <w:sz w:val="28"/>
          <w:szCs w:val="28"/>
        </w:rPr>
        <w:t>）认可，按照</w:t>
      </w:r>
      <w:r>
        <w:rPr>
          <w:rFonts w:ascii="宋体" w:eastAsia="宋体" w:hAnsi="宋体" w:hint="eastAsia"/>
          <w:sz w:val="28"/>
          <w:szCs w:val="28"/>
        </w:rPr>
        <w:t xml:space="preserve"> ISO/IEC 17025 </w:t>
      </w:r>
      <w:r>
        <w:rPr>
          <w:rFonts w:ascii="宋体" w:eastAsia="宋体" w:hAnsi="宋体" w:hint="eastAsia"/>
          <w:sz w:val="28"/>
          <w:szCs w:val="28"/>
        </w:rPr>
        <w:t>国际实验室管理体系要求开展检测活动。检测中心已初步建设成为一个为稀土产业提供产品检测、标准制定、技术研发和教育培训为一体的多功能和高效的公共服务平台。</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国家钨与稀土产品质量监督检验中心于</w:t>
      </w:r>
      <w:r>
        <w:rPr>
          <w:rFonts w:ascii="宋体" w:eastAsia="宋体" w:hAnsi="宋体" w:hint="eastAsia"/>
          <w:sz w:val="28"/>
          <w:szCs w:val="28"/>
        </w:rPr>
        <w:t>2007</w:t>
      </w:r>
      <w:r>
        <w:rPr>
          <w:rFonts w:ascii="宋体" w:eastAsia="宋体" w:hAnsi="宋体" w:hint="eastAsia"/>
          <w:sz w:val="28"/>
          <w:szCs w:val="28"/>
        </w:rPr>
        <w:t>年</w:t>
      </w:r>
      <w:r>
        <w:rPr>
          <w:rFonts w:ascii="宋体" w:eastAsia="宋体" w:hAnsi="宋体" w:hint="eastAsia"/>
          <w:sz w:val="28"/>
          <w:szCs w:val="28"/>
        </w:rPr>
        <w:t>6</w:t>
      </w:r>
      <w:r>
        <w:rPr>
          <w:rFonts w:ascii="宋体" w:eastAsia="宋体" w:hAnsi="宋体" w:hint="eastAsia"/>
          <w:sz w:val="28"/>
          <w:szCs w:val="28"/>
        </w:rPr>
        <w:t>月经国家质检总局批准筹建，</w:t>
      </w:r>
      <w:r>
        <w:rPr>
          <w:rFonts w:ascii="宋体" w:eastAsia="宋体" w:hAnsi="宋体" w:hint="eastAsia"/>
          <w:sz w:val="28"/>
          <w:szCs w:val="28"/>
        </w:rPr>
        <w:t>2010</w:t>
      </w:r>
      <w:r>
        <w:rPr>
          <w:rFonts w:ascii="宋体" w:eastAsia="宋体" w:hAnsi="宋体" w:hint="eastAsia"/>
          <w:sz w:val="28"/>
          <w:szCs w:val="28"/>
        </w:rPr>
        <w:t>年</w:t>
      </w:r>
      <w:r>
        <w:rPr>
          <w:rFonts w:ascii="宋体" w:eastAsia="宋体" w:hAnsi="宋体" w:hint="eastAsia"/>
          <w:sz w:val="28"/>
          <w:szCs w:val="28"/>
        </w:rPr>
        <w:t>10</w:t>
      </w:r>
      <w:r>
        <w:rPr>
          <w:rFonts w:ascii="宋体" w:eastAsia="宋体" w:hAnsi="宋体" w:hint="eastAsia"/>
          <w:sz w:val="28"/>
          <w:szCs w:val="28"/>
        </w:rPr>
        <w:t>月通过国家质检总局和国家认监委验收。在国家钨与稀土产品质检中心建设的基础上，还成立了“江西省钨与稀土产品质量监督检验中心”，和“江西省钨与稀土研究院”。主要职能是开展钨与稀土等有色金属矿产品检验</w:t>
      </w:r>
      <w:r>
        <w:rPr>
          <w:rFonts w:ascii="宋体" w:eastAsia="宋体" w:hAnsi="宋体" w:hint="eastAsia"/>
          <w:sz w:val="28"/>
          <w:szCs w:val="28"/>
        </w:rPr>
        <w:t>、地质实验测试、环境监测与检验、检测技术培训和有色金属领域内科学技术研究、开发与推广，以及标准研究与制定等工作。</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t>中心拥有博士</w:t>
      </w:r>
      <w:r>
        <w:rPr>
          <w:rFonts w:ascii="宋体" w:eastAsia="宋体" w:hAnsi="宋体" w:hint="eastAsia"/>
          <w:sz w:val="28"/>
          <w:szCs w:val="28"/>
        </w:rPr>
        <w:t>3</w:t>
      </w:r>
      <w:r>
        <w:rPr>
          <w:rFonts w:ascii="宋体" w:eastAsia="宋体" w:hAnsi="宋体" w:hint="eastAsia"/>
          <w:sz w:val="28"/>
          <w:szCs w:val="28"/>
        </w:rPr>
        <w:t>人、硕士</w:t>
      </w:r>
      <w:r>
        <w:rPr>
          <w:rFonts w:ascii="宋体" w:eastAsia="宋体" w:hAnsi="宋体" w:hint="eastAsia"/>
          <w:sz w:val="28"/>
          <w:szCs w:val="28"/>
        </w:rPr>
        <w:t>19</w:t>
      </w:r>
      <w:r>
        <w:rPr>
          <w:rFonts w:ascii="宋体" w:eastAsia="宋体" w:hAnsi="宋体" w:hint="eastAsia"/>
          <w:sz w:val="28"/>
          <w:szCs w:val="28"/>
        </w:rPr>
        <w:t>人；仪器设备总值达到</w:t>
      </w:r>
      <w:r>
        <w:rPr>
          <w:rFonts w:ascii="宋体" w:eastAsia="宋体" w:hAnsi="宋体" w:hint="eastAsia"/>
          <w:sz w:val="28"/>
          <w:szCs w:val="28"/>
        </w:rPr>
        <w:t>3000</w:t>
      </w:r>
      <w:r>
        <w:rPr>
          <w:rFonts w:ascii="宋体" w:eastAsia="宋体" w:hAnsi="宋体" w:hint="eastAsia"/>
          <w:sz w:val="28"/>
          <w:szCs w:val="28"/>
        </w:rPr>
        <w:t>多万元；产品检测范围从最初的局限于稀土、钨等有色金属原矿和前端初级产品，延伸到了产业链的后端下游产品。同时，还延伸到空气、土壤、水质、固体废物等环境类检测项目，关键检验项目能力和水平达到国内先进水平。检测业务服务范围覆盖了国内所有的钨和稀土主产地及美国、英国等</w:t>
      </w:r>
      <w:r>
        <w:rPr>
          <w:rFonts w:ascii="宋体" w:eastAsia="宋体" w:hAnsi="宋体" w:hint="eastAsia"/>
          <w:sz w:val="28"/>
          <w:szCs w:val="28"/>
        </w:rPr>
        <w:t>12</w:t>
      </w:r>
      <w:r>
        <w:rPr>
          <w:rFonts w:ascii="宋体" w:eastAsia="宋体" w:hAnsi="宋体" w:hint="eastAsia"/>
          <w:sz w:val="28"/>
          <w:szCs w:val="28"/>
        </w:rPr>
        <w:t>个国家和地区。</w:t>
      </w:r>
    </w:p>
    <w:p w:rsidR="00B859CA" w:rsidRDefault="00A132A0">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科研方面，中心建设了</w:t>
      </w:r>
      <w:r>
        <w:rPr>
          <w:rFonts w:ascii="宋体" w:eastAsia="宋体" w:hAnsi="宋体" w:hint="eastAsia"/>
          <w:sz w:val="28"/>
          <w:szCs w:val="28"/>
        </w:rPr>
        <w:t>1</w:t>
      </w:r>
      <w:r>
        <w:rPr>
          <w:rFonts w:ascii="宋体" w:eastAsia="宋体" w:hAnsi="宋体" w:hint="eastAsia"/>
          <w:sz w:val="28"/>
          <w:szCs w:val="28"/>
        </w:rPr>
        <w:t>个国家级和</w:t>
      </w:r>
      <w:r>
        <w:rPr>
          <w:rFonts w:ascii="宋体" w:eastAsia="宋体" w:hAnsi="宋体" w:hint="eastAsia"/>
          <w:sz w:val="28"/>
          <w:szCs w:val="28"/>
        </w:rPr>
        <w:t>1</w:t>
      </w:r>
      <w:r>
        <w:rPr>
          <w:rFonts w:ascii="宋体" w:eastAsia="宋体" w:hAnsi="宋体" w:hint="eastAsia"/>
          <w:sz w:val="28"/>
          <w:szCs w:val="28"/>
        </w:rPr>
        <w:t>个省级工程研究中心，参与建设了</w:t>
      </w:r>
      <w:r>
        <w:rPr>
          <w:rFonts w:ascii="宋体" w:eastAsia="宋体" w:hAnsi="宋体" w:hint="eastAsia"/>
          <w:sz w:val="28"/>
          <w:szCs w:val="28"/>
        </w:rPr>
        <w:t>1</w:t>
      </w:r>
      <w:r>
        <w:rPr>
          <w:rFonts w:ascii="宋体" w:eastAsia="宋体" w:hAnsi="宋体" w:hint="eastAsia"/>
          <w:sz w:val="28"/>
          <w:szCs w:val="28"/>
        </w:rPr>
        <w:t>个国家级和</w:t>
      </w:r>
      <w:r>
        <w:rPr>
          <w:rFonts w:ascii="宋体" w:eastAsia="宋体" w:hAnsi="宋体" w:hint="eastAsia"/>
          <w:sz w:val="28"/>
          <w:szCs w:val="28"/>
        </w:rPr>
        <w:t>1</w:t>
      </w:r>
      <w:r>
        <w:rPr>
          <w:rFonts w:ascii="宋体" w:eastAsia="宋体" w:hAnsi="宋体" w:hint="eastAsia"/>
          <w:sz w:val="28"/>
          <w:szCs w:val="28"/>
        </w:rPr>
        <w:t>个省级工程技术研究中心，同时还建设了多个研发实验室和产品中试基地。获得省、市科技进步奖各</w:t>
      </w:r>
      <w:r>
        <w:rPr>
          <w:rFonts w:ascii="宋体" w:eastAsia="宋体" w:hAnsi="宋体" w:hint="eastAsia"/>
          <w:sz w:val="28"/>
          <w:szCs w:val="28"/>
        </w:rPr>
        <w:t>1</w:t>
      </w:r>
      <w:r>
        <w:rPr>
          <w:rFonts w:ascii="宋体" w:eastAsia="宋体" w:hAnsi="宋体" w:hint="eastAsia"/>
          <w:sz w:val="28"/>
          <w:szCs w:val="28"/>
        </w:rPr>
        <w:t>项；通过省、市科技成果鉴定各</w:t>
      </w:r>
      <w:r>
        <w:rPr>
          <w:rFonts w:ascii="宋体" w:eastAsia="宋体" w:hAnsi="宋体" w:hint="eastAsia"/>
          <w:sz w:val="28"/>
          <w:szCs w:val="28"/>
        </w:rPr>
        <w:t>1</w:t>
      </w:r>
      <w:r>
        <w:rPr>
          <w:rFonts w:ascii="宋体" w:eastAsia="宋体" w:hAnsi="宋体" w:hint="eastAsia"/>
          <w:sz w:val="28"/>
          <w:szCs w:val="28"/>
        </w:rPr>
        <w:t>项；获得国家发明专利授权</w:t>
      </w:r>
      <w:r>
        <w:rPr>
          <w:rFonts w:ascii="宋体" w:eastAsia="宋体" w:hAnsi="宋体" w:hint="eastAsia"/>
          <w:sz w:val="28"/>
          <w:szCs w:val="28"/>
        </w:rPr>
        <w:t>1</w:t>
      </w:r>
      <w:r>
        <w:rPr>
          <w:rFonts w:ascii="宋体" w:eastAsia="宋体" w:hAnsi="宋体" w:hint="eastAsia"/>
          <w:sz w:val="28"/>
          <w:szCs w:val="28"/>
        </w:rPr>
        <w:t>项；制定国家、行业和地方标准</w:t>
      </w:r>
      <w:r>
        <w:rPr>
          <w:rFonts w:ascii="宋体" w:eastAsia="宋体" w:hAnsi="宋体" w:hint="eastAsia"/>
          <w:sz w:val="28"/>
          <w:szCs w:val="28"/>
        </w:rPr>
        <w:t>16</w:t>
      </w:r>
      <w:r>
        <w:rPr>
          <w:rFonts w:ascii="宋体" w:eastAsia="宋体" w:hAnsi="宋体" w:hint="eastAsia"/>
          <w:sz w:val="28"/>
          <w:szCs w:val="28"/>
        </w:rPr>
        <w:t>个。</w:t>
      </w:r>
    </w:p>
    <w:p w:rsidR="00B859CA" w:rsidRDefault="00A132A0">
      <w:pPr>
        <w:numPr>
          <w:ilvl w:val="0"/>
          <w:numId w:val="1"/>
        </w:numPr>
        <w:spacing w:line="360" w:lineRule="auto"/>
        <w:rPr>
          <w:rFonts w:ascii="宋体" w:eastAsia="宋体" w:hAnsi="宋体"/>
          <w:sz w:val="28"/>
          <w:szCs w:val="28"/>
        </w:rPr>
      </w:pPr>
      <w:r>
        <w:rPr>
          <w:rFonts w:ascii="宋体" w:eastAsia="宋体" w:hAnsi="宋体" w:hint="eastAsia"/>
          <w:sz w:val="28"/>
          <w:szCs w:val="28"/>
        </w:rPr>
        <w:t>主要工作过程</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w:t>
      </w:r>
      <w:r>
        <w:rPr>
          <w:rFonts w:ascii="宋体" w:eastAsia="宋体" w:hAnsi="宋体" w:hint="eastAsia"/>
          <w:sz w:val="28"/>
          <w:szCs w:val="28"/>
        </w:rPr>
        <w:t>任务落实，制定产品标准编制计划；</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2</w:t>
      </w:r>
      <w:r>
        <w:rPr>
          <w:rFonts w:ascii="宋体" w:eastAsia="宋体" w:hAnsi="宋体" w:hint="eastAsia"/>
          <w:sz w:val="28"/>
          <w:szCs w:val="28"/>
        </w:rPr>
        <w:t>月至</w:t>
      </w:r>
      <w:r>
        <w:rPr>
          <w:rFonts w:ascii="宋体" w:eastAsia="宋体" w:hAnsi="宋体" w:hint="eastAsia"/>
          <w:sz w:val="28"/>
          <w:szCs w:val="28"/>
        </w:rPr>
        <w:t>3</w:t>
      </w:r>
      <w:r>
        <w:rPr>
          <w:rFonts w:ascii="宋体" w:eastAsia="宋体" w:hAnsi="宋体" w:hint="eastAsia"/>
          <w:sz w:val="28"/>
          <w:szCs w:val="28"/>
        </w:rPr>
        <w:t>月，</w:t>
      </w:r>
      <w:r>
        <w:rPr>
          <w:rFonts w:ascii="宋体" w:eastAsia="宋体" w:hAnsi="宋体" w:hint="eastAsia"/>
          <w:sz w:val="28"/>
          <w:szCs w:val="28"/>
        </w:rPr>
        <w:t>调研、查阅资料，了解国内关于铥镱镥富集物的生产动态和应用领域的变化，结合项目产生的经济和社会效益，编写《铥镱镥富集物》行业标准</w:t>
      </w:r>
      <w:r>
        <w:rPr>
          <w:rFonts w:ascii="宋体" w:eastAsia="宋体" w:hAnsi="宋体" w:hint="eastAsia"/>
          <w:sz w:val="28"/>
          <w:szCs w:val="28"/>
        </w:rPr>
        <w:t>征求意见稿</w:t>
      </w:r>
      <w:r>
        <w:rPr>
          <w:rFonts w:ascii="宋体" w:eastAsia="宋体" w:hAnsi="宋体" w:hint="eastAsia"/>
          <w:sz w:val="28"/>
          <w:szCs w:val="28"/>
        </w:rPr>
        <w:t>、编写编制说明，组织公司相关技术人员对标准初稿及编制说明进行讨论，并对标准进行完善；</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4</w:t>
      </w:r>
      <w:r>
        <w:rPr>
          <w:rFonts w:ascii="宋体" w:eastAsia="宋体" w:hAnsi="宋体" w:hint="eastAsia"/>
          <w:sz w:val="28"/>
          <w:szCs w:val="28"/>
        </w:rPr>
        <w:t>月至</w:t>
      </w:r>
      <w:r>
        <w:rPr>
          <w:rFonts w:ascii="宋体" w:eastAsia="宋体" w:hAnsi="宋体" w:hint="eastAsia"/>
          <w:sz w:val="28"/>
          <w:szCs w:val="28"/>
        </w:rPr>
        <w:t>6</w:t>
      </w:r>
      <w:r>
        <w:rPr>
          <w:rFonts w:ascii="宋体" w:eastAsia="宋体" w:hAnsi="宋体" w:hint="eastAsia"/>
          <w:sz w:val="28"/>
          <w:szCs w:val="28"/>
        </w:rPr>
        <w:t>月，</w:t>
      </w:r>
      <w:r>
        <w:rPr>
          <w:rFonts w:ascii="宋体" w:eastAsia="宋体" w:hAnsi="宋体" w:hint="eastAsia"/>
          <w:sz w:val="28"/>
          <w:szCs w:val="28"/>
        </w:rPr>
        <w:t>发出《铥镱镥富集物》标准的征求意见稿至各有关单位，收集反馈意见和建议</w:t>
      </w:r>
      <w:r>
        <w:rPr>
          <w:rFonts w:ascii="宋体" w:eastAsia="宋体" w:hAnsi="宋体" w:hint="eastAsia"/>
          <w:sz w:val="28"/>
          <w:szCs w:val="28"/>
        </w:rPr>
        <w:t>；</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7</w:t>
      </w:r>
      <w:r>
        <w:rPr>
          <w:rFonts w:ascii="宋体" w:eastAsia="宋体" w:hAnsi="宋体" w:hint="eastAsia"/>
          <w:sz w:val="28"/>
          <w:szCs w:val="28"/>
        </w:rPr>
        <w:t>月，完成产品标准征求意见稿、编制说明的编写；向稀标委提交预审稿、编制说明、征求意见汇总，并挂网公示；</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8</w:t>
      </w:r>
      <w:r>
        <w:rPr>
          <w:rFonts w:ascii="宋体" w:eastAsia="宋体" w:hAnsi="宋体" w:hint="eastAsia"/>
          <w:sz w:val="28"/>
          <w:szCs w:val="28"/>
        </w:rPr>
        <w:t>月，参与预审会，通过预审；</w:t>
      </w:r>
      <w:r>
        <w:rPr>
          <w:rFonts w:ascii="宋体" w:eastAsia="宋体" w:hAnsi="宋体" w:hint="eastAsia"/>
          <w:sz w:val="28"/>
          <w:szCs w:val="28"/>
        </w:rPr>
        <w:t>对预审稿、编制说明、意见汇总处理表进行修改、调整</w:t>
      </w:r>
    </w:p>
    <w:p w:rsidR="00B859CA" w:rsidRDefault="00A132A0">
      <w:pPr>
        <w:spacing w:line="360" w:lineRule="auto"/>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9</w:t>
      </w:r>
      <w:r>
        <w:rPr>
          <w:rFonts w:ascii="宋体" w:eastAsia="宋体" w:hAnsi="宋体" w:hint="eastAsia"/>
          <w:sz w:val="28"/>
          <w:szCs w:val="28"/>
        </w:rPr>
        <w:t>月</w:t>
      </w:r>
      <w:r>
        <w:rPr>
          <w:rFonts w:ascii="宋体" w:eastAsia="宋体" w:hAnsi="宋体" w:hint="eastAsia"/>
          <w:sz w:val="28"/>
          <w:szCs w:val="28"/>
        </w:rPr>
        <w:t>-10</w:t>
      </w:r>
      <w:r>
        <w:rPr>
          <w:rFonts w:ascii="宋体" w:eastAsia="宋体" w:hAnsi="宋体" w:hint="eastAsia"/>
          <w:sz w:val="28"/>
          <w:szCs w:val="28"/>
        </w:rPr>
        <w:t>月，根据预审会会议纪要，修</w:t>
      </w:r>
      <w:r w:rsidR="00611EFF">
        <w:rPr>
          <w:rFonts w:ascii="宋体" w:eastAsia="宋体" w:hAnsi="宋体" w:hint="eastAsia"/>
          <w:sz w:val="28"/>
          <w:szCs w:val="28"/>
        </w:rPr>
        <w:t>定</w:t>
      </w:r>
      <w:r>
        <w:rPr>
          <w:rFonts w:ascii="宋体" w:eastAsia="宋体" w:hAnsi="宋体" w:hint="eastAsia"/>
          <w:sz w:val="28"/>
          <w:szCs w:val="28"/>
        </w:rPr>
        <w:t>产品标准和编制说明并形成送审稿；</w:t>
      </w:r>
    </w:p>
    <w:p w:rsidR="00611EFF" w:rsidRDefault="00611EFF">
      <w:pPr>
        <w:spacing w:line="360" w:lineRule="auto"/>
        <w:rPr>
          <w:rFonts w:ascii="宋体" w:eastAsia="宋体" w:hAnsi="宋体" w:hint="eastAsia"/>
          <w:sz w:val="28"/>
          <w:szCs w:val="28"/>
        </w:rPr>
      </w:pPr>
      <w:r>
        <w:rPr>
          <w:rFonts w:ascii="宋体" w:eastAsia="宋体" w:hAnsi="宋体" w:hint="eastAsia"/>
          <w:sz w:val="28"/>
          <w:szCs w:val="28"/>
        </w:rPr>
        <w:t>——2018年10月底，产品标准和编制说明汇总上传稀标委，挂网公式；</w:t>
      </w:r>
    </w:p>
    <w:p w:rsidR="00B859CA" w:rsidRPr="004C6E8F" w:rsidRDefault="00A132A0">
      <w:pPr>
        <w:spacing w:line="360" w:lineRule="auto"/>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2018</w:t>
      </w:r>
      <w:r>
        <w:rPr>
          <w:rFonts w:ascii="宋体" w:eastAsia="宋体" w:hAnsi="宋体" w:hint="eastAsia"/>
          <w:sz w:val="28"/>
          <w:szCs w:val="28"/>
        </w:rPr>
        <w:t>年</w:t>
      </w:r>
      <w:r>
        <w:rPr>
          <w:rFonts w:ascii="宋体" w:eastAsia="宋体" w:hAnsi="宋体" w:hint="eastAsia"/>
          <w:sz w:val="28"/>
          <w:szCs w:val="28"/>
        </w:rPr>
        <w:t>11</w:t>
      </w:r>
      <w:r>
        <w:rPr>
          <w:rFonts w:ascii="宋体" w:eastAsia="宋体" w:hAnsi="宋体" w:hint="eastAsia"/>
          <w:sz w:val="28"/>
          <w:szCs w:val="28"/>
        </w:rPr>
        <w:t>月，</w:t>
      </w:r>
      <w:r w:rsidR="00611EFF">
        <w:rPr>
          <w:rFonts w:ascii="宋体" w:eastAsia="宋体" w:hAnsi="宋体" w:hint="eastAsia"/>
          <w:sz w:val="28"/>
          <w:szCs w:val="28"/>
        </w:rPr>
        <w:t>于江苏南京召开定审会；</w:t>
      </w:r>
    </w:p>
    <w:p w:rsidR="00B859CA" w:rsidRDefault="00A132A0">
      <w:pPr>
        <w:spacing w:line="360" w:lineRule="auto"/>
        <w:rPr>
          <w:rFonts w:ascii="宋体" w:eastAsia="宋体" w:hAnsi="宋体"/>
          <w:b/>
          <w:sz w:val="28"/>
          <w:szCs w:val="28"/>
        </w:rPr>
      </w:pPr>
      <w:r>
        <w:rPr>
          <w:rFonts w:ascii="宋体" w:eastAsia="宋体" w:hAnsi="宋体" w:hint="eastAsia"/>
          <w:b/>
          <w:sz w:val="28"/>
          <w:szCs w:val="28"/>
        </w:rPr>
        <w:lastRenderedPageBreak/>
        <w:t>二、本标准编制原则和主要内容</w:t>
      </w:r>
    </w:p>
    <w:p w:rsidR="00B859CA" w:rsidRDefault="00A132A0">
      <w:pPr>
        <w:pStyle w:val="a8"/>
        <w:spacing w:line="360" w:lineRule="auto"/>
        <w:ind w:firstLineChars="0" w:firstLine="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编制原则和依据</w:t>
      </w:r>
    </w:p>
    <w:p w:rsidR="00B859CA" w:rsidRDefault="00A132A0">
      <w:pPr>
        <w:spacing w:line="360" w:lineRule="auto"/>
        <w:ind w:left="42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本标准根据</w:t>
      </w:r>
      <w:r>
        <w:rPr>
          <w:rFonts w:ascii="宋体" w:eastAsia="宋体" w:hAnsi="宋体" w:hint="eastAsia"/>
          <w:sz w:val="28"/>
          <w:szCs w:val="28"/>
        </w:rPr>
        <w:t>G</w:t>
      </w:r>
      <w:r>
        <w:rPr>
          <w:rFonts w:ascii="宋体" w:eastAsia="宋体" w:hAnsi="宋体"/>
          <w:sz w:val="28"/>
          <w:szCs w:val="28"/>
        </w:rPr>
        <w:t>B/T 1.1-2009</w:t>
      </w:r>
      <w:r>
        <w:rPr>
          <w:rFonts w:ascii="宋体" w:eastAsia="宋体" w:hAnsi="宋体" w:hint="eastAsia"/>
          <w:sz w:val="28"/>
          <w:szCs w:val="28"/>
        </w:rPr>
        <w:t>《标准化工作导则》</w:t>
      </w:r>
      <w:r>
        <w:rPr>
          <w:rFonts w:ascii="宋体" w:eastAsia="宋体" w:hAnsi="宋体" w:hint="eastAsia"/>
          <w:sz w:val="28"/>
          <w:szCs w:val="28"/>
        </w:rPr>
        <w:t>、</w:t>
      </w:r>
      <w:r>
        <w:rPr>
          <w:rFonts w:ascii="宋体" w:eastAsia="宋体" w:hAnsi="宋体" w:hint="eastAsia"/>
          <w:sz w:val="28"/>
          <w:szCs w:val="28"/>
        </w:rPr>
        <w:t>GB/T2001.10-2014</w:t>
      </w:r>
      <w:r>
        <w:rPr>
          <w:rFonts w:ascii="宋体" w:eastAsia="宋体" w:hAnsi="宋体" w:hint="eastAsia"/>
          <w:sz w:val="28"/>
          <w:szCs w:val="28"/>
        </w:rPr>
        <w:t>《标准编写规则第</w:t>
      </w:r>
      <w:r>
        <w:rPr>
          <w:rFonts w:ascii="宋体" w:eastAsia="宋体" w:hAnsi="宋体" w:hint="eastAsia"/>
          <w:sz w:val="28"/>
          <w:szCs w:val="28"/>
        </w:rPr>
        <w:t>10</w:t>
      </w:r>
      <w:r>
        <w:rPr>
          <w:rFonts w:ascii="宋体" w:eastAsia="宋体" w:hAnsi="宋体" w:hint="eastAsia"/>
          <w:sz w:val="28"/>
          <w:szCs w:val="28"/>
        </w:rPr>
        <w:t>部分：产品标准》</w:t>
      </w:r>
      <w:r>
        <w:rPr>
          <w:rFonts w:ascii="宋体" w:eastAsia="宋体" w:hAnsi="宋体" w:hint="eastAsia"/>
          <w:sz w:val="28"/>
          <w:szCs w:val="28"/>
        </w:rPr>
        <w:t>的规定编写；</w:t>
      </w:r>
    </w:p>
    <w:p w:rsidR="00B859CA" w:rsidRDefault="00A132A0">
      <w:pPr>
        <w:spacing w:line="360" w:lineRule="auto"/>
        <w:ind w:left="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充分满足市场并有利于创新发展的原则</w:t>
      </w:r>
      <w:r>
        <w:rPr>
          <w:rFonts w:ascii="宋体" w:eastAsia="宋体" w:hAnsi="宋体" w:hint="eastAsia"/>
          <w:sz w:val="28"/>
          <w:szCs w:val="28"/>
        </w:rPr>
        <w:t>，</w:t>
      </w:r>
      <w:r>
        <w:rPr>
          <w:rFonts w:ascii="宋体" w:eastAsia="宋体" w:hAnsi="宋体" w:hint="eastAsia"/>
          <w:sz w:val="28"/>
          <w:szCs w:val="28"/>
        </w:rPr>
        <w:t>分析统计南方稀土矿分离企业铥镱镥富集物产品的成分需求作为产品标准数据依据；</w:t>
      </w:r>
    </w:p>
    <w:p w:rsidR="00B859CA" w:rsidRDefault="00A132A0">
      <w:pPr>
        <w:spacing w:line="360" w:lineRule="auto"/>
        <w:ind w:left="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本着通用性的原则，使得标准既要满足现有大多数生产企业的需求，同时充分考虑国内外相关技术发展趋势，使得本标准具有先进性的要求；</w:t>
      </w:r>
    </w:p>
    <w:p w:rsidR="00B859CA" w:rsidRDefault="00A132A0">
      <w:pPr>
        <w:spacing w:line="360" w:lineRule="auto"/>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参考的相关标准和资料</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1</w:t>
      </w:r>
      <w:r>
        <w:rPr>
          <w:rFonts w:ascii="宋体" w:eastAsia="宋体" w:hAnsi="宋体" w:hint="eastAsia"/>
          <w:sz w:val="28"/>
          <w:szCs w:val="28"/>
        </w:rPr>
        <w:t>）</w:t>
      </w:r>
      <w:r>
        <w:rPr>
          <w:rFonts w:ascii="宋体" w:eastAsia="宋体" w:hAnsi="宋体" w:hint="eastAsia"/>
          <w:sz w:val="28"/>
          <w:szCs w:val="28"/>
        </w:rPr>
        <w:t>GB/T 8170</w:t>
      </w:r>
      <w:r>
        <w:rPr>
          <w:rFonts w:ascii="宋体" w:eastAsia="宋体" w:hAnsi="宋体" w:hint="eastAsia"/>
          <w:sz w:val="28"/>
          <w:szCs w:val="28"/>
        </w:rPr>
        <w:t>数据修约规则于极限数值的表示和判定；</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2</w:t>
      </w:r>
      <w:r>
        <w:rPr>
          <w:rFonts w:ascii="宋体" w:eastAsia="宋体" w:hAnsi="宋体" w:hint="eastAsia"/>
          <w:sz w:val="28"/>
          <w:szCs w:val="28"/>
        </w:rPr>
        <w:t>）</w:t>
      </w:r>
      <w:r>
        <w:rPr>
          <w:rFonts w:ascii="宋体" w:eastAsia="宋体" w:hAnsi="宋体" w:hint="eastAsia"/>
          <w:sz w:val="28"/>
          <w:szCs w:val="28"/>
        </w:rPr>
        <w:t>XB/T 211-2015</w:t>
      </w:r>
      <w:r>
        <w:rPr>
          <w:rFonts w:ascii="宋体" w:eastAsia="宋体" w:hAnsi="宋体" w:hint="eastAsia"/>
          <w:sz w:val="28"/>
          <w:szCs w:val="28"/>
        </w:rPr>
        <w:t>钐铕钆富集物；</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三、主要试验的分析、综述报告</w:t>
      </w:r>
    </w:p>
    <w:p w:rsidR="00B859CA" w:rsidRDefault="00A132A0">
      <w:pPr>
        <w:spacing w:line="360" w:lineRule="auto"/>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产品成分</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统计分析</w:t>
      </w:r>
      <w:r>
        <w:rPr>
          <w:rFonts w:ascii="宋体" w:eastAsia="宋体" w:hAnsi="宋体" w:hint="eastAsia"/>
          <w:sz w:val="28"/>
          <w:szCs w:val="28"/>
        </w:rPr>
        <w:t>2015</w:t>
      </w:r>
      <w:r>
        <w:rPr>
          <w:rFonts w:ascii="宋体" w:eastAsia="宋体" w:hAnsi="宋体" w:hint="eastAsia"/>
          <w:sz w:val="28"/>
          <w:szCs w:val="28"/>
        </w:rPr>
        <w:t>年以来，铥镱镥富集物产品贸易数据得到，各企业贸易结算受铥镱镥富集物产品的稀土总量、稀土配分量、铁、硅、钙、铝影响，故本产品标准以上述项目作为标准的化学成分参数；</w:t>
      </w:r>
    </w:p>
    <w:p w:rsidR="00B859CA" w:rsidRDefault="00A132A0">
      <w:pPr>
        <w:numPr>
          <w:ilvl w:val="0"/>
          <w:numId w:val="2"/>
        </w:numPr>
        <w:spacing w:line="360" w:lineRule="auto"/>
        <w:rPr>
          <w:rFonts w:ascii="宋体" w:eastAsia="宋体" w:hAnsi="宋体"/>
          <w:sz w:val="28"/>
          <w:szCs w:val="28"/>
        </w:rPr>
      </w:pPr>
      <w:r>
        <w:rPr>
          <w:rFonts w:ascii="宋体" w:eastAsia="宋体" w:hAnsi="宋体" w:hint="eastAsia"/>
          <w:sz w:val="28"/>
          <w:szCs w:val="28"/>
        </w:rPr>
        <w:t>主要内容</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广泛征求行业内铥镱镥富集物相关生产厂家和使用企业的意见，起草单位经过充分论证，确定了铥镱镥富集物氧化物和料液化学成分的相关参数和范围，见表</w:t>
      </w:r>
      <w:r>
        <w:rPr>
          <w:rFonts w:ascii="宋体" w:eastAsia="宋体" w:hAnsi="宋体" w:hint="eastAsia"/>
          <w:sz w:val="28"/>
          <w:szCs w:val="28"/>
        </w:rPr>
        <w:t>1</w:t>
      </w:r>
      <w:r>
        <w:rPr>
          <w:rFonts w:ascii="宋体" w:eastAsia="宋体" w:hAnsi="宋体" w:hint="eastAsia"/>
          <w:sz w:val="28"/>
          <w:szCs w:val="28"/>
        </w:rPr>
        <w:t>和表</w:t>
      </w:r>
      <w:r>
        <w:rPr>
          <w:rFonts w:ascii="宋体" w:eastAsia="宋体" w:hAnsi="宋体" w:hint="eastAsia"/>
          <w:sz w:val="28"/>
          <w:szCs w:val="28"/>
        </w:rPr>
        <w:t>2</w:t>
      </w:r>
      <w:r>
        <w:rPr>
          <w:rFonts w:ascii="宋体" w:eastAsia="宋体" w:hAnsi="宋体" w:hint="eastAsia"/>
          <w:sz w:val="28"/>
          <w:szCs w:val="28"/>
        </w:rPr>
        <w:t>；</w:t>
      </w:r>
    </w:p>
    <w:p w:rsidR="00B859CA" w:rsidRDefault="00A132A0">
      <w:pPr>
        <w:jc w:val="center"/>
        <w:rPr>
          <w:rFonts w:ascii="黑体" w:eastAsia="黑体" w:hAnsi="黑体" w:cs="黑体"/>
          <w:sz w:val="28"/>
          <w:szCs w:val="28"/>
        </w:rPr>
      </w:pPr>
      <w:r>
        <w:rPr>
          <w:rFonts w:ascii="宋体" w:hAnsi="宋体" w:cs="宋体" w:hint="eastAsia"/>
          <w:b/>
          <w:bCs/>
          <w:sz w:val="28"/>
          <w:szCs w:val="28"/>
        </w:rPr>
        <w:lastRenderedPageBreak/>
        <w:t>表</w:t>
      </w:r>
      <w:r>
        <w:rPr>
          <w:rFonts w:ascii="宋体" w:hAnsi="宋体" w:cs="宋体" w:hint="eastAsia"/>
          <w:b/>
          <w:bCs/>
          <w:sz w:val="28"/>
          <w:szCs w:val="28"/>
        </w:rPr>
        <w:t>1</w:t>
      </w:r>
    </w:p>
    <w:tbl>
      <w:tblPr>
        <w:tblStyle w:val="a7"/>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0"/>
        <w:gridCol w:w="1140"/>
        <w:gridCol w:w="1065"/>
        <w:gridCol w:w="1597"/>
        <w:gridCol w:w="1598"/>
        <w:gridCol w:w="1585"/>
      </w:tblGrid>
      <w:tr w:rsidR="00B859CA">
        <w:trPr>
          <w:jc w:val="center"/>
        </w:trPr>
        <w:tc>
          <w:tcPr>
            <w:tcW w:w="4791" w:type="dxa"/>
            <w:gridSpan w:val="4"/>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产品牌号</w:t>
            </w:r>
          </w:p>
        </w:tc>
        <w:tc>
          <w:tcPr>
            <w:tcW w:w="1597"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REM-2595</w:t>
            </w:r>
          </w:p>
        </w:tc>
        <w:tc>
          <w:tcPr>
            <w:tcW w:w="1598"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REM-2590</w:t>
            </w:r>
          </w:p>
        </w:tc>
        <w:tc>
          <w:tcPr>
            <w:tcW w:w="1585"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REM-2580</w:t>
            </w:r>
          </w:p>
        </w:tc>
      </w:tr>
      <w:tr w:rsidR="00B859CA">
        <w:trPr>
          <w:jc w:val="center"/>
        </w:trPr>
        <w:tc>
          <w:tcPr>
            <w:tcW w:w="1296" w:type="dxa"/>
            <w:vMerge w:val="restart"/>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化学成分（质量分数）</w:t>
            </w:r>
            <w:r>
              <w:rPr>
                <w:rFonts w:ascii="宋体" w:eastAsia="宋体" w:hAnsi="宋体" w:cs="宋体" w:hint="eastAsia"/>
                <w:color w:val="000000"/>
                <w:kern w:val="0"/>
                <w:sz w:val="28"/>
                <w:szCs w:val="28"/>
                <w:lang w:bidi="ar"/>
              </w:rPr>
              <w:t>/%</w:t>
            </w:r>
          </w:p>
        </w:tc>
        <w:tc>
          <w:tcPr>
            <w:tcW w:w="3495" w:type="dxa"/>
            <w:gridSpan w:val="3"/>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REO</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不小于</w:t>
            </w:r>
          </w:p>
        </w:tc>
        <w:tc>
          <w:tcPr>
            <w:tcW w:w="1597"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95</w:t>
            </w:r>
          </w:p>
        </w:tc>
        <w:tc>
          <w:tcPr>
            <w:tcW w:w="1598"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90</w:t>
            </w:r>
          </w:p>
        </w:tc>
        <w:tc>
          <w:tcPr>
            <w:tcW w:w="1585" w:type="dxa"/>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80</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restart"/>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稀土氧化物组分</w:t>
            </w:r>
          </w:p>
        </w:tc>
        <w:tc>
          <w:tcPr>
            <w:tcW w:w="2205" w:type="dxa"/>
            <w:gridSpan w:val="2"/>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Tm</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c>
          <w:tcPr>
            <w:tcW w:w="1598"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jc w:val="center"/>
              <w:rPr>
                <w:rFonts w:ascii="宋体" w:eastAsia="宋体" w:hAnsi="宋体" w:cs="宋体"/>
                <w:sz w:val="28"/>
                <w:szCs w:val="28"/>
              </w:rPr>
            </w:pPr>
          </w:p>
        </w:tc>
        <w:tc>
          <w:tcPr>
            <w:tcW w:w="2205" w:type="dxa"/>
            <w:gridSpan w:val="2"/>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Yb</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0</w:t>
            </w:r>
          </w:p>
        </w:tc>
        <w:tc>
          <w:tcPr>
            <w:tcW w:w="1598"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0</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0</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jc w:val="center"/>
              <w:rPr>
                <w:rFonts w:ascii="宋体" w:eastAsia="宋体" w:hAnsi="宋体" w:cs="宋体"/>
                <w:sz w:val="28"/>
                <w:szCs w:val="28"/>
              </w:rPr>
            </w:pPr>
          </w:p>
        </w:tc>
        <w:tc>
          <w:tcPr>
            <w:tcW w:w="2205" w:type="dxa"/>
            <w:gridSpan w:val="2"/>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Lu</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c>
          <w:tcPr>
            <w:tcW w:w="1598"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jc w:val="center"/>
              <w:rPr>
                <w:rFonts w:ascii="宋体" w:eastAsia="宋体" w:hAnsi="宋体" w:cs="宋体"/>
                <w:color w:val="000000"/>
                <w:kern w:val="0"/>
                <w:sz w:val="28"/>
                <w:szCs w:val="28"/>
                <w:lang w:bidi="ar"/>
              </w:rPr>
            </w:pPr>
          </w:p>
        </w:tc>
        <w:tc>
          <w:tcPr>
            <w:tcW w:w="2205" w:type="dxa"/>
            <w:gridSpan w:val="2"/>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其它稀土不大于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restart"/>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非稀土杂质</w:t>
            </w:r>
          </w:p>
        </w:tc>
        <w:tc>
          <w:tcPr>
            <w:tcW w:w="1140"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CaO</w:t>
            </w:r>
          </w:p>
        </w:tc>
        <w:tc>
          <w:tcPr>
            <w:tcW w:w="106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rPr>
                <w:rFonts w:ascii="宋体" w:eastAsia="宋体" w:hAnsi="宋体" w:cs="宋体"/>
                <w:color w:val="000000"/>
                <w:kern w:val="0"/>
                <w:sz w:val="28"/>
                <w:szCs w:val="28"/>
                <w:lang w:bidi="ar"/>
              </w:rPr>
            </w:pPr>
          </w:p>
        </w:tc>
        <w:tc>
          <w:tcPr>
            <w:tcW w:w="1140"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Fe</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p>
        </w:tc>
        <w:tc>
          <w:tcPr>
            <w:tcW w:w="106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rPr>
                <w:rFonts w:ascii="宋体" w:eastAsia="宋体" w:hAnsi="宋体" w:cs="宋体"/>
                <w:color w:val="000000"/>
                <w:kern w:val="0"/>
                <w:sz w:val="28"/>
                <w:szCs w:val="28"/>
                <w:lang w:bidi="ar"/>
              </w:rPr>
            </w:pPr>
          </w:p>
        </w:tc>
        <w:tc>
          <w:tcPr>
            <w:tcW w:w="1140"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Al</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p>
        </w:tc>
        <w:tc>
          <w:tcPr>
            <w:tcW w:w="106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r>
      <w:tr w:rsidR="00B859CA">
        <w:trPr>
          <w:jc w:val="center"/>
        </w:trPr>
        <w:tc>
          <w:tcPr>
            <w:tcW w:w="1296" w:type="dxa"/>
            <w:vMerge/>
            <w:vAlign w:val="center"/>
          </w:tcPr>
          <w:p w:rsidR="00B859CA" w:rsidRDefault="00B859CA">
            <w:pPr>
              <w:jc w:val="center"/>
              <w:rPr>
                <w:rFonts w:ascii="宋体" w:eastAsia="宋体" w:hAnsi="宋体" w:cs="宋体"/>
                <w:sz w:val="28"/>
                <w:szCs w:val="28"/>
              </w:rPr>
            </w:pPr>
          </w:p>
        </w:tc>
        <w:tc>
          <w:tcPr>
            <w:tcW w:w="1290" w:type="dxa"/>
            <w:vMerge/>
            <w:vAlign w:val="center"/>
          </w:tcPr>
          <w:p w:rsidR="00B859CA" w:rsidRDefault="00B859CA">
            <w:pPr>
              <w:rPr>
                <w:rFonts w:ascii="宋体" w:eastAsia="宋体" w:hAnsi="宋体" w:cs="宋体"/>
                <w:color w:val="000000"/>
                <w:kern w:val="0"/>
                <w:sz w:val="28"/>
                <w:szCs w:val="28"/>
                <w:lang w:bidi="ar"/>
              </w:rPr>
            </w:pPr>
          </w:p>
        </w:tc>
        <w:tc>
          <w:tcPr>
            <w:tcW w:w="1140"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SiO</w:t>
            </w:r>
            <w:r>
              <w:rPr>
                <w:rFonts w:ascii="宋体" w:eastAsia="宋体" w:hAnsi="宋体" w:cs="宋体" w:hint="eastAsia"/>
                <w:color w:val="000000"/>
                <w:kern w:val="0"/>
                <w:sz w:val="28"/>
                <w:szCs w:val="28"/>
                <w:vertAlign w:val="subscript"/>
                <w:lang w:bidi="ar"/>
              </w:rPr>
              <w:t>2</w:t>
            </w:r>
          </w:p>
        </w:tc>
        <w:tc>
          <w:tcPr>
            <w:tcW w:w="106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0.5</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r>
      <w:tr w:rsidR="00B859CA">
        <w:trPr>
          <w:jc w:val="center"/>
        </w:trPr>
        <w:tc>
          <w:tcPr>
            <w:tcW w:w="3726" w:type="dxa"/>
            <w:gridSpan w:val="3"/>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sz w:val="28"/>
                <w:szCs w:val="28"/>
              </w:rPr>
              <w:t>灼减（质量分数）</w:t>
            </w:r>
            <w:r>
              <w:rPr>
                <w:rFonts w:ascii="宋体" w:eastAsia="宋体" w:hAnsi="宋体" w:cs="宋体" w:hint="eastAsia"/>
                <w:sz w:val="28"/>
                <w:szCs w:val="28"/>
              </w:rPr>
              <w:t>/%</w:t>
            </w:r>
          </w:p>
        </w:tc>
        <w:tc>
          <w:tcPr>
            <w:tcW w:w="1065"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p>
        </w:tc>
      </w:tr>
      <w:tr w:rsidR="00B859CA">
        <w:trPr>
          <w:jc w:val="center"/>
        </w:trPr>
        <w:tc>
          <w:tcPr>
            <w:tcW w:w="3726" w:type="dxa"/>
            <w:gridSpan w:val="3"/>
            <w:vAlign w:val="center"/>
          </w:tcPr>
          <w:p w:rsidR="00B859CA" w:rsidRDefault="00A132A0">
            <w:pPr>
              <w:jc w:val="center"/>
              <w:rPr>
                <w:rFonts w:ascii="宋体" w:eastAsia="宋体" w:hAnsi="宋体" w:cs="宋体"/>
                <w:sz w:val="28"/>
                <w:szCs w:val="28"/>
              </w:rPr>
            </w:pPr>
            <w:r>
              <w:rPr>
                <w:rFonts w:ascii="宋体" w:eastAsia="宋体" w:hAnsi="宋体" w:cs="宋体" w:hint="eastAsia"/>
                <w:sz w:val="28"/>
                <w:szCs w:val="28"/>
              </w:rPr>
              <w:t>酸不溶物（质量分数）</w:t>
            </w:r>
            <w:r>
              <w:rPr>
                <w:rFonts w:ascii="宋体" w:eastAsia="宋体" w:hAnsi="宋体" w:cs="宋体" w:hint="eastAsia"/>
                <w:sz w:val="28"/>
                <w:szCs w:val="28"/>
              </w:rPr>
              <w:t>/%</w:t>
            </w:r>
          </w:p>
        </w:tc>
        <w:tc>
          <w:tcPr>
            <w:tcW w:w="1065" w:type="dxa"/>
            <w:vAlign w:val="center"/>
          </w:tcPr>
          <w:p w:rsidR="00B859CA" w:rsidRDefault="00A132A0">
            <w:pPr>
              <w:jc w:val="center"/>
              <w:rPr>
                <w:rFonts w:ascii="宋体" w:eastAsia="宋体" w:hAnsi="宋体" w:cs="宋体"/>
                <w:sz w:val="28"/>
                <w:szCs w:val="28"/>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2</w:t>
            </w:r>
          </w:p>
        </w:tc>
        <w:tc>
          <w:tcPr>
            <w:tcW w:w="1598"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3</w:t>
            </w:r>
          </w:p>
        </w:tc>
        <w:tc>
          <w:tcPr>
            <w:tcW w:w="1585" w:type="dxa"/>
            <w:vAlign w:val="center"/>
          </w:tcPr>
          <w:p w:rsidR="00B859CA" w:rsidRDefault="00A132A0">
            <w:pPr>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5</w:t>
            </w:r>
          </w:p>
        </w:tc>
      </w:tr>
      <w:tr w:rsidR="00B859CA">
        <w:trPr>
          <w:jc w:val="center"/>
        </w:trPr>
        <w:tc>
          <w:tcPr>
            <w:tcW w:w="9571" w:type="dxa"/>
            <w:gridSpan w:val="7"/>
            <w:vAlign w:val="center"/>
          </w:tcPr>
          <w:p w:rsidR="00B859CA" w:rsidRDefault="00A132A0">
            <w:p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注：</w:t>
            </w:r>
            <w:r>
              <w:rPr>
                <w:rFonts w:ascii="宋体" w:eastAsia="宋体" w:hAnsi="宋体" w:cs="宋体" w:hint="eastAsia"/>
                <w:color w:val="000000"/>
                <w:kern w:val="0"/>
                <w:sz w:val="28"/>
                <w:szCs w:val="28"/>
                <w:lang w:bidi="ar"/>
              </w:rPr>
              <w:t>其它</w:t>
            </w:r>
            <w:r>
              <w:rPr>
                <w:rFonts w:ascii="宋体" w:eastAsia="宋体" w:hAnsi="宋体" w:cs="宋体" w:hint="eastAsia"/>
                <w:color w:val="000000"/>
                <w:kern w:val="0"/>
                <w:sz w:val="28"/>
                <w:szCs w:val="28"/>
                <w:lang w:bidi="ar"/>
              </w:rPr>
              <w:t>稀土杂质是指除</w:t>
            </w:r>
            <w:r>
              <w:rPr>
                <w:rFonts w:ascii="宋体" w:eastAsia="宋体" w:hAnsi="宋体" w:cs="宋体" w:hint="eastAsia"/>
                <w:color w:val="000000"/>
                <w:kern w:val="0"/>
                <w:sz w:val="28"/>
                <w:szCs w:val="28"/>
                <w:lang w:bidi="ar"/>
              </w:rPr>
              <w:t xml:space="preserve"> Tm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Yb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 xml:space="preserve"> Lu </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Sc</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Pm</w:t>
            </w:r>
            <w:r>
              <w:rPr>
                <w:rFonts w:ascii="宋体" w:eastAsia="宋体" w:hAnsi="宋体" w:cs="宋体" w:hint="eastAsia"/>
                <w:color w:val="000000"/>
                <w:kern w:val="0"/>
                <w:sz w:val="28"/>
                <w:szCs w:val="28"/>
                <w:lang w:bidi="ar"/>
              </w:rPr>
              <w:t>以外的所有稀土元素。</w:t>
            </w:r>
          </w:p>
        </w:tc>
      </w:tr>
    </w:tbl>
    <w:p w:rsidR="00B859CA" w:rsidRDefault="00A132A0">
      <w:pPr>
        <w:jc w:val="center"/>
        <w:rPr>
          <w:rFonts w:ascii="宋体" w:eastAsia="宋体" w:hAnsi="宋体" w:cs="宋体"/>
          <w:sz w:val="28"/>
          <w:szCs w:val="28"/>
        </w:rPr>
      </w:pPr>
      <w:r>
        <w:rPr>
          <w:rFonts w:ascii="宋体" w:hAnsi="宋体" w:cs="宋体" w:hint="eastAsia"/>
          <w:b/>
          <w:bCs/>
          <w:sz w:val="28"/>
          <w:szCs w:val="28"/>
        </w:rPr>
        <w:t>表</w:t>
      </w:r>
      <w:r>
        <w:rPr>
          <w:rFonts w:ascii="宋体" w:hAnsi="宋体" w:cs="宋体" w:hint="eastAsia"/>
          <w:b/>
          <w:bCs/>
          <w:sz w:val="28"/>
          <w:szCs w:val="28"/>
        </w:rPr>
        <w:t>2</w:t>
      </w:r>
    </w:p>
    <w:tbl>
      <w:tblPr>
        <w:tblStyle w:val="a7"/>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2404"/>
        <w:gridCol w:w="1140"/>
        <w:gridCol w:w="1065"/>
        <w:gridCol w:w="1597"/>
      </w:tblGrid>
      <w:tr w:rsidR="00B859CA">
        <w:trPr>
          <w:jc w:val="center"/>
        </w:trPr>
        <w:tc>
          <w:tcPr>
            <w:tcW w:w="1791" w:type="dxa"/>
            <w:vMerge w:val="restart"/>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化学成分（质量分数）</w:t>
            </w:r>
            <w:r>
              <w:rPr>
                <w:rFonts w:ascii="宋体" w:eastAsia="宋体" w:hAnsi="宋体" w:cs="宋体" w:hint="eastAsia"/>
                <w:color w:val="000000"/>
                <w:kern w:val="0"/>
                <w:sz w:val="28"/>
                <w:szCs w:val="28"/>
                <w:lang w:bidi="ar"/>
              </w:rPr>
              <w:t>/%</w:t>
            </w:r>
          </w:p>
        </w:tc>
        <w:tc>
          <w:tcPr>
            <w:tcW w:w="4609" w:type="dxa"/>
            <w:gridSpan w:val="3"/>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color w:val="000000"/>
                <w:kern w:val="0"/>
                <w:sz w:val="28"/>
                <w:szCs w:val="28"/>
                <w:lang w:bidi="ar"/>
              </w:rPr>
              <w:t>REO</w:t>
            </w:r>
            <w:r>
              <w:rPr>
                <w:rFonts w:ascii="宋体" w:eastAsia="宋体" w:hAnsi="宋体" w:cs="宋体" w:hint="eastAsia"/>
                <w:color w:val="000000"/>
                <w:kern w:val="0"/>
                <w:sz w:val="28"/>
                <w:szCs w:val="28"/>
                <w:lang w:bidi="ar"/>
              </w:rPr>
              <w:t>，</w:t>
            </w:r>
            <w:r>
              <w:rPr>
                <w:rFonts w:ascii="宋体" w:eastAsia="宋体" w:hAnsi="宋体" w:cs="宋体" w:hint="eastAsia"/>
                <w:color w:val="000000"/>
                <w:kern w:val="0"/>
                <w:sz w:val="28"/>
                <w:szCs w:val="28"/>
                <w:lang w:bidi="ar"/>
              </w:rPr>
              <w:t>不小于</w:t>
            </w:r>
          </w:p>
        </w:tc>
        <w:tc>
          <w:tcPr>
            <w:tcW w:w="1597" w:type="dxa"/>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sz w:val="28"/>
                <w:szCs w:val="28"/>
              </w:rPr>
              <w:t>40</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restart"/>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sz w:val="28"/>
                <w:szCs w:val="28"/>
              </w:rPr>
              <w:t>稀土氧化物组分</w:t>
            </w:r>
          </w:p>
        </w:tc>
        <w:tc>
          <w:tcPr>
            <w:tcW w:w="2205" w:type="dxa"/>
            <w:gridSpan w:val="2"/>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Tm</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jc w:val="center"/>
              <w:rPr>
                <w:rFonts w:ascii="宋体" w:eastAsia="宋体" w:hAnsi="宋体" w:cs="宋体"/>
                <w:sz w:val="28"/>
                <w:szCs w:val="28"/>
              </w:rPr>
            </w:pPr>
          </w:p>
        </w:tc>
        <w:tc>
          <w:tcPr>
            <w:tcW w:w="2205" w:type="dxa"/>
            <w:gridSpan w:val="2"/>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Yb</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9</w:t>
            </w:r>
            <w:r>
              <w:rPr>
                <w:rFonts w:ascii="宋体" w:eastAsia="宋体" w:hAnsi="宋体" w:cs="宋体" w:hint="eastAsia"/>
                <w:color w:val="000000"/>
                <w:kern w:val="0"/>
                <w:sz w:val="28"/>
                <w:szCs w:val="28"/>
                <w:lang w:bidi="ar"/>
              </w:rPr>
              <w:t>0</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jc w:val="center"/>
              <w:rPr>
                <w:rFonts w:ascii="宋体" w:eastAsia="宋体" w:hAnsi="宋体" w:cs="宋体"/>
                <w:sz w:val="28"/>
                <w:szCs w:val="28"/>
              </w:rPr>
            </w:pPr>
          </w:p>
        </w:tc>
        <w:tc>
          <w:tcPr>
            <w:tcW w:w="2205" w:type="dxa"/>
            <w:gridSpan w:val="2"/>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Lu</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r>
              <w:rPr>
                <w:rFonts w:ascii="宋体" w:eastAsia="宋体" w:hAnsi="宋体" w:cs="宋体" w:hint="eastAsia"/>
                <w:color w:val="000000"/>
                <w:kern w:val="0"/>
                <w:sz w:val="28"/>
                <w:szCs w:val="28"/>
                <w:lang w:bidi="ar"/>
              </w:rPr>
              <w:t>/REO</w:t>
            </w:r>
          </w:p>
        </w:tc>
        <w:tc>
          <w:tcPr>
            <w:tcW w:w="1597" w:type="dxa"/>
            <w:vAlign w:val="center"/>
          </w:tcPr>
          <w:p w:rsidR="00B859CA" w:rsidRDefault="00A132A0">
            <w:pPr>
              <w:spacing w:line="360" w:lineRule="auto"/>
              <w:jc w:val="center"/>
              <w:rPr>
                <w:rFonts w:ascii="宋体" w:eastAsia="宋体" w:hAnsi="宋体" w:cs="宋体"/>
                <w:sz w:val="28"/>
                <w:szCs w:val="28"/>
              </w:rPr>
            </w:pPr>
            <w:r>
              <w:rPr>
                <w:rFonts w:ascii="宋体" w:eastAsia="宋体" w:hAnsi="宋体" w:cs="宋体" w:hint="eastAsia"/>
                <w:color w:val="000000"/>
                <w:kern w:val="0"/>
                <w:sz w:val="28"/>
                <w:szCs w:val="28"/>
                <w:lang w:bidi="ar"/>
              </w:rPr>
              <w:t>5</w:t>
            </w:r>
            <w:r>
              <w:rPr>
                <w:rFonts w:ascii="宋体" w:eastAsia="宋体" w:hAnsi="宋体" w:cs="宋体" w:hint="eastAsia"/>
                <w:sz w:val="28"/>
                <w:szCs w:val="28"/>
              </w:rPr>
              <w:t>～</w:t>
            </w:r>
            <w:r>
              <w:rPr>
                <w:rFonts w:ascii="宋体" w:eastAsia="宋体" w:hAnsi="宋体" w:cs="宋体" w:hint="eastAsia"/>
                <w:color w:val="000000"/>
                <w:kern w:val="0"/>
                <w:sz w:val="28"/>
                <w:szCs w:val="28"/>
                <w:lang w:bidi="ar"/>
              </w:rPr>
              <w:t>3</w:t>
            </w:r>
            <w:r>
              <w:rPr>
                <w:rFonts w:ascii="宋体" w:eastAsia="宋体" w:hAnsi="宋体" w:cs="宋体" w:hint="eastAsia"/>
                <w:color w:val="000000"/>
                <w:kern w:val="0"/>
                <w:sz w:val="28"/>
                <w:szCs w:val="28"/>
                <w:lang w:bidi="ar"/>
              </w:rPr>
              <w:t>0</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jc w:val="center"/>
              <w:rPr>
                <w:rFonts w:ascii="宋体" w:eastAsia="宋体" w:hAnsi="宋体" w:cs="宋体"/>
                <w:color w:val="000000"/>
                <w:kern w:val="0"/>
                <w:sz w:val="28"/>
                <w:szCs w:val="28"/>
                <w:lang w:bidi="ar"/>
              </w:rPr>
            </w:pPr>
          </w:p>
        </w:tc>
        <w:tc>
          <w:tcPr>
            <w:tcW w:w="2205" w:type="dxa"/>
            <w:gridSpan w:val="2"/>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其它稀土不大于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restart"/>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非稀土杂质</w:t>
            </w:r>
          </w:p>
        </w:tc>
        <w:tc>
          <w:tcPr>
            <w:tcW w:w="1140"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CaO</w:t>
            </w:r>
          </w:p>
        </w:tc>
        <w:tc>
          <w:tcPr>
            <w:tcW w:w="1065"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rPr>
                <w:rFonts w:ascii="宋体" w:eastAsia="宋体" w:hAnsi="宋体" w:cs="宋体"/>
                <w:color w:val="000000"/>
                <w:kern w:val="0"/>
                <w:sz w:val="28"/>
                <w:szCs w:val="28"/>
                <w:lang w:bidi="ar"/>
              </w:rPr>
            </w:pPr>
          </w:p>
        </w:tc>
        <w:tc>
          <w:tcPr>
            <w:tcW w:w="1140"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Fe</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p>
        </w:tc>
        <w:tc>
          <w:tcPr>
            <w:tcW w:w="1065"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rPr>
                <w:rFonts w:ascii="宋体" w:eastAsia="宋体" w:hAnsi="宋体" w:cs="宋体"/>
                <w:color w:val="000000"/>
                <w:kern w:val="0"/>
                <w:sz w:val="28"/>
                <w:szCs w:val="28"/>
                <w:lang w:bidi="ar"/>
              </w:rPr>
            </w:pPr>
          </w:p>
        </w:tc>
        <w:tc>
          <w:tcPr>
            <w:tcW w:w="1140"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Al</w:t>
            </w:r>
            <w:r>
              <w:rPr>
                <w:rFonts w:ascii="宋体" w:eastAsia="宋体" w:hAnsi="宋体" w:cs="宋体" w:hint="eastAsia"/>
                <w:color w:val="000000"/>
                <w:kern w:val="0"/>
                <w:sz w:val="28"/>
                <w:szCs w:val="28"/>
                <w:vertAlign w:val="subscript"/>
                <w:lang w:bidi="ar"/>
              </w:rPr>
              <w:t>2</w:t>
            </w:r>
            <w:r>
              <w:rPr>
                <w:rFonts w:ascii="宋体" w:eastAsia="宋体" w:hAnsi="宋体" w:cs="宋体" w:hint="eastAsia"/>
                <w:color w:val="000000"/>
                <w:kern w:val="0"/>
                <w:sz w:val="28"/>
                <w:szCs w:val="28"/>
                <w:lang w:bidi="ar"/>
              </w:rPr>
              <w:t>O</w:t>
            </w:r>
            <w:r>
              <w:rPr>
                <w:rFonts w:ascii="宋体" w:eastAsia="宋体" w:hAnsi="宋体" w:cs="宋体" w:hint="eastAsia"/>
                <w:color w:val="000000"/>
                <w:kern w:val="0"/>
                <w:sz w:val="28"/>
                <w:szCs w:val="28"/>
                <w:vertAlign w:val="subscript"/>
                <w:lang w:bidi="ar"/>
              </w:rPr>
              <w:t>3</w:t>
            </w:r>
          </w:p>
        </w:tc>
        <w:tc>
          <w:tcPr>
            <w:tcW w:w="1065"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r>
      <w:tr w:rsidR="00B859CA">
        <w:trPr>
          <w:jc w:val="center"/>
        </w:trPr>
        <w:tc>
          <w:tcPr>
            <w:tcW w:w="1791" w:type="dxa"/>
            <w:vMerge/>
            <w:vAlign w:val="center"/>
          </w:tcPr>
          <w:p w:rsidR="00B859CA" w:rsidRDefault="00B859CA">
            <w:pPr>
              <w:spacing w:line="360" w:lineRule="auto"/>
              <w:jc w:val="center"/>
              <w:rPr>
                <w:rFonts w:ascii="宋体" w:eastAsia="宋体" w:hAnsi="宋体" w:cs="宋体"/>
                <w:sz w:val="28"/>
                <w:szCs w:val="28"/>
              </w:rPr>
            </w:pPr>
          </w:p>
        </w:tc>
        <w:tc>
          <w:tcPr>
            <w:tcW w:w="2404" w:type="dxa"/>
            <w:vMerge/>
            <w:vAlign w:val="center"/>
          </w:tcPr>
          <w:p w:rsidR="00B859CA" w:rsidRDefault="00B859CA">
            <w:pPr>
              <w:spacing w:line="360" w:lineRule="auto"/>
              <w:rPr>
                <w:rFonts w:ascii="宋体" w:eastAsia="宋体" w:hAnsi="宋体" w:cs="宋体"/>
                <w:color w:val="000000"/>
                <w:kern w:val="0"/>
                <w:sz w:val="28"/>
                <w:szCs w:val="28"/>
                <w:lang w:bidi="ar"/>
              </w:rPr>
            </w:pPr>
          </w:p>
        </w:tc>
        <w:tc>
          <w:tcPr>
            <w:tcW w:w="1140"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SiO</w:t>
            </w:r>
            <w:r>
              <w:rPr>
                <w:rFonts w:ascii="宋体" w:eastAsia="宋体" w:hAnsi="宋体" w:cs="宋体" w:hint="eastAsia"/>
                <w:color w:val="000000"/>
                <w:kern w:val="0"/>
                <w:sz w:val="28"/>
                <w:szCs w:val="28"/>
                <w:vertAlign w:val="subscript"/>
                <w:lang w:bidi="ar"/>
              </w:rPr>
              <w:t>2</w:t>
            </w:r>
          </w:p>
        </w:tc>
        <w:tc>
          <w:tcPr>
            <w:tcW w:w="1065"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0.2</w:t>
            </w:r>
          </w:p>
        </w:tc>
      </w:tr>
      <w:tr w:rsidR="00B859CA">
        <w:trPr>
          <w:jc w:val="center"/>
        </w:trPr>
        <w:tc>
          <w:tcPr>
            <w:tcW w:w="5335" w:type="dxa"/>
            <w:gridSpan w:val="3"/>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水不溶物（质量分数）</w:t>
            </w:r>
            <w:r>
              <w:rPr>
                <w:rFonts w:ascii="宋体" w:eastAsia="宋体" w:hAnsi="宋体" w:cs="宋体" w:hint="eastAsia"/>
                <w:color w:val="000000"/>
                <w:kern w:val="0"/>
                <w:sz w:val="28"/>
                <w:szCs w:val="28"/>
                <w:lang w:bidi="ar"/>
              </w:rPr>
              <w:t>/%</w:t>
            </w:r>
          </w:p>
        </w:tc>
        <w:tc>
          <w:tcPr>
            <w:tcW w:w="1065"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不大于</w:t>
            </w:r>
          </w:p>
        </w:tc>
        <w:tc>
          <w:tcPr>
            <w:tcW w:w="1597" w:type="dxa"/>
            <w:vAlign w:val="center"/>
          </w:tcPr>
          <w:p w:rsidR="00B859CA" w:rsidRDefault="00A132A0">
            <w:pPr>
              <w:spacing w:line="360" w:lineRule="auto"/>
              <w:jc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0.1</w:t>
            </w:r>
          </w:p>
        </w:tc>
      </w:tr>
    </w:tbl>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四、标准水平分析</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查阅、调研有关文献与标准，目前国内外尚未发现铥镱镥富集物产品，本标准的制定属首次，满足铥镱镥富集物产品生产厂家、稀土分离企业和国内外贸易需求，填补国内外对该产品定义的空白。</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五、与现行相关法律、法规、规章及相关标准，特别是强制性</w:t>
      </w:r>
      <w:r>
        <w:rPr>
          <w:rFonts w:ascii="宋体" w:eastAsia="宋体" w:hAnsi="宋体" w:hint="eastAsia"/>
          <w:b/>
          <w:bCs/>
          <w:sz w:val="28"/>
          <w:szCs w:val="28"/>
        </w:rPr>
        <w:t xml:space="preserve">  </w:t>
      </w:r>
      <w:r>
        <w:rPr>
          <w:rFonts w:ascii="宋体" w:eastAsia="宋体" w:hAnsi="宋体" w:hint="eastAsia"/>
          <w:b/>
          <w:bCs/>
          <w:sz w:val="28"/>
          <w:szCs w:val="28"/>
        </w:rPr>
        <w:t>标准的协调性。</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起草单位对国际标准、国内标准进行了广泛的查阅和调研，截至目前，国内外未出现铥镱镥富集物的产品标准。</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六、标准中如涉及专利，应有明确的知识产权说明</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本标准不涉及专利。</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七、重大分歧意见的处理经过和依据</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本标准属于有色金属领域专业基础标准，编制组根据制定原则进行标准制定，制定的征求意见稿过程未发生重大分歧意见。</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八、标准作为强制性或推荐性国家（或行业）标准的建议</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本标准适用于铥镱镥富集物产品，随着铥镱镥富集物在稀土行业的贸易越来越广泛，故本标准建议作为推荐性行业标准来制定。</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九、贯彻标准的要求和措施建议</w:t>
      </w:r>
    </w:p>
    <w:p w:rsidR="00B859CA" w:rsidRDefault="00A132A0">
      <w:pPr>
        <w:spacing w:line="360" w:lineRule="auto"/>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组织措施</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标准颁布实施后，建议稀土标委会及相关部门组织标准宣贯会，</w:t>
      </w:r>
      <w:r>
        <w:rPr>
          <w:rFonts w:ascii="宋体" w:eastAsia="宋体" w:hAnsi="宋体" w:hint="eastAsia"/>
          <w:sz w:val="28"/>
          <w:szCs w:val="28"/>
        </w:rPr>
        <w:lastRenderedPageBreak/>
        <w:t>介绍本标准的使用范围及内容，使更多的</w:t>
      </w:r>
      <w:r>
        <w:rPr>
          <w:rFonts w:ascii="宋体" w:eastAsia="宋体" w:hAnsi="宋体" w:hint="eastAsia"/>
          <w:sz w:val="28"/>
          <w:szCs w:val="28"/>
        </w:rPr>
        <w:t>企业能够理解使用本标准。</w:t>
      </w:r>
    </w:p>
    <w:p w:rsidR="00B859CA" w:rsidRDefault="00A132A0">
      <w:pPr>
        <w:spacing w:line="360" w:lineRule="auto"/>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技术措施</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无</w:t>
      </w:r>
    </w:p>
    <w:p w:rsidR="00B859CA" w:rsidRDefault="00A132A0">
      <w:pPr>
        <w:spacing w:line="360" w:lineRule="auto"/>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过度办法</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自本标准发布日起至实施日止，为本标准的过渡期，由于本标准为首次制定，在此期间，本标准可等效使用。</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十、废止现行有关标准的建议</w:t>
      </w:r>
    </w:p>
    <w:p w:rsidR="00B859CA" w:rsidRDefault="00A132A0">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无</w:t>
      </w:r>
    </w:p>
    <w:p w:rsidR="00B859CA" w:rsidRDefault="00A132A0">
      <w:pPr>
        <w:spacing w:line="360" w:lineRule="auto"/>
        <w:rPr>
          <w:rFonts w:ascii="宋体" w:eastAsia="宋体" w:hAnsi="宋体"/>
          <w:b/>
          <w:bCs/>
          <w:sz w:val="28"/>
          <w:szCs w:val="28"/>
        </w:rPr>
      </w:pPr>
      <w:r>
        <w:rPr>
          <w:rFonts w:ascii="宋体" w:eastAsia="宋体" w:hAnsi="宋体" w:hint="eastAsia"/>
          <w:b/>
          <w:bCs/>
          <w:sz w:val="28"/>
          <w:szCs w:val="28"/>
        </w:rPr>
        <w:t>十一、其他应予说明的事项</w:t>
      </w: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本标准为首次制定，本标准的制定可以为铥镱镥富集物产品提供依据，解决企业之间的贸易争端，完善我国稀土标准体系，为我国的稀土行业的转型发展提供技术和数据支撑，可产生巨大的经济效益和社会效益。</w:t>
      </w:r>
    </w:p>
    <w:p w:rsidR="00B859CA" w:rsidRDefault="00B859CA">
      <w:pPr>
        <w:spacing w:line="360" w:lineRule="auto"/>
        <w:ind w:firstLine="560"/>
        <w:rPr>
          <w:rFonts w:ascii="宋体" w:eastAsia="宋体" w:hAnsi="宋体"/>
          <w:sz w:val="28"/>
          <w:szCs w:val="28"/>
        </w:rPr>
      </w:pPr>
    </w:p>
    <w:p w:rsidR="00B859CA" w:rsidRDefault="00B859CA">
      <w:pPr>
        <w:spacing w:line="360" w:lineRule="auto"/>
        <w:ind w:firstLine="560"/>
        <w:rPr>
          <w:rFonts w:ascii="宋体" w:eastAsia="宋体" w:hAnsi="宋体"/>
          <w:sz w:val="28"/>
          <w:szCs w:val="28"/>
        </w:rPr>
      </w:pPr>
    </w:p>
    <w:p w:rsidR="00B859CA" w:rsidRDefault="00B859CA">
      <w:pPr>
        <w:spacing w:line="360" w:lineRule="auto"/>
        <w:ind w:firstLine="560"/>
        <w:rPr>
          <w:rFonts w:ascii="宋体" w:eastAsia="宋体" w:hAnsi="宋体"/>
          <w:sz w:val="28"/>
          <w:szCs w:val="28"/>
        </w:rPr>
      </w:pPr>
    </w:p>
    <w:p w:rsidR="00B859CA" w:rsidRDefault="00A132A0">
      <w:pPr>
        <w:spacing w:line="360" w:lineRule="auto"/>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二〇一八年十</w:t>
      </w:r>
      <w:r>
        <w:rPr>
          <w:rFonts w:ascii="宋体" w:eastAsia="宋体" w:hAnsi="宋体" w:hint="eastAsia"/>
          <w:sz w:val="28"/>
          <w:szCs w:val="28"/>
        </w:rPr>
        <w:t>月十二</w:t>
      </w:r>
      <w:r>
        <w:rPr>
          <w:rFonts w:ascii="宋体" w:eastAsia="宋体" w:hAnsi="宋体" w:hint="eastAsia"/>
          <w:sz w:val="28"/>
          <w:szCs w:val="28"/>
        </w:rPr>
        <w:t>日</w:t>
      </w:r>
    </w:p>
    <w:p w:rsidR="00B859CA" w:rsidRDefault="00B859CA">
      <w:pPr>
        <w:spacing w:line="360" w:lineRule="auto"/>
        <w:rPr>
          <w:rFonts w:ascii="宋体" w:eastAsia="宋体" w:hAnsi="宋体"/>
          <w:sz w:val="28"/>
          <w:szCs w:val="28"/>
        </w:rPr>
      </w:pPr>
    </w:p>
    <w:p w:rsidR="00B859CA" w:rsidRDefault="00B859CA">
      <w:pPr>
        <w:pStyle w:val="a8"/>
        <w:spacing w:line="360" w:lineRule="auto"/>
        <w:ind w:firstLineChars="0" w:firstLine="0"/>
        <w:rPr>
          <w:rFonts w:ascii="宋体" w:eastAsia="宋体" w:hAnsi="宋体"/>
          <w:sz w:val="28"/>
          <w:szCs w:val="28"/>
        </w:rPr>
      </w:pPr>
      <w:bookmarkStart w:id="0" w:name="_GoBack"/>
      <w:bookmarkEnd w:id="0"/>
    </w:p>
    <w:sectPr w:rsidR="00B85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C0F9"/>
    <w:multiLevelType w:val="singleLevel"/>
    <w:tmpl w:val="1D33C0F9"/>
    <w:lvl w:ilvl="0">
      <w:start w:val="4"/>
      <w:numFmt w:val="decimal"/>
      <w:lvlText w:val="%1."/>
      <w:lvlJc w:val="left"/>
      <w:pPr>
        <w:tabs>
          <w:tab w:val="left" w:pos="312"/>
        </w:tabs>
      </w:pPr>
    </w:lvl>
  </w:abstractNum>
  <w:abstractNum w:abstractNumId="1" w15:restartNumberingAfterBreak="0">
    <w:nsid w:val="47442907"/>
    <w:multiLevelType w:val="singleLevel"/>
    <w:tmpl w:val="47442907"/>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45B"/>
    <w:rsid w:val="0004527E"/>
    <w:rsid w:val="00085DA7"/>
    <w:rsid w:val="000A0E78"/>
    <w:rsid w:val="00136A06"/>
    <w:rsid w:val="001669F5"/>
    <w:rsid w:val="002245B3"/>
    <w:rsid w:val="002C445B"/>
    <w:rsid w:val="003035B1"/>
    <w:rsid w:val="003C61CA"/>
    <w:rsid w:val="003E5630"/>
    <w:rsid w:val="003F02F0"/>
    <w:rsid w:val="00415EDD"/>
    <w:rsid w:val="0048160F"/>
    <w:rsid w:val="004C6E8F"/>
    <w:rsid w:val="0050726C"/>
    <w:rsid w:val="0050765A"/>
    <w:rsid w:val="00507E3E"/>
    <w:rsid w:val="005550F6"/>
    <w:rsid w:val="0058305A"/>
    <w:rsid w:val="005F392B"/>
    <w:rsid w:val="00607167"/>
    <w:rsid w:val="00611EFF"/>
    <w:rsid w:val="006853A5"/>
    <w:rsid w:val="006E4C77"/>
    <w:rsid w:val="007B430E"/>
    <w:rsid w:val="008C781F"/>
    <w:rsid w:val="008E303C"/>
    <w:rsid w:val="0092656E"/>
    <w:rsid w:val="00945A9A"/>
    <w:rsid w:val="00A004C7"/>
    <w:rsid w:val="00A132A0"/>
    <w:rsid w:val="00A9063A"/>
    <w:rsid w:val="00A92CB9"/>
    <w:rsid w:val="00AA0A8E"/>
    <w:rsid w:val="00B12A60"/>
    <w:rsid w:val="00B62FCF"/>
    <w:rsid w:val="00B859CA"/>
    <w:rsid w:val="00BC3DB6"/>
    <w:rsid w:val="00C0197C"/>
    <w:rsid w:val="00C95BBD"/>
    <w:rsid w:val="00CE6F3F"/>
    <w:rsid w:val="00D23A36"/>
    <w:rsid w:val="00D24381"/>
    <w:rsid w:val="00D462BB"/>
    <w:rsid w:val="00D704EF"/>
    <w:rsid w:val="00DA1758"/>
    <w:rsid w:val="00DB1845"/>
    <w:rsid w:val="00DB4644"/>
    <w:rsid w:val="00DF47B2"/>
    <w:rsid w:val="00E44442"/>
    <w:rsid w:val="00E56EA7"/>
    <w:rsid w:val="00EB1779"/>
    <w:rsid w:val="00F14C52"/>
    <w:rsid w:val="00F90F2C"/>
    <w:rsid w:val="00F9731F"/>
    <w:rsid w:val="00FE69EE"/>
    <w:rsid w:val="01885145"/>
    <w:rsid w:val="01AC74D7"/>
    <w:rsid w:val="037849C5"/>
    <w:rsid w:val="03A4753B"/>
    <w:rsid w:val="043B3B6A"/>
    <w:rsid w:val="043C147C"/>
    <w:rsid w:val="043C1CB4"/>
    <w:rsid w:val="048667C7"/>
    <w:rsid w:val="04DA0E05"/>
    <w:rsid w:val="04DF628B"/>
    <w:rsid w:val="05505612"/>
    <w:rsid w:val="05833A79"/>
    <w:rsid w:val="06874842"/>
    <w:rsid w:val="06A04155"/>
    <w:rsid w:val="06E93D80"/>
    <w:rsid w:val="0742310B"/>
    <w:rsid w:val="08347B1D"/>
    <w:rsid w:val="08833DCD"/>
    <w:rsid w:val="08930360"/>
    <w:rsid w:val="098D1F98"/>
    <w:rsid w:val="09C35ECE"/>
    <w:rsid w:val="0A16155A"/>
    <w:rsid w:val="0B1E5C04"/>
    <w:rsid w:val="0B326984"/>
    <w:rsid w:val="0C705182"/>
    <w:rsid w:val="0CD3377F"/>
    <w:rsid w:val="0CF14E4E"/>
    <w:rsid w:val="0DC23022"/>
    <w:rsid w:val="0E1652F9"/>
    <w:rsid w:val="0E197FCB"/>
    <w:rsid w:val="0E1E65BA"/>
    <w:rsid w:val="0E203449"/>
    <w:rsid w:val="0E8F7A7F"/>
    <w:rsid w:val="0EAC3AC5"/>
    <w:rsid w:val="0F596F50"/>
    <w:rsid w:val="0FA72E24"/>
    <w:rsid w:val="0FDC0439"/>
    <w:rsid w:val="10F418B0"/>
    <w:rsid w:val="111A0EAD"/>
    <w:rsid w:val="112F0535"/>
    <w:rsid w:val="11A51D62"/>
    <w:rsid w:val="11C7580A"/>
    <w:rsid w:val="11DF5FFB"/>
    <w:rsid w:val="13111619"/>
    <w:rsid w:val="1475333A"/>
    <w:rsid w:val="148E68FB"/>
    <w:rsid w:val="14D4796C"/>
    <w:rsid w:val="16432128"/>
    <w:rsid w:val="17C5683C"/>
    <w:rsid w:val="196947AE"/>
    <w:rsid w:val="1ACC1900"/>
    <w:rsid w:val="1BC13295"/>
    <w:rsid w:val="1C9039FF"/>
    <w:rsid w:val="1CCB7C48"/>
    <w:rsid w:val="1E23581E"/>
    <w:rsid w:val="1EA25002"/>
    <w:rsid w:val="1EAC6FD9"/>
    <w:rsid w:val="1EF0789F"/>
    <w:rsid w:val="1F8E32BD"/>
    <w:rsid w:val="1FD63633"/>
    <w:rsid w:val="20AC7A5F"/>
    <w:rsid w:val="216173EF"/>
    <w:rsid w:val="21635CF8"/>
    <w:rsid w:val="21807F29"/>
    <w:rsid w:val="226E44FB"/>
    <w:rsid w:val="2297425C"/>
    <w:rsid w:val="22AB2876"/>
    <w:rsid w:val="22F47FDC"/>
    <w:rsid w:val="23823A30"/>
    <w:rsid w:val="245C7B68"/>
    <w:rsid w:val="2499776F"/>
    <w:rsid w:val="24DA683D"/>
    <w:rsid w:val="254B62D6"/>
    <w:rsid w:val="256C728E"/>
    <w:rsid w:val="261577C6"/>
    <w:rsid w:val="27BB328C"/>
    <w:rsid w:val="281F2309"/>
    <w:rsid w:val="28DB24B1"/>
    <w:rsid w:val="29303562"/>
    <w:rsid w:val="293F7A4C"/>
    <w:rsid w:val="2AC246FA"/>
    <w:rsid w:val="2BB21DB8"/>
    <w:rsid w:val="2BEE63DB"/>
    <w:rsid w:val="2BF10F05"/>
    <w:rsid w:val="2D9A4944"/>
    <w:rsid w:val="2E4B098D"/>
    <w:rsid w:val="2EB13EC8"/>
    <w:rsid w:val="30643739"/>
    <w:rsid w:val="309C6ABC"/>
    <w:rsid w:val="30A97E04"/>
    <w:rsid w:val="317402D3"/>
    <w:rsid w:val="318230B1"/>
    <w:rsid w:val="32E93A02"/>
    <w:rsid w:val="33B4304F"/>
    <w:rsid w:val="34761A38"/>
    <w:rsid w:val="35DA4606"/>
    <w:rsid w:val="35EC624A"/>
    <w:rsid w:val="379574BF"/>
    <w:rsid w:val="38772D31"/>
    <w:rsid w:val="396F78CB"/>
    <w:rsid w:val="39E05C6F"/>
    <w:rsid w:val="39F12676"/>
    <w:rsid w:val="3AFD3E34"/>
    <w:rsid w:val="3B7C1CFC"/>
    <w:rsid w:val="3CFF3835"/>
    <w:rsid w:val="3D0F311E"/>
    <w:rsid w:val="3E4824B5"/>
    <w:rsid w:val="3E991048"/>
    <w:rsid w:val="3F3017AA"/>
    <w:rsid w:val="411E7F40"/>
    <w:rsid w:val="419C4876"/>
    <w:rsid w:val="430113E2"/>
    <w:rsid w:val="431A6564"/>
    <w:rsid w:val="4380780B"/>
    <w:rsid w:val="439E57EA"/>
    <w:rsid w:val="43D04A20"/>
    <w:rsid w:val="44E37486"/>
    <w:rsid w:val="452E3BEC"/>
    <w:rsid w:val="45F42D33"/>
    <w:rsid w:val="460012B1"/>
    <w:rsid w:val="46697CD1"/>
    <w:rsid w:val="4813068E"/>
    <w:rsid w:val="487878A7"/>
    <w:rsid w:val="48D37026"/>
    <w:rsid w:val="49C61900"/>
    <w:rsid w:val="4A934FA8"/>
    <w:rsid w:val="4B214F17"/>
    <w:rsid w:val="4BE0072E"/>
    <w:rsid w:val="4D23561F"/>
    <w:rsid w:val="4DA57EB1"/>
    <w:rsid w:val="4F48237F"/>
    <w:rsid w:val="5087359E"/>
    <w:rsid w:val="50BF4D9D"/>
    <w:rsid w:val="50D37AA1"/>
    <w:rsid w:val="51523CD0"/>
    <w:rsid w:val="51721560"/>
    <w:rsid w:val="52436FE9"/>
    <w:rsid w:val="52944E59"/>
    <w:rsid w:val="53CB2FC7"/>
    <w:rsid w:val="54756070"/>
    <w:rsid w:val="550C6343"/>
    <w:rsid w:val="5610102D"/>
    <w:rsid w:val="569C28E4"/>
    <w:rsid w:val="574A4A15"/>
    <w:rsid w:val="57AC5D2C"/>
    <w:rsid w:val="581E4E2D"/>
    <w:rsid w:val="583D5A89"/>
    <w:rsid w:val="58BE6F80"/>
    <w:rsid w:val="58CF4FC6"/>
    <w:rsid w:val="5A056D8C"/>
    <w:rsid w:val="5A2A0D4D"/>
    <w:rsid w:val="5AF30C9D"/>
    <w:rsid w:val="5C285BA7"/>
    <w:rsid w:val="5CAD1DD7"/>
    <w:rsid w:val="5D8E3AC5"/>
    <w:rsid w:val="5D8F360F"/>
    <w:rsid w:val="5F0B05A1"/>
    <w:rsid w:val="5F591A29"/>
    <w:rsid w:val="5FB31695"/>
    <w:rsid w:val="60506E1F"/>
    <w:rsid w:val="615F3710"/>
    <w:rsid w:val="616401AC"/>
    <w:rsid w:val="62713EB7"/>
    <w:rsid w:val="63050AE1"/>
    <w:rsid w:val="63D76231"/>
    <w:rsid w:val="63F5778E"/>
    <w:rsid w:val="641743E3"/>
    <w:rsid w:val="64765827"/>
    <w:rsid w:val="656239FB"/>
    <w:rsid w:val="66E31C1A"/>
    <w:rsid w:val="67711D9F"/>
    <w:rsid w:val="68204F27"/>
    <w:rsid w:val="68675BE7"/>
    <w:rsid w:val="688B7A77"/>
    <w:rsid w:val="68DD13F8"/>
    <w:rsid w:val="69331DCF"/>
    <w:rsid w:val="6BF10A26"/>
    <w:rsid w:val="6C211257"/>
    <w:rsid w:val="6C4965E1"/>
    <w:rsid w:val="6D1C5899"/>
    <w:rsid w:val="6D73124F"/>
    <w:rsid w:val="6DC37081"/>
    <w:rsid w:val="6F6B0B8D"/>
    <w:rsid w:val="6FDF7A97"/>
    <w:rsid w:val="6FED4B2F"/>
    <w:rsid w:val="70080A02"/>
    <w:rsid w:val="704D0EF6"/>
    <w:rsid w:val="71911597"/>
    <w:rsid w:val="73D60C24"/>
    <w:rsid w:val="741D448E"/>
    <w:rsid w:val="75A6175C"/>
    <w:rsid w:val="75C118C0"/>
    <w:rsid w:val="763E10A0"/>
    <w:rsid w:val="765110D5"/>
    <w:rsid w:val="766F057C"/>
    <w:rsid w:val="76B054B1"/>
    <w:rsid w:val="772507FB"/>
    <w:rsid w:val="787951D8"/>
    <w:rsid w:val="79B55F2F"/>
    <w:rsid w:val="7A341A76"/>
    <w:rsid w:val="7AFE5645"/>
    <w:rsid w:val="7CD26AEC"/>
    <w:rsid w:val="7CD458EB"/>
    <w:rsid w:val="7D6B5ACB"/>
    <w:rsid w:val="7F107B3A"/>
    <w:rsid w:val="7F37618B"/>
    <w:rsid w:val="7FB0303D"/>
    <w:rsid w:val="7FF9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FD0D"/>
  <w15:docId w15:val="{A793CACB-ACA5-46CE-80BF-B55822C6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nhideWhenUsed/>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705</Words>
  <Characters>4025</Characters>
  <Application>Microsoft Office Word</Application>
  <DocSecurity>0</DocSecurity>
  <Lines>33</Lines>
  <Paragraphs>9</Paragraphs>
  <ScaleCrop>false</ScaleCrop>
  <Company>GDRE.COM.CN</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张俊杰</dc:creator>
  <cp:lastModifiedBy>张俊杰</cp:lastModifiedBy>
  <cp:revision>18</cp:revision>
  <dcterms:created xsi:type="dcterms:W3CDTF">2018-03-09T05:49:00Z</dcterms:created>
  <dcterms:modified xsi:type="dcterms:W3CDTF">2018-10-22T01:45:00Z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