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17"/>
        <w:spacing w:lineRule="auto" w:line="240"/>
        <w:rPr>
          <w:rFonts w:ascii="Times New Roman"/>
          <w:b/>
          <w:bCs/>
          <w:sz w:val="28"/>
          <w:szCs w:val="28"/>
        </w:rPr>
      </w:pPr>
    </w:p>
    <w:p>
      <w:pPr>
        <w:pStyle w:val="style4117"/>
        <w:spacing w:lineRule="auto" w:line="240"/>
        <w:rPr>
          <w:rFonts w:ascii="Times New Roman"/>
          <w:b/>
          <w:bCs/>
          <w:sz w:val="28"/>
          <w:szCs w:val="28"/>
        </w:rPr>
      </w:pPr>
    </w:p>
    <w:p>
      <w:pPr>
        <w:pStyle w:val="style4117"/>
        <w:spacing w:lineRule="auto" w:line="240"/>
        <w:jc w:val="both"/>
        <w:rPr>
          <w:rFonts w:ascii="Times New Roman"/>
          <w:b/>
          <w:bCs/>
          <w:sz w:val="28"/>
          <w:szCs w:val="28"/>
        </w:rPr>
      </w:pPr>
    </w:p>
    <w:p>
      <w:pPr>
        <w:pStyle w:val="style0"/>
        <w:snapToGrid w:val="false"/>
        <w:spacing w:lineRule="auto" w:line="360"/>
        <w:jc w:val="center"/>
        <w:rPr>
          <w:rFonts w:ascii="黑体" w:eastAsia="黑体"/>
          <w:bCs/>
          <w:sz w:val="44"/>
          <w:szCs w:val="44"/>
        </w:rPr>
      </w:pPr>
      <w:r>
        <w:rPr>
          <w:rFonts w:ascii="黑体" w:eastAsia="黑体" w:hint="eastAsia"/>
          <w:bCs/>
          <w:sz w:val="44"/>
          <w:szCs w:val="44"/>
        </w:rPr>
        <w:t>有色金属行业标准</w:t>
      </w:r>
    </w:p>
    <w:p>
      <w:pPr>
        <w:pStyle w:val="style0"/>
        <w:spacing w:lineRule="auto" w:line="360"/>
        <w:jc w:val="center"/>
        <w:rPr>
          <w:rFonts w:ascii="黑体" w:eastAsia="黑体"/>
          <w:bCs/>
          <w:sz w:val="36"/>
          <w:szCs w:val="36"/>
        </w:rPr>
      </w:pPr>
      <w:r>
        <w:rPr>
          <w:rFonts w:ascii="黑体" w:eastAsia="黑体" w:hint="eastAsia"/>
          <w:bCs/>
          <w:sz w:val="36"/>
          <w:szCs w:val="36"/>
        </w:rPr>
        <w:t>高镍</w:t>
      </w:r>
      <w:r>
        <w:rPr>
          <w:rFonts w:ascii="黑体" w:eastAsia="黑体" w:hint="eastAsia"/>
          <w:bCs/>
          <w:sz w:val="36"/>
          <w:szCs w:val="36"/>
          <w:lang w:eastAsia="zh-CN"/>
        </w:rPr>
        <w:t>锍</w:t>
      </w:r>
      <w:r>
        <w:rPr>
          <w:rFonts w:ascii="黑体" w:eastAsia="黑体" w:hint="eastAsia"/>
          <w:bCs/>
          <w:sz w:val="36"/>
          <w:szCs w:val="36"/>
        </w:rPr>
        <w:t>化学分析方法</w:t>
      </w:r>
    </w:p>
    <w:p>
      <w:pPr>
        <w:pStyle w:val="style0"/>
        <w:spacing w:lineRule="auto" w:line="360"/>
        <w:jc w:val="center"/>
        <w:rPr>
          <w:rFonts w:ascii="黑体" w:eastAsia="黑体"/>
          <w:bCs/>
          <w:sz w:val="36"/>
          <w:szCs w:val="36"/>
        </w:rPr>
      </w:pPr>
      <w:r>
        <w:rPr>
          <w:rFonts w:ascii="黑体" w:eastAsia="黑体" w:hint="eastAsia"/>
          <w:bCs/>
          <w:sz w:val="36"/>
          <w:szCs w:val="36"/>
        </w:rPr>
        <w:t>第</w:t>
      </w:r>
      <w:r>
        <w:rPr>
          <w:rFonts w:ascii="黑体" w:eastAsia="黑体"/>
          <w:bCs/>
          <w:sz w:val="36"/>
          <w:szCs w:val="36"/>
        </w:rPr>
        <w:t>6</w:t>
      </w:r>
      <w:r>
        <w:rPr>
          <w:rFonts w:ascii="黑体" w:eastAsia="黑体" w:hint="eastAsia"/>
          <w:bCs/>
          <w:sz w:val="36"/>
          <w:szCs w:val="36"/>
        </w:rPr>
        <w:t>部分</w:t>
      </w:r>
      <w:r>
        <w:rPr>
          <w:rFonts w:ascii="黑体" w:eastAsia="黑体"/>
          <w:bCs/>
          <w:sz w:val="36"/>
          <w:szCs w:val="36"/>
        </w:rPr>
        <w:t xml:space="preserve"> </w:t>
      </w:r>
      <w:r>
        <w:rPr>
          <w:rFonts w:ascii="黑体" w:eastAsia="黑体" w:hint="eastAsia"/>
          <w:bCs/>
          <w:sz w:val="36"/>
          <w:szCs w:val="36"/>
        </w:rPr>
        <w:t>铅、</w:t>
      </w:r>
      <w:r>
        <w:rPr>
          <w:rFonts w:ascii="黑体" w:eastAsia="黑体" w:hint="eastAsia"/>
          <w:sz w:val="36"/>
          <w:szCs w:val="36"/>
        </w:rPr>
        <w:t>锌、砷</w:t>
      </w:r>
      <w:r>
        <w:rPr>
          <w:rFonts w:ascii="黑体" w:eastAsia="黑体" w:hint="eastAsia"/>
          <w:bCs/>
          <w:sz w:val="36"/>
          <w:szCs w:val="36"/>
        </w:rPr>
        <w:t>量的测定</w:t>
      </w:r>
    </w:p>
    <w:p>
      <w:pPr>
        <w:pStyle w:val="style0"/>
        <w:spacing w:lineRule="auto" w:line="360"/>
        <w:jc w:val="center"/>
        <w:rPr>
          <w:rFonts w:ascii="黑体" w:eastAsia="黑体"/>
          <w:bCs/>
          <w:sz w:val="36"/>
          <w:szCs w:val="36"/>
        </w:rPr>
      </w:pPr>
      <w:r>
        <w:rPr>
          <w:rFonts w:ascii="黑体" w:eastAsia="黑体" w:hint="eastAsia"/>
          <w:bCs/>
          <w:sz w:val="36"/>
          <w:szCs w:val="36"/>
        </w:rPr>
        <w:t>电感耦合等离子体原子发射光谱法》</w:t>
      </w:r>
    </w:p>
    <w:p>
      <w:pPr>
        <w:pStyle w:val="style0"/>
        <w:spacing w:lineRule="auto" w:line="360"/>
        <w:jc w:val="center"/>
        <w:rPr>
          <w:rFonts w:ascii="黑体" w:eastAsia="黑体"/>
          <w:bCs/>
          <w:sz w:val="36"/>
          <w:szCs w:val="36"/>
        </w:rPr>
      </w:pPr>
    </w:p>
    <w:p>
      <w:pPr>
        <w:pStyle w:val="style0"/>
        <w:spacing w:lineRule="auto" w:line="360"/>
        <w:jc w:val="center"/>
        <w:rPr>
          <w:rFonts w:ascii="黑体" w:eastAsia="黑体"/>
          <w:bCs/>
          <w:sz w:val="36"/>
          <w:szCs w:val="36"/>
        </w:rPr>
      </w:pPr>
    </w:p>
    <w:p>
      <w:pPr>
        <w:pStyle w:val="style0"/>
        <w:spacing w:lineRule="auto" w:line="360"/>
        <w:jc w:val="center"/>
        <w:rPr>
          <w:rFonts w:ascii="黑体" w:eastAsia="黑体"/>
          <w:bCs/>
          <w:sz w:val="36"/>
          <w:szCs w:val="36"/>
        </w:rPr>
      </w:pPr>
      <w:r>
        <w:rPr>
          <w:rFonts w:ascii="黑体" w:eastAsia="黑体" w:hint="eastAsia"/>
          <w:bCs/>
          <w:sz w:val="36"/>
          <w:szCs w:val="36"/>
        </w:rPr>
        <w:t>编制说明</w:t>
      </w:r>
    </w:p>
    <w:p>
      <w:pPr>
        <w:pStyle w:val="style4117"/>
        <w:spacing w:lineRule="auto" w:line="240"/>
        <w:rPr>
          <w:rFonts w:ascii="Times New Roman"/>
          <w:b/>
          <w:bCs/>
          <w:sz w:val="28"/>
          <w:szCs w:val="28"/>
        </w:rPr>
      </w:pPr>
    </w:p>
    <w:p>
      <w:pPr>
        <w:pStyle w:val="style4117"/>
        <w:spacing w:lineRule="auto" w:line="240"/>
        <w:rPr>
          <w:rFonts w:ascii="Times New Roman"/>
          <w:b/>
          <w:bCs/>
          <w:sz w:val="28"/>
          <w:szCs w:val="28"/>
        </w:rPr>
      </w:pPr>
    </w:p>
    <w:p>
      <w:pPr>
        <w:pStyle w:val="style4117"/>
        <w:spacing w:lineRule="auto" w:line="240"/>
        <w:rPr>
          <w:rFonts w:ascii="Times New Roman"/>
          <w:b/>
          <w:bCs/>
          <w:sz w:val="28"/>
          <w:szCs w:val="28"/>
        </w:rPr>
      </w:pPr>
    </w:p>
    <w:p>
      <w:pPr>
        <w:pStyle w:val="style4117"/>
        <w:spacing w:lineRule="auto" w:line="240"/>
        <w:rPr>
          <w:rFonts w:ascii="Times New Roman"/>
          <w:b/>
          <w:bCs/>
          <w:sz w:val="28"/>
          <w:szCs w:val="28"/>
        </w:rPr>
      </w:pPr>
    </w:p>
    <w:p>
      <w:pPr>
        <w:pStyle w:val="style4117"/>
        <w:spacing w:lineRule="auto" w:line="240"/>
        <w:rPr>
          <w:rFonts w:ascii="Times New Roman"/>
          <w:b/>
          <w:bCs/>
          <w:sz w:val="28"/>
          <w:szCs w:val="28"/>
        </w:rPr>
      </w:pPr>
    </w:p>
    <w:p>
      <w:pPr>
        <w:pStyle w:val="style0"/>
        <w:snapToGrid w:val="false"/>
        <w:spacing w:lineRule="auto" w:line="360"/>
        <w:jc w:val="center"/>
        <w:rPr>
          <w:rFonts w:ascii="宋体"/>
          <w:sz w:val="30"/>
          <w:szCs w:val="24"/>
        </w:rPr>
      </w:pPr>
      <w:r>
        <w:rPr>
          <w:rFonts w:ascii="宋体" w:hAnsi="宋体" w:hint="eastAsia"/>
          <w:sz w:val="30"/>
          <w:szCs w:val="24"/>
        </w:rPr>
        <w:t>标准编制组</w:t>
      </w:r>
    </w:p>
    <w:p>
      <w:pPr>
        <w:pStyle w:val="style0"/>
        <w:snapToGrid w:val="false"/>
        <w:spacing w:lineRule="auto" w:line="360"/>
        <w:jc w:val="center"/>
        <w:rPr>
          <w:rFonts w:ascii="宋体"/>
          <w:sz w:val="30"/>
          <w:szCs w:val="24"/>
        </w:rPr>
      </w:pPr>
      <w:r>
        <w:rPr>
          <w:rFonts w:ascii="宋体" w:hAnsi="宋体"/>
          <w:sz w:val="30"/>
          <w:szCs w:val="24"/>
        </w:rPr>
        <w:t>2018</w:t>
      </w:r>
      <w:r>
        <w:rPr>
          <w:rFonts w:ascii="宋体" w:hAnsi="宋体" w:hint="eastAsia"/>
          <w:sz w:val="30"/>
          <w:szCs w:val="24"/>
        </w:rPr>
        <w:t>年</w:t>
      </w:r>
      <w:r>
        <w:rPr>
          <w:rFonts w:ascii="宋体" w:hAnsi="宋体"/>
          <w:sz w:val="30"/>
          <w:szCs w:val="24"/>
        </w:rPr>
        <w:t>8</w:t>
      </w:r>
      <w:r>
        <w:rPr>
          <w:rFonts w:ascii="宋体" w:hAnsi="宋体" w:hint="eastAsia"/>
          <w:sz w:val="30"/>
          <w:szCs w:val="24"/>
        </w:rPr>
        <w:t>月</w:t>
      </w:r>
      <w:r>
        <w:rPr>
          <w:rFonts w:ascii="宋体" w:hAnsi="宋体"/>
          <w:sz w:val="30"/>
          <w:szCs w:val="24"/>
        </w:rPr>
        <w:t>13</w:t>
      </w:r>
      <w:r>
        <w:rPr>
          <w:rFonts w:ascii="宋体" w:hAnsi="宋体" w:hint="eastAsia"/>
          <w:sz w:val="30"/>
          <w:szCs w:val="24"/>
        </w:rPr>
        <w:t>日</w:t>
      </w:r>
    </w:p>
    <w:p>
      <w:pPr>
        <w:pStyle w:val="style4117"/>
        <w:spacing w:lineRule="auto" w:line="240"/>
        <w:jc w:val="both"/>
        <w:rPr>
          <w:rFonts w:ascii="Times New Roman"/>
          <w:b/>
          <w:bCs/>
          <w:sz w:val="28"/>
          <w:szCs w:val="28"/>
        </w:rPr>
      </w:pPr>
    </w:p>
    <w:p>
      <w:pPr>
        <w:pStyle w:val="style0"/>
        <w:widowControl/>
        <w:jc w:val="left"/>
        <w:rPr>
          <w:rFonts w:ascii="黑体" w:eastAsia="黑体"/>
          <w:bCs/>
          <w:sz w:val="32"/>
          <w:szCs w:val="32"/>
        </w:rPr>
      </w:pPr>
      <w:r>
        <w:rPr>
          <w:b/>
          <w:bCs/>
          <w:sz w:val="28"/>
          <w:szCs w:val="28"/>
        </w:rPr>
        <w:br w:type="page"/>
      </w:r>
    </w:p>
    <w:p>
      <w:pPr>
        <w:pStyle w:val="style4116"/>
        <w:spacing w:beforeLines="50" w:lineRule="auto" w:line="360"/>
        <w:ind w:firstLine="0" w:firstLineChars="0"/>
        <w:outlineLvl w:val="0"/>
        <w:rPr>
          <w:b/>
          <w:sz w:val="24"/>
          <w:szCs w:val="24"/>
        </w:rPr>
      </w:pPr>
      <w:r>
        <w:rPr>
          <w:rFonts w:hint="eastAsia"/>
          <w:b/>
          <w:sz w:val="24"/>
          <w:szCs w:val="24"/>
        </w:rPr>
        <w:t>一、任务来源</w:t>
      </w:r>
    </w:p>
    <w:p>
      <w:pPr>
        <w:pStyle w:val="style0"/>
        <w:spacing w:lineRule="auto" w:line="360"/>
        <w:ind w:firstLine="31680" w:firstLineChars="200"/>
        <w:jc w:val="left"/>
        <w:rPr/>
      </w:pPr>
      <w:r>
        <w:rPr>
          <w:rFonts w:hint="eastAsia"/>
        </w:rPr>
        <w:t>根据工信厅科</w:t>
      </w:r>
      <w:r>
        <w:t>[2017]40</w:t>
      </w:r>
      <w:r>
        <w:rPr>
          <w:rFonts w:hint="eastAsia"/>
        </w:rPr>
        <w:t>号</w:t>
      </w:r>
      <w:r>
        <w:rPr>
          <w:rFonts w:hint="eastAsia"/>
          <w:lang w:val="zh-CN"/>
        </w:rPr>
        <w:t>下达的有色行业标准标准项目计划</w:t>
      </w:r>
      <w:r>
        <w:rPr>
          <w:rFonts w:hint="eastAsia"/>
        </w:rPr>
        <w:t>，经全国有色金属标准化技</w:t>
      </w:r>
      <w:r>
        <w:rPr>
          <w:rFonts w:hint="eastAsia"/>
          <w:lang w:val="zh-CN"/>
        </w:rPr>
        <w:t>术委员会在</w:t>
      </w:r>
      <w:r>
        <w:rPr>
          <w:lang w:val="zh-CN"/>
        </w:rPr>
        <w:t>2017</w:t>
      </w:r>
      <w:r>
        <w:rPr>
          <w:rFonts w:hint="eastAsia"/>
          <w:lang w:val="zh-CN"/>
        </w:rPr>
        <w:t>年</w:t>
      </w:r>
      <w:r>
        <w:rPr>
          <w:lang w:val="zh-CN"/>
        </w:rPr>
        <w:t>10</w:t>
      </w:r>
      <w:r>
        <w:rPr>
          <w:rFonts w:hint="eastAsia"/>
          <w:lang w:val="zh-CN"/>
        </w:rPr>
        <w:t>月</w:t>
      </w:r>
      <w:r>
        <w:rPr>
          <w:lang w:val="zh-CN"/>
        </w:rPr>
        <w:t>24</w:t>
      </w:r>
      <w:r>
        <w:rPr>
          <w:rFonts w:hint="eastAsia"/>
          <w:lang w:val="zh-CN"/>
        </w:rPr>
        <w:t>日</w:t>
      </w:r>
      <w:r>
        <w:rPr>
          <w:rFonts w:hint="eastAsia"/>
          <w:lang w:val="zh-CN"/>
        </w:rPr>
        <w:t>～</w:t>
      </w:r>
      <w:r>
        <w:rPr>
          <w:lang w:val="zh-CN"/>
        </w:rPr>
        <w:t>27</w:t>
      </w:r>
      <w:r>
        <w:rPr>
          <w:rFonts w:hint="eastAsia"/>
          <w:lang w:val="zh-CN"/>
        </w:rPr>
        <w:t>日在浙江杭州召开任务落实和讨论会议，并对</w:t>
      </w:r>
      <w:r>
        <w:rPr>
          <w:rFonts w:ascii="宋体" w:hint="eastAsia"/>
          <w:kern w:val="0"/>
        </w:rPr>
        <w:t>标准计划项目的分工和进度进行了安排。</w:t>
      </w:r>
      <w:r>
        <w:rPr>
          <w:rFonts w:hint="eastAsia"/>
        </w:rPr>
        <w:t>确定</w:t>
      </w:r>
      <w:r>
        <w:rPr>
          <w:rFonts w:hint="eastAsia"/>
          <w:lang w:val="zh-CN"/>
        </w:rPr>
        <w:t>由金川集团股份有限公司负责国家标准《高镍硫镍化学分析方法</w:t>
      </w:r>
      <w:r>
        <w:rPr>
          <w:lang w:val="zh-CN"/>
        </w:rPr>
        <w:t xml:space="preserve"> </w:t>
      </w:r>
      <w:r>
        <w:rPr>
          <w:rFonts w:hint="eastAsia"/>
          <w:lang w:val="zh-CN"/>
        </w:rPr>
        <w:t>第</w:t>
      </w:r>
      <w:r>
        <w:rPr>
          <w:lang w:val="zh-CN"/>
        </w:rPr>
        <w:t>6</w:t>
      </w:r>
      <w:r>
        <w:rPr>
          <w:rFonts w:hint="eastAsia"/>
          <w:lang w:val="zh-CN"/>
        </w:rPr>
        <w:t>部分</w:t>
      </w:r>
      <w:r>
        <w:rPr>
          <w:lang w:val="zh-CN"/>
        </w:rPr>
        <w:t xml:space="preserve"> </w:t>
      </w:r>
      <w:r>
        <w:rPr>
          <w:rFonts w:hint="eastAsia"/>
          <w:lang w:val="zh-CN"/>
        </w:rPr>
        <w:t>铅、锌、砷量的测定</w:t>
      </w:r>
      <w:r>
        <w:t xml:space="preserve">  </w:t>
      </w:r>
      <w:r>
        <w:rPr>
          <w:rFonts w:hint="eastAsia"/>
        </w:rPr>
        <w:t>电感耦合等离子体发射光谱法</w:t>
      </w:r>
      <w:r>
        <w:rPr>
          <w:rFonts w:hint="eastAsia"/>
          <w:lang w:val="zh-CN"/>
        </w:rPr>
        <w:t>》</w:t>
      </w:r>
      <w:r>
        <w:t xml:space="preserve"> </w:t>
      </w:r>
      <w:r>
        <w:rPr>
          <w:rFonts w:hint="eastAsia"/>
        </w:rPr>
        <w:t>的起草，</w:t>
      </w:r>
      <w:r>
        <w:rPr>
          <w:rFonts w:hint="eastAsia"/>
          <w:lang w:val="zh-CN"/>
        </w:rPr>
        <w:t>北矿</w:t>
      </w:r>
      <w:r>
        <w:rPr>
          <w:rFonts w:hint="eastAsia"/>
        </w:rPr>
        <w:t>检测技术有限公司、广</w:t>
      </w:r>
      <w:r>
        <w:rPr>
          <w:rFonts w:hint="eastAsia"/>
          <w:lang w:val="zh-CN"/>
        </w:rPr>
        <w:t>东省工</w:t>
      </w:r>
      <w:r>
        <w:rPr>
          <w:rFonts w:hint="eastAsia"/>
        </w:rPr>
        <w:t>业分析检测中心、国标（北京）检验认证有限公司、辽宁检验检疫局、广西冶金质检站、兰州金川新材料科技股份有限公司、山东恒邦冶炼股份有限公司、长沙矿冶研究院有限责任公司、贵州省分析测试研究院、中国检验认证集团广西有限公司、峨眉山市峨半高纯材料有限公司、浙江华友钴业股份有限公司、浙江亚通焊材有限公司参加协同试验，计划号为</w:t>
      </w:r>
      <w:r>
        <w:t>2017-0159T-YS</w:t>
      </w:r>
      <w:r>
        <w:rPr>
          <w:rFonts w:hint="eastAsia"/>
        </w:rPr>
        <w:t>，项目计划完成时间为</w:t>
      </w:r>
      <w:r>
        <w:t>2019</w:t>
      </w:r>
      <w:r>
        <w:rPr>
          <w:rFonts w:hint="eastAsia"/>
        </w:rPr>
        <w:t>年。</w:t>
      </w:r>
    </w:p>
    <w:p>
      <w:pPr>
        <w:pStyle w:val="style4116"/>
        <w:spacing w:beforeLines="50" w:lineRule="auto" w:line="360"/>
        <w:ind w:firstLine="0" w:firstLineChars="0"/>
        <w:outlineLvl w:val="0"/>
        <w:rPr>
          <w:b/>
          <w:sz w:val="24"/>
          <w:szCs w:val="24"/>
        </w:rPr>
      </w:pPr>
      <w:r>
        <w:rPr>
          <w:rFonts w:hint="eastAsia"/>
          <w:b/>
          <w:sz w:val="24"/>
          <w:szCs w:val="24"/>
        </w:rPr>
        <w:t>二、</w:t>
      </w:r>
      <w:r>
        <w:rPr>
          <w:b/>
          <w:sz w:val="24"/>
          <w:szCs w:val="24"/>
        </w:rPr>
        <w:t xml:space="preserve"> </w:t>
      </w:r>
      <w:r>
        <w:rPr>
          <w:rFonts w:hint="eastAsia"/>
          <w:b/>
          <w:sz w:val="24"/>
          <w:szCs w:val="24"/>
        </w:rPr>
        <w:t>标准编写原则和编写格式</w:t>
      </w:r>
    </w:p>
    <w:p>
      <w:pPr>
        <w:pStyle w:val="style0"/>
        <w:spacing w:beforeLines="50" w:lineRule="auto" w:line="360"/>
        <w:ind w:firstLine="31680" w:firstLineChars="200"/>
        <w:rPr/>
      </w:pPr>
      <w:r>
        <w:rPr>
          <w:rFonts w:hint="eastAsia"/>
        </w:rPr>
        <w:t>本标准是根据</w:t>
      </w:r>
      <w:r>
        <w:t>GB/T1.1-2009</w:t>
      </w:r>
      <w:r>
        <w:rPr>
          <w:rFonts w:hint="eastAsia"/>
        </w:rPr>
        <w:t>《标准化工作导则</w:t>
      </w:r>
      <w:r>
        <w:t xml:space="preserve"> </w:t>
      </w:r>
      <w:r>
        <w:rPr>
          <w:rFonts w:hint="eastAsia"/>
        </w:rPr>
        <w:t>第</w:t>
      </w:r>
      <w:r>
        <w:t>1</w:t>
      </w:r>
      <w:r>
        <w:rPr>
          <w:rFonts w:hint="eastAsia"/>
        </w:rPr>
        <w:t>部分：标准的结构和编写规则》和</w:t>
      </w:r>
      <w:r>
        <w:t>GB/T20001.4-2001</w:t>
      </w:r>
      <w:r>
        <w:rPr>
          <w:rFonts w:hint="eastAsia"/>
        </w:rPr>
        <w:t>《标准编写规则</w:t>
      </w:r>
      <w:r>
        <w:t xml:space="preserve"> </w:t>
      </w:r>
      <w:r>
        <w:rPr>
          <w:rFonts w:hint="eastAsia"/>
        </w:rPr>
        <w:t>第</w:t>
      </w:r>
      <w:r>
        <w:t>4</w:t>
      </w:r>
      <w:r>
        <w:rPr>
          <w:rFonts w:hint="eastAsia"/>
        </w:rPr>
        <w:t>部分：化学分析方法》的要求进行编写。</w:t>
      </w:r>
    </w:p>
    <w:p>
      <w:pPr>
        <w:pStyle w:val="style0"/>
        <w:spacing w:lineRule="auto" w:line="360"/>
        <w:ind w:firstLine="31680" w:firstLineChars="200"/>
        <w:rPr>
          <w:szCs w:val="21"/>
        </w:rPr>
      </w:pPr>
      <w:r>
        <w:rPr>
          <w:rFonts w:hint="eastAsia"/>
          <w:szCs w:val="21"/>
        </w:rPr>
        <w:t>按照</w:t>
      </w:r>
      <w:r>
        <w:rPr>
          <w:szCs w:val="21"/>
        </w:rPr>
        <w:t>GB/T 6379.2-2004 </w:t>
      </w:r>
      <w:r>
        <w:rPr>
          <w:rFonts w:hint="eastAsia"/>
          <w:szCs w:val="21"/>
        </w:rPr>
        <w:t>《测量方法与结果的准确度</w:t>
      </w:r>
      <w:r>
        <w:rPr>
          <w:szCs w:val="21"/>
        </w:rPr>
        <w:t>(</w:t>
      </w:r>
      <w:r>
        <w:rPr>
          <w:rFonts w:hint="eastAsia"/>
          <w:szCs w:val="21"/>
        </w:rPr>
        <w:t>正确度与精密度</w:t>
      </w:r>
      <w:r>
        <w:rPr>
          <w:szCs w:val="21"/>
        </w:rPr>
        <w:t xml:space="preserve">) </w:t>
      </w:r>
      <w:r>
        <w:rPr>
          <w:rFonts w:hint="eastAsia"/>
          <w:szCs w:val="21"/>
        </w:rPr>
        <w:t>第</w:t>
      </w:r>
      <w:r>
        <w:rPr>
          <w:szCs w:val="21"/>
        </w:rPr>
        <w:t>2</w:t>
      </w:r>
      <w:r>
        <w:rPr>
          <w:rFonts w:hint="eastAsia"/>
          <w:szCs w:val="21"/>
        </w:rPr>
        <w:t>部分</w:t>
      </w:r>
      <w:r>
        <w:rPr>
          <w:szCs w:val="21"/>
        </w:rPr>
        <w:t>:</w:t>
      </w:r>
      <w:r>
        <w:rPr>
          <w:rFonts w:hint="eastAsia"/>
          <w:szCs w:val="21"/>
        </w:rPr>
        <w:t>确定标准测量方法重复性与再现性的基本方法</w:t>
      </w:r>
      <w:r>
        <w:rPr>
          <w:szCs w:val="21"/>
        </w:rPr>
        <w:t> </w:t>
      </w:r>
      <w:r>
        <w:rPr>
          <w:rFonts w:hint="eastAsia"/>
          <w:szCs w:val="21"/>
        </w:rPr>
        <w:t>》确定方法的重现性和再现性。</w:t>
      </w:r>
    </w:p>
    <w:p>
      <w:pPr>
        <w:pStyle w:val="style4116"/>
        <w:spacing w:beforeLines="50" w:lineRule="auto" w:line="360"/>
        <w:ind w:firstLine="0" w:firstLineChars="0"/>
        <w:outlineLvl w:val="0"/>
        <w:rPr>
          <w:b/>
          <w:sz w:val="24"/>
          <w:szCs w:val="24"/>
        </w:rPr>
      </w:pPr>
      <w:r>
        <w:rPr>
          <w:rFonts w:hint="eastAsia"/>
          <w:b/>
          <w:sz w:val="24"/>
          <w:szCs w:val="24"/>
        </w:rPr>
        <w:t>三、标准编写的目的和意义</w:t>
      </w:r>
    </w:p>
    <w:p>
      <w:pPr>
        <w:pStyle w:val="style0"/>
        <w:spacing w:beforeLines="50" w:lineRule="auto" w:line="360"/>
        <w:ind w:firstLine="31680" w:firstLineChars="200"/>
        <w:rPr/>
      </w:pPr>
      <w:r>
        <w:rPr>
          <w:rFonts w:hint="eastAsia"/>
        </w:rPr>
        <w:t>高镍锍是镍冶炼过程中产生的很重要的一种富含镍、铜、铁、钴、铅、锌、砷及金、银、铂、钯等元素的中间产品，现行有色行业系列标准《高镍锍分析方法》中没有铅、锌、砷等元素的分析方法，在生产企业内部金属平衡和外部贸易结算时没有可以依照的分析标准。目前，电感耦合等离子发射光谱分析已成为全国各实验室进行微量及常量检测项目分析的主流手段，该设备具有检测效率高，抗干扰能力强，检出限低等优势，建立电感耦合等离子发射光谱法测定高镍锍中杂质元素的方法，为高镍锍生产、贸易提供数据结算的依据，填补了有色行业标准没有铅、锌、砷分析标准的空白。</w:t>
      </w:r>
    </w:p>
    <w:p>
      <w:pPr>
        <w:pStyle w:val="style4116"/>
        <w:spacing w:beforeLines="50" w:lineRule="auto" w:line="360"/>
        <w:ind w:firstLine="0" w:firstLineChars="0"/>
        <w:outlineLvl w:val="0"/>
        <w:rPr>
          <w:b/>
          <w:sz w:val="24"/>
          <w:szCs w:val="24"/>
        </w:rPr>
      </w:pPr>
      <w:r>
        <w:rPr>
          <w:rFonts w:hint="eastAsia"/>
          <w:b/>
          <w:sz w:val="24"/>
          <w:szCs w:val="24"/>
        </w:rPr>
        <w:t>四、国内外有关情况</w:t>
      </w:r>
    </w:p>
    <w:p>
      <w:pPr>
        <w:pStyle w:val="style0"/>
        <w:spacing w:beforeLines="50" w:lineRule="auto" w:line="360"/>
        <w:ind w:firstLine="31680" w:firstLineChars="200"/>
        <w:rPr/>
      </w:pPr>
      <w:r>
        <w:rPr>
          <w:rFonts w:hint="eastAsia"/>
        </w:rPr>
        <w:t>《高镍锍化学分析方法》国家标准目前包含</w:t>
      </w:r>
      <w:r>
        <w:t>5</w:t>
      </w:r>
      <w:r>
        <w:rPr>
          <w:rFonts w:hint="eastAsia"/>
        </w:rPr>
        <w:t>个部分，分别是镍重量法、铁磺基水杨酸光度法、钴火焰原子吸收光谱法、铜硫代硫酸钠滴定法及硫燃烧中和滴定法。国内外并没有高镍锍中铅、锌、砷的相关分析标准，新研究建立的电感耦合等离子发射光谱法测定高镍锍中杂质元素的标准方法检测效率高、检出下限低，更能满足产品生产和贸易需求，技术手段处于国内领先水平。</w:t>
      </w:r>
    </w:p>
    <w:p>
      <w:pPr>
        <w:pStyle w:val="style0"/>
        <w:spacing w:lineRule="auto" w:line="360"/>
        <w:ind w:firstLine="31680" w:firstLineChars="200"/>
        <w:rPr/>
      </w:pPr>
      <w:r>
        <w:rPr>
          <w:rFonts w:hint="eastAsia"/>
        </w:rPr>
        <w:t>没有发现有知识产权的问题。</w:t>
      </w:r>
    </w:p>
    <w:p>
      <w:pPr>
        <w:pStyle w:val="style4116"/>
        <w:spacing w:beforeLines="50" w:afterLines="50" w:lineRule="auto" w:line="360"/>
        <w:ind w:firstLine="0" w:firstLineChars="0"/>
        <w:outlineLvl w:val="0"/>
        <w:rPr>
          <w:b/>
          <w:sz w:val="24"/>
          <w:szCs w:val="24"/>
        </w:rPr>
      </w:pPr>
      <w:r>
        <w:rPr>
          <w:rFonts w:hint="eastAsia"/>
          <w:b/>
          <w:sz w:val="24"/>
          <w:szCs w:val="24"/>
        </w:rPr>
        <w:t>五、主要工作过程（包括工作分工、各阶段工作过程、征求意见单位等）</w:t>
      </w:r>
    </w:p>
    <w:p>
      <w:pPr>
        <w:pStyle w:val="style0"/>
        <w:spacing w:lineRule="auto" w:line="360"/>
        <w:outlineLvl w:val="1"/>
        <w:rPr>
          <w:b/>
        </w:rPr>
      </w:pPr>
      <w:r>
        <w:rPr>
          <w:b/>
        </w:rPr>
        <w:t>1</w:t>
      </w:r>
      <w:r>
        <w:rPr>
          <w:rFonts w:hint="eastAsia"/>
          <w:b/>
        </w:rPr>
        <w:t>、工作分工</w:t>
      </w:r>
    </w:p>
    <w:p>
      <w:pPr>
        <w:pStyle w:val="style0"/>
        <w:spacing w:lineRule="auto" w:line="360"/>
        <w:ind w:firstLine="31680" w:firstLineChars="200"/>
        <w:rPr/>
      </w:pPr>
      <w:r>
        <w:rPr>
          <w:rFonts w:hint="eastAsia"/>
        </w:rPr>
        <w:t>依据</w:t>
      </w:r>
      <w:r>
        <w:rPr>
          <w:lang w:val="zh-CN"/>
        </w:rPr>
        <w:t>2017</w:t>
      </w:r>
      <w:r>
        <w:rPr>
          <w:rFonts w:hint="eastAsia"/>
          <w:lang w:val="zh-CN"/>
        </w:rPr>
        <w:t>年</w:t>
      </w:r>
      <w:r>
        <w:rPr>
          <w:lang w:val="zh-CN"/>
        </w:rPr>
        <w:t>10</w:t>
      </w:r>
      <w:r>
        <w:rPr>
          <w:rFonts w:hint="eastAsia"/>
          <w:lang w:val="zh-CN"/>
        </w:rPr>
        <w:t>月</w:t>
      </w:r>
      <w:r>
        <w:rPr>
          <w:lang w:val="zh-CN"/>
        </w:rPr>
        <w:t>22</w:t>
      </w:r>
      <w:r>
        <w:rPr>
          <w:rFonts w:hint="eastAsia"/>
          <w:lang w:val="zh-CN"/>
        </w:rPr>
        <w:t>日</w:t>
      </w:r>
      <w:r>
        <w:rPr>
          <w:rFonts w:hint="eastAsia"/>
          <w:lang w:val="zh-CN"/>
        </w:rPr>
        <w:t>～</w:t>
      </w:r>
      <w:r>
        <w:rPr>
          <w:lang w:val="zh-CN"/>
        </w:rPr>
        <w:t>24</w:t>
      </w:r>
      <w:r>
        <w:rPr>
          <w:rFonts w:hint="eastAsia"/>
          <w:lang w:val="zh-CN"/>
        </w:rPr>
        <w:t>日在浙江杭州召开</w:t>
      </w:r>
      <w:r>
        <w:rPr>
          <w:rFonts w:hint="eastAsia"/>
        </w:rPr>
        <w:t>召开的任务落实会议纪要安排，由金川集团股份有限公司负责起草；</w:t>
      </w:r>
      <w:r>
        <w:rPr>
          <w:rFonts w:hint="eastAsia"/>
          <w:lang w:val="zh-CN"/>
        </w:rPr>
        <w:t>北矿</w:t>
      </w:r>
      <w:r>
        <w:rPr>
          <w:rFonts w:hint="eastAsia"/>
        </w:rPr>
        <w:t>检测技术有限公司、广</w:t>
      </w:r>
      <w:r>
        <w:rPr>
          <w:rFonts w:hint="eastAsia"/>
          <w:lang w:val="zh-CN"/>
        </w:rPr>
        <w:t>东省工</w:t>
      </w:r>
      <w:r>
        <w:rPr>
          <w:rFonts w:hint="eastAsia"/>
        </w:rPr>
        <w:t>业分析检测中心、国标（北京）检验认证有限公司、辽宁检验检疫局、广西冶金质检站为一验单位；兰州金川新材料科技股份有限公司、山东恒邦冶炼股份有限公司、长沙矿冶研究院有限责任公司、贵州省分析测试研究院、中国检验认证集团广西有限公司、峨眉山市峨半高纯材料有限公司、浙江华友钴业股份有限公司、浙江亚通焊材有限公司为二验单位。</w:t>
      </w:r>
    </w:p>
    <w:p>
      <w:pPr>
        <w:pStyle w:val="style0"/>
        <w:spacing w:lineRule="auto" w:line="360"/>
        <w:ind w:firstLine="31680" w:firstLineChars="200"/>
        <w:rPr/>
      </w:pPr>
      <w:r>
        <w:rPr>
          <w:rFonts w:hint="eastAsia"/>
        </w:rPr>
        <w:t>金川集团股份有限公司负责提供样品。</w:t>
      </w:r>
    </w:p>
    <w:p>
      <w:pPr>
        <w:pStyle w:val="style0"/>
        <w:spacing w:lineRule="auto" w:line="360"/>
        <w:outlineLvl w:val="1"/>
        <w:rPr>
          <w:b/>
        </w:rPr>
      </w:pPr>
      <w:r>
        <w:rPr>
          <w:b/>
        </w:rPr>
        <w:t>2</w:t>
      </w:r>
      <w:r>
        <w:rPr>
          <w:rFonts w:hint="eastAsia"/>
          <w:b/>
        </w:rPr>
        <w:t>、标准起草过程</w:t>
      </w:r>
    </w:p>
    <w:p>
      <w:pPr>
        <w:pStyle w:val="style0"/>
        <w:spacing w:lineRule="auto" w:line="360"/>
        <w:rPr/>
      </w:pPr>
      <w:r>
        <w:t>2.1</w:t>
      </w:r>
      <w:r>
        <w:rPr>
          <w:rFonts w:hint="eastAsia"/>
        </w:rPr>
        <w:t>依据任务落实会议中各参会单位的讨论，确定高镍锍中各元素测定范围为铅</w:t>
      </w:r>
      <w:r>
        <w:t>0.02%~0.5%</w:t>
      </w:r>
      <w:r>
        <w:rPr>
          <w:rFonts w:hint="eastAsia"/>
        </w:rPr>
        <w:t>；锌</w:t>
      </w:r>
      <w:r>
        <w:t>0.01%~0.5%</w:t>
      </w:r>
      <w:r>
        <w:rPr>
          <w:rFonts w:hint="eastAsia"/>
        </w:rPr>
        <w:t>；砷</w:t>
      </w:r>
      <w:r>
        <w:t>0.02%~1.0%</w:t>
      </w:r>
      <w:r>
        <w:rPr>
          <w:rFonts w:hint="eastAsia"/>
        </w:rPr>
        <w:t>。</w:t>
      </w:r>
    </w:p>
    <w:p>
      <w:pPr>
        <w:pStyle w:val="style0"/>
        <w:spacing w:lineRule="auto" w:line="360"/>
        <w:rPr>
          <w:szCs w:val="21"/>
        </w:rPr>
      </w:pPr>
      <w:r>
        <w:t>2.2</w:t>
      </w:r>
      <w:r>
        <w:rPr>
          <w:rFonts w:hint="eastAsia"/>
          <w:szCs w:val="21"/>
        </w:rPr>
        <w:t>起草单位</w:t>
      </w:r>
      <w:r>
        <w:rPr>
          <w:rFonts w:ascii="宋体" w:hAnsi="宋体" w:hint="eastAsia"/>
          <w:bCs/>
          <w:szCs w:val="21"/>
        </w:rPr>
        <w:t>金川集团股份有限公司</w:t>
      </w:r>
      <w:r>
        <w:rPr>
          <w:rFonts w:hint="eastAsia"/>
          <w:szCs w:val="21"/>
        </w:rPr>
        <w:t>展开了所负责方法的研究工作，包括文献查询、实验方案的确定，根据实验方案，开展该标准方法的分析条件优化选择试验、样品溶解试验、共存元素的干扰考察及消除试验、方法的准确度、精密度试验等一系列工作，对于样品的消解刚开始采用酸</w:t>
      </w:r>
      <w:r>
        <w:rPr>
          <w:szCs w:val="21"/>
        </w:rPr>
        <w:t>+</w:t>
      </w:r>
      <w:r>
        <w:rPr>
          <w:rFonts w:hint="eastAsia"/>
          <w:szCs w:val="21"/>
        </w:rPr>
        <w:t>溴的方法，但在溶解过程中发现如果加盐酸低温消除硫的干扰的同时砷会有损失；加硝酸会使样品中硫氧化成硫酸导致铅含量测定数据不准确，经过试验最终确定样品采用盐酸</w:t>
      </w:r>
      <w:r>
        <w:rPr>
          <w:szCs w:val="21"/>
        </w:rPr>
        <w:t>+</w:t>
      </w:r>
      <w:r>
        <w:rPr>
          <w:rFonts w:hint="eastAsia"/>
          <w:szCs w:val="21"/>
        </w:rPr>
        <w:t>硝酸</w:t>
      </w:r>
      <w:r>
        <w:rPr>
          <w:szCs w:val="21"/>
        </w:rPr>
        <w:t>+</w:t>
      </w:r>
      <w:r>
        <w:rPr>
          <w:rFonts w:hint="eastAsia"/>
          <w:szCs w:val="21"/>
        </w:rPr>
        <w:t>高氯酸的溶解方法。</w:t>
      </w:r>
    </w:p>
    <w:p>
      <w:pPr>
        <w:pStyle w:val="style0"/>
        <w:spacing w:lineRule="auto" w:line="360"/>
        <w:rPr>
          <w:rFonts w:ascii="宋体"/>
          <w:bCs/>
          <w:szCs w:val="21"/>
        </w:rPr>
      </w:pPr>
      <w:r>
        <w:rPr>
          <w:szCs w:val="21"/>
        </w:rPr>
        <w:t>2.3</w:t>
      </w:r>
      <w:r>
        <w:rPr>
          <w:rFonts w:hint="eastAsia"/>
          <w:szCs w:val="21"/>
        </w:rPr>
        <w:t>各项实验内容完成后，于</w:t>
      </w:r>
      <w:r>
        <w:rPr>
          <w:szCs w:val="21"/>
        </w:rPr>
        <w:t>2018</w:t>
      </w:r>
      <w:r>
        <w:rPr>
          <w:rFonts w:hint="eastAsia"/>
          <w:szCs w:val="21"/>
        </w:rPr>
        <w:t>年</w:t>
      </w:r>
      <w:r>
        <w:rPr>
          <w:szCs w:val="21"/>
        </w:rPr>
        <w:t>6</w:t>
      </w:r>
      <w:r>
        <w:rPr>
          <w:rFonts w:hint="eastAsia"/>
          <w:szCs w:val="21"/>
        </w:rPr>
        <w:t>月底形成实验报告和标准预审稿，随即将验证样品、实验报告和标准讨论稿交与各</w:t>
      </w:r>
      <w:r>
        <w:rPr>
          <w:rFonts w:ascii="宋体" w:hAnsi="宋体" w:hint="eastAsia"/>
          <w:bCs/>
          <w:szCs w:val="21"/>
        </w:rPr>
        <w:t>参加起草单位开展验证工作。</w:t>
      </w:r>
    </w:p>
    <w:p>
      <w:pPr>
        <w:pStyle w:val="style0"/>
        <w:spacing w:lineRule="auto" w:line="360"/>
        <w:rPr>
          <w:rFonts w:ascii="宋体"/>
          <w:bCs/>
          <w:szCs w:val="21"/>
        </w:rPr>
      </w:pPr>
      <w:r>
        <w:rPr>
          <w:rFonts w:ascii="宋体" w:hAnsi="宋体"/>
          <w:bCs/>
          <w:szCs w:val="21"/>
        </w:rPr>
        <w:t xml:space="preserve">2.4 </w:t>
      </w:r>
      <w:r>
        <w:rPr>
          <w:rFonts w:ascii="宋体" w:hAnsi="宋体" w:hint="eastAsia"/>
          <w:bCs/>
          <w:szCs w:val="21"/>
        </w:rPr>
        <w:t>各实验室先后于</w:t>
      </w:r>
      <w:r>
        <w:rPr>
          <w:rFonts w:ascii="宋体" w:hAnsi="宋体"/>
          <w:bCs/>
          <w:szCs w:val="21"/>
        </w:rPr>
        <w:t>2018</w:t>
      </w:r>
      <w:r>
        <w:rPr>
          <w:rFonts w:ascii="宋体" w:hAnsi="宋体" w:hint="eastAsia"/>
          <w:bCs/>
          <w:szCs w:val="21"/>
        </w:rPr>
        <w:t>年</w:t>
      </w:r>
      <w:r>
        <w:rPr>
          <w:rFonts w:ascii="宋体" w:hAnsi="宋体"/>
          <w:bCs/>
          <w:szCs w:val="21"/>
        </w:rPr>
        <w:t>8</w:t>
      </w:r>
      <w:r>
        <w:rPr>
          <w:rFonts w:ascii="宋体" w:hAnsi="宋体" w:hint="eastAsia"/>
          <w:bCs/>
          <w:szCs w:val="21"/>
        </w:rPr>
        <w:t>月初全部完成验证工作，负责起草单位金川集团股份有限公司对验证数据开展统计整理。</w:t>
      </w:r>
    </w:p>
    <w:p>
      <w:pPr>
        <w:pStyle w:val="style0"/>
        <w:spacing w:lineRule="auto" w:line="360"/>
        <w:rPr>
          <w:rFonts w:ascii="宋体"/>
          <w:bCs/>
          <w:szCs w:val="21"/>
        </w:rPr>
      </w:pPr>
      <w:r>
        <w:rPr>
          <w:rFonts w:ascii="宋体" w:hAnsi="宋体"/>
          <w:bCs/>
          <w:szCs w:val="21"/>
        </w:rPr>
        <w:t>2.5 2018</w:t>
      </w:r>
      <w:r>
        <w:rPr>
          <w:rFonts w:ascii="宋体" w:hAnsi="宋体" w:hint="eastAsia"/>
          <w:bCs/>
          <w:szCs w:val="21"/>
        </w:rPr>
        <w:t>年</w:t>
      </w:r>
      <w:r>
        <w:rPr>
          <w:rFonts w:ascii="宋体" w:hAnsi="宋体"/>
          <w:bCs/>
          <w:szCs w:val="21"/>
        </w:rPr>
        <w:t>8</w:t>
      </w:r>
      <w:r>
        <w:rPr>
          <w:rFonts w:ascii="宋体" w:hAnsi="宋体" w:hint="eastAsia"/>
          <w:bCs/>
          <w:szCs w:val="21"/>
        </w:rPr>
        <w:t>月，在宁夏银川召开</w:t>
      </w:r>
      <w:r>
        <w:rPr>
          <w:rFonts w:cs="宋体" w:hint="eastAsia"/>
          <w:sz w:val="24"/>
          <w:szCs w:val="24"/>
        </w:rPr>
        <w:t>标准</w:t>
      </w:r>
      <w:r>
        <w:rPr>
          <w:rFonts w:ascii="宋体" w:hAnsi="宋体" w:hint="eastAsia"/>
          <w:bCs/>
          <w:szCs w:val="21"/>
        </w:rPr>
        <w:t>评审会议，对其标准讨论稿进行讨论及征求意见。</w:t>
      </w:r>
    </w:p>
    <w:p>
      <w:pPr>
        <w:pStyle w:val="style0"/>
        <w:spacing w:lineRule="auto" w:line="360"/>
        <w:rPr>
          <w:rFonts w:ascii="宋体"/>
          <w:bCs/>
          <w:szCs w:val="21"/>
        </w:rPr>
      </w:pPr>
      <w:r>
        <w:rPr>
          <w:rFonts w:ascii="宋体" w:hAnsi="宋体"/>
          <w:bCs/>
          <w:szCs w:val="21"/>
        </w:rPr>
        <w:t>2.6 2018</w:t>
      </w:r>
      <w:r>
        <w:rPr>
          <w:rFonts w:ascii="宋体" w:hAnsi="宋体" w:hint="eastAsia"/>
          <w:bCs/>
          <w:szCs w:val="21"/>
        </w:rPr>
        <w:t>年？月，在？？？、召开</w:t>
      </w:r>
      <w:r>
        <w:rPr>
          <w:rFonts w:cs="宋体" w:hint="eastAsia"/>
          <w:sz w:val="24"/>
          <w:szCs w:val="24"/>
        </w:rPr>
        <w:t>标准</w:t>
      </w:r>
      <w:r>
        <w:rPr>
          <w:rFonts w:ascii="宋体" w:hAnsi="宋体" w:hint="eastAsia"/>
          <w:bCs/>
          <w:szCs w:val="21"/>
        </w:rPr>
        <w:t>审定会议。</w:t>
      </w:r>
    </w:p>
    <w:p>
      <w:pPr>
        <w:pStyle w:val="style0"/>
        <w:spacing w:lineRule="auto" w:line="360"/>
        <w:outlineLvl w:val="1"/>
        <w:rPr>
          <w:b/>
        </w:rPr>
      </w:pPr>
      <w:r>
        <w:rPr>
          <w:b/>
        </w:rPr>
        <w:t>3</w:t>
      </w:r>
      <w:r>
        <w:rPr>
          <w:rFonts w:hint="eastAsia"/>
          <w:b/>
        </w:rPr>
        <w:t>、主要实验内容</w:t>
      </w:r>
    </w:p>
    <w:p>
      <w:pPr>
        <w:pStyle w:val="style0"/>
        <w:spacing w:lineRule="auto" w:line="360"/>
        <w:ind w:firstLine="31680" w:firstLineChars="200"/>
        <w:rPr/>
      </w:pPr>
      <w:r>
        <w:rPr>
          <w:rFonts w:hint="eastAsia"/>
        </w:rPr>
        <w:t>开展了待测元素谱线选择和仪器工作条件的优化，同时对样品前处理进行了试验，考察了镍、铜、铁、钴等元素对待测元素测定的影响，确定了样品的溶解方式及仪器的测定条件，并进行了方法检出限试验，样品的精密度实验、标准样品分析和加标回收实验，方法的加标回收率、相对标准偏差、精密度、准确度都得到了满意的结果，可作为高镍锍中铅、锌、砷量的行业标准测定方法进行推广。具体实验内容详见《高镍锍化学分析方法第</w:t>
      </w:r>
      <w:r>
        <w:t>6</w:t>
      </w:r>
      <w:r>
        <w:rPr>
          <w:rFonts w:hint="eastAsia"/>
        </w:rPr>
        <w:t>部分</w:t>
      </w:r>
      <w:r>
        <w:t xml:space="preserve"> </w:t>
      </w:r>
      <w:r>
        <w:rPr>
          <w:rFonts w:hint="eastAsia"/>
        </w:rPr>
        <w:t>铅、锌、砷量的测定电感耦合等离子体原子发射光谱法》实验报告。</w:t>
      </w:r>
    </w:p>
    <w:p>
      <w:pPr>
        <w:pStyle w:val="style0"/>
        <w:spacing w:lineRule="auto" w:line="360"/>
        <w:outlineLvl w:val="1"/>
        <w:rPr>
          <w:b/>
        </w:rPr>
      </w:pPr>
      <w:r>
        <w:rPr>
          <w:b/>
        </w:rPr>
        <w:t>4</w:t>
      </w:r>
      <w:r>
        <w:rPr>
          <w:rFonts w:hint="eastAsia"/>
          <w:b/>
        </w:rPr>
        <w:t>、协同实验</w:t>
      </w:r>
    </w:p>
    <w:p>
      <w:pPr>
        <w:pStyle w:val="style0"/>
        <w:spacing w:lineRule="auto" w:line="360"/>
        <w:outlineLvl w:val="2"/>
        <w:rPr>
          <w:rFonts w:ascii="宋体"/>
          <w:bCs/>
          <w:szCs w:val="21"/>
        </w:rPr>
      </w:pPr>
      <w:r>
        <w:rPr>
          <w:rFonts w:ascii="宋体" w:hAnsi="宋体"/>
          <w:bCs/>
          <w:szCs w:val="21"/>
        </w:rPr>
        <w:t>4.1</w:t>
      </w:r>
      <w:r>
        <w:rPr>
          <w:rFonts w:hint="eastAsia"/>
          <w:spacing w:val="8"/>
          <w:szCs w:val="21"/>
        </w:rPr>
        <w:t>各实验室的统计结果见表</w:t>
      </w:r>
      <w:r>
        <w:rPr>
          <w:spacing w:val="8"/>
          <w:szCs w:val="21"/>
        </w:rPr>
        <w:t>1~3</w:t>
      </w:r>
      <w:r>
        <w:rPr>
          <w:rFonts w:hint="eastAsia"/>
          <w:spacing w:val="8"/>
          <w:szCs w:val="21"/>
        </w:rPr>
        <w:t>。</w:t>
      </w:r>
    </w:p>
    <w:p>
      <w:pPr>
        <w:pStyle w:val="style0"/>
        <w:jc w:val="center"/>
        <w:outlineLvl w:val="3"/>
        <w:rPr>
          <w:spacing w:val="8"/>
          <w:szCs w:val="21"/>
        </w:rPr>
      </w:pPr>
      <w:r>
        <w:rPr>
          <w:rFonts w:hint="eastAsia"/>
          <w:spacing w:val="8"/>
          <w:szCs w:val="21"/>
        </w:rPr>
        <w:t>表</w:t>
      </w:r>
      <w:r>
        <w:rPr>
          <w:spacing w:val="8"/>
          <w:szCs w:val="21"/>
        </w:rPr>
        <w:t xml:space="preserve">1 </w:t>
      </w:r>
      <w:r>
        <w:rPr>
          <w:rFonts w:hint="eastAsia"/>
          <w:spacing w:val="8"/>
          <w:szCs w:val="21"/>
        </w:rPr>
        <w:t>各实验室</w:t>
      </w:r>
      <w:r>
        <w:rPr>
          <w:spacing w:val="8"/>
          <w:szCs w:val="21"/>
        </w:rPr>
        <w:t>ICP-AES</w:t>
      </w:r>
      <w:r>
        <w:rPr>
          <w:rFonts w:hint="eastAsia"/>
          <w:spacing w:val="8"/>
          <w:szCs w:val="21"/>
        </w:rPr>
        <w:t>法测定高镍锍中铅的平均值和标准偏差（</w:t>
      </w:r>
      <w:r>
        <w:rPr>
          <w:spacing w:val="8"/>
          <w:szCs w:val="21"/>
        </w:rPr>
        <w:t>%</w:t>
      </w:r>
      <w:r>
        <w:rPr>
          <w:rFonts w:hint="eastAsia"/>
          <w:spacing w:val="8"/>
          <w:szCs w:val="21"/>
        </w:rPr>
        <w:t>）</w:t>
      </w:r>
    </w:p>
    <w:tbl>
      <w:tblPr>
        <w:tblW w:w="8946" w:type="dxa"/>
        <w:tblInd w:w="93" w:type="dxa"/>
        <w:tblLook w:val="00A0" w:firstRow="1" w:lastRow="0" w:firstColumn="1" w:lastColumn="0" w:noHBand="0" w:noVBand="0"/>
      </w:tblPr>
      <w:tblGrid>
        <w:gridCol w:w="2000"/>
        <w:gridCol w:w="556"/>
        <w:gridCol w:w="1278"/>
        <w:gridCol w:w="1278"/>
        <w:gridCol w:w="1278"/>
        <w:gridCol w:w="1278"/>
        <w:gridCol w:w="1278"/>
      </w:tblGrid>
      <w:tr>
        <w:trPr>
          <w:trHeight w:val="380" w:hRule="atLeast"/>
        </w:trPr>
        <w:tc>
          <w:tcPr>
            <w:tcW w:w="2000"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实验室</w:t>
            </w:r>
          </w:p>
        </w:tc>
        <w:tc>
          <w:tcPr>
            <w:tcW w:w="556" w:type="dxa"/>
            <w:vMerge w:val="restart"/>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i/>
                <w:iCs/>
                <w:kern w:val="0"/>
                <w:sz w:val="18"/>
                <w:szCs w:val="18"/>
              </w:rPr>
            </w:pPr>
            <w:r>
              <w:rPr>
                <w:rFonts w:ascii="宋体" w:cs="宋体" w:hAnsi="宋体"/>
                <w:i/>
                <w:iCs/>
                <w:kern w:val="0"/>
                <w:sz w:val="18"/>
                <w:szCs w:val="18"/>
              </w:rPr>
              <w:t>i</w:t>
            </w:r>
            <w:r>
              <w:rPr>
                <w:rFonts w:ascii="宋体" w:cs="宋体" w:hAnsi="宋体"/>
                <w:kern w:val="0"/>
                <w:sz w:val="18"/>
                <w:szCs w:val="18"/>
              </w:rPr>
              <w:t xml:space="preserve"> No.</w:t>
            </w:r>
          </w:p>
        </w:tc>
        <w:tc>
          <w:tcPr>
            <w:tcW w:w="1278" w:type="dxa"/>
            <w:vMerge w:val="restart"/>
            <w:tcBorders>
              <w:top w:val="single" w:sz="8" w:space="0" w:color="auto"/>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次数</w:t>
            </w:r>
          </w:p>
        </w:tc>
        <w:tc>
          <w:tcPr>
            <w:tcW w:w="5112" w:type="dxa"/>
            <w:gridSpan w:val="4"/>
            <w:tcBorders>
              <w:top w:val="double" w:sz="6" w:space="0" w:color="auto"/>
              <w:left w:val="double" w:sz="6" w:space="0" w:color="auto"/>
              <w:bottom w:val="double" w:sz="6" w:space="0" w:color="auto"/>
              <w:right w:val="double" w:sz="6"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水平</w:t>
            </w:r>
            <w:r>
              <w:rPr>
                <w:rFonts w:ascii="宋体" w:cs="宋体" w:hAnsi="宋体"/>
                <w:kern w:val="0"/>
                <w:sz w:val="18"/>
                <w:szCs w:val="18"/>
              </w:rPr>
              <w:t xml:space="preserve">  j</w:t>
            </w:r>
          </w:p>
        </w:tc>
      </w:tr>
      <w:tr>
        <w:tblPrEx/>
        <w:trPr>
          <w:trHeight w:val="398" w:hRule="atLeast"/>
        </w:trPr>
        <w:tc>
          <w:tcPr>
            <w:tcW w:w="2000"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i/>
                <w:iCs/>
                <w:kern w:val="0"/>
                <w:sz w:val="18"/>
                <w:szCs w:val="18"/>
              </w:rPr>
            </w:pPr>
          </w:p>
        </w:tc>
        <w:tc>
          <w:tcPr>
            <w:tcW w:w="1278" w:type="dxa"/>
            <w:vMerge w:val="continue"/>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single" w:sz="8" w:space="0" w:color="auto"/>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278"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278"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278"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r>
      <w:tr>
        <w:tblPrEx/>
        <w:trPr>
          <w:trHeight w:val="234"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金川集团股份有限公司（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0.0151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0.0874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0.260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0.518 </w:t>
            </w:r>
          </w:p>
        </w:tc>
      </w:tr>
      <w:tr>
        <w:tblPrEx/>
        <w:trPr>
          <w:trHeight w:val="171"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0.00072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0.00233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0.00382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0.00880 </w:t>
            </w:r>
          </w:p>
        </w:tc>
      </w:tr>
      <w:tr>
        <w:tblPrEx/>
        <w:trPr>
          <w:trHeight w:val="68"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4.76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2.67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1.47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1.70 </w:t>
            </w:r>
          </w:p>
        </w:tc>
      </w:tr>
      <w:tr>
        <w:tblPrEx/>
        <w:trPr>
          <w:trHeight w:val="251"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 xml:space="preserve"> </w:t>
            </w:r>
            <w:r>
              <w:rPr>
                <w:rFonts w:ascii="宋体" w:cs="宋体" w:hAnsi="宋体" w:hint="eastAsia"/>
                <w:kern w:val="0"/>
                <w:sz w:val="18"/>
                <w:szCs w:val="18"/>
              </w:rPr>
              <w:t>北矿检测技术有限公司（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0.0145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0.0912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0.262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0.512 </w:t>
            </w:r>
          </w:p>
        </w:tc>
      </w:tr>
      <w:tr>
        <w:tblPrEx/>
        <w:trPr>
          <w:trHeight w:val="171"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0.00067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0.00218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0.00655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0.00713 </w:t>
            </w:r>
          </w:p>
        </w:tc>
      </w:tr>
      <w:tr>
        <w:tblPrEx/>
        <w:trPr>
          <w:trHeight w:val="81"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4.61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2.39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2.49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1.39 </w:t>
            </w:r>
          </w:p>
        </w:tc>
      </w:tr>
      <w:tr>
        <w:tblPrEx/>
        <w:trPr>
          <w:trHeight w:val="60"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广东省工业分析检测中心（</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0.0179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0.0838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0.266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0.516 </w:t>
            </w:r>
          </w:p>
        </w:tc>
      </w:tr>
      <w:tr>
        <w:tblPrEx/>
        <w:trPr>
          <w:trHeight w:val="145"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0.00042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0.00150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0.00584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0.00583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2.32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1.80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1.13 </w:t>
            </w:r>
          </w:p>
        </w:tc>
      </w:tr>
      <w:tr>
        <w:tblPrEx/>
        <w:trPr>
          <w:trHeight w:val="70"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国标（北京）检验认证有限公司（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0.0165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0.0890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0.252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0.501 </w:t>
            </w:r>
          </w:p>
        </w:tc>
      </w:tr>
      <w:tr>
        <w:tblPrEx/>
        <w:trPr>
          <w:trHeight w:val="7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0.00053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0.00108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0.00543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0.00872 </w:t>
            </w:r>
          </w:p>
        </w:tc>
      </w:tr>
      <w:tr>
        <w:tblPrEx/>
        <w:trPr>
          <w:trHeight w:val="141"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3.21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1.74 </w:t>
            </w:r>
          </w:p>
        </w:tc>
      </w:tr>
      <w:tr>
        <w:tblPrEx/>
        <w:trPr>
          <w:trHeight w:val="70"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广西冶金质检站（</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5</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0.0165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0.0901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0.271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0.528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0.00082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0.00246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0.00543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0.00893 </w:t>
            </w:r>
          </w:p>
        </w:tc>
      </w:tr>
      <w:tr>
        <w:tblPrEx/>
        <w:trPr>
          <w:trHeight w:val="99"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4.96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2.73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2.00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1.69 </w:t>
            </w:r>
          </w:p>
        </w:tc>
      </w:tr>
      <w:tr>
        <w:tblPrEx/>
        <w:trPr>
          <w:trHeight w:val="131"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辽宁检验检疫局（</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6</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0.0170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0.0886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0.260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0.513 </w:t>
            </w:r>
          </w:p>
        </w:tc>
      </w:tr>
      <w:tr>
        <w:tblPrEx/>
        <w:trPr>
          <w:trHeight w:val="163"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0.00225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0.00462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0.00778 </w:t>
            </w:r>
          </w:p>
        </w:tc>
      </w:tr>
      <w:tr>
        <w:tblPrEx/>
        <w:trPr>
          <w:trHeight w:val="181"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4.31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1.78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1.52 </w:t>
            </w:r>
          </w:p>
        </w:tc>
      </w:tr>
      <w:tr>
        <w:tblPrEx/>
        <w:trPr>
          <w:trHeight w:val="227"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贵州省分析测试研究院（</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7</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0.0155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0.0883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0.259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0.519 </w:t>
            </w:r>
          </w:p>
        </w:tc>
      </w:tr>
      <w:tr>
        <w:tblPrEx/>
        <w:trPr>
          <w:trHeight w:val="118"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0.00175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0.00599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0.00927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4.95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1.99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2.31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1.79 </w:t>
            </w:r>
          </w:p>
        </w:tc>
      </w:tr>
      <w:tr>
        <w:tblPrEx/>
        <w:trPr>
          <w:trHeight w:val="60"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兰州科技园（</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8</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0.0147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0.0853 </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0.255</w:t>
            </w:r>
          </w:p>
        </w:tc>
        <w:tc>
          <w:tcPr>
            <w:tcW w:w="1278"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0.502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0.00020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0.00101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0.00623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0.00296 </w:t>
            </w:r>
          </w:p>
        </w:tc>
      </w:tr>
      <w:tr>
        <w:tblPrEx/>
        <w:trPr>
          <w:trHeight w:val="89"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1.37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1.19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2.45 </w:t>
            </w:r>
          </w:p>
        </w:tc>
        <w:tc>
          <w:tcPr>
            <w:tcW w:w="1278"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0.59 </w:t>
            </w:r>
          </w:p>
        </w:tc>
      </w:tr>
      <w:tr>
        <w:tblPrEx/>
        <w:trPr>
          <w:trHeight w:val="122"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浙江华友钴业股份有限公司（</w:t>
            </w:r>
            <w:r>
              <w:rPr>
                <w:rFonts w:ascii="宋体" w:cs="宋体" w:hAnsi="宋体"/>
                <w:kern w:val="0"/>
                <w:sz w:val="18"/>
                <w:szCs w:val="18"/>
              </w:rPr>
              <w:t>7</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9</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0.0273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0.0797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0.488 </w:t>
            </w:r>
          </w:p>
        </w:tc>
      </w:tr>
      <w:tr>
        <w:tblPrEx/>
        <w:trPr>
          <w:trHeight w:val="139"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0.00173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0.00163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0.00741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4.29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2.18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1.52 </w:t>
            </w:r>
          </w:p>
        </w:tc>
      </w:tr>
      <w:tr>
        <w:tblPrEx/>
        <w:trPr>
          <w:trHeight w:val="61"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浙江亚通焊材有限公司（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10</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0.0157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0.0868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0.259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0.504 </w:t>
            </w:r>
          </w:p>
        </w:tc>
      </w:tr>
      <w:tr>
        <w:tblPrEx/>
        <w:trPr>
          <w:trHeight w:val="108"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0.00090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0.00082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0.00486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0.00647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5.73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0.95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1.87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1.28 </w:t>
            </w:r>
          </w:p>
        </w:tc>
      </w:tr>
      <w:tr>
        <w:tblPrEx/>
        <w:trPr>
          <w:trHeight w:val="116"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中国检验认证集团广西有限公司（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11</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0.0158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0.0984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0.255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0.502 </w:t>
            </w:r>
          </w:p>
        </w:tc>
      </w:tr>
      <w:tr>
        <w:tblPrEx/>
        <w:trPr>
          <w:trHeight w:val="162"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0.00080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0.00475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0.00754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0.00819 </w:t>
            </w:r>
          </w:p>
        </w:tc>
      </w:tr>
      <w:tr>
        <w:tblPrEx/>
        <w:trPr>
          <w:trHeight w:val="238"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5.07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4.82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2.96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1.63 </w:t>
            </w:r>
          </w:p>
        </w:tc>
      </w:tr>
      <w:tr>
        <w:tblPrEx/>
        <w:trPr>
          <w:trHeight w:val="70"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峨眉山市峨半高纯材料有限公司（</w:t>
            </w:r>
            <w:r>
              <w:rPr>
                <w:rFonts w:ascii="宋体" w:cs="宋体" w:hAnsi="宋体"/>
                <w:kern w:val="0"/>
                <w:sz w:val="18"/>
                <w:szCs w:val="18"/>
              </w:rPr>
              <w:t>7</w:t>
            </w:r>
            <w:r>
              <w:rPr>
                <w:rFonts w:ascii="宋体" w:cs="宋体" w:hAnsi="宋体" w:hint="eastAsia"/>
                <w:kern w:val="0"/>
                <w:sz w:val="18"/>
                <w:szCs w:val="18"/>
              </w:rPr>
              <w:t>次）</w:t>
            </w:r>
          </w:p>
        </w:tc>
        <w:tc>
          <w:tcPr>
            <w:tcW w:w="556"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12</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0.0146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0.0867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0.280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0.546 </w:t>
            </w:r>
          </w:p>
        </w:tc>
      </w:tr>
      <w:tr>
        <w:tblPrEx/>
        <w:trPr>
          <w:trHeight w:val="272"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0.0053 </w:t>
            </w:r>
          </w:p>
        </w:tc>
      </w:tr>
      <w:tr>
        <w:tblPrEx/>
        <w:trPr>
          <w:trHeight w:val="219"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0.65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0.70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0.98 </w:t>
            </w:r>
          </w:p>
        </w:tc>
      </w:tr>
      <w:tr>
        <w:tblPrEx/>
        <w:trPr>
          <w:trHeight w:val="153"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长沙矿冶研究院有限责任公司（</w:t>
            </w:r>
            <w:r>
              <w:rPr>
                <w:rFonts w:ascii="宋体" w:cs="宋体" w:hAnsi="宋体"/>
                <w:kern w:val="0"/>
                <w:sz w:val="18"/>
                <w:szCs w:val="18"/>
              </w:rPr>
              <w:t>11</w:t>
            </w:r>
            <w:r>
              <w:rPr>
                <w:rFonts w:ascii="宋体" w:cs="宋体" w:hAnsi="宋体" w:hint="eastAsia"/>
                <w:kern w:val="0"/>
                <w:sz w:val="18"/>
                <w:szCs w:val="18"/>
              </w:rPr>
              <w:t>次）</w:t>
            </w:r>
          </w:p>
        </w:tc>
        <w:tc>
          <w:tcPr>
            <w:tcW w:w="556"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13</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0.0166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0.0880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0.263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0.526 </w:t>
            </w:r>
          </w:p>
        </w:tc>
      </w:tr>
      <w:tr>
        <w:tblPrEx/>
        <w:trPr>
          <w:trHeight w:val="105"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0.00070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0.00201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0.01034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0.00780 </w:t>
            </w:r>
          </w:p>
        </w:tc>
      </w:tr>
      <w:tr>
        <w:tblPrEx/>
        <w:trPr>
          <w:trHeight w:val="182"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4.24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2.29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3.94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1.48 </w:t>
            </w:r>
          </w:p>
        </w:tc>
      </w:tr>
      <w:tr>
        <w:tblPrEx/>
        <w:trPr>
          <w:trHeight w:val="243" w:hRule="atLeast"/>
        </w:trPr>
        <w:tc>
          <w:tcPr>
            <w:tcW w:w="2000"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山东恒邦冶炼股份有限公司（</w:t>
            </w:r>
            <w:r>
              <w:rPr>
                <w:rFonts w:ascii="宋体" w:cs="宋体" w:hAnsi="宋体"/>
                <w:kern w:val="0"/>
                <w:sz w:val="18"/>
                <w:szCs w:val="18"/>
              </w:rPr>
              <w:t>7</w:t>
            </w:r>
            <w:r>
              <w:rPr>
                <w:rFonts w:ascii="宋体" w:cs="宋体" w:hAnsi="宋体" w:hint="eastAsia"/>
                <w:kern w:val="0"/>
                <w:sz w:val="18"/>
                <w:szCs w:val="18"/>
              </w:rPr>
              <w:t>次）</w:t>
            </w:r>
          </w:p>
        </w:tc>
        <w:tc>
          <w:tcPr>
            <w:tcW w:w="556" w:type="dxa"/>
            <w:vMerge w:val="restart"/>
            <w:tcBorders>
              <w:top w:val="single" w:sz="8" w:space="0" w:color="auto"/>
              <w:left w:val="single" w:sz="4" w:space="0" w:color="auto"/>
              <w:bottom w:val="single" w:sz="4"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14</w:t>
            </w: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0.0168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0.0968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0.264 </w:t>
            </w:r>
          </w:p>
        </w:tc>
        <w:tc>
          <w:tcPr>
            <w:tcW w:w="1278"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0.499 </w:t>
            </w:r>
          </w:p>
        </w:tc>
      </w:tr>
      <w:tr>
        <w:tblPrEx/>
        <w:trPr>
          <w:trHeight w:val="177"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0.00071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0.00258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0.00438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0.0066 </w:t>
            </w:r>
          </w:p>
        </w:tc>
      </w:tr>
      <w:tr>
        <w:tblPrEx/>
        <w:trPr>
          <w:trHeight w:val="60" w:hRule="atLeast"/>
        </w:trPr>
        <w:tc>
          <w:tcPr>
            <w:tcW w:w="2000"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556"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278"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4.23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2.67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1.66 </w:t>
            </w:r>
          </w:p>
        </w:tc>
        <w:tc>
          <w:tcPr>
            <w:tcW w:w="1278"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1.31 </w:t>
            </w:r>
          </w:p>
        </w:tc>
      </w:tr>
    </w:tbl>
    <w:p>
      <w:pPr>
        <w:pStyle w:val="style0"/>
        <w:jc w:val="center"/>
        <w:outlineLvl w:val="3"/>
        <w:rPr>
          <w:spacing w:val="8"/>
          <w:szCs w:val="21"/>
        </w:rPr>
      </w:pPr>
    </w:p>
    <w:p>
      <w:pPr>
        <w:pStyle w:val="style0"/>
        <w:jc w:val="center"/>
        <w:outlineLvl w:val="3"/>
        <w:rPr>
          <w:spacing w:val="8"/>
          <w:szCs w:val="21"/>
        </w:rPr>
      </w:pPr>
    </w:p>
    <w:p>
      <w:pPr>
        <w:pStyle w:val="style0"/>
        <w:jc w:val="center"/>
        <w:outlineLvl w:val="3"/>
        <w:rPr>
          <w:spacing w:val="8"/>
          <w:szCs w:val="21"/>
        </w:rPr>
      </w:pPr>
      <w:r>
        <w:rPr>
          <w:rFonts w:hint="eastAsia"/>
          <w:spacing w:val="8"/>
          <w:szCs w:val="21"/>
        </w:rPr>
        <w:t>表</w:t>
      </w:r>
      <w:r>
        <w:rPr>
          <w:spacing w:val="8"/>
          <w:szCs w:val="21"/>
        </w:rPr>
        <w:t>2</w:t>
      </w:r>
      <w:r>
        <w:rPr>
          <w:rFonts w:hint="eastAsia"/>
          <w:spacing w:val="8"/>
          <w:szCs w:val="21"/>
        </w:rPr>
        <w:t>各实验室</w:t>
      </w:r>
      <w:r>
        <w:rPr>
          <w:spacing w:val="8"/>
          <w:szCs w:val="21"/>
        </w:rPr>
        <w:t>ICP-AES</w:t>
      </w:r>
      <w:r>
        <w:rPr>
          <w:rFonts w:hint="eastAsia"/>
          <w:spacing w:val="8"/>
          <w:szCs w:val="21"/>
        </w:rPr>
        <w:t>法测定高镍锍中锌的平均值和标准偏差（</w:t>
      </w:r>
      <w:r>
        <w:rPr>
          <w:spacing w:val="8"/>
          <w:szCs w:val="21"/>
        </w:rPr>
        <w:t>%</w:t>
      </w:r>
      <w:r>
        <w:rPr>
          <w:rFonts w:hint="eastAsia"/>
          <w:spacing w:val="8"/>
          <w:szCs w:val="21"/>
        </w:rPr>
        <w:t>）</w:t>
      </w:r>
    </w:p>
    <w:tbl>
      <w:tblPr>
        <w:tblW w:w="9137" w:type="dxa"/>
        <w:tblInd w:w="93" w:type="dxa"/>
        <w:tblLook w:val="00A0" w:firstRow="1" w:lastRow="0" w:firstColumn="1" w:lastColumn="0" w:noHBand="0" w:noVBand="0"/>
      </w:tblPr>
      <w:tblGrid>
        <w:gridCol w:w="1858"/>
        <w:gridCol w:w="752"/>
        <w:gridCol w:w="1305"/>
        <w:gridCol w:w="1305"/>
        <w:gridCol w:w="1305"/>
        <w:gridCol w:w="1305"/>
        <w:gridCol w:w="1307"/>
      </w:tblGrid>
      <w:tr>
        <w:trPr>
          <w:trHeight w:val="348" w:hRule="atLeast"/>
        </w:trPr>
        <w:tc>
          <w:tcPr>
            <w:tcW w:w="1858"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实验室</w:t>
            </w:r>
          </w:p>
        </w:tc>
        <w:tc>
          <w:tcPr>
            <w:tcW w:w="752" w:type="dxa"/>
            <w:vMerge w:val="restart"/>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i/>
                <w:iCs/>
                <w:kern w:val="0"/>
                <w:sz w:val="18"/>
                <w:szCs w:val="18"/>
              </w:rPr>
            </w:pPr>
            <w:r>
              <w:rPr>
                <w:rFonts w:ascii="宋体" w:cs="宋体" w:hAnsi="宋体"/>
                <w:i/>
                <w:iCs/>
                <w:kern w:val="0"/>
                <w:sz w:val="18"/>
                <w:szCs w:val="18"/>
              </w:rPr>
              <w:t>i</w:t>
            </w:r>
            <w:r>
              <w:rPr>
                <w:rFonts w:ascii="宋体" w:cs="宋体" w:hAnsi="宋体"/>
                <w:kern w:val="0"/>
                <w:sz w:val="18"/>
                <w:szCs w:val="18"/>
              </w:rPr>
              <w:t xml:space="preserve"> No.</w:t>
            </w:r>
          </w:p>
        </w:tc>
        <w:tc>
          <w:tcPr>
            <w:tcW w:w="1305" w:type="dxa"/>
            <w:vMerge w:val="restart"/>
            <w:tcBorders>
              <w:top w:val="single" w:sz="8" w:space="0" w:color="auto"/>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次数</w:t>
            </w:r>
          </w:p>
        </w:tc>
        <w:tc>
          <w:tcPr>
            <w:tcW w:w="5222" w:type="dxa"/>
            <w:gridSpan w:val="4"/>
            <w:tcBorders>
              <w:top w:val="double" w:sz="6" w:space="0" w:color="auto"/>
              <w:left w:val="double" w:sz="6" w:space="0" w:color="auto"/>
              <w:bottom w:val="double" w:sz="6" w:space="0" w:color="auto"/>
              <w:right w:val="double" w:sz="6"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水平</w:t>
            </w:r>
            <w:r>
              <w:rPr>
                <w:rFonts w:ascii="宋体" w:cs="宋体" w:hAnsi="宋体"/>
                <w:kern w:val="0"/>
                <w:sz w:val="18"/>
                <w:szCs w:val="18"/>
              </w:rPr>
              <w:t xml:space="preserve">  j</w:t>
            </w:r>
          </w:p>
        </w:tc>
      </w:tr>
      <w:tr>
        <w:tblPrEx/>
        <w:trPr>
          <w:trHeight w:val="398" w:hRule="atLeast"/>
        </w:trPr>
        <w:tc>
          <w:tcPr>
            <w:tcW w:w="1858"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i/>
                <w:iCs/>
                <w:kern w:val="0"/>
                <w:sz w:val="18"/>
                <w:szCs w:val="18"/>
              </w:rPr>
            </w:pPr>
          </w:p>
        </w:tc>
        <w:tc>
          <w:tcPr>
            <w:tcW w:w="1305" w:type="dxa"/>
            <w:vMerge w:val="continue"/>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single" w:sz="8" w:space="0" w:color="auto"/>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305"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305"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307" w:type="dxa"/>
            <w:tcBorders>
              <w:top w:val="nil"/>
              <w:left w:val="nil"/>
              <w:bottom w:val="single" w:sz="4" w:space="0" w:color="auto"/>
              <w:right w:val="single" w:sz="8"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r>
      <w:tr>
        <w:tblPrEx/>
        <w:trPr>
          <w:trHeight w:val="152"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金川集团股份有限公司（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0.0104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0.0468 </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0.102 </w:t>
            </w:r>
          </w:p>
        </w:tc>
        <w:tc>
          <w:tcPr>
            <w:tcW w:w="1307"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0.501 </w:t>
            </w:r>
          </w:p>
        </w:tc>
      </w:tr>
      <w:tr>
        <w:tblPrEx/>
        <w:trPr>
          <w:trHeight w:val="90"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0.00034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0.00120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0.00142 </w:t>
            </w:r>
          </w:p>
        </w:tc>
        <w:tc>
          <w:tcPr>
            <w:tcW w:w="1307"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0.00620 </w:t>
            </w:r>
          </w:p>
        </w:tc>
      </w:tr>
      <w:tr>
        <w:tblPrEx/>
        <w:trPr>
          <w:trHeight w:val="60"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3.27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1.39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1.24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 xml:space="preserve"> </w:t>
            </w:r>
            <w:r>
              <w:rPr>
                <w:rFonts w:ascii="宋体" w:cs="宋体" w:hAnsi="宋体" w:hint="eastAsia"/>
                <w:kern w:val="0"/>
                <w:sz w:val="18"/>
                <w:szCs w:val="18"/>
              </w:rPr>
              <w:t>北矿检测技术有限公司（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0.0106 </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0.0480 </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0.101 </w:t>
            </w:r>
          </w:p>
        </w:tc>
        <w:tc>
          <w:tcPr>
            <w:tcW w:w="1307"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0.502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0.00040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0.00149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0.00212 </w:t>
            </w:r>
          </w:p>
        </w:tc>
        <w:tc>
          <w:tcPr>
            <w:tcW w:w="1307"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0.00755 </w:t>
            </w:r>
          </w:p>
        </w:tc>
      </w:tr>
      <w:tr>
        <w:tblPrEx/>
        <w:trPr>
          <w:trHeight w:val="238"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RSD(%)</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3.80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3.10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2.09 </w:t>
            </w:r>
          </w:p>
        </w:tc>
        <w:tc>
          <w:tcPr>
            <w:tcW w:w="1307"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1.50 </w:t>
            </w:r>
          </w:p>
        </w:tc>
      </w:tr>
      <w:tr>
        <w:tblPrEx/>
        <w:trPr>
          <w:trHeight w:val="127"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广东省工业分析检测中心（</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0.0110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0.0476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0.109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0.508 </w:t>
            </w:r>
          </w:p>
        </w:tc>
      </w:tr>
      <w:tr>
        <w:tblPrEx/>
        <w:trPr>
          <w:trHeight w:val="159"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0.00052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0.00062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0.00454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0.00500 </w:t>
            </w:r>
          </w:p>
        </w:tc>
      </w:tr>
      <w:tr>
        <w:tblPrEx/>
        <w:trPr>
          <w:trHeight w:val="191"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4.75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1.31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4.16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0.98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国标（北京）检验认证有限公司（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0.0108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0.0468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0.103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0.504 </w:t>
            </w:r>
          </w:p>
        </w:tc>
      </w:tr>
      <w:tr>
        <w:tblPrEx/>
        <w:trPr>
          <w:trHeight w:val="19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0.00052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0.00157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0.00313 </w:t>
            </w:r>
          </w:p>
        </w:tc>
      </w:tr>
      <w:tr>
        <w:tblPrEx/>
        <w:trPr>
          <w:trHeight w:val="227"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4.83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2.92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1.52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0.62 </w:t>
            </w:r>
          </w:p>
        </w:tc>
      </w:tr>
      <w:tr>
        <w:tblPrEx/>
        <w:trPr>
          <w:trHeight w:val="91"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广西冶金质检站（</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5</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0.0103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0.0469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0.100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0.504 </w:t>
            </w:r>
          </w:p>
        </w:tc>
      </w:tr>
      <w:tr>
        <w:tblPrEx/>
        <w:trPr>
          <w:trHeight w:val="60"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0.00039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0.00106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0.00222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0.00615 </w:t>
            </w:r>
          </w:p>
        </w:tc>
      </w:tr>
      <w:tr>
        <w:tblPrEx/>
        <w:trPr>
          <w:trHeight w:val="18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3.76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2.27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2.21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1.22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辽宁检验检疫局（</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6</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0.0104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0.0477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0.102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0.506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0.00048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0.00170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0.00721 </w:t>
            </w:r>
          </w:p>
        </w:tc>
      </w:tr>
      <w:tr>
        <w:tblPrEx/>
        <w:trPr>
          <w:trHeight w:val="104"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4.63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2.86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1.67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1.43 </w:t>
            </w:r>
          </w:p>
        </w:tc>
      </w:tr>
      <w:tr>
        <w:tblPrEx/>
        <w:trPr>
          <w:trHeight w:val="14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贵州省分析测试研究院（</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7</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0.0102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0.0445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0.102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0.501 </w:t>
            </w:r>
          </w:p>
        </w:tc>
      </w:tr>
      <w:tr>
        <w:tblPrEx/>
        <w:trPr>
          <w:trHeight w:val="177"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0.00028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0.00140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0.00233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0.00539 </w:t>
            </w:r>
          </w:p>
        </w:tc>
      </w:tr>
      <w:tr>
        <w:tblPrEx/>
        <w:trPr>
          <w:trHeight w:val="210"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2.77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3.14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2.29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1.08 </w:t>
            </w:r>
          </w:p>
        </w:tc>
      </w:tr>
      <w:tr>
        <w:tblPrEx/>
        <w:trPr>
          <w:trHeight w:val="241"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兰州科技园（</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8</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0.0102 </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0.0451 </w:t>
            </w:r>
          </w:p>
        </w:tc>
        <w:tc>
          <w:tcPr>
            <w:tcW w:w="1305"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1.0089 </w:t>
            </w:r>
          </w:p>
        </w:tc>
        <w:tc>
          <w:tcPr>
            <w:tcW w:w="1307"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0.5011 </w:t>
            </w:r>
          </w:p>
        </w:tc>
      </w:tr>
      <w:tr>
        <w:tblPrEx/>
        <w:trPr>
          <w:trHeight w:val="117"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0.00048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0.00098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0.01977 </w:t>
            </w:r>
          </w:p>
        </w:tc>
        <w:tc>
          <w:tcPr>
            <w:tcW w:w="1307"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0.00589 </w:t>
            </w:r>
          </w:p>
        </w:tc>
      </w:tr>
      <w:tr>
        <w:tblPrEx/>
        <w:trPr>
          <w:trHeight w:val="60"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4.69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2.17 </w:t>
            </w:r>
          </w:p>
        </w:tc>
        <w:tc>
          <w:tcPr>
            <w:tcW w:w="1305"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1.96 </w:t>
            </w:r>
          </w:p>
        </w:tc>
        <w:tc>
          <w:tcPr>
            <w:tcW w:w="1307"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1.18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浙江华友钴业股份有限公司（</w:t>
            </w:r>
            <w:r>
              <w:rPr>
                <w:rFonts w:ascii="宋体" w:cs="宋体" w:hAnsi="宋体"/>
                <w:kern w:val="0"/>
                <w:sz w:val="18"/>
                <w:szCs w:val="18"/>
              </w:rPr>
              <w:t>7</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9</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0.0493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0.100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0.503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0.00065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0.00125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0.00074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0.00315 </w:t>
            </w:r>
          </w:p>
        </w:tc>
      </w:tr>
      <w:tr>
        <w:tblPrEx/>
        <w:trPr>
          <w:trHeight w:val="131"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6.20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0.74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0.63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浙江亚通焊材有限公司（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10</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0.0097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0.0470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0.104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0.504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0.00022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0.00310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0.00345 </w:t>
            </w:r>
          </w:p>
        </w:tc>
      </w:tr>
      <w:tr>
        <w:tblPrEx/>
        <w:trPr>
          <w:trHeight w:val="24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2.84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2.97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0.68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中国检验认证集团广西有限公司（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11</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0.0109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0.0477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0.105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0.492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0.00028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0.00082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0.00412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0.00650 </w:t>
            </w:r>
          </w:p>
        </w:tc>
      </w:tr>
      <w:tr>
        <w:tblPrEx/>
        <w:trPr>
          <w:trHeight w:val="218"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1.71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3.94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1.32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峨眉山市峨半高纯材料有限公司（</w:t>
            </w:r>
            <w:r>
              <w:rPr>
                <w:rFonts w:ascii="宋体" w:cs="宋体" w:hAnsi="宋体"/>
                <w:kern w:val="0"/>
                <w:sz w:val="18"/>
                <w:szCs w:val="18"/>
              </w:rPr>
              <w:t>7</w:t>
            </w:r>
            <w:r>
              <w:rPr>
                <w:rFonts w:ascii="宋体" w:cs="宋体" w:hAnsi="宋体" w:hint="eastAsia"/>
                <w:kern w:val="0"/>
                <w:sz w:val="18"/>
                <w:szCs w:val="18"/>
              </w:rPr>
              <w:t>次）</w:t>
            </w:r>
          </w:p>
        </w:tc>
        <w:tc>
          <w:tcPr>
            <w:tcW w:w="752"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12</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0.0082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0.0421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0.0941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0.484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0.0001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0.0006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0.0054 </w:t>
            </w:r>
          </w:p>
        </w:tc>
      </w:tr>
      <w:tr>
        <w:tblPrEx/>
        <w:trPr>
          <w:trHeight w:val="15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0.65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1.13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0.62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1.12 </w:t>
            </w:r>
          </w:p>
        </w:tc>
      </w:tr>
      <w:tr>
        <w:tblPrEx/>
        <w:trPr>
          <w:trHeight w:val="315"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长沙矿冶研究院有限责任公司（</w:t>
            </w:r>
            <w:r>
              <w:rPr>
                <w:rFonts w:ascii="宋体" w:cs="宋体" w:hAnsi="宋体"/>
                <w:kern w:val="0"/>
                <w:sz w:val="18"/>
                <w:szCs w:val="18"/>
              </w:rPr>
              <w:t>11</w:t>
            </w:r>
            <w:r>
              <w:rPr>
                <w:rFonts w:ascii="宋体" w:cs="宋体" w:hAnsi="宋体" w:hint="eastAsia"/>
                <w:kern w:val="0"/>
                <w:sz w:val="18"/>
                <w:szCs w:val="18"/>
              </w:rPr>
              <w:t>次）</w:t>
            </w:r>
          </w:p>
        </w:tc>
        <w:tc>
          <w:tcPr>
            <w:tcW w:w="752"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13</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0.0102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0.0476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0.1033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0.5045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0.00038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0.00144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0.00461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0.00975 </w:t>
            </w:r>
          </w:p>
        </w:tc>
      </w:tr>
      <w:tr>
        <w:tblPrEx/>
        <w:trPr>
          <w:trHeight w:val="133"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3.76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3.03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4.47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1.93 </w:t>
            </w:r>
          </w:p>
        </w:tc>
      </w:tr>
      <w:tr>
        <w:tblPrEx/>
        <w:trPr>
          <w:trHeight w:val="60" w:hRule="atLeast"/>
        </w:trPr>
        <w:tc>
          <w:tcPr>
            <w:tcW w:w="1858"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山东恒邦冶炼股份有限公司（</w:t>
            </w:r>
            <w:r>
              <w:rPr>
                <w:rFonts w:ascii="宋体" w:cs="宋体" w:hAnsi="宋体"/>
                <w:kern w:val="0"/>
                <w:sz w:val="18"/>
                <w:szCs w:val="18"/>
              </w:rPr>
              <w:t>7</w:t>
            </w:r>
            <w:r>
              <w:rPr>
                <w:rFonts w:ascii="宋体" w:cs="宋体" w:hAnsi="宋体" w:hint="eastAsia"/>
                <w:kern w:val="0"/>
                <w:sz w:val="18"/>
                <w:szCs w:val="18"/>
              </w:rPr>
              <w:t>次）</w:t>
            </w:r>
          </w:p>
        </w:tc>
        <w:tc>
          <w:tcPr>
            <w:tcW w:w="752" w:type="dxa"/>
            <w:vMerge w:val="restart"/>
            <w:tcBorders>
              <w:top w:val="single" w:sz="8" w:space="0" w:color="auto"/>
              <w:left w:val="single" w:sz="4" w:space="0" w:color="auto"/>
              <w:bottom w:val="single" w:sz="4"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14</w:t>
            </w: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0.0090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0.0429 </w:t>
            </w:r>
          </w:p>
        </w:tc>
        <w:tc>
          <w:tcPr>
            <w:tcW w:w="1305"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0.0956 </w:t>
            </w:r>
          </w:p>
        </w:tc>
        <w:tc>
          <w:tcPr>
            <w:tcW w:w="1307"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0.476 </w:t>
            </w:r>
          </w:p>
        </w:tc>
      </w:tr>
      <w:tr>
        <w:tblPrEx/>
        <w:trPr>
          <w:trHeight w:val="315"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0.00041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0.00110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0.00146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0.0052 </w:t>
            </w:r>
          </w:p>
        </w:tc>
      </w:tr>
      <w:tr>
        <w:tblPrEx/>
        <w:trPr>
          <w:trHeight w:val="114" w:hRule="atLeast"/>
        </w:trPr>
        <w:tc>
          <w:tcPr>
            <w:tcW w:w="1858"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752"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305"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4.51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2.57 </w:t>
            </w:r>
          </w:p>
        </w:tc>
        <w:tc>
          <w:tcPr>
            <w:tcW w:w="1305"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1.53 </w:t>
            </w:r>
          </w:p>
        </w:tc>
        <w:tc>
          <w:tcPr>
            <w:tcW w:w="1307"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1.08 </w:t>
            </w:r>
          </w:p>
        </w:tc>
      </w:tr>
    </w:tbl>
    <w:p>
      <w:pPr>
        <w:pStyle w:val="style0"/>
        <w:spacing w:beforeLines="50"/>
        <w:jc w:val="center"/>
        <w:outlineLvl w:val="3"/>
        <w:rPr>
          <w:spacing w:val="8"/>
          <w:szCs w:val="21"/>
        </w:rPr>
      </w:pPr>
    </w:p>
    <w:p>
      <w:pPr>
        <w:pStyle w:val="style0"/>
        <w:spacing w:beforeLines="50"/>
        <w:jc w:val="center"/>
        <w:outlineLvl w:val="3"/>
        <w:rPr>
          <w:spacing w:val="8"/>
          <w:szCs w:val="21"/>
        </w:rPr>
      </w:pPr>
      <w:r>
        <w:rPr>
          <w:rFonts w:hint="eastAsia"/>
          <w:spacing w:val="8"/>
          <w:szCs w:val="21"/>
        </w:rPr>
        <w:t>表</w:t>
      </w:r>
      <w:r>
        <w:rPr>
          <w:spacing w:val="8"/>
          <w:szCs w:val="21"/>
        </w:rPr>
        <w:t xml:space="preserve">3  </w:t>
      </w:r>
      <w:r>
        <w:rPr>
          <w:rFonts w:hint="eastAsia"/>
          <w:spacing w:val="8"/>
          <w:szCs w:val="21"/>
        </w:rPr>
        <w:t>各实验室</w:t>
      </w:r>
      <w:r>
        <w:rPr>
          <w:spacing w:val="8"/>
          <w:szCs w:val="21"/>
        </w:rPr>
        <w:t>ICP-AES</w:t>
      </w:r>
      <w:r>
        <w:rPr>
          <w:rFonts w:hint="eastAsia"/>
          <w:spacing w:val="8"/>
          <w:szCs w:val="21"/>
        </w:rPr>
        <w:t>法测定高镍锍中砷的平均值和标准偏差（</w:t>
      </w:r>
      <w:r>
        <w:rPr>
          <w:spacing w:val="8"/>
          <w:szCs w:val="21"/>
        </w:rPr>
        <w:t>%</w:t>
      </w:r>
      <w:r>
        <w:rPr>
          <w:rFonts w:hint="eastAsia"/>
          <w:spacing w:val="8"/>
          <w:szCs w:val="21"/>
        </w:rPr>
        <w:t>）</w:t>
      </w:r>
    </w:p>
    <w:tbl>
      <w:tblPr>
        <w:tblW w:w="9031" w:type="dxa"/>
        <w:tblInd w:w="93" w:type="dxa"/>
        <w:tblLook w:val="00A0" w:firstRow="1" w:lastRow="0" w:firstColumn="1" w:lastColumn="0" w:noHBand="0" w:noVBand="0"/>
      </w:tblPr>
      <w:tblGrid>
        <w:gridCol w:w="1646"/>
        <w:gridCol w:w="611"/>
        <w:gridCol w:w="1129"/>
        <w:gridCol w:w="1129"/>
        <w:gridCol w:w="1129"/>
        <w:gridCol w:w="1129"/>
        <w:gridCol w:w="1129"/>
        <w:gridCol w:w="1129"/>
      </w:tblGrid>
      <w:tr>
        <w:trPr>
          <w:trHeight w:val="284" w:hRule="atLeast"/>
        </w:trPr>
        <w:tc>
          <w:tcPr>
            <w:tcW w:w="1646"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实验室</w:t>
            </w:r>
          </w:p>
        </w:tc>
        <w:tc>
          <w:tcPr>
            <w:tcW w:w="611" w:type="dxa"/>
            <w:vMerge w:val="restart"/>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i/>
                <w:iCs/>
                <w:kern w:val="0"/>
                <w:sz w:val="18"/>
                <w:szCs w:val="18"/>
              </w:rPr>
            </w:pPr>
            <w:r>
              <w:rPr>
                <w:rFonts w:ascii="宋体" w:cs="宋体" w:hAnsi="宋体"/>
                <w:i/>
                <w:iCs/>
                <w:kern w:val="0"/>
                <w:sz w:val="18"/>
                <w:szCs w:val="18"/>
              </w:rPr>
              <w:t>i</w:t>
            </w:r>
            <w:r>
              <w:rPr>
                <w:rFonts w:ascii="宋体" w:cs="宋体" w:hAnsi="宋体"/>
                <w:kern w:val="0"/>
                <w:sz w:val="18"/>
                <w:szCs w:val="18"/>
              </w:rPr>
              <w:t xml:space="preserve"> No.</w:t>
            </w:r>
          </w:p>
        </w:tc>
        <w:tc>
          <w:tcPr>
            <w:tcW w:w="1129" w:type="dxa"/>
            <w:vMerge w:val="restart"/>
            <w:tcBorders>
              <w:top w:val="single" w:sz="8" w:space="0" w:color="auto"/>
              <w:left w:val="single" w:sz="4" w:space="0" w:color="auto"/>
              <w:bottom w:val="single" w:sz="4" w:space="0" w:color="auto"/>
              <w:right w:val="nil"/>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次数</w:t>
            </w:r>
          </w:p>
        </w:tc>
        <w:tc>
          <w:tcPr>
            <w:tcW w:w="5645" w:type="dxa"/>
            <w:gridSpan w:val="5"/>
            <w:tcBorders>
              <w:top w:val="single" w:sz="4" w:space="0" w:color="auto"/>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水平</w:t>
            </w:r>
            <w:r>
              <w:rPr>
                <w:rFonts w:ascii="宋体" w:cs="宋体" w:hAnsi="宋体"/>
                <w:kern w:val="0"/>
                <w:sz w:val="18"/>
                <w:szCs w:val="18"/>
              </w:rPr>
              <w:t xml:space="preserve">  j</w:t>
            </w:r>
          </w:p>
        </w:tc>
      </w:tr>
      <w:tr>
        <w:tblPrEx/>
        <w:trPr>
          <w:trHeight w:val="284" w:hRule="atLeast"/>
        </w:trPr>
        <w:tc>
          <w:tcPr>
            <w:tcW w:w="1646" w:type="dxa"/>
            <w:vMerge w:val="continue"/>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i/>
                <w:iCs/>
                <w:kern w:val="0"/>
                <w:sz w:val="18"/>
                <w:szCs w:val="18"/>
              </w:rPr>
            </w:pPr>
          </w:p>
        </w:tc>
        <w:tc>
          <w:tcPr>
            <w:tcW w:w="1129" w:type="dxa"/>
            <w:vMerge w:val="continue"/>
            <w:tcBorders>
              <w:top w:val="single" w:sz="8" w:space="0" w:color="auto"/>
              <w:left w:val="single" w:sz="4" w:space="0" w:color="auto"/>
              <w:bottom w:val="single" w:sz="4" w:space="0" w:color="auto"/>
              <w:right w:val="nil"/>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5</w:t>
            </w:r>
          </w:p>
        </w:tc>
      </w:tr>
      <w:tr>
        <w:tblPrEx/>
        <w:trPr>
          <w:trHeight w:val="197"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金川集团股份有限公司（</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0.0288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0.0583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0.306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0.679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1.043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0.00144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0.00148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0.00818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0.01346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0.0222 </w:t>
            </w:r>
          </w:p>
        </w:tc>
      </w:tr>
      <w:tr>
        <w:tblPrEx/>
        <w:trPr>
          <w:trHeight w:val="208"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5.00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2.67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2.13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 xml:space="preserve"> </w:t>
            </w:r>
            <w:r>
              <w:rPr>
                <w:rFonts w:ascii="宋体" w:cs="宋体" w:hAnsi="宋体" w:hint="eastAsia"/>
                <w:kern w:val="0"/>
                <w:sz w:val="18"/>
                <w:szCs w:val="18"/>
              </w:rPr>
              <w:t>北矿检测技术有限公司（</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2</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0.0297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0.0597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0.307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0.672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1.037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0.00133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0.00176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0.00676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0.01287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0.01942 </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4.48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2.95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2.20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1.91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1.87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广东省工业分析检测中心（</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3</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0.0302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0.0569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0.300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0.669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1.037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0.00796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0.00829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0.01586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2.44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2.65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1.53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国标（北京）检验认证有限公司</w:t>
            </w:r>
          </w:p>
        </w:tc>
        <w:tc>
          <w:tcPr>
            <w:tcW w:w="611"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4</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0.0264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0.0535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0.305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0.654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1.019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0.00066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0.00059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0.00200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0.00574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0.00508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2.50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1.10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0.88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0.50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广西冶金质检站</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5</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0.0299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0.0564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0.314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0.675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#DIV/0!</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0.00864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0.01483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3.95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2.03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2.75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r>
      <w:tr>
        <w:tblPrEx/>
        <w:trPr>
          <w:trHeight w:val="284" w:hRule="atLeast"/>
        </w:trPr>
        <w:tc>
          <w:tcPr>
            <w:tcW w:w="1646"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辽宁检验检疫局（</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single" w:sz="4" w:space="0" w:color="auto"/>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6</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0.0292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0.0581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0.685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1.053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0.00093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0.00702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0.01462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0.02286 </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3.20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2.37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2.29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2.17 </w:t>
            </w:r>
          </w:p>
        </w:tc>
      </w:tr>
      <w:tr>
        <w:tblPrEx/>
        <w:trPr>
          <w:trHeight w:val="284" w:hRule="atLeast"/>
        </w:trPr>
        <w:tc>
          <w:tcPr>
            <w:tcW w:w="1646" w:type="dxa"/>
            <w:vMerge w:val="restart"/>
            <w:tcBorders>
              <w:top w:val="single" w:sz="4" w:space="0" w:color="auto"/>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贵州省分析测试研究院（</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single" w:sz="4" w:space="0" w:color="auto"/>
              <w:left w:val="single" w:sz="4" w:space="0" w:color="auto"/>
              <w:bottom w:val="single" w:sz="8" w:space="0" w:color="000000"/>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7</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0.0277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0.0584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0.300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0.683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1.034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0.00164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0.00809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0.01066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0.00981 </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4.74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2.80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2.69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0.95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兰州科技园（</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8</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0.0270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0.0548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0.3129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0.6732 </w:t>
            </w:r>
          </w:p>
        </w:tc>
        <w:tc>
          <w:tcPr>
            <w:tcW w:w="1129" w:type="dxa"/>
            <w:tcBorders>
              <w:top w:val="single" w:sz="4" w:space="0" w:color="auto"/>
              <w:left w:val="single" w:sz="8" w:space="0" w:color="auto"/>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1.0214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0.00054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0.00109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0.00478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0.01042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0.01753 </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1.99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1.99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1.53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1.55 </w:t>
            </w:r>
          </w:p>
        </w:tc>
        <w:tc>
          <w:tcPr>
            <w:tcW w:w="1129" w:type="dxa"/>
            <w:tcBorders>
              <w:top w:val="nil"/>
              <w:left w:val="single" w:sz="8" w:space="0" w:color="auto"/>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1.72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浙江华友钴业股份有限公司（</w:t>
            </w:r>
            <w:r>
              <w:rPr>
                <w:rFonts w:ascii="宋体" w:cs="宋体" w:hAnsi="宋体"/>
                <w:kern w:val="0"/>
                <w:sz w:val="18"/>
                <w:szCs w:val="18"/>
              </w:rPr>
              <w:t>7</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9</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#DIV/0!</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0.0555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1.018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0.00039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0.00373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0.00694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0.00528 </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0.71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1.21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1.02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0.52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浙江亚通焊材有限公司（</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10</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0.0286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0.0597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0.686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#DIV/0!</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0.00130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0.00229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0.00727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0.00945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r>
      <w:tr>
        <w:tblPrEx/>
        <w:trPr>
          <w:trHeight w:val="299"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4.56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3.83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2.41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1.38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#DIV/0!</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中国检验认证集团广西有限公司</w:t>
            </w:r>
          </w:p>
        </w:tc>
        <w:tc>
          <w:tcPr>
            <w:tcW w:w="611" w:type="dxa"/>
            <w:vMerge w:val="restart"/>
            <w:tcBorders>
              <w:top w:val="single" w:sz="8" w:space="0" w:color="auto"/>
              <w:left w:val="single" w:sz="4" w:space="0" w:color="auto"/>
              <w:bottom w:val="nil"/>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11</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0.0287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0.0560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0.313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0.676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1.037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0.00078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0.00155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0.00802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0.01145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0.00827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nil"/>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2.72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2.76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0.80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峨眉山市峨半高纯材料有限公司</w:t>
            </w:r>
          </w:p>
        </w:tc>
        <w:tc>
          <w:tcPr>
            <w:tcW w:w="611" w:type="dxa"/>
            <w:vMerge w:val="restart"/>
            <w:tcBorders>
              <w:top w:val="nil"/>
              <w:left w:val="single" w:sz="4" w:space="0" w:color="auto"/>
              <w:bottom w:val="single" w:sz="4" w:space="0" w:color="auto"/>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12</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0.0296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0.0535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0.294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0.682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1.021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0.0003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0.0009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0.0045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1.06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1.61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1.87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0.70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0.45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长沙矿冶研究院有限责任公司（</w:t>
            </w:r>
            <w:r>
              <w:rPr>
                <w:rFonts w:ascii="宋体" w:cs="宋体" w:hAnsi="宋体"/>
                <w:kern w:val="0"/>
                <w:sz w:val="18"/>
                <w:szCs w:val="18"/>
              </w:rPr>
              <w:t>11</w:t>
            </w:r>
            <w:r>
              <w:rPr>
                <w:rFonts w:ascii="宋体" w:cs="宋体" w:hAnsi="宋体" w:hint="eastAsia"/>
                <w:kern w:val="0"/>
                <w:sz w:val="18"/>
                <w:szCs w:val="18"/>
              </w:rPr>
              <w:t>次）</w:t>
            </w:r>
          </w:p>
        </w:tc>
        <w:tc>
          <w:tcPr>
            <w:tcW w:w="611" w:type="dxa"/>
            <w:vMerge w:val="restart"/>
            <w:tcBorders>
              <w:top w:val="nil"/>
              <w:left w:val="single" w:sz="4" w:space="0" w:color="auto"/>
              <w:bottom w:val="single" w:sz="8"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13</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0.0291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0.0572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0.3116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0.6871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1.0677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0.00101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0.00734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0.00782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0.01199 </w:t>
            </w:r>
          </w:p>
        </w:tc>
      </w:tr>
      <w:tr>
        <w:tblPrEx/>
        <w:trPr>
          <w:trHeight w:val="60"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nil"/>
              <w:left w:val="single" w:sz="4" w:space="0" w:color="auto"/>
              <w:bottom w:val="single" w:sz="8"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4.07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1.77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2.35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1.12 </w:t>
            </w:r>
          </w:p>
        </w:tc>
      </w:tr>
      <w:tr>
        <w:tblPrEx/>
        <w:trPr>
          <w:trHeight w:val="284" w:hRule="atLeast"/>
        </w:trPr>
        <w:tc>
          <w:tcPr>
            <w:tcW w:w="1646" w:type="dxa"/>
            <w:vMerge w:val="restart"/>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center"/>
              <w:rPr>
                <w:rFonts w:ascii="宋体" w:cs="宋体"/>
                <w:kern w:val="0"/>
                <w:sz w:val="18"/>
                <w:szCs w:val="18"/>
              </w:rPr>
            </w:pPr>
            <w:r>
              <w:rPr>
                <w:rFonts w:ascii="宋体" w:cs="宋体" w:hAnsi="宋体" w:hint="eastAsia"/>
                <w:kern w:val="0"/>
                <w:sz w:val="18"/>
                <w:szCs w:val="18"/>
              </w:rPr>
              <w:t>山东恒邦冶炼股份有限公司（</w:t>
            </w:r>
            <w:r>
              <w:rPr>
                <w:rFonts w:ascii="宋体" w:cs="宋体" w:hAnsi="宋体"/>
                <w:kern w:val="0"/>
                <w:sz w:val="18"/>
                <w:szCs w:val="18"/>
              </w:rPr>
              <w:t>7</w:t>
            </w:r>
            <w:r>
              <w:rPr>
                <w:rFonts w:ascii="宋体" w:cs="宋体" w:hAnsi="宋体" w:hint="eastAsia"/>
                <w:kern w:val="0"/>
                <w:sz w:val="18"/>
                <w:szCs w:val="18"/>
              </w:rPr>
              <w:t>次）</w:t>
            </w:r>
          </w:p>
        </w:tc>
        <w:tc>
          <w:tcPr>
            <w:tcW w:w="611" w:type="dxa"/>
            <w:vMerge w:val="restart"/>
            <w:tcBorders>
              <w:top w:val="single" w:sz="8" w:space="0" w:color="auto"/>
              <w:left w:val="single" w:sz="4" w:space="0" w:color="auto"/>
              <w:bottom w:val="single" w:sz="4" w:space="0" w:color="000000"/>
              <w:right w:val="single" w:sz="4" w:space="0" w:color="auto"/>
            </w:tcBorders>
            <w:noWrap/>
            <w:vAlign w:val="center"/>
          </w:tcPr>
          <w:p>
            <w:pPr>
              <w:pStyle w:val="style0"/>
              <w:widowControl/>
              <w:adjustRightInd w:val="false"/>
              <w:snapToGrid w:val="false"/>
              <w:jc w:val="center"/>
              <w:rPr>
                <w:rFonts w:ascii="宋体" w:cs="宋体"/>
                <w:kern w:val="0"/>
                <w:sz w:val="18"/>
                <w:szCs w:val="18"/>
              </w:rPr>
            </w:pPr>
            <w:r>
              <w:rPr>
                <w:rFonts w:ascii="宋体" w:cs="宋体" w:hAnsi="宋体"/>
                <w:kern w:val="0"/>
                <w:sz w:val="18"/>
                <w:szCs w:val="18"/>
              </w:rPr>
              <w:t>14</w:t>
            </w: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平均值</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0.0269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0.0534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0.3004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0.652 </w:t>
            </w:r>
          </w:p>
        </w:tc>
        <w:tc>
          <w:tcPr>
            <w:tcW w:w="1129" w:type="dxa"/>
            <w:tcBorders>
              <w:top w:val="single" w:sz="4" w:space="0" w:color="auto"/>
              <w:left w:val="nil"/>
              <w:bottom w:val="single" w:sz="4" w:space="0" w:color="auto"/>
              <w:right w:val="single" w:sz="4" w:space="0" w:color="auto"/>
            </w:tcBorders>
          </w:tcPr>
          <w:p>
            <w:pPr>
              <w:pStyle w:val="style0"/>
              <w:widowControl/>
              <w:adjustRightInd w:val="false"/>
              <w:snapToGrid w:val="false"/>
              <w:jc w:val="center"/>
              <w:rPr>
                <w:b/>
                <w:bCs/>
                <w:kern w:val="0"/>
                <w:sz w:val="18"/>
                <w:szCs w:val="18"/>
              </w:rPr>
            </w:pPr>
            <w:r>
              <w:rPr>
                <w:b/>
                <w:bCs/>
                <w:kern w:val="0"/>
                <w:sz w:val="18"/>
                <w:szCs w:val="18"/>
              </w:rPr>
              <w:t xml:space="preserve">1.017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hint="eastAsia"/>
                <w:kern w:val="0"/>
                <w:sz w:val="18"/>
                <w:szCs w:val="18"/>
              </w:rPr>
              <w:t>标准偏差</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0.00119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0.00241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0.00568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0.0134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0.0259 </w:t>
            </w:r>
          </w:p>
        </w:tc>
      </w:tr>
      <w:tr>
        <w:tblPrEx/>
        <w:trPr>
          <w:trHeight w:val="284" w:hRule="atLeast"/>
        </w:trPr>
        <w:tc>
          <w:tcPr>
            <w:tcW w:w="1646" w:type="dxa"/>
            <w:vMerge w:val="continue"/>
            <w:tcBorders>
              <w:top w:val="nil"/>
              <w:left w:val="single" w:sz="4" w:space="0" w:color="auto"/>
              <w:bottom w:val="single" w:sz="4" w:space="0" w:color="auto"/>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611" w:type="dxa"/>
            <w:vMerge w:val="continue"/>
            <w:tcBorders>
              <w:top w:val="single" w:sz="8" w:space="0" w:color="auto"/>
              <w:left w:val="single" w:sz="4" w:space="0" w:color="auto"/>
              <w:bottom w:val="single" w:sz="4" w:space="0" w:color="000000"/>
              <w:right w:val="single" w:sz="4" w:space="0" w:color="auto"/>
            </w:tcBorders>
            <w:vAlign w:val="center"/>
          </w:tcPr>
          <w:p>
            <w:pPr>
              <w:pStyle w:val="style0"/>
              <w:widowControl/>
              <w:adjustRightInd w:val="false"/>
              <w:snapToGrid w:val="false"/>
              <w:jc w:val="left"/>
              <w:rPr>
                <w:rFonts w:ascii="宋体" w:cs="宋体"/>
                <w:kern w:val="0"/>
                <w:sz w:val="18"/>
                <w:szCs w:val="18"/>
              </w:rPr>
            </w:pPr>
          </w:p>
        </w:tc>
        <w:tc>
          <w:tcPr>
            <w:tcW w:w="1129" w:type="dxa"/>
            <w:tcBorders>
              <w:top w:val="nil"/>
              <w:left w:val="nil"/>
              <w:bottom w:val="single" w:sz="4" w:space="0" w:color="auto"/>
              <w:right w:val="single" w:sz="4" w:space="0" w:color="auto"/>
            </w:tcBorders>
            <w:noWrap/>
            <w:vAlign w:val="center"/>
          </w:tcPr>
          <w:p>
            <w:pPr>
              <w:pStyle w:val="style0"/>
              <w:widowControl/>
              <w:adjustRightInd w:val="false"/>
              <w:snapToGrid w:val="false"/>
              <w:jc w:val="left"/>
              <w:rPr>
                <w:rFonts w:ascii="宋体" w:cs="宋体"/>
                <w:kern w:val="0"/>
                <w:sz w:val="18"/>
                <w:szCs w:val="18"/>
              </w:rPr>
            </w:pPr>
            <w:r>
              <w:rPr>
                <w:rFonts w:ascii="宋体" w:cs="宋体" w:hAnsi="宋体"/>
                <w:kern w:val="0"/>
                <w:sz w:val="18"/>
                <w:szCs w:val="18"/>
              </w:rPr>
              <w:t>RSD(%)</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4.42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4.50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1.89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2.06 </w:t>
            </w:r>
          </w:p>
        </w:tc>
        <w:tc>
          <w:tcPr>
            <w:tcW w:w="1129" w:type="dxa"/>
            <w:tcBorders>
              <w:top w:val="nil"/>
              <w:left w:val="nil"/>
              <w:bottom w:val="single" w:sz="4" w:space="0" w:color="auto"/>
              <w:right w:val="single" w:sz="4" w:space="0" w:color="auto"/>
            </w:tcBorders>
          </w:tcPr>
          <w:p>
            <w:pPr>
              <w:pStyle w:val="style0"/>
              <w:widowControl/>
              <w:adjustRightInd w:val="false"/>
              <w:snapToGrid w:val="false"/>
              <w:jc w:val="center"/>
              <w:rPr>
                <w:bCs/>
                <w:kern w:val="0"/>
                <w:sz w:val="18"/>
                <w:szCs w:val="18"/>
              </w:rPr>
            </w:pPr>
            <w:r>
              <w:rPr>
                <w:bCs/>
                <w:kern w:val="0"/>
                <w:sz w:val="18"/>
                <w:szCs w:val="18"/>
              </w:rPr>
              <w:t xml:space="preserve">2.55 </w:t>
            </w:r>
          </w:p>
        </w:tc>
      </w:tr>
    </w:tbl>
    <w:p>
      <w:pPr>
        <w:pStyle w:val="style4123"/>
        <w:numPr>
          <w:ilvl w:val="0"/>
          <w:numId w:val="0"/>
        </w:numPr>
        <w:spacing w:before="156" w:after="156" w:lineRule="exact" w:line="440"/>
        <w:rPr>
          <w:rFonts w:ascii="Times New Roman" w:eastAsia="宋体"/>
        </w:rPr>
      </w:pPr>
      <w:r>
        <w:rPr>
          <w:rFonts w:ascii="宋体" w:hAnsi="宋体"/>
          <w:bCs/>
        </w:rPr>
        <w:t>4.2</w:t>
      </w:r>
      <w:r>
        <w:rPr>
          <w:rFonts w:ascii="Times New Roman" w:eastAsia="宋体"/>
        </w:rPr>
        <w:t xml:space="preserve">  </w:t>
      </w:r>
      <w:r>
        <w:rPr>
          <w:rFonts w:ascii="Times New Roman" w:eastAsia="宋体" w:hint="eastAsia"/>
        </w:rPr>
        <w:t>各元素</w:t>
      </w:r>
      <w:r>
        <w:rPr>
          <w:rFonts w:ascii="Times New Roman" w:eastAsia="宋体"/>
        </w:rPr>
        <w:t>r</w:t>
      </w:r>
      <w:r>
        <w:rPr>
          <w:rFonts w:ascii="Times New Roman" w:eastAsia="宋体" w:hint="eastAsia"/>
        </w:rPr>
        <w:t>与的</w:t>
      </w:r>
      <w:r>
        <w:rPr>
          <w:rFonts w:ascii="Times New Roman" w:eastAsia="宋体"/>
        </w:rPr>
        <w:t>R</w:t>
      </w:r>
      <w:r>
        <w:rPr>
          <w:rFonts w:ascii="Times New Roman" w:eastAsia="宋体" w:hint="eastAsia"/>
        </w:rPr>
        <w:t>计算</w:t>
      </w:r>
    </w:p>
    <w:p>
      <w:pPr>
        <w:pStyle w:val="style4123"/>
        <w:numPr>
          <w:ilvl w:val="0"/>
          <w:numId w:val="0"/>
        </w:numPr>
        <w:spacing w:before="156" w:after="156" w:lineRule="exact" w:line="440"/>
        <w:rPr>
          <w:rFonts w:ascii="Times New Roman" w:eastAsia="宋体"/>
        </w:rPr>
      </w:pPr>
      <w:r>
        <w:rPr>
          <w:rFonts w:ascii="Times New Roman" w:eastAsia="宋体"/>
        </w:rPr>
        <w:t xml:space="preserve">4.3 </w:t>
      </w:r>
      <w:r>
        <w:rPr>
          <w:rFonts w:ascii="Times New Roman" w:eastAsia="宋体" w:hint="eastAsia"/>
        </w:rPr>
        <w:t>重复性和再现性</w:t>
      </w:r>
    </w:p>
    <w:p>
      <w:pPr>
        <w:pStyle w:val="style0"/>
        <w:spacing w:lineRule="auto" w:line="360"/>
        <w:rPr>
          <w:rFonts w:ascii="宋体"/>
          <w:b/>
        </w:rPr>
      </w:pPr>
      <w:r>
        <w:rPr>
          <w:rFonts w:ascii="宋体" w:hAnsi="宋体"/>
          <w:b/>
        </w:rPr>
        <w:t>5</w:t>
      </w:r>
      <w:r>
        <w:rPr>
          <w:rFonts w:ascii="宋体" w:hAnsi="宋体" w:hint="eastAsia"/>
          <w:b/>
        </w:rPr>
        <w:t>．征求意见</w:t>
      </w:r>
    </w:p>
    <w:p>
      <w:pPr>
        <w:pStyle w:val="style0"/>
        <w:spacing w:lineRule="auto" w:line="360"/>
        <w:ind w:firstLine="31680" w:firstLineChars="200"/>
        <w:rPr>
          <w:rFonts w:ascii="宋体"/>
        </w:rPr>
      </w:pPr>
      <w:r>
        <w:rPr>
          <w:rFonts w:ascii="宋体" w:hAnsi="宋体" w:hint="eastAsia"/>
        </w:rPr>
        <w:t>征求意见情况见汇总表</w:t>
      </w:r>
    </w:p>
    <w:p>
      <w:pPr>
        <w:pStyle w:val="style0"/>
        <w:spacing w:lineRule="auto" w:line="360"/>
        <w:outlineLvl w:val="0"/>
        <w:rPr>
          <w:b/>
          <w:sz w:val="24"/>
          <w:szCs w:val="24"/>
        </w:rPr>
      </w:pPr>
      <w:r>
        <w:rPr>
          <w:rFonts w:hint="eastAsia"/>
          <w:b/>
          <w:sz w:val="24"/>
          <w:szCs w:val="24"/>
        </w:rPr>
        <w:t>五、与现行法规、标准的关系</w:t>
      </w:r>
    </w:p>
    <w:p>
      <w:pPr>
        <w:pStyle w:val="style0"/>
        <w:spacing w:lineRule="auto" w:line="360"/>
        <w:ind w:firstLine="405"/>
        <w:rPr>
          <w:sz w:val="24"/>
          <w:szCs w:val="24"/>
        </w:rPr>
      </w:pPr>
      <w:r>
        <w:rPr>
          <w:rFonts w:hint="eastAsia"/>
          <w:sz w:val="24"/>
          <w:szCs w:val="24"/>
        </w:rPr>
        <w:t>本标准的制定与现行标准没用冲突，且符合国家相关法律法规的规定。</w:t>
      </w:r>
    </w:p>
    <w:p>
      <w:pPr>
        <w:pStyle w:val="style0"/>
        <w:spacing w:lineRule="auto" w:line="360"/>
        <w:outlineLvl w:val="0"/>
        <w:rPr>
          <w:b/>
          <w:sz w:val="24"/>
          <w:szCs w:val="24"/>
        </w:rPr>
      </w:pPr>
      <w:r>
        <w:rPr>
          <w:rFonts w:hint="eastAsia"/>
          <w:b/>
          <w:sz w:val="24"/>
          <w:szCs w:val="24"/>
        </w:rPr>
        <w:t>六、重大分歧意见的处理经过和依据</w:t>
      </w:r>
    </w:p>
    <w:p>
      <w:pPr>
        <w:pStyle w:val="style0"/>
        <w:spacing w:lineRule="auto" w:line="360"/>
        <w:ind w:firstLine="405"/>
        <w:rPr>
          <w:sz w:val="24"/>
          <w:szCs w:val="24"/>
        </w:rPr>
      </w:pPr>
      <w:r>
        <w:rPr>
          <w:rFonts w:hint="eastAsia"/>
          <w:sz w:val="24"/>
          <w:szCs w:val="24"/>
        </w:rPr>
        <w:t>标准制定过程中，无重大分歧意见。</w:t>
      </w:r>
    </w:p>
    <w:p>
      <w:pPr>
        <w:pStyle w:val="style0"/>
        <w:spacing w:lineRule="auto" w:line="360"/>
        <w:outlineLvl w:val="0"/>
        <w:rPr>
          <w:b/>
          <w:sz w:val="24"/>
          <w:szCs w:val="24"/>
        </w:rPr>
      </w:pPr>
      <w:r>
        <w:rPr>
          <w:rFonts w:hint="eastAsia"/>
          <w:b/>
          <w:sz w:val="24"/>
          <w:szCs w:val="24"/>
        </w:rPr>
        <w:t>七、贯彻标准的要求和措施的建议</w:t>
      </w:r>
    </w:p>
    <w:p>
      <w:pPr>
        <w:pStyle w:val="style0"/>
        <w:spacing w:lineRule="auto" w:line="360"/>
        <w:ind w:firstLine="405"/>
        <w:rPr>
          <w:sz w:val="24"/>
          <w:szCs w:val="24"/>
        </w:rPr>
      </w:pPr>
      <w:r>
        <w:rPr>
          <w:rFonts w:hint="eastAsia"/>
          <w:sz w:val="24"/>
          <w:szCs w:val="24"/>
        </w:rPr>
        <w:t>可向相关企业和用户推荐采用本标准。</w:t>
      </w:r>
    </w:p>
    <w:p>
      <w:pPr>
        <w:pStyle w:val="style0"/>
        <w:spacing w:lineRule="auto" w:line="360"/>
        <w:outlineLvl w:val="0"/>
        <w:rPr>
          <w:b/>
          <w:sz w:val="24"/>
          <w:szCs w:val="24"/>
        </w:rPr>
      </w:pPr>
      <w:r>
        <w:rPr>
          <w:rFonts w:hint="eastAsia"/>
          <w:b/>
          <w:sz w:val="24"/>
          <w:szCs w:val="24"/>
        </w:rPr>
        <w:t>八、废止现行有关标准的建议</w:t>
      </w:r>
    </w:p>
    <w:p>
      <w:pPr>
        <w:pStyle w:val="style0"/>
        <w:spacing w:lineRule="auto" w:line="360"/>
        <w:ind w:firstLine="405"/>
        <w:rPr>
          <w:sz w:val="24"/>
          <w:szCs w:val="24"/>
        </w:rPr>
      </w:pPr>
      <w:r>
        <w:rPr>
          <w:rFonts w:hint="eastAsia"/>
          <w:sz w:val="24"/>
          <w:szCs w:val="24"/>
        </w:rPr>
        <w:t>本标准为初次制定，无现行有关标准。</w:t>
      </w:r>
    </w:p>
    <w:p>
      <w:pPr>
        <w:pStyle w:val="style0"/>
        <w:spacing w:lineRule="auto" w:line="360"/>
        <w:outlineLvl w:val="0"/>
        <w:rPr>
          <w:b/>
          <w:sz w:val="24"/>
          <w:szCs w:val="24"/>
        </w:rPr>
      </w:pPr>
      <w:r>
        <w:rPr>
          <w:rFonts w:hint="eastAsia"/>
          <w:b/>
          <w:sz w:val="24"/>
          <w:szCs w:val="24"/>
        </w:rPr>
        <w:t>九、与其效果</w:t>
      </w:r>
    </w:p>
    <w:p>
      <w:pPr>
        <w:pStyle w:val="style0"/>
        <w:spacing w:lineRule="auto" w:line="360"/>
        <w:ind w:firstLine="420"/>
        <w:rPr>
          <w:sz w:val="24"/>
          <w:szCs w:val="24"/>
        </w:rPr>
      </w:pPr>
      <w:r>
        <w:rPr>
          <w:rFonts w:hint="eastAsia"/>
          <w:sz w:val="24"/>
          <w:szCs w:val="24"/>
        </w:rPr>
        <w:t>本标准的制定，补充了现行行业标准《高镍锍化学分析方法》，使其更加完善，本标准的发布、实施，将规范高镍锍中铅、锌、砷等元素的分析检测，对生产单位或贸易双方在内部金属平衡和数据结算具有很重要的指导意义。</w:t>
      </w:r>
    </w:p>
    <w:p>
      <w:pPr>
        <w:pStyle w:val="style0"/>
        <w:spacing w:lineRule="auto" w:line="360"/>
        <w:outlineLvl w:val="0"/>
        <w:rPr>
          <w:b/>
          <w:sz w:val="24"/>
          <w:szCs w:val="24"/>
        </w:rPr>
      </w:pPr>
      <w:r>
        <w:rPr>
          <w:rFonts w:hint="eastAsia"/>
          <w:b/>
          <w:sz w:val="24"/>
          <w:szCs w:val="24"/>
        </w:rPr>
        <w:t>十、标准实施的建议</w:t>
      </w:r>
    </w:p>
    <w:p>
      <w:pPr>
        <w:pStyle w:val="style0"/>
        <w:spacing w:lineRule="auto" w:line="360"/>
        <w:rPr>
          <w:sz w:val="24"/>
          <w:szCs w:val="24"/>
        </w:rPr>
      </w:pPr>
      <w:r>
        <w:rPr>
          <w:sz w:val="24"/>
          <w:szCs w:val="24"/>
        </w:rPr>
        <w:t xml:space="preserve">   </w:t>
      </w:r>
      <w:r>
        <w:rPr>
          <w:rFonts w:hint="eastAsia"/>
          <w:sz w:val="24"/>
          <w:szCs w:val="24"/>
        </w:rPr>
        <w:t>建议本标准作为推荐性国家行业标准。</w:t>
      </w:r>
    </w:p>
    <w:p>
      <w:pPr>
        <w:pStyle w:val="style0"/>
        <w:spacing w:lineRule="auto" w:line="360"/>
        <w:outlineLvl w:val="0"/>
        <w:rPr>
          <w:b/>
          <w:sz w:val="24"/>
          <w:szCs w:val="24"/>
        </w:rPr>
      </w:pPr>
      <w:r>
        <w:rPr>
          <w:rFonts w:hint="eastAsia"/>
          <w:b/>
          <w:sz w:val="24"/>
          <w:szCs w:val="24"/>
        </w:rPr>
        <w:t>十一、其他应注意的事项</w:t>
      </w:r>
    </w:p>
    <w:p>
      <w:pPr>
        <w:pStyle w:val="style0"/>
        <w:spacing w:lineRule="auto" w:line="360"/>
        <w:rPr>
          <w:sz w:val="24"/>
          <w:szCs w:val="24"/>
        </w:rPr>
      </w:pPr>
      <w:r>
        <w:rPr>
          <w:sz w:val="24"/>
          <w:szCs w:val="24"/>
        </w:rPr>
        <w:t xml:space="preserve">     </w:t>
      </w:r>
      <w:r>
        <w:rPr>
          <w:rFonts w:hint="eastAsia"/>
          <w:sz w:val="24"/>
          <w:szCs w:val="24"/>
        </w:rPr>
        <w:t>无。</w:t>
      </w:r>
    </w:p>
    <w:p>
      <w:pPr>
        <w:pStyle w:val="style0"/>
        <w:spacing w:lineRule="auto" w:line="360"/>
        <w:ind w:firstLine="31680" w:firstLineChars="650"/>
        <w:rPr>
          <w:sz w:val="24"/>
          <w:szCs w:val="24"/>
        </w:rPr>
      </w:pPr>
      <w:r>
        <w:rPr>
          <w:sz w:val="24"/>
          <w:szCs w:val="24"/>
        </w:rPr>
        <w:t xml:space="preserve">                                       </w:t>
      </w:r>
      <w:r>
        <w:rPr>
          <w:rFonts w:hint="eastAsia"/>
          <w:sz w:val="24"/>
          <w:szCs w:val="24"/>
        </w:rPr>
        <w:t>标准编制小组</w:t>
      </w:r>
    </w:p>
    <w:p>
      <w:pPr>
        <w:pStyle w:val="style0"/>
        <w:spacing w:lineRule="auto" w:line="360"/>
        <w:ind w:firstLine="31680" w:firstLineChars="2550"/>
        <w:rPr>
          <w:sz w:val="24"/>
          <w:szCs w:val="24"/>
        </w:rPr>
      </w:pPr>
      <w:r>
        <w:rPr>
          <w:sz w:val="24"/>
          <w:szCs w:val="24"/>
        </w:rPr>
        <w:t xml:space="preserve"> 2018</w:t>
      </w:r>
      <w:r>
        <w:rPr>
          <w:rFonts w:hint="eastAsia"/>
          <w:sz w:val="24"/>
          <w:szCs w:val="24"/>
        </w:rPr>
        <w:t>年</w:t>
      </w:r>
      <w:r>
        <w:rPr>
          <w:sz w:val="24"/>
          <w:szCs w:val="24"/>
        </w:rPr>
        <w:t>8</w:t>
      </w:r>
      <w:r>
        <w:rPr>
          <w:rFonts w:hint="eastAsia"/>
          <w:sz w:val="24"/>
          <w:szCs w:val="24"/>
        </w:rPr>
        <w:t>月</w:t>
      </w:r>
    </w:p>
    <w:p>
      <w:pPr>
        <w:pStyle w:val="style0"/>
        <w:spacing w:lineRule="auto" w:line="360"/>
        <w:rPr/>
      </w:pPr>
    </w:p>
    <w:sectPr>
      <w:headerReference w:type="even" r:id="rId2"/>
      <w:headerReference w:type="default" r:id="rId3"/>
      <w:pgSz w:w="11906" w:h="16838" w:orient="portrait"/>
      <w:pgMar w:top="1418" w:right="1418" w:bottom="1418" w:left="130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2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黑体">
    <w:altName w:val="SimHei"/>
    <w:panose1 w:val="02010600030001010101"/>
    <w:charset w:val="86"/>
    <w:family w:val="auto"/>
    <w:pitch w:val="variable"/>
    <w:sig w:usb0="00000001" w:usb1="080E0000" w:usb2="00000010" w:usb3="00000000" w:csb0="00040000"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5CF5DF5"/>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00000001"/>
    <w:multiLevelType w:val="singleLevel"/>
    <w:tmpl w:val="580EB4D1"/>
    <w:lvl w:ilvl="0">
      <w:start w:val="1"/>
      <w:numFmt w:val="decimal"/>
      <w:lvlText w:val="%1)"/>
      <w:lvlJc w:val="left"/>
      <w:pPr>
        <w:tabs>
          <w:tab w:val="left" w:leader="none" w:pos="425"/>
        </w:tabs>
        <w:ind w:left="425" w:hanging="425"/>
      </w:pPr>
      <w:rPr>
        <w:rFonts w:cs="Times New Roman" w:hint="default"/>
      </w:rPr>
    </w:lvl>
  </w:abstractNum>
  <w:abstractNum w:abstractNumId="2">
    <w:nsid w:val="00000002"/>
    <w:multiLevelType w:val="multilevel"/>
    <w:tmpl w:val="3F9EEEF2"/>
    <w:lvl w:ilvl="0">
      <w:start w:val="1"/>
      <w:numFmt w:val="decimal"/>
      <w:pStyle w:val="style4124"/>
      <w:suff w:val="nothing"/>
      <w:lvlText w:val="%1　"/>
      <w:lvlJc w:val="left"/>
      <w:pPr/>
      <w:rPr>
        <w:rFonts w:ascii="宋体" w:cs="Times New Roman" w:eastAsia="宋体" w:hAnsi="宋体" w:hint="eastAsia"/>
        <w:b w:val="false"/>
        <w:i w:val="false"/>
        <w:sz w:val="21"/>
        <w:szCs w:val="21"/>
      </w:rPr>
    </w:lvl>
    <w:lvl w:ilvl="1">
      <w:start w:val="1"/>
      <w:numFmt w:val="decimal"/>
      <w:pStyle w:val="style4123"/>
      <w:suff w:val="nothing"/>
      <w:lvlText w:val="%1.%2　"/>
      <w:lvlJc w:val="left"/>
      <w:pPr>
        <w:ind w:left="360"/>
      </w:pPr>
      <w:rPr>
        <w:rFonts w:ascii="黑体" w:cs="Times New Roman" w:eastAsia="黑体" w:hAnsi="Times New Roman" w:hint="eastAsia"/>
        <w:b w:val="false"/>
        <w:bCs w:val="false"/>
        <w:i w:val="false"/>
        <w:iCs w:val="false"/>
        <w:caps w:val="false"/>
        <w:outline w:val="false"/>
        <w:emboss w:val="false"/>
        <w:imprint w:val="false"/>
        <w:vanish w:val="false"/>
        <w:spacing w:val="0"/>
        <w:kern w:val="0"/>
        <w:position w:val="0"/>
        <w:sz w:val="21"/>
        <w:szCs w:val="21"/>
        <w:u w:val="none"/>
        <w:vertAlign w:val="baseline"/>
      </w:rPr>
    </w:lvl>
    <w:lvl w:ilvl="2">
      <w:start w:val="1"/>
      <w:numFmt w:val="decimal"/>
      <w:suff w:val="nothing"/>
      <w:lvlText w:val="%1.%2.%3　"/>
      <w:lvlJc w:val="left"/>
      <w:pPr>
        <w:ind w:left="2160"/>
      </w:pPr>
      <w:rPr>
        <w:rFonts w:ascii="黑体" w:cs="Times New Roman" w:eastAsia="黑体" w:hAnsi="Times New Roman" w:hint="eastAsia"/>
        <w:b w:val="false"/>
        <w:i w:val="false"/>
        <w:sz w:val="21"/>
      </w:rPr>
    </w:lvl>
    <w:lvl w:ilvl="3">
      <w:start w:val="1"/>
      <w:numFmt w:val="decimal"/>
      <w:suff w:val="nothing"/>
      <w:lvlText w:val="%1.%2.%3.%4　"/>
      <w:lvlJc w:val="left"/>
      <w:pPr/>
      <w:rPr>
        <w:rFonts w:ascii="黑体" w:cs="Times New Roman" w:eastAsia="黑体" w:hAnsi="Times New Roman" w:hint="eastAsia"/>
        <w:b w:val="false"/>
        <w:i w:val="false"/>
        <w:sz w:val="21"/>
      </w:rPr>
    </w:lvl>
    <w:lvl w:ilvl="4">
      <w:start w:val="1"/>
      <w:numFmt w:val="decimal"/>
      <w:pStyle w:val="style4126"/>
      <w:suff w:val="nothing"/>
      <w:lvlText w:val="%1.%2.%3.%4.%5　"/>
      <w:lvlJc w:val="left"/>
      <w:pPr/>
      <w:rPr>
        <w:rFonts w:ascii="黑体" w:cs="Times New Roman" w:eastAsia="黑体" w:hAnsi="Times New Roman" w:hint="eastAsia"/>
        <w:b w:val="false"/>
        <w:i w:val="false"/>
        <w:sz w:val="21"/>
      </w:rPr>
    </w:lvl>
    <w:lvl w:ilvl="5">
      <w:start w:val="1"/>
      <w:numFmt w:val="decimal"/>
      <w:suff w:val="nothing"/>
      <w:lvlText w:val="%1.%2.%3.%4.%5.%6　"/>
      <w:lvlJc w:val="left"/>
      <w:pPr/>
      <w:rPr>
        <w:rFonts w:ascii="黑体" w:cs="Times New Roman" w:eastAsia="黑体" w:hAnsi="Times New Roman" w:hint="eastAsia"/>
        <w:b w:val="false"/>
        <w:i w:val="false"/>
        <w:sz w:val="21"/>
      </w:rPr>
    </w:lvl>
    <w:lvl w:ilvl="6">
      <w:start w:val="1"/>
      <w:numFmt w:val="decimal"/>
      <w:suff w:val="nothing"/>
      <w:lvlText w:val="%1%2.%3.%4.%5.%6.%7　"/>
      <w:lvlJc w:val="left"/>
      <w:pPr/>
      <w:rPr>
        <w:rFonts w:ascii="黑体" w:cs="Times New Roman" w:eastAsia="黑体" w:hAnsi="Times New Roman" w:hint="eastAsia"/>
        <w:b w:val="false"/>
        <w:i w:val="false"/>
        <w:sz w:val="21"/>
      </w:rPr>
    </w:lvl>
    <w:lvl w:ilvl="7">
      <w:start w:val="1"/>
      <w:numFmt w:val="decimal"/>
      <w:lvlText w:val="%1.%2.%3.%4.%5.%6.%7.%8"/>
      <w:lvlJc w:val="left"/>
      <w:pPr>
        <w:tabs>
          <w:tab w:val="left" w:leader="none" w:pos="4351"/>
        </w:tabs>
        <w:ind w:left="3969" w:hanging="1418"/>
      </w:pPr>
      <w:rPr>
        <w:rFonts w:cs="Times New Roman" w:hint="eastAsia"/>
      </w:rPr>
    </w:lvl>
    <w:lvl w:ilvl="8">
      <w:start w:val="1"/>
      <w:numFmt w:val="decimal"/>
      <w:lvlText w:val="%1.%2.%3.%4.%5.%6.%7.%8.%9"/>
      <w:lvlJc w:val="left"/>
      <w:pPr>
        <w:tabs>
          <w:tab w:val="left" w:leader="none" w:pos="4777"/>
        </w:tabs>
        <w:ind w:left="4677" w:hanging="1700"/>
      </w:pPr>
      <w:rPr>
        <w:rFonts w:cs="Times New Roman" w:hint="eastAsia"/>
      </w:rPr>
    </w:lvl>
  </w:abstractNum>
  <w:abstractNum w:abstractNumId="3">
    <w:nsid w:val="00000003"/>
    <w:multiLevelType w:val="multilevel"/>
    <w:tmpl w:val="4DD64A69"/>
    <w:lvl w:ilvl="0">
      <w:start w:val="4"/>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hAnsi="Times New Roman"/>
    </w:rPr>
  </w:style>
  <w:style w:type="paragraph" w:styleId="style3">
    <w:name w:val="heading 3"/>
    <w:basedOn w:val="style0"/>
    <w:next w:val="style0"/>
    <w:link w:val="style4097"/>
    <w:qFormat/>
    <w:uiPriority w:val="99"/>
    <w:pPr>
      <w:keepNext/>
      <w:jc w:val="center"/>
      <w:outlineLvl w:val="2"/>
    </w:pPr>
    <w:rPr>
      <w:sz w:val="28"/>
      <w:szCs w:val="24"/>
    </w:rPr>
  </w:style>
  <w:style w:type="character" w:default="1" w:styleId="style65">
    <w:name w:val="Default Paragraph Font"/>
    <w:next w:val="style65"/>
    <w:uiPriority w:val="99"/>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f341b20a-2058-405b-b029-4993cc091532"/>
    <w:basedOn w:val="style65"/>
    <w:next w:val="style4097"/>
    <w:link w:val="style3"/>
    <w:uiPriority w:val="99"/>
    <w:rPr>
      <w:rFonts w:ascii="Times New Roman" w:cs="Times New Roman" w:eastAsia="宋体" w:hAnsi="Times New Roman"/>
      <w:sz w:val="24"/>
      <w:szCs w:val="24"/>
    </w:rPr>
  </w:style>
  <w:style w:type="character" w:styleId="style85">
    <w:name w:val="Hyperlink"/>
    <w:basedOn w:val="style65"/>
    <w:next w:val="style85"/>
    <w:uiPriority w:val="99"/>
    <w:rPr>
      <w:rFonts w:cs="Times New Roman"/>
      <w:color w:val="0000ff"/>
      <w:u w:val="single"/>
    </w:rPr>
  </w:style>
  <w:style w:type="character" w:styleId="style41">
    <w:name w:val="page number"/>
    <w:basedOn w:val="style65"/>
    <w:next w:val="style41"/>
    <w:uiPriority w:val="99"/>
    <w:rPr>
      <w:rFonts w:cs="Times New Roman"/>
    </w:rPr>
  </w:style>
  <w:style w:type="character" w:styleId="style42">
    <w:name w:val="endnote reference"/>
    <w:basedOn w:val="style65"/>
    <w:next w:val="style42"/>
    <w:uiPriority w:val="99"/>
    <w:rPr>
      <w:rFonts w:cs="Times New Roman"/>
      <w:vertAlign w:val="superscript"/>
    </w:rPr>
  </w:style>
  <w:style w:type="character" w:customStyle="1" w:styleId="style4098">
    <w:name w:val="font41"/>
    <w:basedOn w:val="style65"/>
    <w:next w:val="style4098"/>
    <w:uiPriority w:val="99"/>
    <w:rPr>
      <w:rFonts w:ascii="Times New Roman" w:cs="Times New Roman" w:hAnsi="Times New Roman"/>
      <w:color w:val="000000"/>
      <w:sz w:val="18"/>
      <w:szCs w:val="18"/>
      <w:u w:val="none"/>
    </w:rPr>
  </w:style>
  <w:style w:type="character" w:customStyle="1" w:styleId="style4099">
    <w:name w:val="font31"/>
    <w:basedOn w:val="style65"/>
    <w:next w:val="style4099"/>
    <w:uiPriority w:val="99"/>
    <w:rPr>
      <w:rFonts w:ascii="宋体" w:cs="宋体" w:eastAsia="宋体" w:hAnsi="宋体"/>
      <w:color w:val="000000"/>
      <w:sz w:val="18"/>
      <w:szCs w:val="18"/>
      <w:u w:val="none"/>
    </w:rPr>
  </w:style>
  <w:style w:type="character" w:customStyle="1" w:styleId="style4100">
    <w:name w:val="font51"/>
    <w:basedOn w:val="style65"/>
    <w:next w:val="style4100"/>
    <w:uiPriority w:val="99"/>
    <w:rPr>
      <w:rFonts w:ascii="宋体" w:cs="宋体" w:eastAsia="宋体" w:hAnsi="宋体"/>
      <w:color w:val="000000"/>
      <w:sz w:val="18"/>
      <w:szCs w:val="18"/>
      <w:u w:val="none"/>
    </w:rPr>
  </w:style>
  <w:style w:type="character" w:customStyle="1" w:styleId="style4101">
    <w:name w:val="Footer Char_ab203b31-fed3-4c0a-92c8-35b18679de92"/>
    <w:next w:val="style4101"/>
    <w:uiPriority w:val="99"/>
    <w:rPr>
      <w:sz w:val="18"/>
    </w:rPr>
  </w:style>
  <w:style w:type="character" w:customStyle="1" w:styleId="style4102">
    <w:name w:val="font11"/>
    <w:basedOn w:val="style65"/>
    <w:next w:val="style4102"/>
    <w:uiPriority w:val="99"/>
    <w:rPr>
      <w:rFonts w:ascii="宋体" w:cs="宋体" w:eastAsia="宋体" w:hAnsi="宋体"/>
      <w:color w:val="000000"/>
      <w:sz w:val="18"/>
      <w:szCs w:val="18"/>
      <w:u w:val="none"/>
      <w:vertAlign w:val="subscript"/>
    </w:rPr>
  </w:style>
  <w:style w:type="character" w:customStyle="1" w:styleId="style4103">
    <w:name w:val="Endnote Text Char"/>
    <w:next w:val="style4103"/>
    <w:uiPriority w:val="99"/>
  </w:style>
  <w:style w:type="character" w:customStyle="1" w:styleId="style4104">
    <w:name w:val="Balloon Text Char"/>
    <w:next w:val="style4104"/>
    <w:uiPriority w:val="99"/>
    <w:rPr>
      <w:rFonts w:ascii="Times New Roman" w:eastAsia="宋体" w:hAnsi="Times New Roman"/>
      <w:sz w:val="18"/>
    </w:rPr>
  </w:style>
  <w:style w:type="character" w:customStyle="1" w:styleId="style4105">
    <w:name w:val="font21"/>
    <w:basedOn w:val="style65"/>
    <w:next w:val="style4105"/>
    <w:uiPriority w:val="99"/>
    <w:rPr>
      <w:rFonts w:ascii="宋体" w:cs="宋体" w:eastAsia="宋体" w:hAnsi="宋体"/>
      <w:color w:val="000000"/>
      <w:sz w:val="18"/>
      <w:szCs w:val="18"/>
      <w:u w:val="none"/>
    </w:rPr>
  </w:style>
  <w:style w:type="character" w:customStyle="1" w:styleId="style4106">
    <w:name w:val="Header Char_e8b2b654-1513-4084-a46f-f18f1f26a883"/>
    <w:next w:val="style4106"/>
    <w:uiPriority w:val="99"/>
    <w:rPr>
      <w:sz w:val="18"/>
    </w:rPr>
  </w:style>
  <w:style w:type="character" w:customStyle="1" w:styleId="style4107">
    <w:name w:val="font01"/>
    <w:basedOn w:val="style65"/>
    <w:next w:val="style4107"/>
    <w:uiPriority w:val="99"/>
    <w:rPr>
      <w:rFonts w:ascii="宋体" w:cs="宋体" w:eastAsia="宋体" w:hAnsi="宋体"/>
      <w:color w:val="000000"/>
      <w:sz w:val="18"/>
      <w:szCs w:val="18"/>
      <w:u w:val="none"/>
    </w:rPr>
  </w:style>
  <w:style w:type="paragraph" w:styleId="style32">
    <w:name w:val="footer"/>
    <w:basedOn w:val="style0"/>
    <w:next w:val="style32"/>
    <w:link w:val="style4109"/>
    <w:uiPriority w:val="99"/>
    <w:pPr>
      <w:tabs>
        <w:tab w:val="center" w:leader="none" w:pos="4153"/>
        <w:tab w:val="right" w:leader="none" w:pos="8306"/>
      </w:tabs>
      <w:snapToGrid w:val="false"/>
      <w:jc w:val="left"/>
    </w:pPr>
    <w:rPr>
      <w:rFonts w:ascii="Calibri" w:hAnsi="Calibri"/>
      <w:kern w:val="0"/>
      <w:sz w:val="18"/>
      <w:szCs w:val="18"/>
    </w:rPr>
  </w:style>
  <w:style w:type="character" w:customStyle="1" w:styleId="style4108">
    <w:name w:val="Footer Char1"/>
    <w:basedOn w:val="style65"/>
    <w:next w:val="style4108"/>
    <w:link w:val="style32"/>
    <w:uiPriority w:val="99"/>
    <w:rPr>
      <w:rFonts w:ascii="Times New Roman" w:cs="Times New Roman" w:hAnsi="Times New Roman"/>
      <w:sz w:val="18"/>
      <w:szCs w:val="18"/>
    </w:rPr>
  </w:style>
  <w:style w:type="character" w:customStyle="1" w:styleId="style4109">
    <w:name w:val="Footer Char2"/>
    <w:basedOn w:val="style65"/>
    <w:next w:val="style4109"/>
    <w:link w:val="style32"/>
    <w:uiPriority w:val="99"/>
    <w:rPr>
      <w:rFonts w:ascii="Times New Roman" w:cs="Times New Roman" w:eastAsia="宋体" w:hAnsi="Times New Roman"/>
      <w:sz w:val="18"/>
      <w:szCs w:val="18"/>
    </w:rPr>
  </w:style>
  <w:style w:type="paragraph" w:styleId="style153">
    <w:name w:val="Balloon Text"/>
    <w:basedOn w:val="style0"/>
    <w:next w:val="style153"/>
    <w:link w:val="style4111"/>
    <w:uiPriority w:val="99"/>
    <w:pPr/>
    <w:rPr>
      <w:kern w:val="0"/>
      <w:sz w:val="18"/>
      <w:szCs w:val="18"/>
    </w:rPr>
  </w:style>
  <w:style w:type="character" w:customStyle="1" w:styleId="style4110">
    <w:name w:val="Balloon Text Char1"/>
    <w:basedOn w:val="style65"/>
    <w:next w:val="style4110"/>
    <w:link w:val="style153"/>
    <w:uiPriority w:val="99"/>
    <w:rPr>
      <w:rFonts w:ascii="Times New Roman" w:cs="Times New Roman" w:hAnsi="Times New Roman"/>
      <w:sz w:val="2"/>
    </w:rPr>
  </w:style>
  <w:style w:type="character" w:customStyle="1" w:styleId="style4111">
    <w:name w:val="Balloon Text Char2"/>
    <w:basedOn w:val="style65"/>
    <w:next w:val="style4111"/>
    <w:link w:val="style153"/>
    <w:uiPriority w:val="99"/>
    <w:rPr>
      <w:rFonts w:ascii="Times New Roman" w:cs="Times New Roman" w:eastAsia="宋体" w:hAnsi="Times New Roman"/>
      <w:sz w:val="18"/>
      <w:szCs w:val="18"/>
    </w:rPr>
  </w:style>
  <w:style w:type="paragraph" w:styleId="style31">
    <w:name w:val="header"/>
    <w:basedOn w:val="style0"/>
    <w:next w:val="style31"/>
    <w:link w:val="style4113"/>
    <w:uiPriority w:val="99"/>
    <w:pPr>
      <w:pBdr>
        <w:bottom w:val="single" w:sz="6" w:space="1" w:color="auto"/>
      </w:pBdr>
      <w:tabs>
        <w:tab w:val="center" w:leader="none" w:pos="4153"/>
        <w:tab w:val="right" w:leader="none" w:pos="8306"/>
      </w:tabs>
      <w:snapToGrid w:val="false"/>
      <w:jc w:val="center"/>
    </w:pPr>
    <w:rPr>
      <w:rFonts w:ascii="Calibri" w:hAnsi="Calibri"/>
      <w:kern w:val="0"/>
      <w:sz w:val="18"/>
      <w:szCs w:val="18"/>
    </w:rPr>
  </w:style>
  <w:style w:type="character" w:customStyle="1" w:styleId="style4112">
    <w:name w:val="Header Char1"/>
    <w:basedOn w:val="style65"/>
    <w:next w:val="style4112"/>
    <w:link w:val="style31"/>
    <w:uiPriority w:val="99"/>
    <w:rPr>
      <w:rFonts w:ascii="Times New Roman" w:cs="Times New Roman" w:hAnsi="Times New Roman"/>
      <w:sz w:val="18"/>
      <w:szCs w:val="18"/>
    </w:rPr>
  </w:style>
  <w:style w:type="character" w:customStyle="1" w:styleId="style4113">
    <w:name w:val="Header Char2"/>
    <w:basedOn w:val="style65"/>
    <w:next w:val="style4113"/>
    <w:link w:val="style31"/>
    <w:uiPriority w:val="99"/>
    <w:rPr>
      <w:rFonts w:ascii="Times New Roman" w:cs="Times New Roman" w:eastAsia="宋体" w:hAnsi="Times New Roman"/>
      <w:sz w:val="18"/>
      <w:szCs w:val="18"/>
    </w:rPr>
  </w:style>
  <w:style w:type="paragraph" w:styleId="style43">
    <w:name w:val="endnote text"/>
    <w:basedOn w:val="style0"/>
    <w:next w:val="style43"/>
    <w:link w:val="style4115"/>
    <w:uiPriority w:val="99"/>
    <w:pPr>
      <w:snapToGrid w:val="false"/>
      <w:jc w:val="left"/>
    </w:pPr>
    <w:rPr>
      <w:rFonts w:ascii="Calibri" w:hAnsi="Calibri"/>
      <w:kern w:val="0"/>
      <w:sz w:val="20"/>
      <w:szCs w:val="20"/>
    </w:rPr>
  </w:style>
  <w:style w:type="character" w:customStyle="1" w:styleId="style4114">
    <w:name w:val="Endnote Text Char1"/>
    <w:basedOn w:val="style65"/>
    <w:next w:val="style4114"/>
    <w:link w:val="style43"/>
    <w:uiPriority w:val="99"/>
    <w:rPr>
      <w:rFonts w:ascii="Times New Roman" w:cs="Times New Roman" w:hAnsi="Times New Roman"/>
    </w:rPr>
  </w:style>
  <w:style w:type="character" w:customStyle="1" w:styleId="style4115">
    <w:name w:val="Endnote Text Char2"/>
    <w:basedOn w:val="style65"/>
    <w:next w:val="style4115"/>
    <w:link w:val="style43"/>
    <w:uiPriority w:val="99"/>
    <w:rPr>
      <w:rFonts w:ascii="Times New Roman" w:cs="Times New Roman" w:eastAsia="宋体" w:hAnsi="Times New Roman"/>
    </w:rPr>
  </w:style>
  <w:style w:type="paragraph" w:customStyle="1" w:styleId="style4116">
    <w:name w:val="List Paragraph1"/>
    <w:basedOn w:val="style0"/>
    <w:next w:val="style4116"/>
    <w:uiPriority w:val="99"/>
    <w:pPr>
      <w:ind w:firstLine="420" w:firstLineChars="200"/>
    </w:pPr>
    <w:rPr/>
  </w:style>
  <w:style w:type="paragraph" w:customStyle="1" w:styleId="style4117">
    <w:name w:val="封面标准名称"/>
    <w:next w:val="style4117"/>
    <w:uiPriority w:val="99"/>
    <w:pPr>
      <w:widowControl w:val="false"/>
      <w:spacing w:lineRule="exact" w:line="680"/>
      <w:jc w:val="center"/>
      <w:textAlignment w:val="center"/>
    </w:pPr>
    <w:rPr>
      <w:rFonts w:ascii="黑体" w:cs="Times New Roman" w:eastAsia="黑体" w:hAnsi="Times New Roman"/>
      <w:kern w:val="0"/>
      <w:sz w:val="52"/>
      <w:szCs w:val="20"/>
    </w:rPr>
  </w:style>
  <w:style w:type="paragraph" w:customStyle="1" w:styleId="style4118">
    <w:name w:val="标准书眉_奇数页"/>
    <w:next w:val="style0"/>
    <w:uiPriority w:val="99"/>
    <w:pPr>
      <w:tabs>
        <w:tab w:val="center" w:leader="none" w:pos="4154"/>
        <w:tab w:val="right" w:leader="none" w:pos="8306"/>
      </w:tabs>
      <w:spacing w:after="120"/>
      <w:jc w:val="right"/>
    </w:pPr>
    <w:rPr>
      <w:rFonts w:ascii="Times New Roman" w:cs="Calibri" w:hAnsi="Times New Roman"/>
      <w:kern w:val="0"/>
      <w:szCs w:val="20"/>
    </w:rPr>
  </w:style>
  <w:style w:type="table" w:styleId="style154">
    <w:name w:val="Table Grid"/>
    <w:basedOn w:val="style105"/>
    <w:next w:val="style154"/>
    <w:uiPriority w:val="99"/>
    <w:pPr/>
    <w:rPr>
      <w:rFonts w:ascii="Times New Roman" w:cs="Calibri" w:hAnsi="Times New Roman"/>
      <w:w w:val="8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89">
    <w:name w:val="Document Map"/>
    <w:basedOn w:val="style0"/>
    <w:next w:val="style89"/>
    <w:link w:val="style4119"/>
    <w:uiPriority w:val="99"/>
    <w:pPr/>
    <w:rPr>
      <w:rFonts w:ascii="宋体"/>
      <w:sz w:val="18"/>
      <w:szCs w:val="18"/>
    </w:rPr>
  </w:style>
  <w:style w:type="character" w:customStyle="1" w:styleId="style4119">
    <w:name w:val="Document Map Char"/>
    <w:basedOn w:val="style65"/>
    <w:next w:val="style4119"/>
    <w:link w:val="style89"/>
    <w:uiPriority w:val="99"/>
    <w:rPr>
      <w:rFonts w:ascii="宋体" w:cs="Times New Roman" w:eastAsia="宋体" w:hAnsi="Times New Roman"/>
      <w:sz w:val="18"/>
      <w:szCs w:val="18"/>
    </w:rPr>
  </w:style>
  <w:style w:type="paragraph" w:styleId="style66">
    <w:name w:val="Body Text"/>
    <w:basedOn w:val="style0"/>
    <w:next w:val="style66"/>
    <w:link w:val="style4120"/>
    <w:uiPriority w:val="99"/>
    <w:pPr/>
    <w:rPr>
      <w:rFonts w:eastAsia="黑体"/>
      <w:sz w:val="36"/>
      <w:szCs w:val="20"/>
    </w:rPr>
  </w:style>
  <w:style w:type="character" w:customStyle="1" w:styleId="style4120">
    <w:name w:val="Body Text Char"/>
    <w:basedOn w:val="style65"/>
    <w:next w:val="style4120"/>
    <w:link w:val="style66"/>
    <w:uiPriority w:val="99"/>
    <w:rPr>
      <w:rFonts w:ascii="Times New Roman" w:cs="Times New Roman" w:eastAsia="黑体" w:hAnsi="Times New Roman"/>
      <w:sz w:val="20"/>
      <w:szCs w:val="20"/>
    </w:rPr>
  </w:style>
  <w:style w:type="character" w:customStyle="1" w:styleId="style4121">
    <w:name w:val="列项——（一级） Char"/>
    <w:basedOn w:val="style65"/>
    <w:next w:val="style4121"/>
    <w:link w:val="style4122"/>
    <w:uiPriority w:val="99"/>
    <w:rPr>
      <w:rFonts w:ascii="宋体" w:cs="Times New Roman"/>
      <w:kern w:val="2"/>
      <w:sz w:val="22"/>
      <w:szCs w:val="22"/>
      <w:lang w:val="en-US" w:bidi="ar-SA" w:eastAsia="zh-CN"/>
    </w:rPr>
  </w:style>
  <w:style w:type="paragraph" w:customStyle="1" w:styleId="style4122">
    <w:name w:val="列项——（一级）"/>
    <w:next w:val="style4122"/>
    <w:link w:val="style4121"/>
    <w:uiPriority w:val="99"/>
    <w:pPr>
      <w:widowControl w:val="false"/>
      <w:tabs>
        <w:tab w:val="left" w:leader="none" w:pos="854"/>
      </w:tabs>
      <w:ind w:left="840" w:leftChars="200" w:hanging="420" w:hangingChars="200"/>
      <w:jc w:val="both"/>
    </w:pPr>
    <w:rPr>
      <w:rFonts w:ascii="宋体"/>
    </w:rPr>
  </w:style>
  <w:style w:type="paragraph" w:customStyle="1" w:styleId="style4123">
    <w:name w:val="一级条标题"/>
    <w:next w:val="style0"/>
    <w:uiPriority w:val="99"/>
    <w:pPr>
      <w:numPr>
        <w:ilvl w:val="1"/>
        <w:numId w:val="2"/>
      </w:numPr>
      <w:spacing w:beforeLines="50" w:afterLines="50"/>
      <w:outlineLvl w:val="2"/>
    </w:pPr>
    <w:rPr>
      <w:rFonts w:ascii="黑体" w:cs="Times New Roman" w:eastAsia="黑体" w:hAnsi="Times New Roman"/>
      <w:kern w:val="0"/>
      <w:szCs w:val="21"/>
    </w:rPr>
  </w:style>
  <w:style w:type="paragraph" w:customStyle="1" w:styleId="style4124">
    <w:name w:val="章标题"/>
    <w:next w:val="style0"/>
    <w:uiPriority w:val="99"/>
    <w:pPr>
      <w:numPr>
        <w:ilvl w:val="0"/>
        <w:numId w:val="2"/>
      </w:numPr>
      <w:spacing w:beforeLines="100" w:afterLines="100"/>
      <w:jc w:val="both"/>
      <w:outlineLvl w:val="1"/>
    </w:pPr>
    <w:rPr>
      <w:rFonts w:ascii="黑体" w:cs="Times New Roman" w:eastAsia="黑体" w:hAnsi="Times New Roman"/>
      <w:kern w:val="0"/>
      <w:szCs w:val="20"/>
    </w:rPr>
  </w:style>
  <w:style w:type="paragraph" w:customStyle="1" w:styleId="style4125">
    <w:name w:val="二级条标题"/>
    <w:basedOn w:val="style4123"/>
    <w:next w:val="style0"/>
    <w:uiPriority w:val="99"/>
    <w:pPr>
      <w:numPr>
        <w:ilvl w:val="2"/>
        <w:numId w:val="0"/>
      </w:numPr>
      <w:spacing w:before="50" w:after="50"/>
      <w:outlineLvl w:val="3"/>
    </w:pPr>
    <w:rPr/>
  </w:style>
  <w:style w:type="paragraph" w:customStyle="1" w:styleId="style4126">
    <w:name w:val="四级条标题"/>
    <w:basedOn w:val="style0"/>
    <w:next w:val="style0"/>
    <w:uiPriority w:val="99"/>
    <w:pPr>
      <w:widowControl/>
      <w:numPr>
        <w:ilvl w:val="4"/>
        <w:numId w:val="2"/>
      </w:numPr>
      <w:spacing w:beforeLines="50" w:afterLines="50"/>
      <w:jc w:val="left"/>
      <w:outlineLvl w:val="5"/>
    </w:pPr>
    <w:rPr>
      <w:rFonts w:ascii="黑体" w:eastAsia="黑体"/>
      <w:kern w:val="0"/>
      <w:szCs w:val="21"/>
    </w:rPr>
  </w:style>
  <w:style w:type="paragraph" w:customStyle="1" w:styleId="style4127">
    <w:name w:val="五级条标题"/>
    <w:basedOn w:val="style4126"/>
    <w:next w:val="style0"/>
    <w:uiPriority w:val="99"/>
    <w:pPr>
      <w:numPr>
        <w:ilvl w:val="5"/>
        <w:numId w:val="0"/>
      </w:numPr>
      <w:outlineLvl w:val="6"/>
    </w:pPr>
    <w:rPr/>
  </w:style>
  <w:style w:type="paragraph" w:customStyle="1" w:styleId="style4128">
    <w:name w:val="段"/>
    <w:next w:val="style4128"/>
    <w:link w:val="style4129"/>
    <w:uiPriority w:val="99"/>
    <w:pPr>
      <w:tabs>
        <w:tab w:val="center" w:leader="none" w:pos="4201"/>
        <w:tab w:val="right" w:leader="dot" w:pos="9298"/>
      </w:tabs>
      <w:autoSpaceDE w:val="false"/>
      <w:autoSpaceDN w:val="false"/>
      <w:ind w:firstLine="420" w:firstLineChars="200"/>
      <w:jc w:val="both"/>
    </w:pPr>
    <w:rPr>
      <w:rFonts w:ascii="宋体" w:cs="Times New Roman" w:hAnsi="Times New Roman"/>
      <w:noProof/>
      <w:sz w:val="22"/>
    </w:rPr>
  </w:style>
  <w:style w:type="character" w:customStyle="1" w:styleId="style4129">
    <w:name w:val="段 Char"/>
    <w:next w:val="style4129"/>
    <w:link w:val="style4128"/>
    <w:uiPriority w:val="99"/>
    <w:rPr>
      <w:rFonts w:ascii="宋体" w:hAnsi="Times New Roman"/>
      <w:noProof/>
      <w:kern w:val="2"/>
      <w:sz w:val="22"/>
      <w:lang w:val="en-US" w:eastAsia="zh-CN"/>
    </w:rPr>
  </w:style>
  <w:style w:type="paragraph" w:styleId="style30">
    <w:name w:val="annotation text"/>
    <w:basedOn w:val="style0"/>
    <w:next w:val="style30"/>
    <w:link w:val="style4130"/>
    <w:uiPriority w:val="99"/>
    <w:pPr>
      <w:widowControl/>
      <w:jc w:val="left"/>
    </w:pPr>
    <w:rPr>
      <w:kern w:val="0"/>
      <w:sz w:val="24"/>
      <w:szCs w:val="24"/>
    </w:rPr>
  </w:style>
  <w:style w:type="character" w:customStyle="1" w:styleId="style4130">
    <w:name w:val="Comment Text Char"/>
    <w:basedOn w:val="style65"/>
    <w:next w:val="style4130"/>
    <w:link w:val="style30"/>
    <w:uiPriority w:val="99"/>
    <w:rPr>
      <w:rFonts w:ascii="Times New Roman" w:cs="Times New Roman" w:hAnsi="Times New Roman"/>
      <w:kern w:val="0"/>
      <w:sz w:val="24"/>
      <w:szCs w:val="24"/>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header" Target="head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Words>3935</Words>
  <Pages>7</Pages>
  <Characters>6812</Characters>
  <Application>WPS Office</Application>
  <DocSecurity>0</DocSecurity>
  <Paragraphs>1165</Paragraphs>
  <ScaleCrop>false</ScaleCrop>
  <Company>Microsoft</Company>
  <LinksUpToDate>false</LinksUpToDate>
  <CharactersWithSpaces>7431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2018-08-16T03:32:00Z</dcterms:created>
  <dc:creator>User</dc:creator>
  <lastModifiedBy>OPPO R11s</lastModifiedBy>
  <lastPrinted>2018-08-17T00:05:00Z</lastPrinted>
  <dcterms:modified xsi:type="dcterms:W3CDTF">2018-08-17T00:39:01Z</dcterms:modified>
  <revision>22</revision>
</coreProperties>
</file>

<file path=docProps/custom.xml><?xml version="1.0" encoding="utf-8"?>
<Properties xmlns="http://schemas.openxmlformats.org/officeDocument/2006/custom-properties" xmlns:vt="http://schemas.openxmlformats.org/officeDocument/2006/docPropsVTypes"/>
</file>