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ind w:firstLine="200" w:firstLineChars="100"/>
        <w:rPr>
          <w:color w:val="auto"/>
        </w:rPr>
      </w:pPr>
      <w:bookmarkStart w:id="0" w:name="SectionMark0"/>
      <w:r>
        <w:rPr>
          <w:color w:val="auto"/>
        </w:rPr>
        <w:drawing>
          <wp:anchor distT="0" distB="0" distL="114300" distR="114300" simplePos="0" relativeHeight="251668480" behindDoc="0" locked="1" layoutInCell="1" allowOverlap="1">
            <wp:simplePos x="0" y="0"/>
            <wp:positionH relativeFrom="margin">
              <wp:posOffset>4267200</wp:posOffset>
            </wp:positionH>
            <wp:positionV relativeFrom="margin">
              <wp:posOffset>297180</wp:posOffset>
            </wp:positionV>
            <wp:extent cx="1403350" cy="720090"/>
            <wp:effectExtent l="19050" t="0" r="6350" b="0"/>
            <wp:wrapNone/>
            <wp:docPr id="28" name="HBPicture" descr="GB"/>
            <wp:cNvGraphicFramePr/>
            <a:graphic xmlns:a="http://schemas.openxmlformats.org/drawingml/2006/main">
              <a:graphicData uri="http://schemas.openxmlformats.org/drawingml/2006/picture">
                <pic:pic xmlns:pic="http://schemas.openxmlformats.org/drawingml/2006/picture">
                  <pic:nvPicPr>
                    <pic:cNvPr id="28" name="HBPicture" descr="GB"/>
                    <pic:cNvPicPr>
                      <a:picLocks noChangeArrowheads="1"/>
                    </pic:cNvPicPr>
                  </pic:nvPicPr>
                  <pic:blipFill>
                    <a:blip r:embed="rId17"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color w:val="auto"/>
        </w:rPr>
        <w:pict>
          <v:line id="直线 48" o:spid="_x0000_s1051" o:spt="20" style="position:absolute;left:0pt;margin-left:0pt;margin-top:700pt;height:0pt;width:482pt;z-index:251667456;mso-width-relative:page;mso-height-relative:page;" stroked="t" coordsize="21600,21600">
            <v:path arrowok="t"/>
            <v:fill focussize="0,0"/>
            <v:stroke weight="1pt" color="#800008"/>
            <v:imagedata o:title=""/>
            <o:lock v:ext="edit"/>
          </v:line>
        </w:pict>
      </w:r>
      <w:r>
        <w:rPr>
          <w:color w:val="auto"/>
        </w:rPr>
        <w:pict>
          <v:line id="直线 47" o:spid="_x0000_s1050" o:spt="20" style="position:absolute;left:0pt;margin-left:0pt;margin-top:179pt;height:0pt;width:482pt;z-index:251666432;mso-width-relative:page;mso-height-relative:page;" stroked="t" coordsize="21600,21600">
            <v:path arrowok="t"/>
            <v:fill focussize="0,0"/>
            <v:stroke weight="1pt" color="#800008"/>
            <v:imagedata o:title=""/>
            <o:lock v:ext="edit"/>
          </v:line>
        </w:pict>
      </w:r>
      <w:r>
        <w:rPr>
          <w:color w:val="auto"/>
        </w:rPr>
        <w:pict>
          <v:shape id="fmFrame7" o:spid="_x0000_s1049" o:spt="202" type="#_x0000_t202" style="position:absolute;left:0pt;margin-left:0pt;margin-top:701.9pt;height:61.2pt;width:481.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43"/>
                  </w:pPr>
                  <w:r>
                    <w:drawing>
                      <wp:inline distT="0" distB="0" distL="0" distR="0">
                        <wp:extent cx="6124575" cy="59055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srcRect/>
                                <a:stretch>
                                  <a:fillRect/>
                                </a:stretch>
                              </pic:blipFill>
                              <pic:spPr>
                                <a:xfrm>
                                  <a:off x="0" y="0"/>
                                  <a:ext cx="6124575" cy="590550"/>
                                </a:xfrm>
                                <a:prstGeom prst="rect">
                                  <a:avLst/>
                                </a:prstGeom>
                                <a:noFill/>
                                <a:ln w="9525">
                                  <a:noFill/>
                                  <a:miter lim="800000"/>
                                  <a:headEnd/>
                                  <a:tailEnd/>
                                </a:ln>
                              </pic:spPr>
                            </pic:pic>
                          </a:graphicData>
                        </a:graphic>
                      </wp:inline>
                    </w:drawing>
                  </w:r>
                </w:p>
              </w:txbxContent>
            </v:textbox>
            <w10:anchorlock/>
          </v:shape>
        </w:pict>
      </w:r>
      <w:r>
        <w:rPr>
          <w:color w:val="auto"/>
        </w:rPr>
        <w:pict>
          <v:shape id="fmFrame6" o:spid="_x0000_s1048" o:spt="202" type="#_x0000_t202" style="position:absolute;left:0pt;margin-left:322.9pt;margin-top:674.3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26"/>
                  </w:pPr>
                </w:p>
              </w:txbxContent>
            </v:textbox>
            <w10:anchorlock/>
          </v:shape>
        </w:pict>
      </w:r>
      <w:r>
        <w:rPr>
          <w:color w:val="auto"/>
        </w:rPr>
        <w:pict>
          <v:shape id="fmFrame5" o:spid="_x0000_s1047" o:spt="202" type="#_x0000_t202" style="position:absolute;left:0pt;margin-left:0pt;margin-top:674.3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25"/>
                  </w:pPr>
                </w:p>
              </w:txbxContent>
            </v:textbox>
            <w10:anchorlock/>
          </v:shape>
        </w:pict>
      </w:r>
      <w:r>
        <w:rPr>
          <w:color w:val="auto"/>
        </w:rPr>
        <w:pict>
          <v:shape id="fmFrame4" o:spid="_x0000_s1046" o:spt="202" type="#_x0000_t202" style="position:absolute;left:0pt;margin-left:0pt;margin-top:286.25pt;height:368.6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28"/>
                  </w:pPr>
                </w:p>
              </w:txbxContent>
            </v:textbox>
            <w10:anchorlock/>
          </v:shape>
        </w:pict>
      </w:r>
      <w:r>
        <w:rPr>
          <w:color w:val="auto"/>
        </w:rPr>
        <w:pict>
          <v:shape id="fmFrame2" o:spid="_x0000_s1045" o:spt="202" type="#_x0000_t202" style="position:absolute;left:0pt;margin-left:0pt;margin-top:83.1pt;height:30.8pt;width:481.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46"/>
                  </w:pPr>
                </w:p>
              </w:txbxContent>
            </v:textbox>
            <w10:anchorlock/>
          </v:shape>
        </w:pict>
      </w:r>
      <w:r>
        <w:rPr>
          <w:color w:val="auto"/>
        </w:rPr>
        <w:pict>
          <v:shape id="fmFrame1" o:spid="_x0000_s1044" o:spt="202" type="#_x0000_t202" style="position:absolute;left:0pt;margin-left:0pt;margin-top:0pt;height:51.8pt;width:200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31"/>
                  </w:pPr>
                </w:p>
              </w:txbxContent>
            </v:textbox>
            <w10:anchorlock/>
          </v:shape>
        </w:pict>
      </w:r>
      <w:r>
        <w:rPr>
          <w:color w:val="auto"/>
        </w:rPr>
        <w:t>406</w:t>
      </w:r>
      <w:r>
        <w:rPr>
          <w:color w:val="auto"/>
        </w:rPr>
        <w:drawing>
          <wp:anchor distT="0" distB="0" distL="114300" distR="114300" simplePos="0" relativeHeight="251676672" behindDoc="0" locked="1" layoutInCell="1" allowOverlap="1">
            <wp:simplePos x="0" y="0"/>
            <wp:positionH relativeFrom="margin">
              <wp:posOffset>4267200</wp:posOffset>
            </wp:positionH>
            <wp:positionV relativeFrom="margin">
              <wp:posOffset>297180</wp:posOffset>
            </wp:positionV>
            <wp:extent cx="1403350" cy="720090"/>
            <wp:effectExtent l="19050" t="0" r="6350" b="0"/>
            <wp:wrapNone/>
            <wp:docPr id="36" name="HBPicture" descr="GB"/>
            <wp:cNvGraphicFramePr/>
            <a:graphic xmlns:a="http://schemas.openxmlformats.org/drawingml/2006/main">
              <a:graphicData uri="http://schemas.openxmlformats.org/drawingml/2006/picture">
                <pic:pic xmlns:pic="http://schemas.openxmlformats.org/drawingml/2006/picture">
                  <pic:nvPicPr>
                    <pic:cNvPr id="36" name="HBPicture" descr="GB"/>
                    <pic:cNvPicPr>
                      <a:picLocks noChangeArrowheads="1"/>
                    </pic:cNvPicPr>
                  </pic:nvPicPr>
                  <pic:blipFill>
                    <a:blip r:embed="rId17"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Pr>
          <w:color w:val="auto"/>
        </w:rPr>
        <w:pict>
          <v:line id="直线 66" o:spid="_x0000_s1058" o:spt="20" style="position:absolute;left:0pt;margin-left:0pt;margin-top:179pt;height:0pt;width:482pt;z-index:251674624;mso-width-relative:page;mso-height-relative:page;" filled="f" stroked="t" coordsize="21600,21600">
            <v:path arrowok="t"/>
            <v:fill on="f" focussize="0,0"/>
            <v:stroke weight="1pt" color="#000000"/>
            <v:imagedata o:title=""/>
            <o:lock v:ext="edit" aspectratio="f"/>
          </v:line>
        </w:pict>
      </w:r>
      <w:r>
        <w:rPr>
          <w:color w:val="auto"/>
        </w:rPr>
        <w:pict>
          <v:shape id="_x0000_s1057" o:spid="_x0000_s1057" o:spt="202" type="#_x0000_t202" style="position:absolute;left:0pt;margin-left:322.9pt;margin-top:674.3pt;height:24.6pt;width:159pt;mso-position-horizontal-relative:margin;mso-position-vertical-relative:margin;z-index:251673600;mso-width-relative:page;mso-height-relative:page;" stroked="f" coordsize="21600,21600">
            <v:path/>
            <v:fill focussize="0,0"/>
            <v:stroke on="f" joinstyle="miter"/>
            <v:imagedata o:title=""/>
            <o:lock v:ext="edit"/>
            <v:textbox inset="0mm,0mm,0mm,0mm">
              <w:txbxContent>
                <w:p>
                  <w:pPr>
                    <w:pStyle w:val="26"/>
                    <w:rPr>
                      <w:rFonts w:hint="eastAsia" w:ascii="黑体" w:hAnsi="黑体" w:eastAsia="黑体" w:cs="黑体"/>
                    </w:rPr>
                  </w:pPr>
                  <w:r>
                    <w:rPr>
                      <w:rFonts w:hint="eastAsia" w:ascii="黑体" w:hAnsi="黑体" w:eastAsia="黑体" w:cs="黑体"/>
                    </w:rPr>
                    <w:t>××××-××-××实施</w:t>
                  </w:r>
                </w:p>
              </w:txbxContent>
            </v:textbox>
            <w10:anchorlock/>
          </v:shape>
        </w:pict>
      </w:r>
      <w:r>
        <w:rPr>
          <w:color w:val="auto"/>
        </w:rPr>
        <w:pict>
          <v:shape id="_x0000_s1056" o:spid="_x0000_s1056" o:spt="202" type="#_x0000_t202" style="position:absolute;left:0pt;margin-left:0pt;margin-top:674.3pt;height:24.6pt;width:159pt;mso-position-horizontal-relative:margin;mso-position-vertical-relative:margin;z-index:251672576;mso-width-relative:page;mso-height-relative:page;" stroked="f" coordsize="21600,21600">
            <v:path/>
            <v:fill focussize="0,0"/>
            <v:stroke on="f" joinstyle="miter"/>
            <v:imagedata o:title=""/>
            <o:lock v:ext="edit"/>
            <v:textbox inset="0mm,0mm,0mm,0mm">
              <w:txbxContent>
                <w:p>
                  <w:pPr>
                    <w:pStyle w:val="25"/>
                    <w:rPr>
                      <w:rFonts w:hint="eastAsia" w:ascii="黑体" w:hAnsi="黑体" w:eastAsia="黑体" w:cs="黑体"/>
                    </w:rPr>
                  </w:pPr>
                  <w:r>
                    <w:rPr>
                      <w:rFonts w:hint="eastAsia" w:ascii="黑体" w:hAnsi="黑体" w:eastAsia="黑体" w:cs="黑体"/>
                    </w:rPr>
                    <w:t>××××-××-××发布</w:t>
                  </w:r>
                </w:p>
              </w:txbxContent>
            </v:textbox>
            <w10:anchorlock/>
          </v:shape>
        </w:pict>
      </w:r>
      <w:r>
        <w:rPr>
          <w:color w:val="auto"/>
        </w:rPr>
        <w:pict>
          <v:shape id="_x0000_s1055" o:spid="_x0000_s1055" o:spt="202" type="#_x0000_t202" style="position:absolute;left:0pt;margin-left:0pt;margin-top:286.25pt;height:368.6pt;width:470pt;mso-position-horizontal-relative:margin;mso-position-vertical-relative:margin;z-index:251671552;mso-width-relative:page;mso-height-relative:page;" stroked="f" coordsize="21600,21600">
            <v:path/>
            <v:fill focussize="0,0"/>
            <v:stroke on="f" joinstyle="miter"/>
            <v:imagedata o:title=""/>
            <o:lock v:ext="edit"/>
            <v:textbox inset="0mm,0mm,0mm,0mm">
              <w:txbxContent>
                <w:p>
                  <w:pPr>
                    <w:pStyle w:val="42"/>
                  </w:pPr>
                  <w:r>
                    <w:rPr>
                      <w:rFonts w:hint="eastAsia"/>
                    </w:rPr>
                    <w:t>非核级核电冷却用铝合金挤压管材</w:t>
                  </w:r>
                </w:p>
                <w:p>
                  <w:pPr>
                    <w:pStyle w:val="41"/>
                  </w:pPr>
                  <w:r>
                    <w:rPr>
                      <w:rFonts w:hint="eastAsia"/>
                      <w:szCs w:val="28"/>
                    </w:rPr>
                    <w:t>A</w:t>
                  </w:r>
                  <w:r>
                    <w:rPr>
                      <w:szCs w:val="28"/>
                    </w:rPr>
                    <w:t xml:space="preserve">luminum alloy </w:t>
                  </w:r>
                  <w:r>
                    <w:rPr>
                      <w:rFonts w:hint="eastAsia"/>
                      <w:szCs w:val="28"/>
                    </w:rPr>
                    <w:t>extruded tube</w:t>
                  </w:r>
                  <w:r>
                    <w:rPr>
                      <w:szCs w:val="28"/>
                    </w:rPr>
                    <w:t>s for</w:t>
                  </w:r>
                  <w:bookmarkStart w:id="2" w:name="OLE_LINK1"/>
                  <w:bookmarkStart w:id="3" w:name="OLE_LINK2"/>
                  <w:r>
                    <w:rPr>
                      <w:rFonts w:hint="eastAsia"/>
                      <w:szCs w:val="28"/>
                    </w:rPr>
                    <w:t xml:space="preserve"> </w:t>
                  </w:r>
                  <w:r>
                    <w:rPr>
                      <w:szCs w:val="28"/>
                    </w:rPr>
                    <w:t>non-nuclear grade nuclear power</w:t>
                  </w:r>
                  <w:r>
                    <w:rPr>
                      <w:rFonts w:hint="eastAsia"/>
                      <w:szCs w:val="28"/>
                    </w:rPr>
                    <w:t xml:space="preserve"> </w:t>
                  </w:r>
                  <w:bookmarkEnd w:id="2"/>
                  <w:bookmarkEnd w:id="3"/>
                  <w:r>
                    <w:rPr>
                      <w:rFonts w:hint="eastAsia"/>
                      <w:szCs w:val="28"/>
                    </w:rPr>
                    <w:t>cooling systems</w:t>
                  </w:r>
                </w:p>
                <w:p>
                  <w:pPr>
                    <w:pStyle w:val="28"/>
                  </w:pPr>
                  <w:r>
                    <w:rPr>
                      <w:rFonts w:hint="eastAsia"/>
                    </w:rPr>
                    <w:t>（</w:t>
                  </w:r>
                  <w:r>
                    <w:rPr>
                      <w:rFonts w:hint="eastAsia"/>
                      <w:lang w:eastAsia="zh-CN"/>
                    </w:rPr>
                    <w:t>送审</w:t>
                  </w:r>
                  <w:r>
                    <w:rPr>
                      <w:rFonts w:hint="eastAsia"/>
                    </w:rPr>
                    <w:t>稿）</w:t>
                  </w:r>
                </w:p>
                <w:p>
                  <w:pPr>
                    <w:pStyle w:val="28"/>
                    <w:jc w:val="both"/>
                  </w:pPr>
                </w:p>
                <w:p>
                  <w:pPr>
                    <w:pStyle w:val="28"/>
                  </w:pPr>
                </w:p>
              </w:txbxContent>
            </v:textbox>
            <w10:anchorlock/>
          </v:shape>
        </w:pict>
      </w:r>
      <w:r>
        <w:rPr>
          <w:color w:val="auto"/>
        </w:rPr>
        <w:pict>
          <v:shape id="_x0000_s1054" o:spid="_x0000_s1054" o:spt="202" type="#_x0000_t202" style="position:absolute;left:0pt;margin-left:0pt;margin-top:83.1pt;height:30.8pt;width:481.9pt;mso-position-horizontal-relative:margin;mso-position-vertical-relative:margin;z-index:251670528;mso-width-relative:page;mso-height-relative:page;" stroked="f" coordsize="21600,21600">
            <v:path/>
            <v:fill focussize="0,0"/>
            <v:stroke on="f" joinstyle="miter"/>
            <v:imagedata o:title=""/>
            <o:lock v:ext="edit"/>
            <v:textbox inset="0mm,0mm,0mm,0mm">
              <w:txbxContent>
                <w:p>
                  <w:pPr>
                    <w:pStyle w:val="46"/>
                  </w:pPr>
                  <w:r>
                    <w:rPr>
                      <w:rFonts w:hint="eastAsia"/>
                    </w:rPr>
                    <w:t>中华人民共和国国家标准</w:t>
                  </w:r>
                </w:p>
              </w:txbxContent>
            </v:textbox>
            <w10:anchorlock/>
          </v:shape>
        </w:pict>
      </w:r>
      <w:r>
        <w:rPr>
          <w:color w:val="auto"/>
        </w:rPr>
        <w:pict>
          <v:shape id="_x0000_s1053" o:spid="_x0000_s1053" o:spt="202" type="#_x0000_t202" style="position:absolute;left:0pt;margin-left:0pt;margin-top:0pt;height:51.8pt;width:200pt;mso-position-horizontal-relative:margin;mso-position-vertical-relative:margin;z-index:251669504;mso-width-relative:page;mso-height-relative:page;" stroked="f" coordsize="21600,21600">
            <v:path/>
            <v:fill focussize="0,0"/>
            <v:stroke on="f" joinstyle="miter"/>
            <v:imagedata o:title=""/>
            <o:lock v:ext="edit"/>
            <v:textbox inset="0mm,0mm,0mm,0mm">
              <w:txbxContent>
                <w:p>
                  <w:pPr>
                    <w:pStyle w:val="31"/>
                    <w:rPr>
                      <w:rFonts w:hint="eastAsia" w:ascii="黑体" w:hAnsi="黑体" w:eastAsia="黑体" w:cs="黑体"/>
                    </w:rPr>
                  </w:pPr>
                  <w:r>
                    <w:rPr>
                      <w:rFonts w:hint="eastAsia" w:ascii="黑体" w:hAnsi="黑体" w:eastAsia="黑体" w:cs="黑体"/>
                    </w:rPr>
                    <w:t xml:space="preserve">ICS </w:t>
                  </w:r>
                  <w:r>
                    <w:rPr>
                      <w:rFonts w:hint="eastAsia" w:ascii="黑体" w:hAnsi="黑体" w:eastAsia="黑体" w:cs="黑体"/>
                      <w:b w:val="0"/>
                      <w:bCs/>
                      <w:kern w:val="2"/>
                    </w:rPr>
                    <w:t>77.150.10</w:t>
                  </w:r>
                </w:p>
                <w:p>
                  <w:pPr>
                    <w:pStyle w:val="31"/>
                  </w:pPr>
                </w:p>
                <w:p>
                  <w:pPr>
                    <w:pStyle w:val="31"/>
                  </w:pPr>
                </w:p>
              </w:txbxContent>
            </v:textbox>
            <w10:anchorlock/>
          </v:shape>
        </w:pict>
      </w:r>
      <w:r>
        <w:rPr>
          <w:color w:val="auto"/>
        </w:rPr>
        <w:t>06</w:t>
      </w:r>
    </w:p>
    <w:p>
      <w:pPr>
        <w:pStyle w:val="39"/>
        <w:rPr>
          <w:color w:val="auto"/>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AndChars" w:linePitch="312" w:charSpace="0"/>
        </w:sectPr>
      </w:pPr>
      <w:r>
        <w:rPr>
          <w:color w:val="auto"/>
        </w:rPr>
        <w:pict>
          <v:line id="直线 67" o:spid="_x0000_s1059" o:spt="20" style="position:absolute;left:0pt;margin-left:-0.65pt;margin-top:684.4pt;height:0pt;width:482pt;z-index:251675648;mso-width-relative:page;mso-height-relative:page;" filled="f" stroked="t" coordsize="21600,21600">
            <v:path arrowok="t"/>
            <v:fill on="f" focussize="0,0"/>
            <v:stroke weight="1pt" color="#000000"/>
            <v:imagedata o:title=""/>
            <o:lock v:ext="edit" aspectratio="f"/>
          </v:line>
        </w:pict>
      </w:r>
      <w:r>
        <w:rPr>
          <w:color w:val="auto"/>
        </w:rPr>
        <w:pict>
          <v:shape id="fmFrame3" o:spid="_x0000_s1061" o:spt="202" type="#_x0000_t202" style="position:absolute;left:0pt;margin-left:16.5pt;margin-top:117.15pt;height:61pt;width:456.9pt;mso-position-horizontal-relative:margin;mso-position-vertical-relative:margin;z-index:251677696;mso-width-relative:page;mso-height-relative:page;" stroked="f" coordsize="21600,21600">
            <v:path/>
            <v:fill focussize="0,0"/>
            <v:stroke on="f" joinstyle="miter"/>
            <v:imagedata o:title=""/>
            <o:lock v:ext="edit"/>
            <v:textbox inset="0mm,0mm,0mm,0mm">
              <w:txbxContent>
                <w:p>
                  <w:pPr>
                    <w:pStyle w:val="35"/>
                    <w:rPr>
                      <w:rFonts w:hint="eastAsia" w:ascii="黑体" w:eastAsia="黑体"/>
                      <w:color w:val="000000"/>
                      <w:sz w:val="28"/>
                      <w:szCs w:val="28"/>
                    </w:rPr>
                  </w:pPr>
                </w:p>
                <w:p>
                  <w:pPr>
                    <w:pStyle w:val="35"/>
                    <w:rPr>
                      <w:rFonts w:hint="eastAsia" w:ascii="黑体" w:eastAsia="黑体"/>
                      <w:color w:val="000000"/>
                      <w:sz w:val="28"/>
                      <w:szCs w:val="28"/>
                    </w:rPr>
                  </w:pPr>
                </w:p>
                <w:p>
                  <w:pPr>
                    <w:pStyle w:val="35"/>
                  </w:pPr>
                  <w:r>
                    <w:rPr>
                      <w:rFonts w:hint="eastAsia" w:ascii="黑体" w:eastAsia="黑体"/>
                      <w:color w:val="000000"/>
                      <w:sz w:val="28"/>
                      <w:szCs w:val="28"/>
                    </w:rPr>
                    <w:t>GB/T XXXXX—201X</w:t>
                  </w:r>
                </w:p>
              </w:txbxContent>
            </v:textbox>
            <w10:anchorlock/>
          </v:shape>
        </w:pict>
      </w:r>
    </w:p>
    <w:bookmarkEnd w:id="0"/>
    <w:p>
      <w:pPr>
        <w:pStyle w:val="44"/>
        <w:keepNext w:val="0"/>
        <w:keepLines w:val="0"/>
        <w:pageBreakBefore w:val="0"/>
        <w:widowControl/>
        <w:numPr>
          <w:ilvl w:val="0"/>
          <w:numId w:val="3"/>
        </w:numPr>
        <w:kinsoku/>
        <w:wordWrap/>
        <w:overflowPunct/>
        <w:topLinePunct w:val="0"/>
        <w:autoSpaceDE/>
        <w:autoSpaceDN/>
        <w:bidi w:val="0"/>
        <w:adjustRightInd/>
        <w:snapToGrid/>
        <w:textAlignment w:val="auto"/>
        <w:outlineLvl w:val="0"/>
        <w:rPr>
          <w:rFonts w:ascii="Times New Roman"/>
          <w:color w:val="auto"/>
        </w:rPr>
      </w:pPr>
      <w:bookmarkStart w:id="1" w:name="SectionMark2"/>
      <w:r>
        <w:rPr>
          <w:rFonts w:ascii="Times New Roman"/>
          <w:color w:val="auto"/>
        </w:rPr>
        <w:t>前    言</w:t>
      </w:r>
    </w:p>
    <w:p>
      <w:pPr>
        <w:ind w:firstLine="435"/>
        <w:rPr>
          <w:color w:val="auto"/>
          <w:szCs w:val="21"/>
        </w:rPr>
      </w:pPr>
      <w:r>
        <w:rPr>
          <w:color w:val="auto"/>
          <w:szCs w:val="21"/>
        </w:rPr>
        <w:t>本标准按照GB/T 1.1-2009给出的规则起草。</w:t>
      </w:r>
    </w:p>
    <w:p>
      <w:pPr>
        <w:ind w:firstLine="435"/>
        <w:rPr>
          <w:color w:val="auto"/>
          <w:szCs w:val="21"/>
        </w:rPr>
      </w:pPr>
      <w:r>
        <w:rPr>
          <w:color w:val="auto"/>
          <w:szCs w:val="21"/>
        </w:rPr>
        <w:t>本标准由中国有色金属工业协会提出。</w:t>
      </w:r>
    </w:p>
    <w:p>
      <w:pPr>
        <w:ind w:firstLine="435"/>
        <w:rPr>
          <w:color w:val="auto"/>
          <w:szCs w:val="21"/>
        </w:rPr>
      </w:pPr>
      <w:r>
        <w:rPr>
          <w:color w:val="auto"/>
          <w:szCs w:val="21"/>
        </w:rPr>
        <w:t>本标准由全国有色金属标准化技术委员会（SAC/TC</w:t>
      </w:r>
      <w:r>
        <w:rPr>
          <w:rFonts w:hint="eastAsia"/>
          <w:color w:val="auto"/>
          <w:szCs w:val="21"/>
          <w:lang w:val="en-US" w:eastAsia="zh-CN"/>
        </w:rPr>
        <w:t xml:space="preserve"> </w:t>
      </w:r>
      <w:r>
        <w:rPr>
          <w:color w:val="auto"/>
          <w:szCs w:val="21"/>
        </w:rPr>
        <w:t>243）归口。</w:t>
      </w:r>
    </w:p>
    <w:p>
      <w:pPr>
        <w:ind w:firstLine="435"/>
        <w:rPr>
          <w:color w:val="auto"/>
          <w:szCs w:val="21"/>
        </w:rPr>
      </w:pPr>
      <w:r>
        <w:rPr>
          <w:color w:val="auto"/>
          <w:szCs w:val="21"/>
        </w:rPr>
        <w:t xml:space="preserve">本标准起草单位: </w:t>
      </w:r>
    </w:p>
    <w:p>
      <w:pPr>
        <w:ind w:firstLine="435"/>
        <w:rPr>
          <w:color w:val="auto"/>
          <w:szCs w:val="21"/>
        </w:rPr>
      </w:pPr>
      <w:r>
        <w:rPr>
          <w:color w:val="auto"/>
          <w:szCs w:val="21"/>
        </w:rPr>
        <w:t xml:space="preserve">本标准主要起草人： </w:t>
      </w:r>
      <w:bookmarkStart w:id="4" w:name="_GoBack"/>
      <w:bookmarkEnd w:id="4"/>
    </w:p>
    <w:p>
      <w:pPr>
        <w:pStyle w:val="18"/>
        <w:spacing w:line="360" w:lineRule="auto"/>
        <w:ind w:firstLine="420"/>
        <w:rPr>
          <w:rFonts w:ascii="Times New Roman" w:hAnsi="Times New Roman" w:cs="Times New Roman"/>
          <w:color w:val="auto"/>
        </w:rPr>
        <w:sectPr>
          <w:headerReference r:id="rId8" w:type="default"/>
          <w:footerReference r:id="rId10" w:type="default"/>
          <w:headerReference r:id="rId9" w:type="even"/>
          <w:footerReference r:id="rId11"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AndChars" w:linePitch="312" w:charSpace="0"/>
        </w:sectPr>
      </w:pPr>
    </w:p>
    <w:bookmarkEnd w:id="1"/>
    <w:p>
      <w:pPr>
        <w:pStyle w:val="47"/>
        <w:spacing w:before="0" w:after="0" w:line="360" w:lineRule="auto"/>
        <w:rPr>
          <w:rFonts w:ascii="Times New Roman"/>
          <w:color w:val="auto"/>
        </w:rPr>
      </w:pPr>
      <w:r>
        <w:rPr>
          <w:rFonts w:ascii="Times New Roman"/>
          <w:color w:val="auto"/>
        </w:rPr>
        <w:t>非核级核电冷却用铝合金挤压管材</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textAlignment w:val="auto"/>
        <w:outlineLvl w:val="1"/>
        <w:rPr>
          <w:rFonts w:ascii="Times New Roman"/>
          <w:color w:val="auto"/>
        </w:rPr>
      </w:pPr>
      <w:r>
        <w:rPr>
          <w:rFonts w:ascii="Times New Roman"/>
          <w:color w:val="auto"/>
        </w:rPr>
        <w:t>范围</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本标准规定了非核级核电冷却用铝合金挤压管材</w:t>
      </w:r>
      <w:r>
        <w:rPr>
          <w:rFonts w:hint="eastAsia" w:ascii="Times New Roman" w:hAnsi="Times New Roman" w:cs="Times New Roman"/>
          <w:color w:val="auto"/>
          <w:lang w:eastAsia="zh-CN"/>
        </w:rPr>
        <w:t>（以下称管材）</w:t>
      </w:r>
      <w:r>
        <w:rPr>
          <w:rFonts w:ascii="Times New Roman" w:hAnsi="Times New Roman" w:cs="Times New Roman"/>
          <w:color w:val="auto"/>
        </w:rPr>
        <w:t>的要求、试验方法、检验规则和标志、包装、运输、贮存及质量证明书与订货单（或合同）内容等。</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本标准适用于非核级核电冷却用挤压管材，压水堆核电站常规岛的二回路</w:t>
      </w:r>
      <w:r>
        <w:rPr>
          <w:rFonts w:hint="eastAsia" w:ascii="Times New Roman" w:hAnsi="Times New Roman" w:cs="Times New Roman"/>
          <w:color w:val="auto"/>
        </w:rPr>
        <w:t>及三回路</w:t>
      </w:r>
      <w:r>
        <w:rPr>
          <w:rFonts w:ascii="Times New Roman" w:hAnsi="Times New Roman" w:cs="Times New Roman"/>
          <w:color w:val="auto"/>
        </w:rPr>
        <w:t>系统管道中的辅助冷却水系统、闭式冷却水系统</w:t>
      </w:r>
      <w:r>
        <w:rPr>
          <w:rFonts w:hint="eastAsia" w:ascii="Times New Roman" w:hAnsi="Times New Roman" w:cs="Times New Roman"/>
          <w:color w:val="auto"/>
          <w:lang w:eastAsia="zh-CN"/>
        </w:rPr>
        <w:t>用管材</w:t>
      </w:r>
      <w:r>
        <w:rPr>
          <w:rFonts w:ascii="Times New Roman" w:hAnsi="Times New Roman" w:cs="Times New Roman"/>
          <w:color w:val="auto"/>
        </w:rPr>
        <w:t>。</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textAlignment w:val="auto"/>
        <w:outlineLvl w:val="1"/>
        <w:rPr>
          <w:rFonts w:ascii="Times New Roman"/>
          <w:color w:val="auto"/>
        </w:rPr>
      </w:pPr>
      <w:r>
        <w:rPr>
          <w:rFonts w:ascii="Times New Roman"/>
          <w:color w:val="auto"/>
        </w:rPr>
        <w:t>规范性引用文件</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下列文件对于本文件的应用是必不可少的。凡是注日期的引用文件，仅注日期的版本适用于本文件。凡是不注日期的引用文件，其最新版本（包括所有的修改单）适用于本文件。</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228.2 金属材料 拉伸试验 第2部分：高温试验方法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3190 变形铝及铝合金化学成分</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3199 铝及铝合金加工产品包装、标志、运输、贮存</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3246.1 变形铝及铝合金制品组织检验方法 第1部分：显微组织检验方法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3246.2 变形铝及铝合金制品组织检验方法 第2部分：低倍组织检验方法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4436</w:t>
      </w:r>
      <w:r>
        <w:rPr>
          <w:rFonts w:hint="eastAsia" w:ascii="Times New Roman" w:hAnsi="Times New Roman" w:cs="Times New Roman"/>
          <w:color w:val="auto"/>
          <w:lang w:val="en-US" w:eastAsia="zh-CN"/>
        </w:rPr>
        <w:t>-2012</w:t>
      </w:r>
      <w:r>
        <w:rPr>
          <w:rFonts w:ascii="Times New Roman" w:hAnsi="Times New Roman" w:cs="Times New Roman"/>
          <w:color w:val="auto"/>
        </w:rPr>
        <w:t xml:space="preserve"> 铝及铝合金管材外形尺寸及允许偏差</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7999 铝及铝合金光电直读发射光谱分析方法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8170 数值修约规则与极限数值的表示和判定</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10125 人造气氛腐蚀试验 盐雾试验</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16865 变形铝、镁及其合金加工制品拉伸试验用试样及方法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17432 变形铝及铝合金化学成分分析取样方法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20975</w:t>
      </w:r>
      <w:r>
        <w:rPr>
          <w:rFonts w:hint="eastAsia" w:ascii="Times New Roman" w:hAnsi="Times New Roman" w:cs="Times New Roman"/>
          <w:color w:val="auto"/>
          <w:lang w:val="en-US" w:eastAsia="zh-CN"/>
        </w:rPr>
        <w:t xml:space="preserve"> </w:t>
      </w:r>
      <w:r>
        <w:rPr>
          <w:rFonts w:ascii="Times New Roman" w:hAnsi="Times New Roman" w:cs="Times New Roman"/>
          <w:color w:val="auto"/>
          <w:szCs w:val="21"/>
        </w:rPr>
        <w:t>（所有部分）</w:t>
      </w:r>
      <w:r>
        <w:rPr>
          <w:rFonts w:ascii="Times New Roman" w:hAnsi="Times New Roman" w:cs="Times New Roman"/>
          <w:color w:val="auto"/>
        </w:rPr>
        <w:t>铝及铝合金化学分析方法</w:t>
      </w:r>
    </w:p>
    <w:p>
      <w:pPr>
        <w:pStyle w:val="18"/>
        <w:adjustRightInd w:val="0"/>
        <w:snapToGrid w:val="0"/>
        <w:spacing w:line="276" w:lineRule="auto"/>
        <w:ind w:firstLine="420"/>
        <w:rPr>
          <w:rFonts w:ascii="Times New Roman" w:hAnsi="Times New Roman" w:cs="Times New Roman"/>
          <w:color w:val="auto"/>
        </w:rPr>
      </w:pPr>
      <w:r>
        <w:rPr>
          <w:rFonts w:ascii="Times New Roman" w:hAnsi="Times New Roman" w:cs="Times New Roman"/>
          <w:color w:val="auto"/>
        </w:rPr>
        <w:t>GB/T 32186 铝及铝合金铸锭纯净度检验方法</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textAlignment w:val="auto"/>
        <w:outlineLvl w:val="1"/>
        <w:rPr>
          <w:rFonts w:ascii="Times New Roman"/>
          <w:color w:val="auto"/>
        </w:rPr>
      </w:pPr>
      <w:r>
        <w:rPr>
          <w:rFonts w:ascii="Times New Roman"/>
          <w:color w:val="auto"/>
        </w:rPr>
        <w:t>要求</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textAlignment w:val="auto"/>
        <w:outlineLvl w:val="2"/>
        <w:rPr>
          <w:rFonts w:ascii="Times New Roman" w:hAnsi="Times New Roman" w:cs="Times New Roman"/>
          <w:color w:val="auto"/>
        </w:rPr>
      </w:pPr>
      <w:r>
        <w:rPr>
          <w:rFonts w:ascii="Times New Roman" w:hAnsi="Times New Roman" w:cs="Times New Roman"/>
          <w:color w:val="auto"/>
        </w:rPr>
        <w:t>产品分类</w:t>
      </w:r>
    </w:p>
    <w:p>
      <w:pPr>
        <w:pStyle w:val="15"/>
        <w:keepNext w:val="0"/>
        <w:keepLines w:val="0"/>
        <w:pageBreakBefore w:val="0"/>
        <w:widowControl/>
        <w:numPr>
          <w:ilvl w:val="3"/>
          <w:numId w:val="4"/>
        </w:numPr>
        <w:kinsoku/>
        <w:wordWrap/>
        <w:overflowPunct/>
        <w:topLinePunct w:val="0"/>
        <w:autoSpaceDE/>
        <w:autoSpaceDN/>
        <w:bidi w:val="0"/>
        <w:adjustRightInd/>
        <w:snapToGrid/>
        <w:spacing w:before="156" w:beforeLines="50" w:after="156" w:afterLines="50"/>
        <w:textAlignment w:val="auto"/>
        <w:outlineLvl w:val="3"/>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牌号、状态及尺寸规格</w:t>
      </w:r>
    </w:p>
    <w:p>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outlineLvl w:val="9"/>
        <w:rPr>
          <w:color w:val="auto"/>
        </w:rPr>
      </w:pPr>
      <w:r>
        <w:rPr>
          <w:color w:val="auto"/>
        </w:rPr>
        <w:t>管材的牌号、状态及尺寸规格应符合表1规定。需方需要其他牌号、状态及尺寸规格时，由供需双方商定后</w:t>
      </w:r>
      <w:r>
        <w:rPr>
          <w:rFonts w:hint="eastAsia"/>
          <w:color w:val="auto"/>
          <w:lang w:eastAsia="zh-CN"/>
        </w:rPr>
        <w:t>在</w:t>
      </w:r>
      <w:r>
        <w:rPr>
          <w:color w:val="auto"/>
        </w:rPr>
        <w:t>订货单（或合同）中注明。</w:t>
      </w:r>
    </w:p>
    <w:p>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outlineLvl w:val="9"/>
        <w:rPr>
          <w:rFonts w:ascii="Times New Roman"/>
          <w:color w:val="auto"/>
          <w:shd w:val="clear" w:color="auto" w:fill="FFFFFF"/>
        </w:rPr>
      </w:pPr>
      <w:r>
        <w:rPr>
          <w:rFonts w:ascii="Times New Roman"/>
          <w:color w:val="auto"/>
          <w:shd w:val="clear" w:color="auto" w:fill="FFFFFF"/>
        </w:rPr>
        <w:t>表1 牌号、状态及尺寸规格</w:t>
      </w:r>
    </w:p>
    <w:tbl>
      <w:tblPr>
        <w:tblStyle w:val="13"/>
        <w:tblW w:w="93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44"/>
        <w:gridCol w:w="1701"/>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blHeader/>
          <w:jc w:val="center"/>
        </w:trPr>
        <w:tc>
          <w:tcPr>
            <w:tcW w:w="4644" w:type="dxa"/>
            <w:tcBorders>
              <w:top w:val="single" w:color="auto" w:sz="12" w:space="0"/>
              <w:left w:val="single" w:color="auto" w:sz="12" w:space="0"/>
              <w:bottom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牌号</w:t>
            </w:r>
          </w:p>
        </w:tc>
        <w:tc>
          <w:tcPr>
            <w:tcW w:w="1701" w:type="dxa"/>
            <w:tcBorders>
              <w:top w:val="single" w:color="auto" w:sz="12" w:space="0"/>
              <w:bottom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状态</w:t>
            </w:r>
          </w:p>
        </w:tc>
        <w:tc>
          <w:tcPr>
            <w:tcW w:w="2977" w:type="dxa"/>
            <w:tcBorders>
              <w:top w:val="single" w:color="auto" w:sz="12" w:space="0"/>
              <w:bottom w:val="single" w:color="auto" w:sz="12" w:space="0"/>
              <w:right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外径</w:t>
            </w:r>
          </w:p>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blHeader/>
          <w:jc w:val="center"/>
        </w:trPr>
        <w:tc>
          <w:tcPr>
            <w:tcW w:w="4644" w:type="dxa"/>
            <w:tcBorders>
              <w:top w:val="single" w:color="auto" w:sz="12" w:space="0"/>
              <w:left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4032、4047、4A13、6005、6005A、6063A、6351</w:t>
            </w:r>
          </w:p>
        </w:tc>
        <w:tc>
          <w:tcPr>
            <w:tcW w:w="1701" w:type="dxa"/>
            <w:vMerge w:val="restart"/>
            <w:tcBorders>
              <w:top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T6</w:t>
            </w:r>
          </w:p>
        </w:tc>
        <w:tc>
          <w:tcPr>
            <w:tcW w:w="2977" w:type="dxa"/>
            <w:tcBorders>
              <w:top w:val="single" w:color="auto" w:sz="12" w:space="0"/>
              <w:right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0</w:t>
            </w:r>
            <w:r>
              <w:rPr>
                <w:rFonts w:hint="default" w:ascii="Times New Roman" w:hAnsi="Times New Roman" w:eastAsia="宋体" w:cs="Times New Roman"/>
                <w:color w:val="auto"/>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blHeader/>
          <w:jc w:val="center"/>
        </w:trPr>
        <w:tc>
          <w:tcPr>
            <w:tcW w:w="4644" w:type="dxa"/>
            <w:tcBorders>
              <w:left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6061、6A02、6063</w:t>
            </w:r>
          </w:p>
        </w:tc>
        <w:tc>
          <w:tcPr>
            <w:tcW w:w="1701" w:type="dxa"/>
            <w:vMerge w:val="continue"/>
            <w:vAlign w:val="center"/>
          </w:tcPr>
          <w:p>
            <w:pPr>
              <w:pStyle w:val="18"/>
              <w:ind w:firstLine="0" w:firstLineChars="0"/>
              <w:jc w:val="center"/>
              <w:rPr>
                <w:rFonts w:hint="default" w:ascii="Times New Roman" w:hAnsi="Times New Roman" w:eastAsia="宋体" w:cs="Times New Roman"/>
                <w:color w:val="auto"/>
                <w:sz w:val="18"/>
                <w:szCs w:val="18"/>
              </w:rPr>
            </w:pPr>
          </w:p>
        </w:tc>
        <w:tc>
          <w:tcPr>
            <w:tcW w:w="2977" w:type="dxa"/>
            <w:tcBorders>
              <w:right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0</w:t>
            </w: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blHeader/>
          <w:jc w:val="center"/>
        </w:trPr>
        <w:tc>
          <w:tcPr>
            <w:tcW w:w="4644" w:type="dxa"/>
            <w:tcBorders>
              <w:left w:val="single" w:color="auto" w:sz="12" w:space="0"/>
              <w:bottom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6101A</w:t>
            </w:r>
          </w:p>
        </w:tc>
        <w:tc>
          <w:tcPr>
            <w:tcW w:w="1701" w:type="dxa"/>
            <w:vMerge w:val="continue"/>
            <w:tcBorders>
              <w:bottom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p>
        </w:tc>
        <w:tc>
          <w:tcPr>
            <w:tcW w:w="2977" w:type="dxa"/>
            <w:tcBorders>
              <w:bottom w:val="single" w:color="auto" w:sz="12" w:space="0"/>
              <w:right w:val="single" w:color="auto" w:sz="12" w:space="0"/>
            </w:tcBorders>
            <w:vAlign w:val="center"/>
          </w:tcPr>
          <w:p>
            <w:pPr>
              <w:pStyle w:val="18"/>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0</w:t>
            </w: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0</w:t>
            </w:r>
          </w:p>
        </w:tc>
      </w:tr>
    </w:tbl>
    <w:p>
      <w:pPr>
        <w:pStyle w:val="15"/>
        <w:keepNext w:val="0"/>
        <w:keepLines w:val="0"/>
        <w:pageBreakBefore w:val="0"/>
        <w:widowControl/>
        <w:numPr>
          <w:ilvl w:val="3"/>
          <w:numId w:val="0"/>
        </w:numPr>
        <w:kinsoku/>
        <w:wordWrap/>
        <w:overflowPunct/>
        <w:topLinePunct w:val="0"/>
        <w:autoSpaceDE/>
        <w:autoSpaceDN/>
        <w:bidi w:val="0"/>
        <w:adjustRightInd/>
        <w:snapToGrid/>
        <w:spacing w:beforeLines="0" w:afterLines="0" w:line="240" w:lineRule="auto"/>
        <w:ind w:leftChars="0"/>
        <w:textAlignment w:val="auto"/>
        <w:outlineLvl w:val="3"/>
        <w:rPr>
          <w:rFonts w:ascii="Times New Roman" w:hAnsi="Times New Roman" w:cs="Times New Roman"/>
          <w:color w:val="auto"/>
          <w:shd w:val="clear" w:color="auto" w:fill="FFFFFF"/>
        </w:rPr>
      </w:pP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156" w:afterLines="50" w:line="240" w:lineRule="auto"/>
        <w:textAlignment w:val="auto"/>
        <w:outlineLvl w:val="3"/>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标记示例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color w:val="auto"/>
        </w:rPr>
      </w:pPr>
      <w:r>
        <w:rPr>
          <w:color w:val="auto"/>
        </w:rPr>
        <w:t>管材的标记按产品名称、标准编号、合金牌号、供应状态及尺寸规格的顺序表示。标记示例如下：</w:t>
      </w:r>
    </w:p>
    <w:p>
      <w:pPr>
        <w:pStyle w:val="18"/>
        <w:keepNext w:val="0"/>
        <w:keepLines w:val="0"/>
        <w:pageBreakBefore w:val="0"/>
        <w:kinsoku/>
        <w:wordWrap/>
        <w:overflowPunct/>
        <w:topLinePunct w:val="0"/>
        <w:bidi w:val="0"/>
        <w:adjustRightInd w:val="0"/>
        <w:snapToGrid w:val="0"/>
        <w:spacing w:line="240" w:lineRule="auto"/>
        <w:ind w:left="0" w:leftChars="0" w:firstLine="360" w:firstLineChars="200"/>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4047牌号、T6状态、直径</w:t>
      </w:r>
      <w:r>
        <w:rPr>
          <w:rFonts w:hint="eastAsia" w:ascii="Times New Roman" w:hAnsi="Times New Roman" w:cs="Times New Roman"/>
          <w:color w:val="auto"/>
          <w:sz w:val="18"/>
          <w:szCs w:val="18"/>
          <w:lang w:val="en-US" w:eastAsia="zh-CN"/>
        </w:rPr>
        <w:t xml:space="preserve">80 </w:t>
      </w:r>
      <w:r>
        <w:rPr>
          <w:rFonts w:ascii="Times New Roman" w:hAnsi="Times New Roman" w:cs="Times New Roman"/>
          <w:color w:val="auto"/>
          <w:sz w:val="18"/>
          <w:szCs w:val="18"/>
        </w:rPr>
        <w:t>mm、壁厚为</w:t>
      </w:r>
      <w:r>
        <w:rPr>
          <w:rFonts w:hint="eastAsia" w:ascii="Times New Roman" w:hAnsi="Times New Roman" w:cs="Times New Roman"/>
          <w:color w:val="auto"/>
          <w:sz w:val="18"/>
          <w:szCs w:val="18"/>
          <w:lang w:val="en-US" w:eastAsia="zh-CN"/>
        </w:rPr>
        <w:t xml:space="preserve">10 </w:t>
      </w:r>
      <w:r>
        <w:rPr>
          <w:rFonts w:ascii="Times New Roman" w:hAnsi="Times New Roman" w:cs="Times New Roman"/>
          <w:color w:val="auto"/>
          <w:sz w:val="18"/>
          <w:szCs w:val="18"/>
        </w:rPr>
        <w:t>mm，定尺长度为6</w:t>
      </w:r>
      <w:r>
        <w:rPr>
          <w:rFonts w:hint="eastAsia" w:ascii="Times New Roman" w:hAnsi="Times New Roman" w:cs="Times New Roman"/>
          <w:color w:val="auto"/>
          <w:sz w:val="18"/>
          <w:szCs w:val="18"/>
          <w:lang w:val="en-US" w:eastAsia="zh-CN"/>
        </w:rPr>
        <w:t xml:space="preserve"> </w:t>
      </w:r>
      <w:r>
        <w:rPr>
          <w:rFonts w:ascii="Times New Roman" w:hAnsi="Times New Roman" w:cs="Times New Roman"/>
          <w:color w:val="auto"/>
          <w:sz w:val="18"/>
          <w:szCs w:val="18"/>
        </w:rPr>
        <w:t>000</w:t>
      </w:r>
      <w:r>
        <w:rPr>
          <w:rFonts w:hint="eastAsia" w:ascii="Times New Roman" w:hAnsi="Times New Roman" w:cs="Times New Roman"/>
          <w:color w:val="auto"/>
          <w:sz w:val="18"/>
          <w:szCs w:val="18"/>
          <w:lang w:val="en-US" w:eastAsia="zh-CN"/>
        </w:rPr>
        <w:t xml:space="preserve"> </w:t>
      </w:r>
      <w:r>
        <w:rPr>
          <w:rFonts w:ascii="Times New Roman" w:hAnsi="Times New Roman" w:cs="Times New Roman"/>
          <w:color w:val="auto"/>
          <w:sz w:val="18"/>
          <w:szCs w:val="18"/>
        </w:rPr>
        <w:t>mm的管材，标记为：</w:t>
      </w:r>
    </w:p>
    <w:p>
      <w:pPr>
        <w:keepNext w:val="0"/>
        <w:keepLines w:val="0"/>
        <w:pageBreakBefore w:val="0"/>
        <w:kinsoku/>
        <w:wordWrap/>
        <w:overflowPunct/>
        <w:topLinePunct w:val="0"/>
        <w:bidi w:val="0"/>
        <w:adjustRightInd w:val="0"/>
        <w:snapToGrid w:val="0"/>
        <w:spacing w:line="240" w:lineRule="auto"/>
        <w:ind w:firstLine="360" w:firstLineChars="200"/>
        <w:textAlignment w:val="auto"/>
        <w:outlineLvl w:val="9"/>
        <w:rPr>
          <w:color w:val="auto"/>
          <w:sz w:val="18"/>
          <w:szCs w:val="18"/>
        </w:rPr>
      </w:pPr>
      <w:r>
        <w:rPr>
          <w:color w:val="auto"/>
          <w:sz w:val="18"/>
          <w:szCs w:val="18"/>
        </w:rPr>
        <w:t>管GB/T xxxx—4047T6—</w:t>
      </w:r>
      <w:r>
        <w:rPr>
          <w:color w:val="auto"/>
          <w:kern w:val="0"/>
          <w:sz w:val="18"/>
          <w:szCs w:val="18"/>
          <w:lang w:val="de-DE"/>
        </w:rPr>
        <w:t>Φ</w:t>
      </w:r>
      <w:r>
        <w:rPr>
          <w:rFonts w:hint="eastAsia"/>
          <w:color w:val="auto"/>
          <w:kern w:val="0"/>
          <w:sz w:val="18"/>
          <w:szCs w:val="18"/>
          <w:lang w:val="en-US" w:eastAsia="zh-CN"/>
        </w:rPr>
        <w:t>80</w:t>
      </w:r>
      <w:r>
        <w:rPr>
          <w:color w:val="auto"/>
          <w:sz w:val="18"/>
          <w:szCs w:val="18"/>
        </w:rPr>
        <w:t>×</w:t>
      </w:r>
      <w:r>
        <w:rPr>
          <w:rFonts w:hint="eastAsia"/>
          <w:color w:val="auto"/>
          <w:sz w:val="18"/>
          <w:szCs w:val="18"/>
          <w:lang w:val="en-US" w:eastAsia="zh-CN"/>
        </w:rPr>
        <w:t>10</w:t>
      </w:r>
      <w:r>
        <w:rPr>
          <w:color w:val="auto"/>
          <w:sz w:val="18"/>
          <w:szCs w:val="18"/>
        </w:rPr>
        <w:t>×6</w:t>
      </w:r>
      <w:r>
        <w:rPr>
          <w:rFonts w:hint="eastAsia"/>
          <w:color w:val="auto"/>
          <w:sz w:val="18"/>
          <w:szCs w:val="18"/>
          <w:lang w:val="en-US" w:eastAsia="zh-CN"/>
        </w:rPr>
        <w:t xml:space="preserve"> </w:t>
      </w:r>
      <w:r>
        <w:rPr>
          <w:color w:val="auto"/>
          <w:sz w:val="18"/>
          <w:szCs w:val="18"/>
        </w:rPr>
        <w:t>000</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textAlignment w:val="auto"/>
        <w:outlineLvl w:val="2"/>
        <w:rPr>
          <w:rFonts w:ascii="Times New Roman" w:hAnsi="Times New Roman" w:cs="Times New Roman"/>
          <w:color w:val="auto"/>
        </w:rPr>
      </w:pPr>
      <w:r>
        <w:rPr>
          <w:rFonts w:ascii="Times New Roman" w:hAnsi="Times New Roman" w:cs="Times New Roman"/>
          <w:color w:val="auto"/>
        </w:rPr>
        <w:t>化学成分</w:t>
      </w:r>
    </w:p>
    <w:p>
      <w:pPr>
        <w:keepNext w:val="0"/>
        <w:keepLines w:val="0"/>
        <w:pageBreakBefore w:val="0"/>
        <w:kinsoku/>
        <w:wordWrap/>
        <w:overflowPunct/>
        <w:topLinePunct w:val="0"/>
        <w:bidi w:val="0"/>
        <w:adjustRightInd w:val="0"/>
        <w:snapToGrid w:val="0"/>
        <w:spacing w:line="240" w:lineRule="auto"/>
        <w:ind w:firstLine="420"/>
        <w:textAlignment w:val="auto"/>
        <w:rPr>
          <w:color w:val="auto"/>
        </w:rPr>
      </w:pPr>
      <w:r>
        <w:rPr>
          <w:color w:val="auto"/>
        </w:rPr>
        <w:t>化学成分应符合GB/T 3190的规定</w:t>
      </w:r>
      <w:r>
        <w:rPr>
          <w:rFonts w:hint="eastAsia"/>
          <w:color w:val="auto"/>
          <w:lang w:eastAsia="zh-CN"/>
        </w:rPr>
        <w:t>，</w:t>
      </w:r>
      <w:r>
        <w:rPr>
          <w:rFonts w:hint="default"/>
          <w:color w:val="auto"/>
          <w:lang w:val="en-US" w:eastAsia="zh-CN"/>
        </w:rPr>
        <w:t>如有特殊要求时，由供需双方商定后在订货单（或合同）中注明</w:t>
      </w:r>
      <w:r>
        <w:rPr>
          <w:color w:val="auto"/>
        </w:rPr>
        <w:t>。</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textAlignment w:val="auto"/>
        <w:outlineLvl w:val="2"/>
        <w:rPr>
          <w:rFonts w:ascii="Times New Roman" w:hAnsi="Times New Roman" w:cs="Times New Roman"/>
          <w:color w:val="auto"/>
        </w:rPr>
      </w:pPr>
      <w:r>
        <w:rPr>
          <w:rFonts w:ascii="Times New Roman" w:hAnsi="Times New Roman" w:cs="Times New Roman"/>
          <w:color w:val="auto"/>
        </w:rPr>
        <w:t>尺寸偏差</w:t>
      </w:r>
    </w:p>
    <w:p>
      <w:pPr>
        <w:pStyle w:val="15"/>
        <w:keepNext w:val="0"/>
        <w:keepLines w:val="0"/>
        <w:pageBreakBefore w:val="0"/>
        <w:widowControl/>
        <w:numPr>
          <w:ilvl w:val="3"/>
          <w:numId w:val="4"/>
        </w:numPr>
        <w:kinsoku/>
        <w:wordWrap/>
        <w:overflowPunct/>
        <w:topLinePunct w:val="0"/>
        <w:autoSpaceDE/>
        <w:autoSpaceDN/>
        <w:bidi w:val="0"/>
        <w:adjustRightInd/>
        <w:snapToGrid/>
        <w:spacing w:before="156" w:beforeLines="50" w:after="156" w:afterLines="50" w:line="240" w:lineRule="auto"/>
        <w:textAlignment w:val="auto"/>
        <w:outlineLvl w:val="3"/>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截面尺寸允许偏差</w:t>
      </w:r>
    </w:p>
    <w:p>
      <w:pPr>
        <w:pStyle w:val="38"/>
        <w:keepNext w:val="0"/>
        <w:keepLines w:val="0"/>
        <w:pageBreakBefore w:val="0"/>
        <w:widowControl/>
        <w:numPr>
          <w:ilvl w:val="4"/>
          <w:numId w:val="4"/>
        </w:numPr>
        <w:kinsoku/>
        <w:wordWrap/>
        <w:overflowPunct/>
        <w:topLinePunct w:val="0"/>
        <w:autoSpaceDE/>
        <w:autoSpaceDN/>
        <w:bidi w:val="0"/>
        <w:adjustRightInd/>
        <w:snapToGrid/>
        <w:spacing w:line="240" w:lineRule="auto"/>
        <w:textAlignment w:val="auto"/>
        <w:outlineLvl w:val="4"/>
        <w:rPr>
          <w:rFonts w:ascii="Times New Roman" w:hAnsi="Times New Roman" w:eastAsia="宋体" w:cs="Times New Roman"/>
          <w:color w:val="auto"/>
        </w:rPr>
      </w:pPr>
      <w:r>
        <w:rPr>
          <w:rFonts w:ascii="Times New Roman" w:hAnsi="Times New Roman" w:eastAsia="宋体" w:cs="Times New Roman"/>
          <w:color w:val="auto"/>
        </w:rPr>
        <w:t>管材外径尺寸允许偏差应符合表2规定。</w:t>
      </w:r>
    </w:p>
    <w:p>
      <w:pPr>
        <w:pStyle w:val="18"/>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3570" w:firstLineChars="1700"/>
        <w:jc w:val="both"/>
        <w:textAlignment w:val="auto"/>
        <w:outlineLvl w:val="9"/>
        <w:rPr>
          <w:rFonts w:hint="eastAsia" w:asciiTheme="minorEastAsia" w:hAnsiTheme="minorEastAsia" w:eastAsiaTheme="minorEastAsia" w:cstheme="minorEastAsia"/>
          <w:color w:val="auto"/>
          <w:sz w:val="15"/>
          <w:szCs w:val="15"/>
        </w:rPr>
      </w:pPr>
      <w:r>
        <w:rPr>
          <w:rFonts w:ascii="Times New Roman" w:hAnsi="Times New Roman" w:eastAsia="黑体" w:cs="Times New Roman"/>
          <w:color w:val="auto"/>
          <w:shd w:val="clear" w:color="auto" w:fill="FFFFFF"/>
        </w:rPr>
        <w:t>表2 外径允许偏差</w:t>
      </w:r>
      <w:r>
        <w:rPr>
          <w:rFonts w:hint="eastAsia" w:ascii="Times New Roman" w:hAnsi="Times New Roman" w:eastAsia="黑体" w:cs="Times New Roman"/>
          <w:color w:val="auto"/>
          <w:shd w:val="clear" w:color="auto" w:fill="FFFFFF"/>
          <w:lang w:val="en-US" w:eastAsia="zh-CN"/>
        </w:rPr>
        <w:t xml:space="preserve">                         </w:t>
      </w:r>
      <w:r>
        <w:rPr>
          <w:rFonts w:hint="eastAsia" w:asciiTheme="minorEastAsia" w:hAnsiTheme="minorEastAsia" w:eastAsiaTheme="minorEastAsia" w:cstheme="minorEastAsia"/>
          <w:color w:val="auto"/>
          <w:sz w:val="18"/>
          <w:szCs w:val="20"/>
          <w:shd w:val="clear" w:color="auto" w:fill="FFFFFF"/>
          <w:lang w:val="en-US" w:eastAsia="zh-CN"/>
        </w:rPr>
        <w:t xml:space="preserve">   单位为毫米</w:t>
      </w:r>
    </w:p>
    <w:tbl>
      <w:tblPr>
        <w:tblStyle w:val="12"/>
        <w:tblW w:w="88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168"/>
        <w:gridCol w:w="3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tcBorders>
              <w:top w:val="single" w:color="auto" w:sz="12" w:space="0"/>
              <w:bottom w:val="single" w:color="auto" w:sz="12" w:space="0"/>
            </w:tcBorders>
            <w:vAlign w:val="center"/>
          </w:tcPr>
          <w:p>
            <w:pPr>
              <w:pStyle w:val="18"/>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公称外径</w:t>
            </w:r>
          </w:p>
        </w:tc>
        <w:tc>
          <w:tcPr>
            <w:tcW w:w="3168" w:type="dxa"/>
            <w:tcBorders>
              <w:top w:val="single" w:color="auto" w:sz="12" w:space="0"/>
              <w:bottom w:val="single" w:color="auto" w:sz="12" w:space="0"/>
            </w:tcBorders>
            <w:vAlign w:val="center"/>
          </w:tcPr>
          <w:p>
            <w:pPr>
              <w:pStyle w:val="18"/>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平均外径与公称外径的允许偏差</w:t>
            </w:r>
          </w:p>
        </w:tc>
        <w:tc>
          <w:tcPr>
            <w:tcW w:w="3738" w:type="dxa"/>
            <w:tcBorders>
              <w:top w:val="single" w:color="auto" w:sz="12" w:space="0"/>
              <w:bottom w:val="single" w:color="auto" w:sz="12" w:space="0"/>
            </w:tcBorders>
            <w:vAlign w:val="center"/>
          </w:tcPr>
          <w:p>
            <w:pPr>
              <w:pStyle w:val="1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任一点外径与公称外径间偏差</w:t>
            </w:r>
            <w:r>
              <w:rPr>
                <w:rFonts w:hint="eastAsia" w:ascii="Times New Roman" w:hAnsi="Times New Roman" w:cs="Times New Roman"/>
                <w:color w:val="auto"/>
                <w:sz w:val="18"/>
                <w:szCs w:val="18"/>
                <w:vertAlign w:val="superscript"/>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tcBorders>
              <w:top w:val="single" w:color="auto" w:sz="12" w:space="0"/>
            </w:tcBorders>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＞30.00～50.00</w:t>
            </w:r>
          </w:p>
        </w:tc>
        <w:tc>
          <w:tcPr>
            <w:tcW w:w="3168" w:type="dxa"/>
            <w:tcBorders>
              <w:top w:val="single" w:color="auto" w:sz="12" w:space="0"/>
            </w:tcBorders>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±0.28</w:t>
            </w:r>
          </w:p>
        </w:tc>
        <w:tc>
          <w:tcPr>
            <w:tcW w:w="3738" w:type="dxa"/>
            <w:tcBorders>
              <w:top w:val="single" w:color="auto" w:sz="12" w:space="0"/>
            </w:tcBorders>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±0.</w:t>
            </w:r>
            <w:r>
              <w:rPr>
                <w:rFonts w:hint="eastAsia" w:ascii="Times New Roman" w:hAnsi="Times New Roman" w:cs="Times New Roman"/>
                <w:color w:val="auto"/>
                <w:sz w:val="18"/>
                <w:szCs w:val="18"/>
              </w:rPr>
              <w:t>7</w:t>
            </w:r>
            <w:r>
              <w:rPr>
                <w:rFonts w:hint="eastAsia" w:ascii="Times New Roman" w:hAnsi="Times New Roman" w:cs="Times New Roman"/>
                <w:color w:val="auto"/>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＞50.00～80.00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±0.30</w:t>
            </w:r>
          </w:p>
        </w:tc>
        <w:tc>
          <w:tcPr>
            <w:tcW w:w="3738"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＞80.00～100.00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±0.34</w:t>
            </w:r>
          </w:p>
        </w:tc>
        <w:tc>
          <w:tcPr>
            <w:tcW w:w="3738"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w:t>
            </w:r>
            <w:r>
              <w:rPr>
                <w:rFonts w:hint="eastAsia" w:ascii="Times New Roman" w:hAnsi="Times New Roman" w:cs="Times New Roman"/>
                <w:color w:val="auto"/>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＞100.00～120.00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±0.55</w:t>
            </w:r>
          </w:p>
        </w:tc>
        <w:tc>
          <w:tcPr>
            <w:tcW w:w="3738"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w:t>
            </w:r>
            <w:r>
              <w:rPr>
                <w:rFonts w:hint="eastAsia" w:ascii="Times New Roman" w:hAnsi="Times New Roman" w:cs="Times New Roman"/>
                <w:color w:val="auto"/>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＞120.00～150.00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±0.58</w:t>
            </w:r>
          </w:p>
        </w:tc>
        <w:tc>
          <w:tcPr>
            <w:tcW w:w="3738" w:type="dxa"/>
            <w:vAlign w:val="center"/>
          </w:tcPr>
          <w:p>
            <w:pPr>
              <w:pStyle w:val="18"/>
              <w:keepNext w:val="0"/>
              <w:keepLines w:val="0"/>
              <w:pageBreakBefore w:val="0"/>
              <w:widowControl w:val="0"/>
              <w:kinsoku/>
              <w:wordWrap/>
              <w:overflowPunct/>
              <w:topLinePunct w:val="0"/>
              <w:bidi w:val="0"/>
              <w:spacing w:line="240" w:lineRule="auto"/>
              <w:ind w:firstLine="0" w:firstLineChars="0"/>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w:t>
            </w:r>
            <w:r>
              <w:rPr>
                <w:rFonts w:hint="eastAsia" w:ascii="Times New Roman" w:hAnsi="Times New Roman" w:cs="Times New Roman"/>
                <w:color w:val="auto"/>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150.00~200.00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0.88</w:t>
            </w:r>
          </w:p>
        </w:tc>
        <w:tc>
          <w:tcPr>
            <w:tcW w:w="373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200.00~250.00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1.14</w:t>
            </w:r>
          </w:p>
        </w:tc>
        <w:tc>
          <w:tcPr>
            <w:tcW w:w="373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250.00~300.00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1.40</w:t>
            </w:r>
          </w:p>
        </w:tc>
        <w:tc>
          <w:tcPr>
            <w:tcW w:w="373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991"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300.00~350.00</w:t>
            </w:r>
          </w:p>
        </w:tc>
        <w:tc>
          <w:tcPr>
            <w:tcW w:w="316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1.40</w:t>
            </w:r>
          </w:p>
        </w:tc>
        <w:tc>
          <w:tcPr>
            <w:tcW w:w="3738" w:type="dxa"/>
            <w:vAlign w:val="center"/>
          </w:tcPr>
          <w:p>
            <w:pPr>
              <w:keepNext w:val="0"/>
              <w:keepLines w:val="0"/>
              <w:pageBreakBefore w:val="0"/>
              <w:widowControl w:val="0"/>
              <w:kinsoku/>
              <w:wordWrap/>
              <w:overflowPunct/>
              <w:topLinePunct w:val="0"/>
              <w:bidi w:val="0"/>
              <w:spacing w:line="240" w:lineRule="auto"/>
              <w:jc w:val="center"/>
              <w:textAlignment w:val="auto"/>
              <w:rPr>
                <w:color w:val="auto"/>
                <w:sz w:val="18"/>
                <w:szCs w:val="18"/>
              </w:rPr>
            </w:pPr>
            <w:r>
              <w:rPr>
                <w:color w:val="auto"/>
                <w:sz w:val="18"/>
                <w:szCs w:val="18"/>
              </w:rPr>
              <w:t>±</w:t>
            </w:r>
            <w:r>
              <w:rPr>
                <w:rFonts w:hint="eastAsia"/>
                <w:color w:val="auto"/>
                <w:sz w:val="18"/>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897"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rFonts w:ascii="Times New Roman" w:hAnsi="Times New Roman" w:cs="Times New Roman"/>
                <w:color w:val="auto"/>
                <w:sz w:val="18"/>
                <w:szCs w:val="18"/>
              </w:rPr>
            </w:pPr>
            <w:r>
              <w:rPr>
                <w:rFonts w:hint="eastAsia" w:ascii="Times New Roman" w:hAnsi="Times New Roman" w:cs="Times New Roman"/>
                <w:color w:val="auto"/>
                <w:sz w:val="18"/>
                <w:szCs w:val="18"/>
                <w:vertAlign w:val="superscript"/>
                <w:lang w:val="en-US" w:eastAsia="zh-CN"/>
              </w:rPr>
              <w:t xml:space="preserve">a </w:t>
            </w:r>
            <w:r>
              <w:rPr>
                <w:rFonts w:ascii="Times New Roman" w:hAnsi="Times New Roman" w:cs="Times New Roman"/>
                <w:color w:val="auto"/>
                <w:sz w:val="18"/>
                <w:szCs w:val="18"/>
              </w:rPr>
              <w:t>壁厚小于或等于管材外径的2.5%时，表中偏差不适用，其允许偏差符合下述规定：</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------壁厚与外径比＞0.5%～1.0%时，允许偏差为表中对应数值的3.8倍；</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------壁厚与外径比＞1.0%～1.5%时，允许偏差为表中对应数值的2.8倍；</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------壁厚与外径比＞1.5%～2.0%时，允许偏差为表中对应数值的1.8倍；</w:t>
            </w:r>
          </w:p>
          <w:p>
            <w:pPr>
              <w:pStyle w:val="18"/>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------壁厚与外径比＞2.0%～2.5%时，允许偏差为表中对应数值的1.3倍。</w:t>
            </w:r>
          </w:p>
        </w:tc>
      </w:tr>
    </w:tbl>
    <w:p>
      <w:pPr>
        <w:pStyle w:val="38"/>
        <w:keepNext w:val="0"/>
        <w:keepLines w:val="0"/>
        <w:pageBreakBefore w:val="0"/>
        <w:widowControl/>
        <w:numPr>
          <w:ilvl w:val="4"/>
          <w:numId w:val="0"/>
        </w:numPr>
        <w:kinsoku/>
        <w:wordWrap/>
        <w:overflowPunct/>
        <w:topLinePunct w:val="0"/>
        <w:autoSpaceDE/>
        <w:autoSpaceDN/>
        <w:bidi w:val="0"/>
        <w:adjustRightInd/>
        <w:snapToGrid/>
        <w:spacing w:line="240" w:lineRule="auto"/>
        <w:ind w:leftChars="0"/>
        <w:textAlignment w:val="auto"/>
        <w:outlineLvl w:val="4"/>
        <w:rPr>
          <w:rFonts w:ascii="Times New Roman" w:hAnsi="Times New Roman" w:eastAsia="宋体" w:cs="Times New Roman"/>
          <w:color w:val="auto"/>
        </w:rPr>
      </w:pPr>
    </w:p>
    <w:p>
      <w:pPr>
        <w:pStyle w:val="38"/>
        <w:keepNext w:val="0"/>
        <w:keepLines w:val="0"/>
        <w:pageBreakBefore w:val="0"/>
        <w:widowControl/>
        <w:numPr>
          <w:ilvl w:val="4"/>
          <w:numId w:val="4"/>
        </w:numPr>
        <w:kinsoku/>
        <w:wordWrap/>
        <w:overflowPunct/>
        <w:topLinePunct w:val="0"/>
        <w:autoSpaceDE/>
        <w:autoSpaceDN/>
        <w:bidi w:val="0"/>
        <w:adjustRightInd/>
        <w:snapToGrid/>
        <w:spacing w:line="240" w:lineRule="auto"/>
        <w:textAlignment w:val="auto"/>
        <w:outlineLvl w:val="4"/>
        <w:rPr>
          <w:rFonts w:hint="eastAsia" w:ascii="Times New Roman" w:hAnsi="Times New Roman" w:eastAsia="黑体" w:cs="Times New Roman"/>
          <w:color w:val="auto"/>
          <w:shd w:val="clear" w:color="auto" w:fill="FFFFFF"/>
          <w:lang w:val="en-US" w:eastAsia="zh-CN"/>
        </w:rPr>
      </w:pPr>
      <w:r>
        <w:rPr>
          <w:rFonts w:ascii="Times New Roman" w:hAnsi="Times New Roman" w:eastAsia="宋体" w:cs="Times New Roman"/>
          <w:color w:val="auto"/>
        </w:rPr>
        <w:t>管材壁厚允许偏差应符合表3规定。</w:t>
      </w:r>
    </w:p>
    <w:p>
      <w:pPr>
        <w:pStyle w:val="18"/>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outlineLvl w:val="9"/>
        <w:rPr>
          <w:rFonts w:ascii="Times New Roman" w:hAnsi="Times New Roman" w:cs="Times New Roman"/>
          <w:color w:val="auto"/>
          <w:sz w:val="18"/>
          <w:szCs w:val="18"/>
        </w:rPr>
      </w:pPr>
      <w:r>
        <w:rPr>
          <w:rFonts w:hint="eastAsia" w:ascii="Times New Roman" w:hAnsi="Times New Roman" w:eastAsia="黑体" w:cs="Times New Roman"/>
          <w:color w:val="auto"/>
          <w:shd w:val="clear" w:color="auto" w:fill="FFFFFF"/>
          <w:lang w:val="en-US" w:eastAsia="zh-CN"/>
        </w:rPr>
        <w:t xml:space="preserve">                               </w:t>
      </w:r>
      <w:r>
        <w:rPr>
          <w:rFonts w:ascii="Times New Roman" w:hAnsi="Times New Roman" w:eastAsia="黑体" w:cs="Times New Roman"/>
          <w:color w:val="auto"/>
          <w:shd w:val="clear" w:color="auto" w:fill="FFFFFF"/>
        </w:rPr>
        <w:t>表3 壁厚允许偏差</w:t>
      </w:r>
      <w:r>
        <w:rPr>
          <w:rFonts w:hint="eastAsia" w:ascii="Times New Roman" w:hAnsi="Times New Roman" w:eastAsia="黑体" w:cs="Times New Roman"/>
          <w:color w:val="auto"/>
          <w:shd w:val="clear" w:color="auto" w:fill="FFFFFF"/>
          <w:lang w:val="en-US" w:eastAsia="zh-CN"/>
        </w:rPr>
        <w:t xml:space="preserve">                            </w:t>
      </w:r>
      <w:r>
        <w:rPr>
          <w:rFonts w:hint="eastAsia" w:asciiTheme="minorEastAsia" w:hAnsiTheme="minorEastAsia" w:eastAsiaTheme="minorEastAsia" w:cstheme="minorEastAsia"/>
          <w:color w:val="auto"/>
          <w:sz w:val="18"/>
          <w:szCs w:val="20"/>
          <w:shd w:val="clear" w:color="auto" w:fill="FFFFFF"/>
          <w:lang w:val="en-US" w:eastAsia="zh-CN"/>
        </w:rPr>
        <w:t>单位为毫米</w:t>
      </w:r>
    </w:p>
    <w:tbl>
      <w:tblPr>
        <w:tblStyle w:val="12"/>
        <w:tblW w:w="8889" w:type="dxa"/>
        <w:tblInd w:w="3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025"/>
        <w:gridCol w:w="1762"/>
        <w:gridCol w:w="1763"/>
        <w:gridCol w:w="1119"/>
        <w:gridCol w:w="1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Merge w:val="restart"/>
            <w:tcBorders>
              <w:bottom w:val="nil"/>
              <w:right w:val="single" w:color="auto" w:sz="4" w:space="0"/>
            </w:tcBorders>
            <w:vAlign w:val="center"/>
          </w:tcPr>
          <w:p>
            <w:pPr>
              <w:jc w:val="center"/>
              <w:rPr>
                <w:color w:val="auto"/>
                <w:sz w:val="18"/>
                <w:szCs w:val="18"/>
              </w:rPr>
            </w:pPr>
            <w:r>
              <w:rPr>
                <w:color w:val="auto"/>
                <w:sz w:val="18"/>
                <w:szCs w:val="18"/>
              </w:rPr>
              <w:t>公称壁厚</w:t>
            </w:r>
          </w:p>
        </w:tc>
        <w:tc>
          <w:tcPr>
            <w:tcW w:w="7429" w:type="dxa"/>
            <w:gridSpan w:val="5"/>
            <w:tcBorders>
              <w:left w:val="single" w:color="auto" w:sz="4" w:space="0"/>
              <w:bottom w:val="single" w:color="auto" w:sz="2" w:space="0"/>
            </w:tcBorders>
            <w:vAlign w:val="center"/>
          </w:tcPr>
          <w:p>
            <w:pPr>
              <w:jc w:val="center"/>
              <w:rPr>
                <w:color w:val="auto"/>
                <w:sz w:val="18"/>
                <w:szCs w:val="18"/>
              </w:rPr>
            </w:pPr>
            <w:r>
              <w:rPr>
                <w:color w:val="auto"/>
                <w:sz w:val="18"/>
                <w:szCs w:val="18"/>
              </w:rPr>
              <w:t>壁厚允许偏差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Merge w:val="continue"/>
            <w:tcBorders>
              <w:top w:val="nil"/>
              <w:bottom w:val="nil"/>
              <w:right w:val="single" w:color="auto" w:sz="4" w:space="0"/>
            </w:tcBorders>
            <w:vAlign w:val="center"/>
          </w:tcPr>
          <w:p>
            <w:pPr>
              <w:jc w:val="center"/>
              <w:rPr>
                <w:color w:val="auto"/>
                <w:sz w:val="18"/>
                <w:szCs w:val="18"/>
              </w:rPr>
            </w:pPr>
          </w:p>
        </w:tc>
        <w:tc>
          <w:tcPr>
            <w:tcW w:w="5669" w:type="dxa"/>
            <w:gridSpan w:val="4"/>
            <w:tcBorders>
              <w:top w:val="single" w:color="auto" w:sz="2" w:space="0"/>
              <w:left w:val="single" w:color="auto" w:sz="4" w:space="0"/>
              <w:bottom w:val="single" w:color="auto" w:sz="2" w:space="0"/>
            </w:tcBorders>
            <w:vAlign w:val="center"/>
          </w:tcPr>
          <w:p>
            <w:pPr>
              <w:jc w:val="center"/>
              <w:rPr>
                <w:color w:val="auto"/>
                <w:sz w:val="18"/>
                <w:szCs w:val="18"/>
              </w:rPr>
            </w:pPr>
            <w:r>
              <w:rPr>
                <w:color w:val="auto"/>
                <w:sz w:val="18"/>
                <w:szCs w:val="18"/>
              </w:rPr>
              <w:t>平均壁厚与公称壁厚的允许偏差</w:t>
            </w:r>
          </w:p>
        </w:tc>
        <w:tc>
          <w:tcPr>
            <w:tcW w:w="1760" w:type="dxa"/>
            <w:vMerge w:val="restart"/>
            <w:tcBorders>
              <w:top w:val="single" w:color="auto" w:sz="2" w:space="0"/>
              <w:bottom w:val="single" w:color="auto" w:sz="12" w:space="0"/>
            </w:tcBorders>
            <w:vAlign w:val="center"/>
          </w:tcPr>
          <w:p>
            <w:pPr>
              <w:jc w:val="center"/>
              <w:rPr>
                <w:color w:val="auto"/>
                <w:sz w:val="18"/>
                <w:szCs w:val="18"/>
              </w:rPr>
            </w:pPr>
            <w:r>
              <w:rPr>
                <w:color w:val="auto"/>
                <w:sz w:val="18"/>
                <w:szCs w:val="18"/>
              </w:rPr>
              <w:t>任一点处壁厚与平均壁厚的允许偏差（厚度不均度）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Merge w:val="continue"/>
            <w:tcBorders>
              <w:top w:val="nil"/>
              <w:bottom w:val="nil"/>
              <w:right w:val="single" w:color="auto" w:sz="4" w:space="0"/>
            </w:tcBorders>
            <w:vAlign w:val="center"/>
          </w:tcPr>
          <w:p>
            <w:pPr>
              <w:jc w:val="center"/>
              <w:rPr>
                <w:color w:val="auto"/>
                <w:sz w:val="18"/>
                <w:szCs w:val="18"/>
              </w:rPr>
            </w:pPr>
          </w:p>
        </w:tc>
        <w:tc>
          <w:tcPr>
            <w:tcW w:w="5669" w:type="dxa"/>
            <w:gridSpan w:val="4"/>
            <w:tcBorders>
              <w:top w:val="single" w:color="auto" w:sz="2" w:space="0"/>
              <w:left w:val="single" w:color="auto" w:sz="4" w:space="0"/>
              <w:bottom w:val="single" w:color="auto" w:sz="2" w:space="0"/>
            </w:tcBorders>
            <w:vAlign w:val="center"/>
          </w:tcPr>
          <w:p>
            <w:pPr>
              <w:jc w:val="center"/>
              <w:rPr>
                <w:color w:val="auto"/>
                <w:sz w:val="18"/>
                <w:szCs w:val="18"/>
              </w:rPr>
            </w:pPr>
            <w:r>
              <w:rPr>
                <w:color w:val="auto"/>
                <w:sz w:val="18"/>
                <w:szCs w:val="18"/>
              </w:rPr>
              <w:t>公称外径</w:t>
            </w:r>
          </w:p>
        </w:tc>
        <w:tc>
          <w:tcPr>
            <w:tcW w:w="1760" w:type="dxa"/>
            <w:vMerge w:val="continue"/>
            <w:tcBorders>
              <w:top w:val="single" w:color="auto" w:sz="2" w:space="0"/>
              <w:bottom w:val="single" w:color="auto" w:sz="12" w:space="0"/>
            </w:tcBorders>
            <w:vAlign w:val="center"/>
          </w:tcPr>
          <w:p>
            <w:pPr>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Merge w:val="continue"/>
            <w:tcBorders>
              <w:top w:val="nil"/>
              <w:bottom w:val="single" w:color="auto" w:sz="12" w:space="0"/>
              <w:right w:val="single" w:color="auto" w:sz="4" w:space="0"/>
            </w:tcBorders>
            <w:vAlign w:val="center"/>
          </w:tcPr>
          <w:p>
            <w:pPr>
              <w:jc w:val="center"/>
              <w:rPr>
                <w:color w:val="auto"/>
                <w:sz w:val="18"/>
                <w:szCs w:val="18"/>
              </w:rPr>
            </w:pPr>
          </w:p>
        </w:tc>
        <w:tc>
          <w:tcPr>
            <w:tcW w:w="1025" w:type="dxa"/>
            <w:tcBorders>
              <w:top w:val="single" w:color="auto" w:sz="2" w:space="0"/>
              <w:left w:val="single" w:color="auto" w:sz="4" w:space="0"/>
              <w:bottom w:val="single" w:color="auto" w:sz="12" w:space="0"/>
            </w:tcBorders>
            <w:vAlign w:val="center"/>
          </w:tcPr>
          <w:p>
            <w:pPr>
              <w:jc w:val="center"/>
              <w:rPr>
                <w:color w:val="auto"/>
                <w:sz w:val="18"/>
                <w:szCs w:val="18"/>
              </w:rPr>
            </w:pPr>
            <w:r>
              <w:rPr>
                <w:color w:val="auto"/>
                <w:sz w:val="18"/>
                <w:szCs w:val="18"/>
              </w:rPr>
              <w:t>≤30.00</w:t>
            </w:r>
          </w:p>
        </w:tc>
        <w:tc>
          <w:tcPr>
            <w:tcW w:w="1762" w:type="dxa"/>
            <w:tcBorders>
              <w:top w:val="single" w:color="auto" w:sz="2" w:space="0"/>
              <w:bottom w:val="single" w:color="auto" w:sz="12" w:space="0"/>
            </w:tcBorders>
            <w:vAlign w:val="center"/>
          </w:tcPr>
          <w:p>
            <w:pPr>
              <w:jc w:val="center"/>
              <w:rPr>
                <w:color w:val="auto"/>
                <w:sz w:val="18"/>
                <w:szCs w:val="18"/>
              </w:rPr>
            </w:pPr>
            <w:r>
              <w:rPr>
                <w:color w:val="auto"/>
                <w:sz w:val="18"/>
                <w:szCs w:val="18"/>
              </w:rPr>
              <w:t>＞30.00～80.00</w:t>
            </w:r>
          </w:p>
        </w:tc>
        <w:tc>
          <w:tcPr>
            <w:tcW w:w="1763" w:type="dxa"/>
            <w:tcBorders>
              <w:top w:val="single" w:color="auto" w:sz="2" w:space="0"/>
              <w:bottom w:val="single" w:color="auto" w:sz="12" w:space="0"/>
            </w:tcBorders>
            <w:vAlign w:val="center"/>
          </w:tcPr>
          <w:p>
            <w:pPr>
              <w:jc w:val="center"/>
              <w:rPr>
                <w:color w:val="auto"/>
                <w:sz w:val="18"/>
                <w:szCs w:val="18"/>
              </w:rPr>
            </w:pPr>
            <w:r>
              <w:rPr>
                <w:color w:val="auto"/>
                <w:sz w:val="18"/>
                <w:szCs w:val="18"/>
              </w:rPr>
              <w:t>＞80.00～130.00</w:t>
            </w:r>
          </w:p>
        </w:tc>
        <w:tc>
          <w:tcPr>
            <w:tcW w:w="1119" w:type="dxa"/>
            <w:tcBorders>
              <w:top w:val="single" w:color="auto" w:sz="2" w:space="0"/>
              <w:bottom w:val="single" w:color="auto" w:sz="12" w:space="0"/>
            </w:tcBorders>
            <w:vAlign w:val="center"/>
          </w:tcPr>
          <w:p>
            <w:pPr>
              <w:jc w:val="center"/>
              <w:rPr>
                <w:color w:val="auto"/>
                <w:sz w:val="18"/>
                <w:szCs w:val="18"/>
              </w:rPr>
            </w:pPr>
            <w:r>
              <w:rPr>
                <w:color w:val="auto"/>
                <w:sz w:val="18"/>
                <w:szCs w:val="18"/>
              </w:rPr>
              <w:t>＞130.00</w:t>
            </w:r>
          </w:p>
        </w:tc>
        <w:tc>
          <w:tcPr>
            <w:tcW w:w="1760" w:type="dxa"/>
            <w:vMerge w:val="continue"/>
            <w:tcBorders>
              <w:top w:val="single" w:color="auto" w:sz="12" w:space="0"/>
              <w:bottom w:val="single" w:color="auto" w:sz="12" w:space="0"/>
            </w:tcBorders>
            <w:vAlign w:val="center"/>
          </w:tcPr>
          <w:p>
            <w:pPr>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tcBorders>
              <w:top w:val="single" w:color="auto" w:sz="12" w:space="0"/>
            </w:tcBorders>
            <w:vAlign w:val="center"/>
          </w:tcPr>
          <w:p>
            <w:pPr>
              <w:jc w:val="center"/>
              <w:rPr>
                <w:color w:val="auto"/>
                <w:sz w:val="18"/>
                <w:szCs w:val="18"/>
              </w:rPr>
            </w:pPr>
            <w:r>
              <w:rPr>
                <w:color w:val="auto"/>
                <w:sz w:val="18"/>
                <w:szCs w:val="18"/>
              </w:rPr>
              <w:t>5.00～6.00</w:t>
            </w:r>
          </w:p>
        </w:tc>
        <w:tc>
          <w:tcPr>
            <w:tcW w:w="1025" w:type="dxa"/>
            <w:tcBorders>
              <w:top w:val="single" w:color="auto" w:sz="12" w:space="0"/>
            </w:tcBorders>
            <w:vAlign w:val="center"/>
          </w:tcPr>
          <w:p>
            <w:pPr>
              <w:jc w:val="center"/>
              <w:rPr>
                <w:color w:val="auto"/>
                <w:sz w:val="18"/>
                <w:szCs w:val="18"/>
              </w:rPr>
            </w:pPr>
            <w:r>
              <w:rPr>
                <w:color w:val="auto"/>
                <w:sz w:val="18"/>
                <w:szCs w:val="18"/>
              </w:rPr>
              <w:t>±0.20</w:t>
            </w:r>
          </w:p>
        </w:tc>
        <w:tc>
          <w:tcPr>
            <w:tcW w:w="1762" w:type="dxa"/>
            <w:tcBorders>
              <w:top w:val="single" w:color="auto" w:sz="12" w:space="0"/>
            </w:tcBorders>
            <w:vAlign w:val="center"/>
          </w:tcPr>
          <w:p>
            <w:pPr>
              <w:jc w:val="center"/>
              <w:rPr>
                <w:color w:val="auto"/>
                <w:sz w:val="18"/>
                <w:szCs w:val="18"/>
              </w:rPr>
            </w:pPr>
            <w:r>
              <w:rPr>
                <w:color w:val="auto"/>
                <w:sz w:val="18"/>
                <w:szCs w:val="18"/>
              </w:rPr>
              <w:t>±0.20</w:t>
            </w:r>
          </w:p>
        </w:tc>
        <w:tc>
          <w:tcPr>
            <w:tcW w:w="1763" w:type="dxa"/>
            <w:tcBorders>
              <w:top w:val="single" w:color="auto" w:sz="12" w:space="0"/>
            </w:tcBorders>
            <w:vAlign w:val="center"/>
          </w:tcPr>
          <w:p>
            <w:pPr>
              <w:jc w:val="center"/>
              <w:rPr>
                <w:color w:val="auto"/>
                <w:sz w:val="18"/>
                <w:szCs w:val="18"/>
              </w:rPr>
            </w:pPr>
            <w:r>
              <w:rPr>
                <w:color w:val="auto"/>
                <w:sz w:val="18"/>
                <w:szCs w:val="18"/>
              </w:rPr>
              <w:t>±0.32</w:t>
            </w:r>
          </w:p>
        </w:tc>
        <w:tc>
          <w:tcPr>
            <w:tcW w:w="1119" w:type="dxa"/>
            <w:tcBorders>
              <w:top w:val="single" w:color="auto" w:sz="12" w:space="0"/>
            </w:tcBorders>
            <w:vAlign w:val="center"/>
          </w:tcPr>
          <w:p>
            <w:pPr>
              <w:jc w:val="center"/>
              <w:rPr>
                <w:color w:val="auto"/>
                <w:sz w:val="18"/>
                <w:szCs w:val="18"/>
              </w:rPr>
            </w:pPr>
            <w:r>
              <w:rPr>
                <w:color w:val="auto"/>
                <w:sz w:val="18"/>
                <w:szCs w:val="18"/>
              </w:rPr>
              <w:t>±0.46</w:t>
            </w:r>
          </w:p>
        </w:tc>
        <w:tc>
          <w:tcPr>
            <w:tcW w:w="1760" w:type="dxa"/>
            <w:vMerge w:val="restart"/>
            <w:tcBorders>
              <w:top w:val="single" w:color="auto" w:sz="12" w:space="0"/>
            </w:tcBorders>
            <w:vAlign w:val="center"/>
          </w:tcPr>
          <w:p>
            <w:pPr>
              <w:jc w:val="center"/>
              <w:rPr>
                <w:color w:val="auto"/>
                <w:sz w:val="18"/>
                <w:szCs w:val="18"/>
              </w:rPr>
            </w:pPr>
            <w:r>
              <w:rPr>
                <w:color w:val="auto"/>
                <w:sz w:val="18"/>
                <w:szCs w:val="18"/>
              </w:rPr>
              <w:t>平均厚度的±8%</w:t>
            </w:r>
          </w:p>
          <w:p>
            <w:pPr>
              <w:jc w:val="center"/>
              <w:rPr>
                <w:color w:val="auto"/>
                <w:sz w:val="18"/>
                <w:szCs w:val="18"/>
              </w:rPr>
            </w:pPr>
            <w:r>
              <w:rPr>
                <w:color w:val="auto"/>
                <w:sz w:val="18"/>
                <w:szCs w:val="18"/>
              </w:rPr>
              <w:t>最大值：±1.40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Align w:val="center"/>
          </w:tcPr>
          <w:p>
            <w:pPr>
              <w:jc w:val="center"/>
              <w:rPr>
                <w:color w:val="auto"/>
                <w:sz w:val="18"/>
                <w:szCs w:val="18"/>
              </w:rPr>
            </w:pPr>
            <w:r>
              <w:rPr>
                <w:color w:val="auto"/>
                <w:sz w:val="18"/>
                <w:szCs w:val="18"/>
              </w:rPr>
              <w:t>＞6.00～10.00</w:t>
            </w:r>
          </w:p>
        </w:tc>
        <w:tc>
          <w:tcPr>
            <w:tcW w:w="1025" w:type="dxa"/>
            <w:vAlign w:val="center"/>
          </w:tcPr>
          <w:p>
            <w:pPr>
              <w:jc w:val="center"/>
              <w:rPr>
                <w:color w:val="auto"/>
                <w:sz w:val="18"/>
                <w:szCs w:val="18"/>
              </w:rPr>
            </w:pPr>
            <w:r>
              <w:rPr>
                <w:color w:val="auto"/>
                <w:sz w:val="18"/>
                <w:szCs w:val="18"/>
              </w:rPr>
              <w:t>±0.24</w:t>
            </w:r>
          </w:p>
        </w:tc>
        <w:tc>
          <w:tcPr>
            <w:tcW w:w="1762" w:type="dxa"/>
            <w:vAlign w:val="center"/>
          </w:tcPr>
          <w:p>
            <w:pPr>
              <w:jc w:val="center"/>
              <w:rPr>
                <w:color w:val="auto"/>
                <w:sz w:val="18"/>
                <w:szCs w:val="18"/>
              </w:rPr>
            </w:pPr>
            <w:r>
              <w:rPr>
                <w:color w:val="auto"/>
                <w:sz w:val="18"/>
                <w:szCs w:val="18"/>
              </w:rPr>
              <w:t>±0.26</w:t>
            </w:r>
          </w:p>
        </w:tc>
        <w:tc>
          <w:tcPr>
            <w:tcW w:w="1763" w:type="dxa"/>
            <w:vAlign w:val="center"/>
          </w:tcPr>
          <w:p>
            <w:pPr>
              <w:jc w:val="center"/>
              <w:rPr>
                <w:color w:val="auto"/>
                <w:sz w:val="18"/>
                <w:szCs w:val="18"/>
              </w:rPr>
            </w:pPr>
            <w:r>
              <w:rPr>
                <w:color w:val="auto"/>
                <w:sz w:val="18"/>
                <w:szCs w:val="18"/>
              </w:rPr>
              <w:t>±0.38</w:t>
            </w:r>
          </w:p>
        </w:tc>
        <w:tc>
          <w:tcPr>
            <w:tcW w:w="1119" w:type="dxa"/>
            <w:vAlign w:val="center"/>
          </w:tcPr>
          <w:p>
            <w:pPr>
              <w:jc w:val="center"/>
              <w:rPr>
                <w:color w:val="auto"/>
                <w:sz w:val="18"/>
                <w:szCs w:val="18"/>
              </w:rPr>
            </w:pPr>
            <w:r>
              <w:rPr>
                <w:color w:val="auto"/>
                <w:sz w:val="18"/>
                <w:szCs w:val="18"/>
              </w:rPr>
              <w:t>±0.60</w:t>
            </w:r>
          </w:p>
        </w:tc>
        <w:tc>
          <w:tcPr>
            <w:tcW w:w="1760" w:type="dxa"/>
            <w:vMerge w:val="continue"/>
            <w:vAlign w:val="center"/>
          </w:tcPr>
          <w:p>
            <w:pPr>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Align w:val="center"/>
          </w:tcPr>
          <w:p>
            <w:pPr>
              <w:jc w:val="center"/>
              <w:rPr>
                <w:color w:val="auto"/>
                <w:sz w:val="18"/>
                <w:szCs w:val="18"/>
              </w:rPr>
            </w:pPr>
            <w:r>
              <w:rPr>
                <w:color w:val="auto"/>
                <w:sz w:val="18"/>
                <w:szCs w:val="18"/>
              </w:rPr>
              <w:t>＞10.00～12.00</w:t>
            </w:r>
          </w:p>
        </w:tc>
        <w:tc>
          <w:tcPr>
            <w:tcW w:w="1025" w:type="dxa"/>
            <w:vAlign w:val="center"/>
          </w:tcPr>
          <w:p>
            <w:pPr>
              <w:jc w:val="center"/>
              <w:rPr>
                <w:color w:val="auto"/>
                <w:sz w:val="18"/>
                <w:szCs w:val="18"/>
              </w:rPr>
            </w:pPr>
            <w:r>
              <w:rPr>
                <w:color w:val="auto"/>
                <w:sz w:val="18"/>
                <w:szCs w:val="18"/>
              </w:rPr>
              <w:t>—</w:t>
            </w:r>
          </w:p>
        </w:tc>
        <w:tc>
          <w:tcPr>
            <w:tcW w:w="1762" w:type="dxa"/>
            <w:vAlign w:val="center"/>
          </w:tcPr>
          <w:p>
            <w:pPr>
              <w:jc w:val="center"/>
              <w:rPr>
                <w:color w:val="auto"/>
                <w:sz w:val="18"/>
                <w:szCs w:val="18"/>
              </w:rPr>
            </w:pPr>
            <w:r>
              <w:rPr>
                <w:color w:val="auto"/>
                <w:sz w:val="18"/>
                <w:szCs w:val="18"/>
              </w:rPr>
              <w:t>±0.34</w:t>
            </w:r>
          </w:p>
        </w:tc>
        <w:tc>
          <w:tcPr>
            <w:tcW w:w="1763" w:type="dxa"/>
            <w:vAlign w:val="center"/>
          </w:tcPr>
          <w:p>
            <w:pPr>
              <w:jc w:val="center"/>
              <w:rPr>
                <w:color w:val="auto"/>
                <w:sz w:val="18"/>
                <w:szCs w:val="18"/>
              </w:rPr>
            </w:pPr>
            <w:r>
              <w:rPr>
                <w:color w:val="auto"/>
                <w:sz w:val="18"/>
                <w:szCs w:val="18"/>
              </w:rPr>
              <w:t>±0.48</w:t>
            </w:r>
          </w:p>
        </w:tc>
        <w:tc>
          <w:tcPr>
            <w:tcW w:w="1119" w:type="dxa"/>
            <w:vAlign w:val="center"/>
          </w:tcPr>
          <w:p>
            <w:pPr>
              <w:jc w:val="center"/>
              <w:rPr>
                <w:color w:val="auto"/>
                <w:sz w:val="18"/>
                <w:szCs w:val="18"/>
              </w:rPr>
            </w:pPr>
            <w:r>
              <w:rPr>
                <w:color w:val="auto"/>
                <w:sz w:val="18"/>
                <w:szCs w:val="18"/>
              </w:rPr>
              <w:t>±0.78</w:t>
            </w:r>
          </w:p>
        </w:tc>
        <w:tc>
          <w:tcPr>
            <w:tcW w:w="1760" w:type="dxa"/>
            <w:vMerge w:val="continue"/>
            <w:vAlign w:val="center"/>
          </w:tcPr>
          <w:p>
            <w:pPr>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460" w:type="dxa"/>
            <w:vAlign w:val="center"/>
          </w:tcPr>
          <w:p>
            <w:pPr>
              <w:jc w:val="center"/>
              <w:rPr>
                <w:color w:val="auto"/>
                <w:sz w:val="18"/>
                <w:szCs w:val="18"/>
              </w:rPr>
            </w:pPr>
            <w:r>
              <w:rPr>
                <w:color w:val="auto"/>
                <w:sz w:val="18"/>
                <w:szCs w:val="18"/>
              </w:rPr>
              <w:t>＞12.00～20.00</w:t>
            </w:r>
          </w:p>
        </w:tc>
        <w:tc>
          <w:tcPr>
            <w:tcW w:w="1025" w:type="dxa"/>
            <w:vAlign w:val="center"/>
          </w:tcPr>
          <w:p>
            <w:pPr>
              <w:jc w:val="center"/>
              <w:rPr>
                <w:color w:val="auto"/>
                <w:sz w:val="18"/>
                <w:szCs w:val="18"/>
              </w:rPr>
            </w:pPr>
            <w:r>
              <w:rPr>
                <w:color w:val="auto"/>
                <w:sz w:val="18"/>
                <w:szCs w:val="18"/>
              </w:rPr>
              <w:t>—</w:t>
            </w:r>
          </w:p>
        </w:tc>
        <w:tc>
          <w:tcPr>
            <w:tcW w:w="1762" w:type="dxa"/>
            <w:vAlign w:val="center"/>
          </w:tcPr>
          <w:p>
            <w:pPr>
              <w:jc w:val="center"/>
              <w:rPr>
                <w:color w:val="auto"/>
                <w:sz w:val="18"/>
                <w:szCs w:val="18"/>
              </w:rPr>
            </w:pPr>
            <w:r>
              <w:rPr>
                <w:color w:val="auto"/>
                <w:sz w:val="18"/>
                <w:szCs w:val="18"/>
              </w:rPr>
              <w:t>±0.38</w:t>
            </w:r>
          </w:p>
        </w:tc>
        <w:tc>
          <w:tcPr>
            <w:tcW w:w="1763" w:type="dxa"/>
            <w:vAlign w:val="center"/>
          </w:tcPr>
          <w:p>
            <w:pPr>
              <w:jc w:val="center"/>
              <w:rPr>
                <w:color w:val="auto"/>
                <w:sz w:val="18"/>
                <w:szCs w:val="18"/>
              </w:rPr>
            </w:pPr>
            <w:r>
              <w:rPr>
                <w:color w:val="auto"/>
                <w:sz w:val="18"/>
                <w:szCs w:val="18"/>
              </w:rPr>
              <w:t>±0.66</w:t>
            </w:r>
          </w:p>
        </w:tc>
        <w:tc>
          <w:tcPr>
            <w:tcW w:w="1119" w:type="dxa"/>
            <w:vAlign w:val="center"/>
          </w:tcPr>
          <w:p>
            <w:pPr>
              <w:jc w:val="center"/>
              <w:rPr>
                <w:color w:val="auto"/>
                <w:sz w:val="18"/>
                <w:szCs w:val="18"/>
              </w:rPr>
            </w:pPr>
            <w:r>
              <w:rPr>
                <w:color w:val="auto"/>
                <w:sz w:val="18"/>
                <w:szCs w:val="18"/>
              </w:rPr>
              <w:t>±1.0</w:t>
            </w:r>
          </w:p>
        </w:tc>
        <w:tc>
          <w:tcPr>
            <w:tcW w:w="1760" w:type="dxa"/>
            <w:vMerge w:val="continue"/>
            <w:vAlign w:val="center"/>
          </w:tcPr>
          <w:p>
            <w:pPr>
              <w:jc w:val="center"/>
              <w:rPr>
                <w:color w:val="auto"/>
                <w:sz w:val="18"/>
                <w:szCs w:val="18"/>
              </w:rPr>
            </w:pPr>
          </w:p>
        </w:tc>
      </w:tr>
    </w:tbl>
    <w:p>
      <w:pPr>
        <w:pStyle w:val="15"/>
        <w:keepNext w:val="0"/>
        <w:keepLines w:val="0"/>
        <w:pageBreakBefore w:val="0"/>
        <w:widowControl/>
        <w:numPr>
          <w:ilvl w:val="3"/>
          <w:numId w:val="0"/>
        </w:numPr>
        <w:kinsoku/>
        <w:wordWrap/>
        <w:overflowPunct/>
        <w:topLinePunct w:val="0"/>
        <w:autoSpaceDE/>
        <w:autoSpaceDN/>
        <w:bidi w:val="0"/>
        <w:adjustRightInd/>
        <w:snapToGrid/>
        <w:spacing w:beforeLines="0" w:afterLines="0" w:line="240" w:lineRule="auto"/>
        <w:ind w:leftChars="0"/>
        <w:textAlignment w:val="auto"/>
        <w:outlineLvl w:val="3"/>
        <w:rPr>
          <w:rFonts w:hint="default" w:ascii="Times New Roman" w:hAnsi="Times New Roman" w:eastAsia="宋体" w:cs="Times New Roman"/>
          <w:color w:val="auto"/>
          <w:shd w:val="clear" w:color="auto" w:fill="FFFFFF"/>
        </w:rPr>
      </w:pP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rPr>
      </w:pPr>
      <w:r>
        <w:rPr>
          <w:rFonts w:hint="default" w:ascii="Times New Roman" w:hAnsi="Times New Roman" w:eastAsia="宋体" w:cs="Times New Roman"/>
          <w:color w:val="auto"/>
          <w:shd w:val="clear" w:color="auto" w:fill="FFFFFF"/>
          <w:lang w:val="en-US" w:eastAsia="zh-CN"/>
        </w:rPr>
        <w:t>长度允许偏差、切斜度、弯曲度应符合GB/T 4436-2012高精级的规定。</w:t>
      </w:r>
    </w:p>
    <w:p>
      <w:pPr>
        <w:pStyle w:val="49"/>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ind w:firstLineChars="0"/>
        <w:textAlignment w:val="auto"/>
        <w:outlineLvl w:val="2"/>
        <w:rPr>
          <w:rFonts w:eastAsia="黑体"/>
          <w:color w:val="auto"/>
          <w:szCs w:val="22"/>
        </w:rPr>
      </w:pPr>
      <w:r>
        <w:rPr>
          <w:rFonts w:eastAsia="黑体"/>
          <w:color w:val="auto"/>
        </w:rPr>
        <w:t>力学性能</w:t>
      </w:r>
    </w:p>
    <w:p>
      <w:pPr>
        <w:pStyle w:val="15"/>
        <w:keepNext w:val="0"/>
        <w:keepLines w:val="0"/>
        <w:pageBreakBefore w:val="0"/>
        <w:widowControl/>
        <w:numPr>
          <w:ilvl w:val="3"/>
          <w:numId w:val="4"/>
        </w:numPr>
        <w:kinsoku/>
        <w:wordWrap/>
        <w:overflowPunct/>
        <w:topLinePunct w:val="0"/>
        <w:autoSpaceDE/>
        <w:autoSpaceDN/>
        <w:bidi w:val="0"/>
        <w:adjustRightInd/>
        <w:snapToGrid/>
        <w:spacing w:before="156" w:beforeLines="50" w:after="156" w:afterLines="50" w:line="240" w:lineRule="auto"/>
        <w:textAlignment w:val="auto"/>
        <w:outlineLvl w:val="3"/>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室温拉伸力学性能</w:t>
      </w:r>
    </w:p>
    <w:p>
      <w:pPr>
        <w:keepNext w:val="0"/>
        <w:keepLines w:val="0"/>
        <w:pageBreakBefore w:val="0"/>
        <w:kinsoku/>
        <w:wordWrap/>
        <w:overflowPunct/>
        <w:topLinePunct w:val="0"/>
        <w:autoSpaceDE/>
        <w:autoSpaceDN/>
        <w:bidi w:val="0"/>
        <w:adjustRightInd w:val="0"/>
        <w:snapToGrid w:val="0"/>
        <w:spacing w:line="240" w:lineRule="auto"/>
        <w:ind w:firstLine="420"/>
        <w:textAlignment w:val="auto"/>
        <w:rPr>
          <w:color w:val="auto"/>
        </w:rPr>
      </w:pPr>
      <w:r>
        <w:rPr>
          <w:color w:val="auto"/>
        </w:rPr>
        <w:t>管材的室温纵向拉伸力学性能应符合表4的规定。</w:t>
      </w:r>
    </w:p>
    <w:p>
      <w:pPr>
        <w:pStyle w:val="18"/>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eastAsia="黑体" w:cs="Times New Roman"/>
          <w:color w:val="auto"/>
          <w:shd w:val="clear" w:color="auto" w:fill="FFFFFF"/>
        </w:rPr>
        <w:t>表4 室温纵向拉伸力学性能</w:t>
      </w:r>
    </w:p>
    <w:tbl>
      <w:tblPr>
        <w:tblStyle w:val="13"/>
        <w:tblW w:w="957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5"/>
        <w:gridCol w:w="1595"/>
        <w:gridCol w:w="1595"/>
        <w:gridCol w:w="1595"/>
        <w:gridCol w:w="1889"/>
        <w:gridCol w:w="1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exact"/>
          <w:jc w:val="center"/>
        </w:trPr>
        <w:tc>
          <w:tcPr>
            <w:tcW w:w="1595" w:type="dxa"/>
            <w:vMerge w:val="restart"/>
            <w:tcBorders>
              <w:top w:val="single" w:color="auto" w:sz="12" w:space="0"/>
              <w:left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合金牌号</w:t>
            </w:r>
          </w:p>
        </w:tc>
        <w:tc>
          <w:tcPr>
            <w:tcW w:w="1595" w:type="dxa"/>
            <w:vMerge w:val="restart"/>
            <w:tcBorders>
              <w:top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状态</w:t>
            </w:r>
          </w:p>
        </w:tc>
        <w:tc>
          <w:tcPr>
            <w:tcW w:w="1595" w:type="dxa"/>
            <w:vMerge w:val="restart"/>
            <w:tcBorders>
              <w:top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壁厚</w:t>
            </w:r>
          </w:p>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mm</w:t>
            </w:r>
          </w:p>
        </w:tc>
        <w:tc>
          <w:tcPr>
            <w:tcW w:w="1595" w:type="dxa"/>
            <w:tcBorders>
              <w:top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抗拉强度</w:t>
            </w:r>
          </w:p>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i/>
                <w:color w:val="auto"/>
                <w:sz w:val="18"/>
                <w:szCs w:val="18"/>
                <w:shd w:val="clear" w:color="auto" w:fill="FFFFFF"/>
                <w:vertAlign w:val="subscript"/>
              </w:rPr>
            </w:pPr>
            <w:r>
              <w:rPr>
                <w:rFonts w:hint="default" w:ascii="Times New Roman" w:hAnsi="Times New Roman" w:cs="Times New Roman"/>
                <w:i w:val="0"/>
                <w:iCs/>
                <w:color w:val="auto"/>
                <w:sz w:val="18"/>
                <w:szCs w:val="18"/>
                <w:shd w:val="clear" w:color="auto" w:fill="FFFFFF"/>
              </w:rPr>
              <w:t>R</w:t>
            </w:r>
            <w:r>
              <w:rPr>
                <w:rFonts w:hint="default" w:ascii="Times New Roman" w:hAnsi="Times New Roman" w:cs="Times New Roman"/>
                <w:i w:val="0"/>
                <w:iCs/>
                <w:color w:val="auto"/>
                <w:sz w:val="18"/>
                <w:szCs w:val="18"/>
                <w:shd w:val="clear" w:color="auto" w:fill="FFFFFF"/>
                <w:vertAlign w:val="subscript"/>
              </w:rPr>
              <w:t>m</w:t>
            </w:r>
          </w:p>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MPa</w:t>
            </w:r>
          </w:p>
        </w:tc>
        <w:tc>
          <w:tcPr>
            <w:tcW w:w="1889" w:type="dxa"/>
            <w:tcBorders>
              <w:top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规定非比例延伸强度</w:t>
            </w:r>
          </w:p>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eastAsiaTheme="minorEastAsia"/>
                <w:i w:val="0"/>
                <w:iCs/>
                <w:color w:val="auto"/>
                <w:sz w:val="18"/>
                <w:szCs w:val="18"/>
              </w:rPr>
            </w:pPr>
            <w:r>
              <w:rPr>
                <w:rFonts w:hint="default" w:ascii="Times New Roman" w:hAnsi="Times New Roman" w:cs="Times New Roman" w:eastAsiaTheme="minorEastAsia"/>
                <w:i w:val="0"/>
                <w:iCs/>
                <w:color w:val="auto"/>
                <w:sz w:val="18"/>
                <w:szCs w:val="18"/>
              </w:rPr>
              <w:t>R</w:t>
            </w:r>
            <w:r>
              <w:rPr>
                <w:rFonts w:hint="default" w:ascii="Times New Roman" w:hAnsi="Times New Roman" w:cs="Times New Roman" w:eastAsiaTheme="minorEastAsia"/>
                <w:i w:val="0"/>
                <w:iCs/>
                <w:color w:val="auto"/>
                <w:sz w:val="18"/>
                <w:szCs w:val="18"/>
                <w:vertAlign w:val="subscript"/>
              </w:rPr>
              <w:t>p0.2</w:t>
            </w:r>
          </w:p>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rPr>
              <w:t>MPa</w:t>
            </w:r>
          </w:p>
        </w:tc>
        <w:tc>
          <w:tcPr>
            <w:tcW w:w="1301" w:type="dxa"/>
            <w:tcBorders>
              <w:top w:val="single" w:color="auto" w:sz="12" w:space="0"/>
              <w:right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断后伸长率</w:t>
            </w:r>
          </w:p>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A</w:t>
            </w:r>
          </w:p>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vMerge w:val="continue"/>
            <w:tcBorders>
              <w:left w:val="single" w:color="auto" w:sz="12" w:space="0"/>
              <w:bottom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p>
        </w:tc>
        <w:tc>
          <w:tcPr>
            <w:tcW w:w="1595" w:type="dxa"/>
            <w:vMerge w:val="continue"/>
            <w:tcBorders>
              <w:bottom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p>
        </w:tc>
        <w:tc>
          <w:tcPr>
            <w:tcW w:w="1595" w:type="dxa"/>
            <w:vMerge w:val="continue"/>
            <w:tcBorders>
              <w:bottom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p>
        </w:tc>
        <w:tc>
          <w:tcPr>
            <w:tcW w:w="4785" w:type="dxa"/>
            <w:gridSpan w:val="3"/>
            <w:tcBorders>
              <w:bottom w:val="single" w:color="auto" w:sz="12" w:space="0"/>
              <w:right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shd w:val="clear" w:color="auto" w:fill="FFFFFF"/>
              </w:rPr>
              <w:t>不小于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4032</w:t>
            </w:r>
          </w:p>
        </w:tc>
        <w:tc>
          <w:tcPr>
            <w:tcW w:w="1595" w:type="dxa"/>
            <w:tcBorders>
              <w:top w:val="single" w:color="auto" w:sz="12" w:space="0"/>
            </w:tcBorders>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r>
              <w:rPr>
                <w:rFonts w:hint="default" w:ascii="Times New Roman" w:hAnsi="Times New Roman" w:cs="Times New Roman"/>
                <w:color w:val="auto"/>
                <w:sz w:val="18"/>
                <w:szCs w:val="18"/>
              </w:rPr>
              <w:t>T6</w:t>
            </w:r>
          </w:p>
        </w:tc>
        <w:tc>
          <w:tcPr>
            <w:tcW w:w="1595" w:type="dxa"/>
            <w:tcBorders>
              <w:top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tcBorders>
              <w:top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380</w:t>
            </w:r>
          </w:p>
        </w:tc>
        <w:tc>
          <w:tcPr>
            <w:tcW w:w="1889" w:type="dxa"/>
            <w:tcBorders>
              <w:top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315</w:t>
            </w:r>
          </w:p>
        </w:tc>
        <w:tc>
          <w:tcPr>
            <w:tcW w:w="1301" w:type="dxa"/>
            <w:tcBorders>
              <w:top w:val="single" w:color="auto" w:sz="12" w:space="0"/>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4047</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295</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4A13</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305</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6061</w:t>
            </w:r>
          </w:p>
        </w:tc>
        <w:tc>
          <w:tcPr>
            <w:tcW w:w="15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6101A</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6A02</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295</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vMerge w:val="restart"/>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6063</w:t>
            </w:r>
          </w:p>
        </w:tc>
        <w:tc>
          <w:tcPr>
            <w:tcW w:w="1595" w:type="dxa"/>
            <w:vMerge w:val="restart"/>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vMerge w:val="continue"/>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p>
        </w:tc>
        <w:tc>
          <w:tcPr>
            <w:tcW w:w="1595" w:type="dxa"/>
            <w:vMerge w:val="continue"/>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＞10~2</w:t>
            </w:r>
            <w:r>
              <w:rPr>
                <w:rFonts w:hint="default" w:ascii="Times New Roman" w:hAnsi="Times New Roman" w:cs="Times New Roman"/>
                <w:color w:val="auto"/>
                <w:sz w:val="18"/>
                <w:szCs w:val="18"/>
                <w:lang w:val="en-US" w:eastAsia="zh-CN"/>
              </w:rPr>
              <w:t>0</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195</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6005</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255</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215</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6005A</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所有</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vMerge w:val="restart"/>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6063A</w:t>
            </w:r>
          </w:p>
        </w:tc>
        <w:tc>
          <w:tcPr>
            <w:tcW w:w="1595" w:type="dxa"/>
            <w:vMerge w:val="restart"/>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vMerge w:val="continue"/>
            <w:tcBorders>
              <w:left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p>
        </w:tc>
        <w:tc>
          <w:tcPr>
            <w:tcW w:w="1595" w:type="dxa"/>
            <w:vMerge w:val="continue"/>
            <w:vAlign w:val="center"/>
          </w:tcPr>
          <w:p>
            <w:pPr>
              <w:pStyle w:val="18"/>
              <w:keepNext w:val="0"/>
              <w:keepLines w:val="0"/>
              <w:pageBreakBefore w:val="0"/>
              <w:kinsoku/>
              <w:wordWrap/>
              <w:overflowPunct/>
              <w:topLinePunct w:val="0"/>
              <w:bidi w:val="0"/>
              <w:adjustRightInd/>
              <w:snapToGrid/>
              <w:ind w:firstLine="0" w:firstLineChars="0"/>
              <w:jc w:val="center"/>
              <w:textAlignment w:val="auto"/>
              <w:outlineLvl w:val="9"/>
              <w:rPr>
                <w:rFonts w:hint="default" w:ascii="Times New Roman" w:hAnsi="Times New Roman" w:cs="Times New Roman"/>
                <w:color w:val="auto"/>
                <w:sz w:val="18"/>
                <w:szCs w:val="18"/>
                <w:shd w:val="clear" w:color="auto" w:fill="FFFFFF"/>
              </w:rPr>
            </w:pP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＞10~2</w:t>
            </w:r>
            <w:r>
              <w:rPr>
                <w:rFonts w:hint="default" w:ascii="Times New Roman" w:hAnsi="Times New Roman" w:cs="Times New Roman"/>
                <w:color w:val="auto"/>
                <w:sz w:val="18"/>
                <w:szCs w:val="18"/>
                <w:lang w:val="en-US" w:eastAsia="zh-CN"/>
              </w:rPr>
              <w:t>0</w:t>
            </w:r>
          </w:p>
        </w:tc>
        <w:tc>
          <w:tcPr>
            <w:tcW w:w="1595"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220</w:t>
            </w:r>
          </w:p>
        </w:tc>
        <w:tc>
          <w:tcPr>
            <w:tcW w:w="1889" w:type="dxa"/>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180</w:t>
            </w:r>
          </w:p>
        </w:tc>
        <w:tc>
          <w:tcPr>
            <w:tcW w:w="1301" w:type="dxa"/>
            <w:tcBorders>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1595" w:type="dxa"/>
            <w:tcBorders>
              <w:left w:val="single" w:color="auto" w:sz="12" w:space="0"/>
              <w:bottom w:val="single" w:color="auto" w:sz="12" w:space="0"/>
            </w:tcBorders>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rPr>
              <w:t>6351</w:t>
            </w:r>
          </w:p>
        </w:tc>
        <w:tc>
          <w:tcPr>
            <w:tcW w:w="1595" w:type="dxa"/>
            <w:tcBorders>
              <w:bottom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T6</w:t>
            </w:r>
          </w:p>
        </w:tc>
        <w:tc>
          <w:tcPr>
            <w:tcW w:w="1595" w:type="dxa"/>
            <w:tcBorders>
              <w:bottom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w:t>
            </w:r>
            <w:r>
              <w:rPr>
                <w:rFonts w:hint="default" w:ascii="Times New Roman" w:hAnsi="Times New Roman" w:cs="Times New Roman"/>
                <w:color w:val="auto"/>
                <w:sz w:val="18"/>
                <w:szCs w:val="18"/>
                <w:lang w:val="en-US" w:eastAsia="zh-CN"/>
              </w:rPr>
              <w:t>0</w:t>
            </w:r>
          </w:p>
        </w:tc>
        <w:tc>
          <w:tcPr>
            <w:tcW w:w="1595" w:type="dxa"/>
            <w:tcBorders>
              <w:bottom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300</w:t>
            </w:r>
          </w:p>
        </w:tc>
        <w:tc>
          <w:tcPr>
            <w:tcW w:w="1889" w:type="dxa"/>
            <w:tcBorders>
              <w:bottom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255</w:t>
            </w:r>
          </w:p>
        </w:tc>
        <w:tc>
          <w:tcPr>
            <w:tcW w:w="1301" w:type="dxa"/>
            <w:tcBorders>
              <w:bottom w:val="single" w:color="auto" w:sz="12" w:space="0"/>
              <w:right w:val="single" w:color="auto" w:sz="12" w:space="0"/>
            </w:tcBorders>
            <w:vAlign w:val="center"/>
          </w:tcPr>
          <w:p>
            <w:pPr>
              <w:keepNext w:val="0"/>
              <w:keepLines w:val="0"/>
              <w:pageBreakBefore w:val="0"/>
              <w:kinsoku/>
              <w:wordWrap/>
              <w:overflowPunct/>
              <w:topLinePunct w:val="0"/>
              <w:bidi w:val="0"/>
              <w:adjustRightInd/>
              <w:snapToGrid/>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r>
    </w:tbl>
    <w:p>
      <w:pPr>
        <w:pStyle w:val="15"/>
        <w:keepNext w:val="0"/>
        <w:keepLines w:val="0"/>
        <w:pageBreakBefore w:val="0"/>
        <w:widowControl/>
        <w:numPr>
          <w:ilvl w:val="3"/>
          <w:numId w:val="0"/>
        </w:numPr>
        <w:kinsoku/>
        <w:wordWrap/>
        <w:overflowPunct/>
        <w:topLinePunct w:val="0"/>
        <w:autoSpaceDE/>
        <w:autoSpaceDN/>
        <w:bidi w:val="0"/>
        <w:adjustRightInd/>
        <w:snapToGrid/>
        <w:spacing w:beforeLines="0" w:afterLines="0"/>
        <w:ind w:leftChars="0"/>
        <w:textAlignment w:val="auto"/>
        <w:outlineLvl w:val="3"/>
        <w:rPr>
          <w:rFonts w:ascii="Times New Roman" w:hAnsi="Times New Roman" w:cs="Times New Roman"/>
          <w:color w:val="auto"/>
          <w:shd w:val="clear" w:color="auto" w:fill="FFFFFF"/>
        </w:rPr>
      </w:pP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156" w:afterLines="50"/>
        <w:textAlignment w:val="auto"/>
        <w:outlineLvl w:val="3"/>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高温拉伸力学性能</w:t>
      </w:r>
    </w:p>
    <w:p>
      <w:pPr>
        <w:adjustRightInd w:val="0"/>
        <w:snapToGrid w:val="0"/>
        <w:spacing w:line="276" w:lineRule="auto"/>
        <w:ind w:firstLine="420"/>
        <w:rPr>
          <w:color w:val="auto"/>
        </w:rPr>
      </w:pPr>
      <w:r>
        <w:rPr>
          <w:color w:val="auto"/>
        </w:rPr>
        <w:t>管材的高温纵向拉伸力学性能应符合表5的规定。</w:t>
      </w:r>
    </w:p>
    <w:p>
      <w:pPr>
        <w:pStyle w:val="18"/>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eastAsia="黑体" w:cs="Times New Roman"/>
          <w:color w:val="auto"/>
          <w:shd w:val="clear" w:color="auto" w:fill="FFFFFF"/>
        </w:rPr>
        <w:t>表5 高温纵向拉伸力学性能</w:t>
      </w:r>
    </w:p>
    <w:tbl>
      <w:tblPr>
        <w:tblStyle w:val="13"/>
        <w:tblW w:w="95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7"/>
        <w:gridCol w:w="1367"/>
        <w:gridCol w:w="1367"/>
        <w:gridCol w:w="1367"/>
        <w:gridCol w:w="939"/>
        <w:gridCol w:w="1887"/>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exact"/>
        </w:trPr>
        <w:tc>
          <w:tcPr>
            <w:tcW w:w="1367" w:type="dxa"/>
            <w:vMerge w:val="restart"/>
            <w:tcBorders>
              <w:top w:val="single" w:color="auto" w:sz="12" w:space="0"/>
              <w:left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cs="Times New Roman"/>
                <w:color w:val="auto"/>
                <w:sz w:val="18"/>
                <w:szCs w:val="18"/>
              </w:rPr>
              <w:t>合金牌号</w:t>
            </w:r>
          </w:p>
        </w:tc>
        <w:tc>
          <w:tcPr>
            <w:tcW w:w="1367" w:type="dxa"/>
            <w:vMerge w:val="restart"/>
            <w:tcBorders>
              <w:top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cs="Times New Roman"/>
                <w:color w:val="auto"/>
                <w:sz w:val="18"/>
                <w:szCs w:val="18"/>
              </w:rPr>
              <w:t>状态</w:t>
            </w:r>
          </w:p>
        </w:tc>
        <w:tc>
          <w:tcPr>
            <w:tcW w:w="1367" w:type="dxa"/>
            <w:vMerge w:val="restart"/>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壁厚</w:t>
            </w:r>
          </w:p>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cs="Times New Roman"/>
                <w:color w:val="auto"/>
                <w:sz w:val="18"/>
                <w:szCs w:val="18"/>
              </w:rPr>
              <w:t>mm</w:t>
            </w:r>
          </w:p>
        </w:tc>
        <w:tc>
          <w:tcPr>
            <w:tcW w:w="1367" w:type="dxa"/>
            <w:vMerge w:val="restart"/>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试验温度</w:t>
            </w:r>
          </w:p>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w:t>
            </w:r>
          </w:p>
        </w:tc>
        <w:tc>
          <w:tcPr>
            <w:tcW w:w="939"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抗拉强度</w:t>
            </w:r>
          </w:p>
          <w:p>
            <w:pPr>
              <w:keepNext w:val="0"/>
              <w:keepLines w:val="0"/>
              <w:pageBreakBefore w:val="0"/>
              <w:kinsoku/>
              <w:wordWrap/>
              <w:overflowPunct/>
              <w:topLinePunct w:val="0"/>
              <w:bidi w:val="0"/>
              <w:adjustRightInd/>
              <w:snapToGrid/>
              <w:spacing w:line="240" w:lineRule="auto"/>
              <w:jc w:val="center"/>
              <w:textAlignment w:val="auto"/>
              <w:outlineLvl w:val="9"/>
              <w:rPr>
                <w:i w:val="0"/>
                <w:iCs/>
                <w:color w:val="auto"/>
                <w:sz w:val="18"/>
                <w:szCs w:val="18"/>
              </w:rPr>
            </w:pPr>
            <w:r>
              <w:rPr>
                <w:i w:val="0"/>
                <w:iCs/>
                <w:color w:val="auto"/>
                <w:sz w:val="18"/>
                <w:szCs w:val="18"/>
              </w:rPr>
              <w:t>R</w:t>
            </w:r>
            <w:r>
              <w:rPr>
                <w:i w:val="0"/>
                <w:iCs/>
                <w:color w:val="auto"/>
                <w:sz w:val="18"/>
                <w:szCs w:val="18"/>
                <w:vertAlign w:val="subscript"/>
              </w:rPr>
              <w:t>m</w:t>
            </w:r>
          </w:p>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cs="Times New Roman"/>
                <w:color w:val="auto"/>
                <w:sz w:val="18"/>
                <w:szCs w:val="18"/>
              </w:rPr>
              <w:t>MPa</w:t>
            </w:r>
          </w:p>
        </w:tc>
        <w:tc>
          <w:tcPr>
            <w:tcW w:w="1887"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i w:val="0"/>
                <w:iCs/>
                <w:color w:val="auto"/>
                <w:sz w:val="18"/>
                <w:szCs w:val="18"/>
              </w:rPr>
            </w:pPr>
            <w:r>
              <w:rPr>
                <w:color w:val="auto"/>
                <w:sz w:val="18"/>
                <w:szCs w:val="18"/>
              </w:rPr>
              <w:t>规定非比例延伸强度</w:t>
            </w:r>
            <w:r>
              <w:rPr>
                <w:i w:val="0"/>
                <w:iCs/>
                <w:color w:val="auto"/>
                <w:sz w:val="18"/>
                <w:szCs w:val="18"/>
              </w:rPr>
              <w:t>R</w:t>
            </w:r>
            <w:r>
              <w:rPr>
                <w:i w:val="0"/>
                <w:iCs/>
                <w:color w:val="auto"/>
                <w:sz w:val="18"/>
                <w:szCs w:val="18"/>
                <w:vertAlign w:val="subscript"/>
              </w:rPr>
              <w:t>p0.2</w:t>
            </w:r>
          </w:p>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MPa</w:t>
            </w:r>
          </w:p>
        </w:tc>
        <w:tc>
          <w:tcPr>
            <w:tcW w:w="1276" w:type="dxa"/>
            <w:tcBorders>
              <w:top w:val="single" w:color="auto" w:sz="12" w:space="0"/>
              <w:right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断后伸长率</w:t>
            </w:r>
          </w:p>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A</w:t>
            </w:r>
          </w:p>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cs="Times New Roman"/>
                <w:color w:val="auto"/>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1367" w:type="dxa"/>
            <w:vMerge w:val="continue"/>
            <w:tcBorders>
              <w:left w:val="single" w:color="auto" w:sz="12" w:space="0"/>
              <w:bottom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p>
        </w:tc>
        <w:tc>
          <w:tcPr>
            <w:tcW w:w="1367" w:type="dxa"/>
            <w:vMerge w:val="continue"/>
            <w:tcBorders>
              <w:bottom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p>
        </w:tc>
        <w:tc>
          <w:tcPr>
            <w:tcW w:w="1367" w:type="dxa"/>
            <w:vMerge w:val="continue"/>
            <w:tcBorders>
              <w:bottom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p>
        </w:tc>
        <w:tc>
          <w:tcPr>
            <w:tcW w:w="1367" w:type="dxa"/>
            <w:vMerge w:val="continue"/>
            <w:tcBorders>
              <w:bottom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p>
        </w:tc>
        <w:tc>
          <w:tcPr>
            <w:tcW w:w="4102" w:type="dxa"/>
            <w:gridSpan w:val="3"/>
            <w:tcBorders>
              <w:bottom w:val="single" w:color="auto" w:sz="12" w:space="0"/>
              <w:right w:val="single" w:color="auto" w:sz="12" w:space="0"/>
            </w:tcBorders>
            <w:vAlign w:val="center"/>
          </w:tcPr>
          <w:p>
            <w:pPr>
              <w:pStyle w:val="18"/>
              <w:keepNext w:val="0"/>
              <w:keepLines w:val="0"/>
              <w:pageBreakBefore w:val="0"/>
              <w:kinsoku/>
              <w:wordWrap/>
              <w:overflowPunct/>
              <w:topLinePunct w:val="0"/>
              <w:bidi w:val="0"/>
              <w:adjustRightInd/>
              <w:snapToGrid/>
              <w:spacing w:line="240" w:lineRule="auto"/>
              <w:ind w:firstLine="0" w:firstLineChars="0"/>
              <w:jc w:val="center"/>
              <w:textAlignment w:val="auto"/>
              <w:outlineLvl w:val="9"/>
              <w:rPr>
                <w:rFonts w:ascii="Times New Roman" w:hAnsi="Times New Roman" w:eastAsia="黑体" w:cs="Times New Roman"/>
                <w:color w:val="auto"/>
                <w:shd w:val="clear" w:color="auto" w:fill="FFFFFF"/>
              </w:rPr>
            </w:pPr>
            <w:r>
              <w:rPr>
                <w:rFonts w:ascii="Times New Roman" w:hAnsi="Times New Roman" w:cs="Times New Roman"/>
                <w:color w:val="auto"/>
                <w:sz w:val="18"/>
                <w:szCs w:val="18"/>
              </w:rPr>
              <w:t>不小于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1367" w:type="dxa"/>
            <w:tcBorders>
              <w:top w:val="single" w:color="auto" w:sz="12" w:space="0"/>
              <w:left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4032</w:t>
            </w:r>
          </w:p>
        </w:tc>
        <w:tc>
          <w:tcPr>
            <w:tcW w:w="1367"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T6</w:t>
            </w:r>
          </w:p>
        </w:tc>
        <w:tc>
          <w:tcPr>
            <w:tcW w:w="1367"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所有</w:t>
            </w:r>
          </w:p>
        </w:tc>
        <w:tc>
          <w:tcPr>
            <w:tcW w:w="1367"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185</w:t>
            </w:r>
          </w:p>
        </w:tc>
        <w:tc>
          <w:tcPr>
            <w:tcW w:w="939"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300</w:t>
            </w:r>
          </w:p>
        </w:tc>
        <w:tc>
          <w:tcPr>
            <w:tcW w:w="1887" w:type="dxa"/>
            <w:tcBorders>
              <w:top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245</w:t>
            </w:r>
          </w:p>
        </w:tc>
        <w:tc>
          <w:tcPr>
            <w:tcW w:w="1276" w:type="dxa"/>
            <w:tcBorders>
              <w:top w:val="single" w:color="auto" w:sz="12" w:space="0"/>
              <w:right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1367" w:type="dxa"/>
            <w:tcBorders>
              <w:left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4047</w:t>
            </w:r>
          </w:p>
        </w:tc>
        <w:tc>
          <w:tcPr>
            <w:tcW w:w="1367" w:type="dxa"/>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T6</w:t>
            </w:r>
          </w:p>
        </w:tc>
        <w:tc>
          <w:tcPr>
            <w:tcW w:w="1367" w:type="dxa"/>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所有</w:t>
            </w:r>
          </w:p>
        </w:tc>
        <w:tc>
          <w:tcPr>
            <w:tcW w:w="1367" w:type="dxa"/>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185</w:t>
            </w:r>
          </w:p>
        </w:tc>
        <w:tc>
          <w:tcPr>
            <w:tcW w:w="939" w:type="dxa"/>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255</w:t>
            </w:r>
          </w:p>
        </w:tc>
        <w:tc>
          <w:tcPr>
            <w:tcW w:w="1887" w:type="dxa"/>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230</w:t>
            </w:r>
          </w:p>
        </w:tc>
        <w:tc>
          <w:tcPr>
            <w:tcW w:w="1276" w:type="dxa"/>
            <w:tcBorders>
              <w:right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trPr>
        <w:tc>
          <w:tcPr>
            <w:tcW w:w="1367" w:type="dxa"/>
            <w:tcBorders>
              <w:left w:val="single" w:color="auto" w:sz="12" w:space="0"/>
              <w:bottom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4A13</w:t>
            </w:r>
          </w:p>
        </w:tc>
        <w:tc>
          <w:tcPr>
            <w:tcW w:w="1367" w:type="dxa"/>
            <w:tcBorders>
              <w:bottom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T6</w:t>
            </w:r>
          </w:p>
        </w:tc>
        <w:tc>
          <w:tcPr>
            <w:tcW w:w="1367" w:type="dxa"/>
            <w:tcBorders>
              <w:bottom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所有</w:t>
            </w:r>
          </w:p>
        </w:tc>
        <w:tc>
          <w:tcPr>
            <w:tcW w:w="1367" w:type="dxa"/>
            <w:tcBorders>
              <w:bottom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185</w:t>
            </w:r>
          </w:p>
        </w:tc>
        <w:tc>
          <w:tcPr>
            <w:tcW w:w="939" w:type="dxa"/>
            <w:tcBorders>
              <w:bottom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220</w:t>
            </w:r>
          </w:p>
        </w:tc>
        <w:tc>
          <w:tcPr>
            <w:tcW w:w="1887" w:type="dxa"/>
            <w:tcBorders>
              <w:bottom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180</w:t>
            </w:r>
          </w:p>
        </w:tc>
        <w:tc>
          <w:tcPr>
            <w:tcW w:w="1276" w:type="dxa"/>
            <w:tcBorders>
              <w:bottom w:val="single" w:color="auto" w:sz="12" w:space="0"/>
              <w:right w:val="single" w:color="auto" w:sz="12" w:space="0"/>
            </w:tcBorders>
            <w:vAlign w:val="center"/>
          </w:tcPr>
          <w:p>
            <w:pPr>
              <w:keepNext w:val="0"/>
              <w:keepLines w:val="0"/>
              <w:pageBreakBefore w:val="0"/>
              <w:kinsoku/>
              <w:wordWrap/>
              <w:overflowPunct/>
              <w:topLinePunct w:val="0"/>
              <w:bidi w:val="0"/>
              <w:adjustRightInd/>
              <w:snapToGrid/>
              <w:spacing w:line="240" w:lineRule="auto"/>
              <w:jc w:val="center"/>
              <w:textAlignment w:val="auto"/>
              <w:outlineLvl w:val="9"/>
              <w:rPr>
                <w:color w:val="auto"/>
                <w:sz w:val="18"/>
                <w:szCs w:val="18"/>
              </w:rPr>
            </w:pPr>
            <w:r>
              <w:rPr>
                <w:color w:val="auto"/>
                <w:sz w:val="18"/>
                <w:szCs w:val="18"/>
              </w:rPr>
              <w:t>8</w:t>
            </w:r>
          </w:p>
        </w:tc>
      </w:tr>
    </w:tbl>
    <w:p>
      <w:pPr>
        <w:pStyle w:val="16"/>
        <w:keepNext w:val="0"/>
        <w:keepLines w:val="0"/>
        <w:pageBreakBefore w:val="0"/>
        <w:widowControl/>
        <w:numPr>
          <w:ilvl w:val="2"/>
          <w:numId w:val="0"/>
        </w:numPr>
        <w:kinsoku/>
        <w:wordWrap/>
        <w:overflowPunct/>
        <w:topLinePunct w:val="0"/>
        <w:autoSpaceDE/>
        <w:autoSpaceDN/>
        <w:bidi w:val="0"/>
        <w:adjustRightInd/>
        <w:snapToGrid/>
        <w:spacing w:beforeLines="0" w:afterLines="0" w:line="240" w:lineRule="auto"/>
        <w:ind w:leftChars="0"/>
        <w:textAlignment w:val="auto"/>
        <w:outlineLvl w:val="2"/>
        <w:rPr>
          <w:rFonts w:ascii="Times New Roman" w:hAnsi="Times New Roman" w:cs="Times New Roman"/>
          <w:color w:val="auto"/>
          <w:sz w:val="21"/>
          <w:szCs w:val="21"/>
        </w:rPr>
      </w:pPr>
    </w:p>
    <w:p>
      <w:pPr>
        <w:pStyle w:val="16"/>
        <w:keepNext w:val="0"/>
        <w:keepLines w:val="0"/>
        <w:pageBreakBefore w:val="0"/>
        <w:widowControl/>
        <w:numPr>
          <w:ilvl w:val="2"/>
          <w:numId w:val="4"/>
        </w:numPr>
        <w:kinsoku/>
        <w:wordWrap/>
        <w:overflowPunct/>
        <w:topLinePunct w:val="0"/>
        <w:autoSpaceDE/>
        <w:autoSpaceDN/>
        <w:bidi w:val="0"/>
        <w:adjustRightInd/>
        <w:snapToGrid/>
        <w:spacing w:beforeLines="0" w:after="156" w:afterLines="50" w:line="240" w:lineRule="auto"/>
        <w:textAlignment w:val="auto"/>
        <w:outlineLvl w:val="2"/>
        <w:rPr>
          <w:rFonts w:ascii="Times New Roman" w:hAnsi="Times New Roman" w:cs="Times New Roman"/>
          <w:color w:val="auto"/>
          <w:sz w:val="21"/>
          <w:szCs w:val="21"/>
        </w:rPr>
      </w:pPr>
      <w:r>
        <w:rPr>
          <w:rFonts w:ascii="Times New Roman" w:hAnsi="Times New Roman" w:cs="Times New Roman"/>
          <w:color w:val="auto"/>
          <w:sz w:val="21"/>
          <w:szCs w:val="21"/>
        </w:rPr>
        <w:t>扩口试验</w:t>
      </w:r>
    </w:p>
    <w:p>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eastAsia="宋体"/>
          <w:color w:val="auto"/>
          <w:lang w:eastAsia="zh-CN"/>
        </w:rPr>
      </w:pPr>
      <w:r>
        <w:rPr>
          <w:rFonts w:hint="eastAsia"/>
          <w:color w:val="auto"/>
          <w:lang w:eastAsia="zh-CN"/>
        </w:rPr>
        <w:t>管材应进行扩口试验</w:t>
      </w:r>
      <w:r>
        <w:rPr>
          <w:rFonts w:hint="eastAsia"/>
          <w:color w:val="auto"/>
          <w:lang w:val="en-US" w:eastAsia="zh-CN"/>
        </w:rPr>
        <w:t>，扩口后试样不允许出现目视可见的裂缝或裂口。</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textAlignment w:val="auto"/>
        <w:outlineLvl w:val="2"/>
        <w:rPr>
          <w:rFonts w:ascii="Times New Roman" w:hAnsi="Times New Roman" w:cs="Times New Roman"/>
          <w:color w:val="auto"/>
        </w:rPr>
      </w:pPr>
      <w:r>
        <w:rPr>
          <w:rFonts w:ascii="Times New Roman" w:hAnsi="Times New Roman" w:cs="Times New Roman"/>
          <w:color w:val="auto"/>
        </w:rPr>
        <w:t>水压试验</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管材应逐根进行水压试验，不允许出现渗漏现象及</w:t>
      </w:r>
      <w:r>
        <w:rPr>
          <w:rFonts w:hint="eastAsia" w:ascii="Times New Roman" w:hAnsi="Times New Roman" w:cs="Times New Roman"/>
          <w:color w:val="auto"/>
          <w:lang w:eastAsia="zh-CN"/>
        </w:rPr>
        <w:t>永久</w:t>
      </w:r>
      <w:r>
        <w:rPr>
          <w:rFonts w:ascii="Times New Roman" w:hAnsi="Times New Roman" w:cs="Times New Roman"/>
          <w:color w:val="auto"/>
        </w:rPr>
        <w:t>变形。</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气压试验</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管材应逐根进行气压试验，不应有气泡出现。</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盐雾腐蚀</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管材应进行盐雾试验，不允许出现点蚀、裂纹、气泡、锈蚀等缺陷。</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低倍组织</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rPr>
      </w:pPr>
      <w:r>
        <w:rPr>
          <w:rFonts w:hint="default" w:ascii="Times New Roman" w:hAnsi="Times New Roman" w:eastAsia="宋体" w:cs="Times New Roman"/>
          <w:color w:val="auto"/>
          <w:shd w:val="clear" w:color="auto" w:fill="FFFFFF"/>
          <w:lang w:val="en-US" w:eastAsia="zh-CN"/>
        </w:rPr>
        <w:t>晶粒度应达到4级及以上。</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lang w:val="en-US" w:eastAsia="zh-CN"/>
        </w:rPr>
      </w:pPr>
      <w:r>
        <w:rPr>
          <w:rFonts w:hint="default" w:ascii="Times New Roman" w:hAnsi="Times New Roman" w:eastAsia="宋体" w:cs="Times New Roman"/>
          <w:color w:val="auto"/>
          <w:shd w:val="clear" w:color="auto" w:fill="FFFFFF"/>
          <w:lang w:val="en-US" w:eastAsia="zh-CN"/>
        </w:rPr>
        <w:t>管材不允许有缩尾、裂纹、气孔、夹杂和氧化膜缺陷。</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显微组织</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outlineLvl w:val="9"/>
        <w:rPr>
          <w:color w:val="auto"/>
        </w:rPr>
      </w:pPr>
      <w:r>
        <w:rPr>
          <w:color w:val="auto"/>
        </w:rPr>
        <w:t>管材的显微组织不允许过烧。</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外观质量</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lang w:val="en-US" w:eastAsia="zh-CN"/>
        </w:rPr>
      </w:pPr>
      <w:r>
        <w:rPr>
          <w:rFonts w:hint="default" w:ascii="Times New Roman" w:hAnsi="Times New Roman" w:eastAsia="宋体" w:cs="Times New Roman"/>
          <w:color w:val="auto"/>
          <w:shd w:val="clear" w:color="auto" w:fill="FFFFFF"/>
          <w:lang w:val="en-US" w:eastAsia="zh-CN"/>
        </w:rPr>
        <w:t>管材内外表面应光滑、清洁，不应有明显的划痕、碰伤。</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lang w:val="en-US" w:eastAsia="zh-CN"/>
        </w:rPr>
      </w:pPr>
      <w:r>
        <w:rPr>
          <w:rFonts w:hint="default" w:ascii="Times New Roman" w:hAnsi="Times New Roman" w:eastAsia="宋体" w:cs="Times New Roman"/>
          <w:color w:val="auto"/>
          <w:shd w:val="clear" w:color="auto" w:fill="FFFFFF"/>
          <w:lang w:val="en-US" w:eastAsia="zh-CN"/>
        </w:rPr>
        <w:t>管材表面允许有局部的轻微起皮、气泡、表面粗糙、压痕、机械切痕、擦伤、小凹坑、局部机械损伤等缺陷，</w:t>
      </w:r>
      <w:r>
        <w:rPr>
          <w:rFonts w:hint="eastAsia" w:ascii="Times New Roman" w:hAnsi="Times New Roman" w:eastAsia="宋体" w:cs="Times New Roman"/>
          <w:color w:val="auto"/>
          <w:shd w:val="clear" w:color="auto" w:fill="FFFFFF"/>
          <w:lang w:val="en-US" w:eastAsia="zh-CN"/>
        </w:rPr>
        <w:t>去</w:t>
      </w:r>
      <w:r>
        <w:rPr>
          <w:rFonts w:hint="default" w:ascii="Times New Roman" w:hAnsi="Times New Roman" w:eastAsia="宋体" w:cs="Times New Roman"/>
          <w:color w:val="auto"/>
          <w:shd w:val="clear" w:color="auto" w:fill="FFFFFF"/>
          <w:lang w:val="en-US" w:eastAsia="zh-CN"/>
        </w:rPr>
        <w:t>除缺陷深度尺寸后的壁厚，尺寸偏差不得超出允许范围。</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line="240" w:lineRule="auto"/>
        <w:textAlignment w:val="auto"/>
        <w:outlineLvl w:val="1"/>
        <w:rPr>
          <w:rFonts w:ascii="Times New Roman"/>
          <w:color w:val="auto"/>
        </w:rPr>
      </w:pPr>
      <w:r>
        <w:rPr>
          <w:rFonts w:ascii="Times New Roman"/>
          <w:color w:val="auto"/>
        </w:rPr>
        <w:t>试验方法</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textAlignment w:val="auto"/>
        <w:outlineLvl w:val="2"/>
        <w:rPr>
          <w:rFonts w:ascii="Times New Roman" w:hAnsi="Times New Roman" w:cs="Times New Roman"/>
          <w:color w:val="auto"/>
        </w:rPr>
      </w:pPr>
      <w:r>
        <w:rPr>
          <w:rFonts w:ascii="Times New Roman" w:hAnsi="Times New Roman" w:cs="Times New Roman"/>
          <w:color w:val="auto"/>
        </w:rPr>
        <w:t>化学成分</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lang w:val="en-US" w:eastAsia="zh-CN"/>
        </w:rPr>
      </w:pPr>
      <w:r>
        <w:rPr>
          <w:rFonts w:hint="default" w:ascii="Times New Roman" w:hAnsi="Times New Roman" w:eastAsia="宋体" w:cs="Times New Roman"/>
          <w:color w:val="auto"/>
          <w:shd w:val="clear" w:color="auto" w:fill="FFFFFF"/>
          <w:lang w:val="en-US" w:eastAsia="zh-CN"/>
        </w:rPr>
        <w:t>化学成分分析方法应符</w:t>
      </w:r>
      <w:r>
        <w:rPr>
          <w:rFonts w:hint="eastAsia" w:ascii="Times New Roman" w:hAnsi="Times New Roman" w:eastAsia="宋体" w:cs="Times New Roman"/>
          <w:color w:val="auto"/>
          <w:shd w:val="clear" w:color="auto" w:fill="FFFFFF"/>
          <w:lang w:val="en-US" w:eastAsia="zh-CN"/>
        </w:rPr>
        <w:t>合</w:t>
      </w:r>
      <w:r>
        <w:rPr>
          <w:rFonts w:hint="default" w:ascii="Times New Roman" w:hAnsi="Times New Roman" w:eastAsia="宋体" w:cs="Times New Roman"/>
          <w:color w:val="auto"/>
          <w:shd w:val="clear" w:color="auto" w:fill="FFFFFF"/>
          <w:lang w:val="en-US" w:eastAsia="zh-CN"/>
        </w:rPr>
        <w:t>GB/T 20975或GB/T 7999的规定，仲裁分析应采用GB/T 20975规定的方法。</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w:t>
      </w:r>
      <w:r>
        <w:rPr>
          <w:rFonts w:hint="default" w:ascii="Times New Roman" w:hAnsi="Times New Roman" w:eastAsia="宋体" w:cs="Times New Roman"/>
          <w:color w:val="auto"/>
          <w:shd w:val="clear" w:color="auto" w:fill="FFFFFF"/>
          <w:lang w:val="en-US" w:eastAsia="zh-CN"/>
        </w:rPr>
        <w:t>Al</w:t>
      </w:r>
      <w:r>
        <w:rPr>
          <w:rFonts w:hint="eastAsia" w:ascii="Times New Roman" w:hAnsi="Times New Roman" w:eastAsia="宋体" w:cs="Times New Roman"/>
          <w:color w:val="auto"/>
          <w:shd w:val="clear" w:color="auto" w:fill="FFFFFF"/>
          <w:lang w:val="en-US" w:eastAsia="zh-CN"/>
        </w:rPr>
        <w:t>”</w:t>
      </w:r>
      <w:r>
        <w:rPr>
          <w:rFonts w:hint="default" w:ascii="Times New Roman" w:hAnsi="Times New Roman" w:eastAsia="宋体" w:cs="Times New Roman"/>
          <w:color w:val="auto"/>
          <w:shd w:val="clear" w:color="auto" w:fill="FFFFFF"/>
          <w:lang w:val="en-US" w:eastAsia="zh-CN"/>
        </w:rPr>
        <w:t>含量按GB/T</w:t>
      </w:r>
      <w:r>
        <w:rPr>
          <w:rFonts w:hint="eastAsia" w:ascii="Times New Roman" w:hAnsi="Times New Roman" w:eastAsia="宋体" w:cs="Times New Roman"/>
          <w:color w:val="auto"/>
          <w:shd w:val="clear" w:color="auto" w:fill="FFFFFF"/>
          <w:lang w:val="en-US" w:eastAsia="zh-CN"/>
        </w:rPr>
        <w:t xml:space="preserve"> </w:t>
      </w:r>
      <w:r>
        <w:rPr>
          <w:rFonts w:hint="default" w:ascii="Times New Roman" w:hAnsi="Times New Roman" w:eastAsia="宋体" w:cs="Times New Roman"/>
          <w:color w:val="auto"/>
          <w:shd w:val="clear" w:color="auto" w:fill="FFFFFF"/>
          <w:lang w:val="en-US" w:eastAsia="zh-CN"/>
        </w:rPr>
        <w:t>3190规定的方法计算，计算</w:t>
      </w:r>
      <w:r>
        <w:rPr>
          <w:rFonts w:hint="eastAsia" w:ascii="Times New Roman" w:hAnsi="Times New Roman" w:eastAsia="宋体" w:cs="Times New Roman"/>
          <w:color w:val="auto"/>
          <w:shd w:val="clear" w:color="auto" w:fill="FFFFFF"/>
          <w:lang w:val="en-US" w:eastAsia="zh-CN"/>
        </w:rPr>
        <w:t>“</w:t>
      </w:r>
      <w:r>
        <w:rPr>
          <w:rFonts w:hint="default" w:ascii="Times New Roman" w:hAnsi="Times New Roman" w:eastAsia="宋体" w:cs="Times New Roman"/>
          <w:color w:val="auto"/>
          <w:shd w:val="clear" w:color="auto" w:fill="FFFFFF"/>
          <w:lang w:val="en-US" w:eastAsia="zh-CN"/>
        </w:rPr>
        <w:t>Al</w:t>
      </w:r>
      <w:r>
        <w:rPr>
          <w:rFonts w:hint="eastAsia" w:ascii="Times New Roman" w:hAnsi="Times New Roman" w:eastAsia="宋体" w:cs="Times New Roman"/>
          <w:color w:val="auto"/>
          <w:shd w:val="clear" w:color="auto" w:fill="FFFFFF"/>
          <w:lang w:val="en-US" w:eastAsia="zh-CN"/>
        </w:rPr>
        <w:t>”</w:t>
      </w:r>
      <w:r>
        <w:rPr>
          <w:rFonts w:hint="default" w:ascii="Times New Roman" w:hAnsi="Times New Roman" w:eastAsia="宋体" w:cs="Times New Roman"/>
          <w:color w:val="auto"/>
          <w:shd w:val="clear" w:color="auto" w:fill="FFFFFF"/>
          <w:lang w:val="en-US" w:eastAsia="zh-CN"/>
        </w:rPr>
        <w:t>含量时，取常规分析元素与怀疑超量的非常规分析元素分析数值的和值作为</w:t>
      </w:r>
      <w:r>
        <w:rPr>
          <w:rFonts w:hint="eastAsia" w:ascii="Times New Roman" w:hAnsi="Times New Roman" w:eastAsia="宋体" w:cs="Times New Roman"/>
          <w:color w:val="auto"/>
          <w:shd w:val="clear" w:color="auto" w:fill="FFFFFF"/>
          <w:lang w:val="en-US" w:eastAsia="zh-CN"/>
        </w:rPr>
        <w:t>“</w:t>
      </w:r>
      <w:r>
        <w:rPr>
          <w:rFonts w:hint="default" w:ascii="Times New Roman" w:hAnsi="Times New Roman" w:eastAsia="宋体" w:cs="Times New Roman"/>
          <w:color w:val="auto"/>
          <w:shd w:val="clear" w:color="auto" w:fill="FFFFFF"/>
          <w:lang w:val="en-US" w:eastAsia="zh-CN"/>
        </w:rPr>
        <w:t>元素含量总和</w:t>
      </w:r>
      <w:r>
        <w:rPr>
          <w:rFonts w:hint="eastAsia" w:ascii="Times New Roman" w:hAnsi="Times New Roman" w:eastAsia="宋体" w:cs="Times New Roman"/>
          <w:color w:val="auto"/>
          <w:shd w:val="clear" w:color="auto" w:fill="FFFFFF"/>
          <w:lang w:val="en-US" w:eastAsia="zh-CN"/>
        </w:rPr>
        <w:t>”</w:t>
      </w:r>
      <w:r>
        <w:rPr>
          <w:rFonts w:hint="default" w:ascii="Times New Roman" w:hAnsi="Times New Roman" w:eastAsia="宋体" w:cs="Times New Roman"/>
          <w:color w:val="auto"/>
          <w:shd w:val="clear" w:color="auto" w:fill="FFFFFF"/>
          <w:lang w:val="en-US" w:eastAsia="zh-CN"/>
        </w:rPr>
        <w:t>。</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default" w:ascii="Times New Roman" w:hAnsi="Times New Roman" w:eastAsia="宋体" w:cs="Times New Roman"/>
          <w:color w:val="auto"/>
          <w:shd w:val="clear" w:color="auto" w:fill="FFFFFF"/>
          <w:lang w:val="en-US" w:eastAsia="zh-CN"/>
        </w:rPr>
      </w:pPr>
      <w:r>
        <w:rPr>
          <w:rFonts w:hint="default" w:ascii="Times New Roman" w:hAnsi="Times New Roman" w:eastAsia="宋体" w:cs="Times New Roman"/>
          <w:color w:val="auto"/>
          <w:shd w:val="clear" w:color="auto" w:fill="FFFFFF"/>
          <w:lang w:val="en-US" w:eastAsia="zh-CN"/>
        </w:rPr>
        <w:t>分析数值的判定采用修约比较法，数值修约规则按GB/T 8170的有关规定进行，修约数位应</w:t>
      </w:r>
      <w:r>
        <w:rPr>
          <w:rFonts w:hint="eastAsia" w:ascii="Times New Roman" w:hAnsi="Times New Roman" w:eastAsia="宋体" w:cs="Times New Roman"/>
          <w:color w:val="auto"/>
          <w:shd w:val="clear" w:color="auto" w:fill="FFFFFF"/>
          <w:lang w:val="en-US" w:eastAsia="zh-CN"/>
        </w:rPr>
        <w:t>与</w:t>
      </w:r>
      <w:r>
        <w:rPr>
          <w:rFonts w:hint="default" w:ascii="Times New Roman" w:hAnsi="Times New Roman" w:eastAsia="宋体" w:cs="Times New Roman"/>
          <w:color w:val="auto"/>
          <w:shd w:val="clear" w:color="auto" w:fill="FFFFFF"/>
          <w:lang w:val="en-US" w:eastAsia="zh-CN"/>
        </w:rPr>
        <w:t>GB/T 3190规定及极限数位一致。</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textAlignment w:val="auto"/>
        <w:outlineLvl w:val="2"/>
        <w:rPr>
          <w:rFonts w:ascii="Times New Roman" w:hAnsi="Times New Roman" w:cs="Times New Roman"/>
          <w:color w:val="auto"/>
        </w:rPr>
      </w:pPr>
      <w:r>
        <w:rPr>
          <w:rFonts w:ascii="Times New Roman" w:hAnsi="Times New Roman" w:cs="Times New Roman"/>
          <w:color w:val="auto"/>
        </w:rPr>
        <w:t>尺寸偏差</w:t>
      </w:r>
    </w:p>
    <w:p>
      <w:pPr>
        <w:pStyle w:val="18"/>
        <w:keepNext w:val="0"/>
        <w:keepLines w:val="0"/>
        <w:pageBreakBefore w:val="0"/>
        <w:kinsoku/>
        <w:wordWrap/>
        <w:overflowPunct/>
        <w:topLinePunct w:val="0"/>
        <w:bidi w:val="0"/>
        <w:adjustRightInd/>
        <w:snapToGrid/>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管材尺寸偏差的测量方法按GB/T 4436的规定进行。</w:t>
      </w:r>
    </w:p>
    <w:p>
      <w:pPr>
        <w:pStyle w:val="16"/>
        <w:keepNext w:val="0"/>
        <w:keepLines w:val="0"/>
        <w:pageBreakBefore w:val="0"/>
        <w:numPr>
          <w:ilvl w:val="2"/>
          <w:numId w:val="4"/>
        </w:numPr>
        <w:kinsoku/>
        <w:wordWrap/>
        <w:overflowPunct/>
        <w:topLinePunct w:val="0"/>
        <w:bidi w:val="0"/>
        <w:adjustRightInd/>
        <w:snapToGrid/>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力学性能</w:t>
      </w:r>
    </w:p>
    <w:p>
      <w:pPr>
        <w:pStyle w:val="15"/>
        <w:keepNext w:val="0"/>
        <w:keepLines w:val="0"/>
        <w:pageBreakBefore w:val="0"/>
        <w:numPr>
          <w:ilvl w:val="3"/>
          <w:numId w:val="4"/>
        </w:numPr>
        <w:kinsoku/>
        <w:wordWrap/>
        <w:overflowPunct/>
        <w:topLinePunct w:val="0"/>
        <w:bidi w:val="0"/>
        <w:adjustRightInd/>
        <w:snapToGrid/>
        <w:spacing w:before="156" w:beforeLines="50" w:after="156" w:afterLines="50"/>
        <w:textAlignment w:val="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室温拉伸力学性能</w:t>
      </w:r>
    </w:p>
    <w:p>
      <w:pPr>
        <w:pStyle w:val="18"/>
        <w:keepNext w:val="0"/>
        <w:keepLines w:val="0"/>
        <w:pageBreakBefore w:val="0"/>
        <w:kinsoku/>
        <w:wordWrap/>
        <w:overflowPunct/>
        <w:topLinePunct w:val="0"/>
        <w:bidi w:val="0"/>
        <w:adjustRightInd/>
        <w:snapToGrid/>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管材的室温拉伸力学性能试验方法按GB/T 16865的规定进行。</w:t>
      </w:r>
    </w:p>
    <w:p>
      <w:pPr>
        <w:pStyle w:val="15"/>
        <w:keepNext w:val="0"/>
        <w:keepLines w:val="0"/>
        <w:pageBreakBefore w:val="0"/>
        <w:numPr>
          <w:ilvl w:val="3"/>
          <w:numId w:val="4"/>
        </w:numPr>
        <w:kinsoku/>
        <w:wordWrap/>
        <w:overflowPunct/>
        <w:topLinePunct w:val="0"/>
        <w:bidi w:val="0"/>
        <w:adjustRightInd/>
        <w:snapToGrid/>
        <w:spacing w:before="156" w:beforeLines="50" w:after="156" w:afterLines="50"/>
        <w:textAlignment w:val="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高温拉伸力学性能</w:t>
      </w:r>
    </w:p>
    <w:p>
      <w:pPr>
        <w:pStyle w:val="18"/>
        <w:keepNext w:val="0"/>
        <w:keepLines w:val="0"/>
        <w:pageBreakBefore w:val="0"/>
        <w:kinsoku/>
        <w:wordWrap/>
        <w:overflowPunct/>
        <w:topLinePunct w:val="0"/>
        <w:bidi w:val="0"/>
        <w:adjustRightInd/>
        <w:snapToGrid/>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管材的高温拉伸力学性能试验方法按GB/T 228.2的规定进行。</w:t>
      </w:r>
    </w:p>
    <w:p>
      <w:pPr>
        <w:pStyle w:val="15"/>
        <w:keepNext w:val="0"/>
        <w:keepLines w:val="0"/>
        <w:pageBreakBefore w:val="0"/>
        <w:numPr>
          <w:ilvl w:val="3"/>
          <w:numId w:val="4"/>
        </w:numPr>
        <w:kinsoku/>
        <w:wordWrap/>
        <w:overflowPunct/>
        <w:topLinePunct w:val="0"/>
        <w:bidi w:val="0"/>
        <w:adjustRightInd/>
        <w:snapToGrid/>
        <w:spacing w:before="156" w:beforeLines="50" w:after="156" w:afterLines="50"/>
        <w:textAlignment w:val="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扩口试验</w:t>
      </w:r>
    </w:p>
    <w:p>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eastAsia="宋体"/>
          <w:color w:val="auto"/>
          <w:lang w:eastAsia="zh-CN"/>
        </w:rPr>
      </w:pPr>
      <w:r>
        <w:rPr>
          <w:rFonts w:hint="eastAsia"/>
          <w:color w:val="auto"/>
          <w:lang w:eastAsia="zh-CN"/>
        </w:rPr>
        <w:t>扩口试验应在室温下选用可调速的压力机或万能试验机进行试验，选用</w:t>
      </w:r>
      <w:r>
        <w:rPr>
          <w:rFonts w:hint="eastAsia"/>
          <w:color w:val="auto"/>
          <w:lang w:val="en-US" w:eastAsia="zh-CN"/>
        </w:rPr>
        <w:t>60°的圆锥形顶芯，使其压入试样端部进行扩口，直至内径扩口率达到30%时停止。</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水压试验</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color w:val="auto"/>
        </w:rPr>
        <w:t>试验时，应采用氯离子含量不大于1 ppm、电导率不大于4</w:t>
      </w:r>
      <w:r>
        <w:rPr>
          <w:rFonts w:hint="eastAsia"/>
          <w:color w:val="auto"/>
          <w:lang w:val="en-US" w:eastAsia="zh-CN"/>
        </w:rPr>
        <w:t xml:space="preserve"> </w:t>
      </w:r>
      <w:r>
        <w:rPr>
          <w:color w:val="auto"/>
        </w:rPr>
        <w:t>μΩ的纯净水进行水压试验，试验</w:t>
      </w:r>
      <w:r>
        <w:rPr>
          <w:rFonts w:hint="eastAsia"/>
          <w:color w:val="auto"/>
          <w:lang w:eastAsia="zh-CN"/>
        </w:rPr>
        <w:t>压强</w:t>
      </w:r>
      <w:r>
        <w:rPr>
          <w:color w:val="auto"/>
        </w:rPr>
        <w:t>为7</w:t>
      </w:r>
      <w:r>
        <w:rPr>
          <w:rFonts w:hint="eastAsia"/>
          <w:color w:val="auto"/>
          <w:lang w:val="en-US" w:eastAsia="zh-CN"/>
        </w:rPr>
        <w:t xml:space="preserve"> </w:t>
      </w:r>
      <w:r>
        <w:rPr>
          <w:color w:val="auto"/>
        </w:rPr>
        <w:t>MPa，在该压力下持续15</w:t>
      </w:r>
      <w:r>
        <w:rPr>
          <w:rFonts w:hint="eastAsia"/>
          <w:color w:val="auto"/>
          <w:lang w:val="en-US" w:eastAsia="zh-CN"/>
        </w:rPr>
        <w:t xml:space="preserve"> </w:t>
      </w:r>
      <w:r>
        <w:rPr>
          <w:color w:val="auto"/>
        </w:rPr>
        <w:t>s，检查管材有无渗漏和永久变形。</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气压试验</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eastAsia="宋体" w:cs="Times New Roman"/>
          <w:color w:val="auto"/>
          <w:szCs w:val="24"/>
        </w:rPr>
        <w:t>试验时，应与具有压力气源保持连接，让具有一定压力的空气保持在管内，空气</w:t>
      </w:r>
      <w:r>
        <w:rPr>
          <w:rFonts w:hint="eastAsia" w:ascii="Times New Roman" w:hAnsi="Times New Roman" w:eastAsia="宋体" w:cs="Times New Roman"/>
          <w:color w:val="auto"/>
          <w:szCs w:val="24"/>
          <w:lang w:eastAsia="zh-CN"/>
        </w:rPr>
        <w:t>压强</w:t>
      </w:r>
      <w:r>
        <w:rPr>
          <w:rFonts w:ascii="Times New Roman" w:hAnsi="Times New Roman" w:eastAsia="宋体" w:cs="Times New Roman"/>
          <w:color w:val="auto"/>
          <w:szCs w:val="24"/>
        </w:rPr>
        <w:t>为</w:t>
      </w:r>
      <w:r>
        <w:rPr>
          <w:rFonts w:ascii="Times New Roman" w:hAnsi="Times New Roman" w:cs="Times New Roman"/>
          <w:color w:val="auto"/>
        </w:rPr>
        <w:t>0</w:t>
      </w:r>
      <w:r>
        <w:rPr>
          <w:rFonts w:ascii="Times New Roman" w:hAnsi="Times New Roman" w:eastAsia="宋体" w:cs="Times New Roman"/>
          <w:color w:val="auto"/>
          <w:szCs w:val="24"/>
        </w:rPr>
        <w:t>.4 MPa，管材完全浸入水中至少</w:t>
      </w:r>
      <w:r>
        <w:rPr>
          <w:rFonts w:ascii="Times New Roman" w:hAnsi="Times New Roman" w:cs="Times New Roman"/>
          <w:color w:val="auto"/>
        </w:rPr>
        <w:t>15</w:t>
      </w:r>
      <w:r>
        <w:rPr>
          <w:rFonts w:hint="eastAsia" w:ascii="Times New Roman" w:hAnsi="Times New Roman" w:cs="Times New Roman"/>
          <w:color w:val="auto"/>
          <w:lang w:val="en-US" w:eastAsia="zh-CN"/>
        </w:rPr>
        <w:t xml:space="preserve"> </w:t>
      </w:r>
      <w:r>
        <w:rPr>
          <w:rFonts w:ascii="Times New Roman" w:hAnsi="Times New Roman" w:cs="Times New Roman"/>
          <w:color w:val="auto"/>
        </w:rPr>
        <w:t>s</w:t>
      </w:r>
      <w:r>
        <w:rPr>
          <w:rFonts w:ascii="Times New Roman" w:hAnsi="Times New Roman" w:eastAsia="宋体" w:cs="Times New Roman"/>
          <w:color w:val="auto"/>
          <w:szCs w:val="24"/>
        </w:rPr>
        <w:t>，检查</w:t>
      </w:r>
      <w:r>
        <w:rPr>
          <w:rFonts w:hint="eastAsia" w:ascii="Times New Roman" w:hAnsi="Times New Roman" w:eastAsia="宋体" w:cs="Times New Roman"/>
          <w:color w:val="auto"/>
          <w:szCs w:val="24"/>
          <w:lang w:eastAsia="zh-CN"/>
        </w:rPr>
        <w:t>管材表面</w:t>
      </w:r>
      <w:r>
        <w:rPr>
          <w:rFonts w:ascii="Times New Roman" w:hAnsi="Times New Roman" w:eastAsia="宋体" w:cs="Times New Roman"/>
          <w:color w:val="auto"/>
          <w:szCs w:val="24"/>
        </w:rPr>
        <w:t>是否有气泡出现</w:t>
      </w:r>
      <w:r>
        <w:rPr>
          <w:rFonts w:ascii="Times New Roman" w:hAnsi="Times New Roman" w:cs="Times New Roman"/>
          <w:color w:val="auto"/>
        </w:rPr>
        <w:t>。</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盐雾腐蚀试验</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管材的盐雾腐蚀试验方法按GB/T 10125的规定进行。</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低倍组织</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管材的低倍组织检验方法按GB/T 3246.2的规定进行。</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显微组织</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管材的显微组织检验方法按GB/T 3246.1的规定进行。</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外观质量</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管材外观质量以目视检验，当缺陷深度难以确定时，可以打磨后测量。</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line="240" w:lineRule="auto"/>
        <w:textAlignment w:val="auto"/>
        <w:outlineLvl w:val="1"/>
        <w:rPr>
          <w:rFonts w:hint="eastAsia" w:ascii="Times New Roman"/>
          <w:color w:val="auto"/>
        </w:rPr>
      </w:pPr>
      <w:r>
        <w:rPr>
          <w:rFonts w:ascii="Times New Roman"/>
          <w:color w:val="auto"/>
        </w:rPr>
        <w:t>检验规则</w:t>
      </w:r>
    </w:p>
    <w:p>
      <w:pPr>
        <w:pStyle w:val="16"/>
        <w:keepNext w:val="0"/>
        <w:keepLines w:val="0"/>
        <w:pageBreakBefore w:val="0"/>
        <w:widowControl/>
        <w:numPr>
          <w:ilvl w:val="2"/>
          <w:numId w:val="4"/>
        </w:numPr>
        <w:kinsoku/>
        <w:wordWrap/>
        <w:overflowPunct/>
        <w:topLinePunct w:val="0"/>
        <w:autoSpaceDE/>
        <w:autoSpaceDN/>
        <w:bidi w:val="0"/>
        <w:adjustRightInd/>
        <w:snapToGrid/>
        <w:spacing w:before="156" w:beforeLines="50" w:after="156" w:afterLines="50" w:line="240" w:lineRule="auto"/>
        <w:textAlignment w:val="auto"/>
        <w:outlineLvl w:val="2"/>
        <w:rPr>
          <w:rFonts w:ascii="Times New Roman" w:hAnsi="Times New Roman" w:cs="Times New Roman"/>
          <w:color w:val="auto"/>
        </w:rPr>
      </w:pPr>
      <w:r>
        <w:rPr>
          <w:rFonts w:ascii="Times New Roman" w:hAnsi="Times New Roman" w:cs="Times New Roman"/>
          <w:color w:val="auto"/>
        </w:rPr>
        <w:t>检查和验收</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管材应由供方进行检验，保证产品质量符合本标准及订货单（或合同）的规定，并填写质量证明书。</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需方应对收到的产品按本标准的规定进行检验。检验结果与本标准及订货单（或合同）的规定不符时，应以书面形式向供方提出，由供需双方协商解决。属于外观质量及尺寸偏差的异议，应在收到产品之起一个月内提出，属于其他性能的异议，应在收到产品之日起三个月内提出。如需仲裁，可委托供需双方认可的单位进行，并在需方共同取样。</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组批</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管材应成批提交验收，每批应由同一牌号、状态和规格组成。</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计重</w:t>
      </w:r>
    </w:p>
    <w:p>
      <w:pPr>
        <w:keepNext w:val="0"/>
        <w:keepLines w:val="0"/>
        <w:pageBreakBefore w:val="0"/>
        <w:kinsoku/>
        <w:wordWrap/>
        <w:overflowPunct/>
        <w:topLinePunct w:val="0"/>
        <w:bidi w:val="0"/>
        <w:spacing w:line="240" w:lineRule="auto"/>
        <w:ind w:firstLine="420" w:firstLineChars="200"/>
        <w:textAlignment w:val="auto"/>
        <w:rPr>
          <w:rFonts w:eastAsia="方正魏碑简体"/>
          <w:color w:val="auto"/>
        </w:rPr>
      </w:pPr>
      <w:r>
        <w:rPr>
          <w:color w:val="auto"/>
        </w:rPr>
        <w:t>管材应检斤计重（除非供需双方另有约定）。</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检验项目</w:t>
      </w:r>
    </w:p>
    <w:p>
      <w:pPr>
        <w:keepNext w:val="0"/>
        <w:keepLines w:val="0"/>
        <w:pageBreakBefore w:val="0"/>
        <w:kinsoku/>
        <w:wordWrap/>
        <w:overflowPunct/>
        <w:topLinePunct w:val="0"/>
        <w:bidi w:val="0"/>
        <w:spacing w:line="240" w:lineRule="auto"/>
        <w:ind w:firstLine="420" w:firstLineChars="200"/>
        <w:textAlignment w:val="auto"/>
        <w:rPr>
          <w:color w:val="auto"/>
        </w:rPr>
      </w:pPr>
      <w:r>
        <w:rPr>
          <w:color w:val="auto"/>
        </w:rPr>
        <w:t>每批管材出厂前均应进行化学成分、尺寸偏差、力学性能、液压试验性能、</w:t>
      </w:r>
      <w:r>
        <w:rPr>
          <w:rFonts w:hint="eastAsia"/>
          <w:color w:val="auto"/>
          <w:lang w:eastAsia="zh-CN"/>
        </w:rPr>
        <w:t>盐雾腐蚀性能</w:t>
      </w:r>
      <w:r>
        <w:rPr>
          <w:color w:val="auto"/>
        </w:rPr>
        <w:t>、低倍组织、显微组织和外观质量的检验。</w:t>
      </w:r>
    </w:p>
    <w:p>
      <w:pPr>
        <w:pStyle w:val="16"/>
        <w:keepNext w:val="0"/>
        <w:keepLines w:val="0"/>
        <w:pageBreakBefore w:val="0"/>
        <w:numPr>
          <w:ilvl w:val="2"/>
          <w:numId w:val="4"/>
        </w:numPr>
        <w:kinsoku/>
        <w:wordWrap/>
        <w:overflowPunct/>
        <w:topLinePunct w:val="0"/>
        <w:bidi w:val="0"/>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取样</w:t>
      </w:r>
    </w:p>
    <w:p>
      <w:pPr>
        <w:pStyle w:val="18"/>
        <w:keepNext w:val="0"/>
        <w:keepLines w:val="0"/>
        <w:pageBreakBefore w:val="0"/>
        <w:kinsoku/>
        <w:wordWrap/>
        <w:overflowPunct/>
        <w:topLinePunct w:val="0"/>
        <w:bidi w:val="0"/>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管材的取样应符合表</w:t>
      </w:r>
      <w:r>
        <w:rPr>
          <w:rFonts w:hint="eastAsia" w:ascii="Times New Roman" w:hAnsi="Times New Roman" w:cs="Times New Roman"/>
          <w:color w:val="auto"/>
          <w:lang w:val="en-US" w:eastAsia="zh-CN"/>
        </w:rPr>
        <w:t>6</w:t>
      </w:r>
      <w:r>
        <w:rPr>
          <w:rFonts w:ascii="Times New Roman" w:hAnsi="Times New Roman" w:cs="Times New Roman"/>
          <w:color w:val="auto"/>
        </w:rPr>
        <w:t>的规定。</w:t>
      </w:r>
    </w:p>
    <w:p>
      <w:pPr>
        <w:pStyle w:val="32"/>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240" w:lineRule="auto"/>
        <w:textAlignment w:val="auto"/>
        <w:outlineLvl w:val="9"/>
        <w:rPr>
          <w:rFonts w:ascii="Times New Roman"/>
          <w:color w:val="auto"/>
        </w:rPr>
      </w:pPr>
      <w:r>
        <w:rPr>
          <w:rFonts w:ascii="Times New Roman"/>
          <w:color w:val="auto"/>
        </w:rPr>
        <w:t>表</w:t>
      </w:r>
      <w:r>
        <w:rPr>
          <w:rFonts w:hint="eastAsia" w:ascii="Times New Roman"/>
          <w:color w:val="auto"/>
          <w:lang w:val="en-US" w:eastAsia="zh-CN"/>
        </w:rPr>
        <w:t>6</w:t>
      </w:r>
      <w:r>
        <w:rPr>
          <w:rFonts w:ascii="Times New Roman"/>
          <w:color w:val="auto"/>
        </w:rPr>
        <w:t xml:space="preserve"> 管材的取样规定</w:t>
      </w:r>
    </w:p>
    <w:tbl>
      <w:tblPr>
        <w:tblStyle w:val="12"/>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5246"/>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383" w:type="dxa"/>
            <w:tcBorders>
              <w:top w:val="single" w:color="auto" w:sz="12" w:space="0"/>
              <w:left w:val="single" w:color="auto" w:sz="12" w:space="0"/>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检验项目</w:t>
            </w:r>
          </w:p>
        </w:tc>
        <w:tc>
          <w:tcPr>
            <w:tcW w:w="5246" w:type="dxa"/>
            <w:tcBorders>
              <w:top w:val="single" w:color="auto" w:sz="12" w:space="0"/>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取样规定</w:t>
            </w:r>
          </w:p>
        </w:tc>
        <w:tc>
          <w:tcPr>
            <w:tcW w:w="1559" w:type="dxa"/>
            <w:tcBorders>
              <w:top w:val="single" w:color="auto" w:sz="12" w:space="0"/>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要求的章条号</w:t>
            </w:r>
          </w:p>
        </w:tc>
        <w:tc>
          <w:tcPr>
            <w:tcW w:w="1134" w:type="dxa"/>
            <w:tcBorders>
              <w:top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outlineLvl w:val="9"/>
              <w:rPr>
                <w:color w:val="auto"/>
                <w:sz w:val="18"/>
                <w:szCs w:val="18"/>
              </w:rPr>
            </w:pPr>
            <w:r>
              <w:rPr>
                <w:color w:val="auto"/>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top w:val="single" w:color="auto" w:sz="12" w:space="0"/>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化学成分</w:t>
            </w:r>
          </w:p>
        </w:tc>
        <w:tc>
          <w:tcPr>
            <w:tcW w:w="5246" w:type="dxa"/>
            <w:tcBorders>
              <w:top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按GB/T 17432的规定进行取样</w:t>
            </w:r>
          </w:p>
        </w:tc>
        <w:tc>
          <w:tcPr>
            <w:tcW w:w="1559" w:type="dxa"/>
            <w:tcBorders>
              <w:top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3.2</w:t>
            </w:r>
          </w:p>
        </w:tc>
        <w:tc>
          <w:tcPr>
            <w:tcW w:w="1134" w:type="dxa"/>
            <w:tcBorders>
              <w:top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尺寸偏差</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取样数量按表</w:t>
            </w:r>
            <w:r>
              <w:rPr>
                <w:rFonts w:hint="eastAsia"/>
                <w:color w:val="auto"/>
                <w:sz w:val="18"/>
                <w:szCs w:val="18"/>
                <w:lang w:val="en-US" w:eastAsia="zh-CN"/>
              </w:rPr>
              <w:t>7</w:t>
            </w:r>
            <w:r>
              <w:rPr>
                <w:color w:val="auto"/>
                <w:sz w:val="18"/>
                <w:szCs w:val="18"/>
              </w:rPr>
              <w:t>规定</w:t>
            </w:r>
          </w:p>
        </w:tc>
        <w:tc>
          <w:tcPr>
            <w:tcW w:w="1559"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3</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vertAlign w:val="superscript"/>
              </w:rPr>
            </w:pPr>
            <w:r>
              <w:rPr>
                <w:color w:val="auto"/>
                <w:sz w:val="18"/>
                <w:szCs w:val="18"/>
              </w:rPr>
              <w:t>力学性能</w:t>
            </w:r>
            <w:r>
              <w:rPr>
                <w:color w:val="auto"/>
                <w:sz w:val="18"/>
                <w:szCs w:val="18"/>
                <w:vertAlign w:val="superscript"/>
              </w:rPr>
              <w:t>1）</w:t>
            </w:r>
          </w:p>
        </w:tc>
        <w:tc>
          <w:tcPr>
            <w:tcW w:w="5246" w:type="dxa"/>
            <w:tcBorders>
              <w:bottom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挤压前端切取样坯，试样制备符合GB/T 16865的规定，取样数量按表</w:t>
            </w:r>
            <w:r>
              <w:rPr>
                <w:rFonts w:hint="eastAsia"/>
                <w:color w:val="auto"/>
                <w:sz w:val="18"/>
                <w:szCs w:val="18"/>
                <w:lang w:val="en-US" w:eastAsia="zh-CN"/>
              </w:rPr>
              <w:t>7</w:t>
            </w:r>
            <w:r>
              <w:rPr>
                <w:color w:val="auto"/>
                <w:sz w:val="18"/>
                <w:szCs w:val="18"/>
              </w:rPr>
              <w:t>规定</w:t>
            </w:r>
          </w:p>
        </w:tc>
        <w:tc>
          <w:tcPr>
            <w:tcW w:w="1559" w:type="dxa"/>
            <w:tcBorders>
              <w:bottom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4</w:t>
            </w:r>
          </w:p>
        </w:tc>
        <w:tc>
          <w:tcPr>
            <w:tcW w:w="1134" w:type="dxa"/>
            <w:tcBorders>
              <w:bottom w:val="single" w:color="auto" w:sz="4"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扩口试验</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rFonts w:hint="eastAsia"/>
                <w:color w:val="auto"/>
                <w:sz w:val="18"/>
                <w:szCs w:val="18"/>
                <w:lang w:val="en-US" w:eastAsia="zh-CN"/>
              </w:rPr>
              <w:t>在每根抽取管材上取1.5倍直径长度的试样，每批在5 %的管材上各取一个试样</w:t>
            </w:r>
          </w:p>
        </w:tc>
        <w:tc>
          <w:tcPr>
            <w:tcW w:w="1559"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5</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水压试验</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逐根检验</w:t>
            </w:r>
          </w:p>
        </w:tc>
        <w:tc>
          <w:tcPr>
            <w:tcW w:w="1559"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6</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气压试验</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逐根检验</w:t>
            </w:r>
          </w:p>
        </w:tc>
        <w:tc>
          <w:tcPr>
            <w:tcW w:w="1559"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7</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盐雾腐蚀</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每批抽取1根管材，在管材上切取1个试样</w:t>
            </w:r>
          </w:p>
        </w:tc>
        <w:tc>
          <w:tcPr>
            <w:tcW w:w="1559"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8</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低倍组织</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在每根抽取管材的挤压尾端切取1个试样；取样数量按表</w:t>
            </w:r>
            <w:r>
              <w:rPr>
                <w:rFonts w:hint="eastAsia"/>
                <w:color w:val="auto"/>
                <w:sz w:val="18"/>
                <w:szCs w:val="18"/>
                <w:lang w:val="en-US" w:eastAsia="zh-CN"/>
              </w:rPr>
              <w:t>8</w:t>
            </w:r>
            <w:r>
              <w:rPr>
                <w:color w:val="auto"/>
                <w:sz w:val="18"/>
                <w:szCs w:val="18"/>
              </w:rPr>
              <w:t>规定</w:t>
            </w:r>
          </w:p>
        </w:tc>
        <w:tc>
          <w:tcPr>
            <w:tcW w:w="1559"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3.</w:t>
            </w:r>
            <w:r>
              <w:rPr>
                <w:rFonts w:hint="eastAsia"/>
                <w:color w:val="auto"/>
                <w:sz w:val="18"/>
                <w:szCs w:val="18"/>
              </w:rPr>
              <w:t>9</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383" w:type="dxa"/>
            <w:tcBorders>
              <w:lef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rFonts w:hint="eastAsia"/>
                <w:color w:val="auto"/>
                <w:sz w:val="18"/>
                <w:szCs w:val="18"/>
              </w:rPr>
              <w:t xml:space="preserve">  </w:t>
            </w:r>
            <w:r>
              <w:rPr>
                <w:color w:val="auto"/>
                <w:sz w:val="18"/>
                <w:szCs w:val="18"/>
              </w:rPr>
              <w:t>显微组织</w:t>
            </w:r>
            <w:r>
              <w:rPr>
                <w:rFonts w:hint="default" w:ascii="Times New Roman" w:hAnsi="Times New Roman" w:cs="Times New Roman"/>
                <w:color w:val="auto"/>
                <w:sz w:val="18"/>
                <w:szCs w:val="18"/>
                <w:vertAlign w:val="superscript"/>
              </w:rPr>
              <w:t>1）</w:t>
            </w:r>
          </w:p>
        </w:tc>
        <w:tc>
          <w:tcPr>
            <w:tcW w:w="5246"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每批</w:t>
            </w:r>
            <w:r>
              <w:rPr>
                <w:rFonts w:hint="eastAsia"/>
                <w:color w:val="auto"/>
                <w:sz w:val="18"/>
                <w:szCs w:val="18"/>
                <w:lang w:eastAsia="zh-CN"/>
              </w:rPr>
              <w:t>（</w:t>
            </w:r>
            <w:r>
              <w:rPr>
                <w:color w:val="auto"/>
                <w:sz w:val="18"/>
                <w:szCs w:val="18"/>
              </w:rPr>
              <w:t>或热处理炉</w:t>
            </w:r>
            <w:r>
              <w:rPr>
                <w:rFonts w:hint="eastAsia"/>
                <w:color w:val="auto"/>
                <w:sz w:val="18"/>
                <w:szCs w:val="18"/>
                <w:lang w:eastAsia="zh-CN"/>
              </w:rPr>
              <w:t>）</w:t>
            </w:r>
            <w:r>
              <w:rPr>
                <w:color w:val="auto"/>
                <w:sz w:val="18"/>
                <w:szCs w:val="18"/>
              </w:rPr>
              <w:t>抽取两根管材，在抽取的每根管材材上切取1</w:t>
            </w:r>
            <w:r>
              <w:rPr>
                <w:rFonts w:hint="eastAsia"/>
                <w:color w:val="auto"/>
                <w:sz w:val="18"/>
                <w:szCs w:val="18"/>
              </w:rPr>
              <w:t>个试样</w:t>
            </w:r>
          </w:p>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个试样</w:t>
            </w:r>
          </w:p>
        </w:tc>
        <w:tc>
          <w:tcPr>
            <w:tcW w:w="155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color w:val="auto"/>
                <w:sz w:val="18"/>
                <w:szCs w:val="18"/>
              </w:rPr>
              <w:t>3.</w:t>
            </w:r>
            <w:r>
              <w:rPr>
                <w:rFonts w:hint="eastAsia"/>
                <w:color w:val="auto"/>
                <w:sz w:val="18"/>
                <w:szCs w:val="18"/>
              </w:rPr>
              <w:t>10</w:t>
            </w:r>
          </w:p>
        </w:tc>
        <w:tc>
          <w:tcPr>
            <w:tcW w:w="1134" w:type="dxa"/>
            <w:tcBorders>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w:t>
            </w:r>
            <w:r>
              <w:rPr>
                <w:rFonts w:hint="eastAsia"/>
                <w:color w:val="auto"/>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383" w:type="dxa"/>
            <w:tcBorders>
              <w:left w:val="single" w:color="auto" w:sz="12" w:space="0"/>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外观质量</w:t>
            </w:r>
          </w:p>
        </w:tc>
        <w:tc>
          <w:tcPr>
            <w:tcW w:w="5246" w:type="dxa"/>
            <w:tcBorders>
              <w:bottom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逐根检验</w:t>
            </w:r>
          </w:p>
        </w:tc>
        <w:tc>
          <w:tcPr>
            <w:tcW w:w="155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 w:val="18"/>
                <w:szCs w:val="18"/>
              </w:rPr>
            </w:pPr>
            <w:r>
              <w:rPr>
                <w:color w:val="auto"/>
                <w:sz w:val="18"/>
                <w:szCs w:val="18"/>
              </w:rPr>
              <w:t>3.</w:t>
            </w:r>
            <w:r>
              <w:rPr>
                <w:rFonts w:hint="eastAsia"/>
                <w:color w:val="auto"/>
                <w:sz w:val="18"/>
                <w:szCs w:val="18"/>
              </w:rPr>
              <w:t>11</w:t>
            </w:r>
          </w:p>
        </w:tc>
        <w:tc>
          <w:tcPr>
            <w:tcW w:w="1134" w:type="dxa"/>
            <w:tcBorders>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color w:val="auto"/>
                <w:sz w:val="18"/>
                <w:szCs w:val="18"/>
              </w:rPr>
            </w:pPr>
            <w:r>
              <w:rPr>
                <w:color w:val="auto"/>
                <w:sz w:val="18"/>
                <w:szCs w:val="18"/>
              </w:rPr>
              <w:t>4.1</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9322" w:type="dxa"/>
            <w:gridSpan w:val="4"/>
            <w:tcBorders>
              <w:top w:val="single" w:color="auto" w:sz="12" w:space="0"/>
              <w:left w:val="single" w:color="auto" w:sz="12" w:space="0"/>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ind w:left="423" w:leftChars="135" w:hanging="140" w:hangingChars="78"/>
              <w:textAlignment w:val="auto"/>
              <w:rPr>
                <w:color w:val="auto"/>
                <w:sz w:val="18"/>
                <w:szCs w:val="18"/>
              </w:rPr>
            </w:pPr>
            <w:r>
              <w:rPr>
                <w:color w:val="auto"/>
                <w:sz w:val="18"/>
                <w:szCs w:val="18"/>
                <w:vertAlign w:val="superscript"/>
              </w:rPr>
              <w:t>1）</w:t>
            </w:r>
            <w:r>
              <w:rPr>
                <w:color w:val="auto"/>
                <w:sz w:val="18"/>
                <w:szCs w:val="18"/>
              </w:rPr>
              <w:t>淬火管材，其力学性能、低倍组织、晶间腐蚀性能、显微组织，生产厂按热处理炉次取样，仲裁时按批取样。</w:t>
            </w:r>
          </w:p>
        </w:tc>
      </w:tr>
    </w:tbl>
    <w:p>
      <w:pPr>
        <w:pStyle w:val="32"/>
        <w:keepNext w:val="0"/>
        <w:keepLines w:val="0"/>
        <w:pageBreakBefore w:val="0"/>
        <w:widowControl/>
        <w:numPr>
          <w:ilvl w:val="0"/>
          <w:numId w:val="0"/>
        </w:numPr>
        <w:kinsoku/>
        <w:wordWrap/>
        <w:overflowPunct/>
        <w:topLinePunct w:val="0"/>
        <w:autoSpaceDE/>
        <w:autoSpaceDN/>
        <w:bidi w:val="0"/>
        <w:adjustRightInd/>
        <w:snapToGrid/>
        <w:spacing w:before="312" w:beforeLines="100" w:after="157" w:afterLines="50" w:line="240" w:lineRule="auto"/>
        <w:textAlignment w:val="auto"/>
        <w:outlineLvl w:val="9"/>
        <w:rPr>
          <w:rFonts w:ascii="Times New Roman"/>
          <w:color w:val="auto"/>
        </w:rPr>
      </w:pPr>
      <w:r>
        <w:rPr>
          <w:rFonts w:ascii="Times New Roman"/>
          <w:color w:val="auto"/>
        </w:rPr>
        <w:t>表</w:t>
      </w:r>
      <w:r>
        <w:rPr>
          <w:rFonts w:hint="eastAsia" w:ascii="Times New Roman"/>
          <w:color w:val="auto"/>
          <w:lang w:val="en-US" w:eastAsia="zh-CN"/>
        </w:rPr>
        <w:t>7</w:t>
      </w:r>
      <w:r>
        <w:rPr>
          <w:rFonts w:ascii="Times New Roman"/>
          <w:color w:val="auto"/>
        </w:rPr>
        <w:t xml:space="preserve"> 尺寸、力学性能和低倍组织的取样数量表</w:t>
      </w:r>
    </w:p>
    <w:tbl>
      <w:tblPr>
        <w:tblStyle w:val="12"/>
        <w:tblW w:w="93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785" w:type="dxa"/>
            <w:tcBorders>
              <w:top w:val="single" w:color="auto" w:sz="12" w:space="0"/>
              <w:bottom w:val="single" w:color="auto" w:sz="12" w:space="0"/>
              <w:right w:val="single" w:color="auto" w:sz="8" w:space="0"/>
            </w:tcBorders>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contextualSpacing/>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每批</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或热处理炉</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数量</w:t>
            </w:r>
          </w:p>
          <w:p>
            <w:pPr>
              <w:pStyle w:val="18"/>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contextualSpacing/>
              <w:jc w:val="center"/>
              <w:textAlignment w:val="auto"/>
              <w:outlineLvl w:val="9"/>
              <w:rPr>
                <w:rFonts w:ascii="Times New Roman" w:hAnsi="Times New Roman" w:cs="Times New Roman"/>
                <w:color w:val="auto"/>
                <w:sz w:val="18"/>
                <w:szCs w:val="18"/>
              </w:rPr>
            </w:pPr>
            <w:r>
              <w:rPr>
                <w:rFonts w:hint="eastAsia" w:ascii="Times New Roman" w:hAnsi="Times New Roman" w:cs="Times New Roman"/>
                <w:color w:val="auto"/>
                <w:sz w:val="18"/>
                <w:szCs w:val="18"/>
              </w:rPr>
              <w:t>根</w:t>
            </w:r>
          </w:p>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根</w:t>
            </w:r>
          </w:p>
        </w:tc>
        <w:tc>
          <w:tcPr>
            <w:tcW w:w="4537" w:type="dxa"/>
            <w:tcBorders>
              <w:top w:val="single" w:color="auto" w:sz="12" w:space="0"/>
              <w:left w:val="single" w:color="auto" w:sz="8" w:space="0"/>
              <w:bottom w:val="single" w:color="auto" w:sz="12" w:space="0"/>
            </w:tcBorders>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contextualSpacing/>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取样数量</w:t>
            </w:r>
          </w:p>
          <w:p>
            <w:pPr>
              <w:pStyle w:val="18"/>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contextualSpacing/>
              <w:jc w:val="center"/>
              <w:textAlignment w:val="auto"/>
              <w:outlineLvl w:val="9"/>
              <w:rPr>
                <w:rFonts w:ascii="Times New Roman" w:hAnsi="Times New Roman" w:cs="Times New Roman"/>
                <w:color w:val="auto"/>
                <w:sz w:val="18"/>
                <w:szCs w:val="18"/>
              </w:rPr>
            </w:pPr>
            <w:r>
              <w:rPr>
                <w:rFonts w:ascii="Times New Roman" w:hAnsi="Times New Roman" w:cs="Times New Roman"/>
                <w:color w:val="auto"/>
                <w:sz w:val="18"/>
                <w:szCs w:val="18"/>
              </w:rPr>
              <w:t>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785" w:type="dxa"/>
            <w:tcBorders>
              <w:top w:val="single" w:color="auto" w:sz="12" w:space="0"/>
              <w:bottom w:val="single" w:color="auto" w:sz="4" w:space="0"/>
            </w:tcBorders>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4537" w:type="dxa"/>
            <w:tcBorders>
              <w:top w:val="single" w:color="auto" w:sz="12" w:space="0"/>
              <w:bottom w:val="single" w:color="auto" w:sz="4" w:space="0"/>
            </w:tcBorders>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785" w:type="dxa"/>
            <w:tcBorders>
              <w:top w:val="single" w:color="auto" w:sz="4" w:space="0"/>
            </w:tcBorders>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&gt;50～90</w:t>
            </w:r>
          </w:p>
        </w:tc>
        <w:tc>
          <w:tcPr>
            <w:tcW w:w="4537" w:type="dxa"/>
            <w:tcBorders>
              <w:top w:val="single" w:color="auto" w:sz="4" w:space="0"/>
            </w:tcBorders>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785" w:type="dxa"/>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&gt;90～150</w:t>
            </w:r>
          </w:p>
        </w:tc>
        <w:tc>
          <w:tcPr>
            <w:tcW w:w="4537" w:type="dxa"/>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785" w:type="dxa"/>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&gt;150～280</w:t>
            </w:r>
          </w:p>
        </w:tc>
        <w:tc>
          <w:tcPr>
            <w:tcW w:w="4537" w:type="dxa"/>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4785" w:type="dxa"/>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&gt;280～500</w:t>
            </w:r>
          </w:p>
        </w:tc>
        <w:tc>
          <w:tcPr>
            <w:tcW w:w="4537" w:type="dxa"/>
            <w:vAlign w:val="top"/>
          </w:tcPr>
          <w:p>
            <w:pPr>
              <w:pStyle w:val="18"/>
              <w:keepNext w:val="0"/>
              <w:keepLines w:val="0"/>
              <w:pageBreakBefore w:val="0"/>
              <w:widowControl/>
              <w:kinsoku/>
              <w:wordWrap/>
              <w:overflowPunct/>
              <w:topLinePunct w:val="0"/>
              <w:autoSpaceDE w:val="0"/>
              <w:autoSpaceDN w:val="0"/>
              <w:bidi w:val="0"/>
              <w:adjustRightInd/>
              <w:snapToGrid/>
              <w:spacing w:line="240" w:lineRule="auto"/>
              <w:ind w:firstLine="0" w:firstLineChars="0"/>
              <w:contextualSpacing/>
              <w:jc w:val="center"/>
              <w:textAlignment w:val="auto"/>
              <w:rPr>
                <w:rFonts w:ascii="Times New Roman" w:hAnsi="Times New Roman" w:cs="Times New Roman"/>
                <w:color w:val="auto"/>
                <w:sz w:val="18"/>
                <w:szCs w:val="18"/>
              </w:rPr>
            </w:pPr>
            <w:r>
              <w:rPr>
                <w:rFonts w:ascii="Times New Roman" w:hAnsi="Times New Roman" w:cs="Times New Roman"/>
                <w:color w:val="auto"/>
                <w:sz w:val="18"/>
                <w:szCs w:val="18"/>
              </w:rPr>
              <w:t>13</w:t>
            </w:r>
          </w:p>
        </w:tc>
      </w:tr>
    </w:tbl>
    <w:p>
      <w:pPr>
        <w:pStyle w:val="16"/>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textAlignment w:val="auto"/>
        <w:outlineLvl w:val="2"/>
        <w:rPr>
          <w:rFonts w:ascii="Times New Roman" w:hAnsi="Times New Roman" w:cs="Times New Roman"/>
          <w:color w:val="auto"/>
        </w:rPr>
      </w:pPr>
    </w:p>
    <w:p>
      <w:pPr>
        <w:pStyle w:val="16"/>
        <w:keepNext w:val="0"/>
        <w:keepLines w:val="0"/>
        <w:pageBreakBefore w:val="0"/>
        <w:widowControl/>
        <w:numPr>
          <w:ilvl w:val="2"/>
          <w:numId w:val="4"/>
        </w:numPr>
        <w:kinsoku/>
        <w:wordWrap/>
        <w:overflowPunct/>
        <w:topLinePunct w:val="0"/>
        <w:autoSpaceDE/>
        <w:autoSpaceDN/>
        <w:bidi w:val="0"/>
        <w:adjustRightInd/>
        <w:snapToGrid/>
        <w:spacing w:beforeLines="0" w:after="156" w:afterLines="50"/>
        <w:textAlignment w:val="auto"/>
        <w:outlineLvl w:val="2"/>
        <w:rPr>
          <w:rFonts w:ascii="Times New Roman" w:hAnsi="Times New Roman" w:cs="Times New Roman"/>
          <w:color w:val="auto"/>
        </w:rPr>
      </w:pPr>
      <w:r>
        <w:rPr>
          <w:rFonts w:ascii="Times New Roman" w:hAnsi="Times New Roman" w:cs="Times New Roman"/>
          <w:color w:val="auto"/>
        </w:rPr>
        <w:t>检验结果的判定</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任一试样的化学成分不合格时，管材能区分熔次的，判该试样代表的熔次管材不合格，其他熔次管材依次检验，合格者交货。不能区分熔次的判该批不合格。</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任一试样的尺寸偏差不合格时，判该批管材不合格。但允许逐根检验，合格者交货。</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试样力学性能不合格时，应从该批（或热处理炉）管材中另取双倍数量的试样进行重复试验。重复试验结果全部合格，则判该批（或热处理炉）管材合格。若重复试验结果中仍有试样性能不合格时，则判该批（或热处理炉）管材不合格。经供需双方商定允许供方逐根检验，合格者交货。也允许供方进行重复热处理，重新取样检验。</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任一试样的扩口试验、水压试验、气压试验、盐雾腐蚀试验不合格时，判该批管材不合格。但允许逐根检验，合格者交货。</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任一试样的低倍组织不合格时，按如下判定：</w:t>
      </w:r>
    </w:p>
    <w:p>
      <w:pPr>
        <w:pStyle w:val="38"/>
        <w:keepNext w:val="0"/>
        <w:keepLines w:val="0"/>
        <w:pageBreakBefore w:val="0"/>
        <w:widowControl/>
        <w:numPr>
          <w:ilvl w:val="4"/>
          <w:numId w:val="4"/>
        </w:numPr>
        <w:kinsoku/>
        <w:wordWrap/>
        <w:overflowPunct/>
        <w:topLinePunct w:val="0"/>
        <w:autoSpaceDE/>
        <w:autoSpaceDN/>
        <w:bidi w:val="0"/>
        <w:adjustRightInd/>
        <w:snapToGrid/>
        <w:spacing w:line="240" w:lineRule="auto"/>
        <w:textAlignment w:val="auto"/>
        <w:outlineLvl w:val="4"/>
        <w:rPr>
          <w:rFonts w:ascii="Times New Roman" w:hAnsi="Times New Roman" w:eastAsia="宋体" w:cs="Times New Roman"/>
          <w:color w:val="auto"/>
        </w:rPr>
      </w:pPr>
      <w:r>
        <w:rPr>
          <w:rFonts w:ascii="Times New Roman" w:hAnsi="Times New Roman" w:eastAsia="宋体" w:cs="Times New Roman"/>
          <w:color w:val="auto"/>
        </w:rPr>
        <w:t>因裂纹、光亮晶粒、非金属夹杂物、外来金属夹杂及白斑、初晶及氧化膜等冶金缺陷不合格时，判该批管材不合格。</w:t>
      </w:r>
    </w:p>
    <w:p>
      <w:pPr>
        <w:pStyle w:val="38"/>
        <w:keepNext w:val="0"/>
        <w:keepLines w:val="0"/>
        <w:pageBreakBefore w:val="0"/>
        <w:widowControl/>
        <w:numPr>
          <w:ilvl w:val="4"/>
          <w:numId w:val="4"/>
        </w:numPr>
        <w:kinsoku/>
        <w:wordWrap/>
        <w:overflowPunct/>
        <w:topLinePunct w:val="0"/>
        <w:autoSpaceDE/>
        <w:autoSpaceDN/>
        <w:bidi w:val="0"/>
        <w:adjustRightInd/>
        <w:snapToGrid/>
        <w:spacing w:line="240" w:lineRule="auto"/>
        <w:textAlignment w:val="auto"/>
        <w:outlineLvl w:val="4"/>
        <w:rPr>
          <w:rFonts w:ascii="Times New Roman" w:hAnsi="Times New Roman" w:eastAsia="宋体" w:cs="Times New Roman"/>
          <w:color w:val="auto"/>
        </w:rPr>
      </w:pPr>
      <w:r>
        <w:rPr>
          <w:rFonts w:hint="default" w:ascii="Times New Roman" w:hAnsi="Times New Roman" w:eastAsia="宋体" w:cs="Times New Roman"/>
          <w:color w:val="auto"/>
          <w:lang w:val="en-US" w:eastAsia="zh-CN"/>
        </w:rPr>
        <w:t>因晶粒度、缩尾不合格时</w:t>
      </w:r>
      <w:r>
        <w:rPr>
          <w:rFonts w:ascii="Times New Roman" w:hAnsi="Times New Roman" w:eastAsia="宋体" w:cs="Times New Roman"/>
          <w:color w:val="auto"/>
        </w:rPr>
        <w:t>，允许从管材挤压尾端切去一段重复试验，直至合格，则该批中的其他管材均应按受检管材上述缺陷分布的最大长度切尾或逐根检验，合格者交货。</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任一试样的显微组织不合格时，判该批（或热处理炉）管材不合格。</w:t>
      </w:r>
    </w:p>
    <w:p>
      <w:pPr>
        <w:pStyle w:val="15"/>
        <w:keepNext w:val="0"/>
        <w:keepLines w:val="0"/>
        <w:pageBreakBefore w:val="0"/>
        <w:widowControl/>
        <w:numPr>
          <w:ilvl w:val="3"/>
          <w:numId w:val="4"/>
        </w:numPr>
        <w:kinsoku/>
        <w:wordWrap/>
        <w:overflowPunct/>
        <w:topLinePunct w:val="0"/>
        <w:autoSpaceDE/>
        <w:autoSpaceDN/>
        <w:bidi w:val="0"/>
        <w:adjustRightInd/>
        <w:snapToGrid/>
        <w:spacing w:beforeLines="0" w:afterLines="0" w:line="240" w:lineRule="auto"/>
        <w:textAlignment w:val="auto"/>
        <w:outlineLvl w:val="3"/>
        <w:rPr>
          <w:rFonts w:hint="eastAsia" w:ascii="Times New Roman" w:hAnsi="Times New Roman" w:eastAsia="宋体" w:cs="Times New Roman"/>
          <w:color w:val="auto"/>
          <w:shd w:val="clear" w:color="auto" w:fill="FFFFFF"/>
          <w:lang w:val="en-US" w:eastAsia="zh-CN"/>
        </w:rPr>
      </w:pPr>
      <w:r>
        <w:rPr>
          <w:rFonts w:hint="eastAsia" w:ascii="Times New Roman" w:hAnsi="Times New Roman" w:eastAsia="宋体" w:cs="Times New Roman"/>
          <w:color w:val="auto"/>
          <w:shd w:val="clear" w:color="auto" w:fill="FFFFFF"/>
          <w:lang w:val="en-US" w:eastAsia="zh-CN"/>
        </w:rPr>
        <w:t>任一管材的外观质量不合格时，判该根管材不合格。</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textAlignment w:val="auto"/>
        <w:outlineLvl w:val="1"/>
        <w:rPr>
          <w:rFonts w:ascii="Times New Roman"/>
          <w:color w:val="auto"/>
        </w:rPr>
      </w:pPr>
      <w:r>
        <w:rPr>
          <w:rFonts w:ascii="Times New Roman"/>
          <w:color w:val="auto"/>
        </w:rPr>
        <w:t>标志、包装、运输、贮存及质量证明书</w:t>
      </w:r>
    </w:p>
    <w:p>
      <w:pPr>
        <w:pStyle w:val="16"/>
        <w:keepNext w:val="0"/>
        <w:keepLines w:val="0"/>
        <w:pageBreakBefore w:val="0"/>
        <w:numPr>
          <w:ilvl w:val="2"/>
          <w:numId w:val="4"/>
        </w:numPr>
        <w:kinsoku/>
        <w:wordWrap/>
        <w:overflowPunct/>
        <w:topLinePunct w:val="0"/>
        <w:bidi w:val="0"/>
        <w:adjustRightInd/>
        <w:snapToGrid/>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标志</w:t>
      </w:r>
    </w:p>
    <w:p>
      <w:pPr>
        <w:pStyle w:val="15"/>
        <w:keepNext w:val="0"/>
        <w:keepLines w:val="0"/>
        <w:pageBreakBefore w:val="0"/>
        <w:widowControl/>
        <w:numPr>
          <w:ilvl w:val="3"/>
          <w:numId w:val="4"/>
        </w:numPr>
        <w:kinsoku/>
        <w:wordWrap/>
        <w:overflowPunct/>
        <w:topLinePunct w:val="0"/>
        <w:autoSpaceDE/>
        <w:autoSpaceDN/>
        <w:bidi w:val="0"/>
        <w:adjustRightInd/>
        <w:snapToGrid/>
        <w:spacing w:before="156" w:beforeLines="50" w:after="156" w:afterLines="50" w:line="240" w:lineRule="auto"/>
        <w:textAlignment w:val="auto"/>
        <w:outlineLvl w:val="3"/>
        <w:rPr>
          <w:rFonts w:ascii="Times New Roman" w:hAnsi="Times New Roman" w:cs="Times New Roman"/>
          <w:color w:val="auto"/>
        </w:rPr>
      </w:pPr>
      <w:r>
        <w:rPr>
          <w:rFonts w:ascii="Times New Roman" w:hAnsi="Times New Roman" w:cs="Times New Roman"/>
          <w:color w:val="auto"/>
          <w:shd w:val="clear" w:color="auto" w:fill="FFFFFF"/>
        </w:rPr>
        <w:t>产品标志</w:t>
      </w:r>
    </w:p>
    <w:p>
      <w:pPr>
        <w:pStyle w:val="18"/>
        <w:keepNext w:val="0"/>
        <w:keepLines w:val="0"/>
        <w:pageBreakBefore w:val="0"/>
        <w:kinsoku/>
        <w:wordWrap/>
        <w:overflowPunct/>
        <w:topLinePunct w:val="0"/>
        <w:bidi w:val="0"/>
        <w:adjustRightInd/>
        <w:snapToGrid/>
        <w:spacing w:line="240" w:lineRule="auto"/>
        <w:ind w:firstLine="420"/>
        <w:contextualSpacing/>
        <w:textAlignment w:val="auto"/>
        <w:rPr>
          <w:rFonts w:ascii="Times New Roman" w:hAnsi="Times New Roman" w:cs="Times New Roman"/>
          <w:color w:val="auto"/>
        </w:rPr>
      </w:pPr>
      <w:r>
        <w:rPr>
          <w:rFonts w:ascii="Times New Roman" w:hAnsi="Times New Roman" w:cs="Times New Roman"/>
          <w:color w:val="auto"/>
        </w:rPr>
        <w:t>在检验合格的管材挤压前端打印如下内容的标识（或贴含有如下内容的标签）：</w:t>
      </w:r>
    </w:p>
    <w:p>
      <w:pPr>
        <w:pStyle w:val="2"/>
        <w:keepNext w:val="0"/>
        <w:keepLines w:val="0"/>
        <w:pageBreakBefore w:val="0"/>
        <w:numPr>
          <w:ilvl w:val="0"/>
          <w:numId w:val="5"/>
        </w:numPr>
        <w:kinsoku/>
        <w:wordWrap/>
        <w:overflowPunct/>
        <w:topLinePunct w:val="0"/>
        <w:bidi w:val="0"/>
        <w:adjustRightInd/>
        <w:snapToGrid/>
        <w:spacing w:after="0" w:line="240" w:lineRule="auto"/>
        <w:ind w:left="704" w:hanging="284"/>
        <w:contextualSpacing/>
        <w:textAlignment w:val="auto"/>
        <w:rPr>
          <w:color w:val="auto"/>
        </w:rPr>
      </w:pPr>
      <w:r>
        <w:rPr>
          <w:color w:val="auto"/>
        </w:rPr>
        <w:t>供方质检部门的检印（或质检人员的签名或印章）；</w:t>
      </w:r>
    </w:p>
    <w:p>
      <w:pPr>
        <w:pStyle w:val="2"/>
        <w:keepNext w:val="0"/>
        <w:keepLines w:val="0"/>
        <w:pageBreakBefore w:val="0"/>
        <w:numPr>
          <w:ilvl w:val="0"/>
          <w:numId w:val="5"/>
        </w:numPr>
        <w:kinsoku/>
        <w:wordWrap/>
        <w:overflowPunct/>
        <w:topLinePunct w:val="0"/>
        <w:bidi w:val="0"/>
        <w:adjustRightInd/>
        <w:snapToGrid/>
        <w:spacing w:after="0" w:line="240" w:lineRule="auto"/>
        <w:ind w:left="704" w:hanging="284"/>
        <w:contextualSpacing/>
        <w:textAlignment w:val="auto"/>
        <w:rPr>
          <w:color w:val="auto"/>
        </w:rPr>
      </w:pPr>
      <w:r>
        <w:rPr>
          <w:color w:val="auto"/>
        </w:rPr>
        <w:t>牌号、状态及尺寸规格；</w:t>
      </w:r>
    </w:p>
    <w:p>
      <w:pPr>
        <w:pStyle w:val="2"/>
        <w:keepNext w:val="0"/>
        <w:keepLines w:val="0"/>
        <w:pageBreakBefore w:val="0"/>
        <w:numPr>
          <w:ilvl w:val="0"/>
          <w:numId w:val="5"/>
        </w:numPr>
        <w:kinsoku/>
        <w:wordWrap/>
        <w:overflowPunct/>
        <w:topLinePunct w:val="0"/>
        <w:bidi w:val="0"/>
        <w:adjustRightInd/>
        <w:snapToGrid/>
        <w:spacing w:after="0" w:line="240" w:lineRule="auto"/>
        <w:ind w:left="704" w:hanging="284"/>
        <w:contextualSpacing/>
        <w:textAlignment w:val="auto"/>
        <w:rPr>
          <w:color w:val="auto"/>
        </w:rPr>
      </w:pPr>
      <w:r>
        <w:rPr>
          <w:color w:val="auto"/>
        </w:rPr>
        <w:t>产品批号或生产日期；</w:t>
      </w:r>
    </w:p>
    <w:p>
      <w:pPr>
        <w:pStyle w:val="15"/>
        <w:keepNext w:val="0"/>
        <w:keepLines w:val="0"/>
        <w:pageBreakBefore w:val="0"/>
        <w:numPr>
          <w:ilvl w:val="3"/>
          <w:numId w:val="4"/>
        </w:numPr>
        <w:kinsoku/>
        <w:wordWrap/>
        <w:overflowPunct/>
        <w:topLinePunct w:val="0"/>
        <w:bidi w:val="0"/>
        <w:adjustRightInd/>
        <w:snapToGrid/>
        <w:spacing w:before="156" w:beforeLines="50" w:after="156" w:afterLines="50" w:line="240" w:lineRule="auto"/>
        <w:textAlignment w:val="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包装箱标志</w:t>
      </w:r>
    </w:p>
    <w:p>
      <w:pPr>
        <w:pStyle w:val="18"/>
        <w:keepNext w:val="0"/>
        <w:keepLines w:val="0"/>
        <w:pageBreakBefore w:val="0"/>
        <w:kinsoku/>
        <w:wordWrap/>
        <w:overflowPunct/>
        <w:topLinePunct w:val="0"/>
        <w:bidi w:val="0"/>
        <w:adjustRightInd/>
        <w:snapToGrid/>
        <w:spacing w:line="240" w:lineRule="auto"/>
        <w:ind w:firstLine="420"/>
        <w:contextualSpacing/>
        <w:textAlignment w:val="auto"/>
        <w:rPr>
          <w:rFonts w:ascii="Times New Roman" w:hAnsi="Times New Roman" w:cs="Times New Roman"/>
          <w:color w:val="auto"/>
        </w:rPr>
      </w:pPr>
      <w:r>
        <w:rPr>
          <w:rFonts w:ascii="Times New Roman" w:hAnsi="Times New Roman" w:cs="Times New Roman"/>
          <w:color w:val="auto"/>
        </w:rPr>
        <w:t>管材的包装箱标志应符合GB/T 3199的规定。</w:t>
      </w:r>
    </w:p>
    <w:p>
      <w:pPr>
        <w:pStyle w:val="16"/>
        <w:keepNext w:val="0"/>
        <w:keepLines w:val="0"/>
        <w:pageBreakBefore w:val="0"/>
        <w:numPr>
          <w:ilvl w:val="2"/>
          <w:numId w:val="4"/>
        </w:numPr>
        <w:kinsoku/>
        <w:wordWrap/>
        <w:overflowPunct/>
        <w:topLinePunct w:val="0"/>
        <w:bidi w:val="0"/>
        <w:adjustRightInd/>
        <w:snapToGrid/>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包装</w:t>
      </w:r>
    </w:p>
    <w:p>
      <w:pPr>
        <w:keepNext w:val="0"/>
        <w:keepLines w:val="0"/>
        <w:pageBreakBefore w:val="0"/>
        <w:kinsoku/>
        <w:wordWrap/>
        <w:overflowPunct/>
        <w:topLinePunct w:val="0"/>
        <w:bidi w:val="0"/>
        <w:adjustRightInd/>
        <w:snapToGrid/>
        <w:spacing w:line="240" w:lineRule="auto"/>
        <w:ind w:firstLine="420" w:firstLineChars="200"/>
        <w:contextualSpacing/>
        <w:textAlignment w:val="auto"/>
        <w:rPr>
          <w:color w:val="auto"/>
        </w:rPr>
      </w:pPr>
      <w:r>
        <w:rPr>
          <w:color w:val="auto"/>
        </w:rPr>
        <w:t>管材</w:t>
      </w:r>
      <w:r>
        <w:rPr>
          <w:rFonts w:hint="eastAsia"/>
          <w:color w:val="auto"/>
        </w:rPr>
        <w:t>宜采用</w:t>
      </w:r>
      <w:r>
        <w:rPr>
          <w:color w:val="auto"/>
        </w:rPr>
        <w:t>不涂油</w:t>
      </w:r>
      <w:r>
        <w:rPr>
          <w:rFonts w:hint="eastAsia"/>
          <w:color w:val="auto"/>
        </w:rPr>
        <w:t>打捆方式包装，需方要求涂油或装箱时</w:t>
      </w:r>
      <w:r>
        <w:rPr>
          <w:color w:val="auto"/>
        </w:rPr>
        <w:t>，</w:t>
      </w:r>
      <w:r>
        <w:rPr>
          <w:rFonts w:hint="eastAsia"/>
          <w:color w:val="auto"/>
        </w:rPr>
        <w:t>由供需双方协商后，在订货单（或合同）中注明。</w:t>
      </w:r>
    </w:p>
    <w:p>
      <w:pPr>
        <w:pStyle w:val="16"/>
        <w:keepNext w:val="0"/>
        <w:keepLines w:val="0"/>
        <w:pageBreakBefore w:val="0"/>
        <w:numPr>
          <w:ilvl w:val="2"/>
          <w:numId w:val="4"/>
        </w:numPr>
        <w:kinsoku/>
        <w:wordWrap/>
        <w:overflowPunct/>
        <w:topLinePunct w:val="0"/>
        <w:bidi w:val="0"/>
        <w:adjustRightInd/>
        <w:snapToGrid/>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运输和贮存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contextualSpacing/>
        <w:textAlignment w:val="auto"/>
        <w:outlineLvl w:val="9"/>
        <w:rPr>
          <w:color w:val="auto"/>
        </w:rPr>
      </w:pPr>
      <w:r>
        <w:rPr>
          <w:color w:val="auto"/>
        </w:rPr>
        <w:t>管材的运输和贮存应符合GB/T 3199的规定。</w:t>
      </w:r>
    </w:p>
    <w:p>
      <w:pPr>
        <w:pStyle w:val="16"/>
        <w:keepNext w:val="0"/>
        <w:keepLines w:val="0"/>
        <w:pageBreakBefore w:val="0"/>
        <w:numPr>
          <w:ilvl w:val="2"/>
          <w:numId w:val="4"/>
        </w:numPr>
        <w:kinsoku/>
        <w:wordWrap/>
        <w:overflowPunct/>
        <w:topLinePunct w:val="0"/>
        <w:bidi w:val="0"/>
        <w:adjustRightInd/>
        <w:snapToGrid/>
        <w:spacing w:before="156" w:beforeLines="50" w:after="156" w:afterLines="50" w:line="240" w:lineRule="auto"/>
        <w:textAlignment w:val="auto"/>
        <w:rPr>
          <w:rFonts w:ascii="Times New Roman" w:hAnsi="Times New Roman" w:cs="Times New Roman"/>
          <w:color w:val="auto"/>
        </w:rPr>
      </w:pPr>
      <w:r>
        <w:rPr>
          <w:rFonts w:ascii="Times New Roman" w:hAnsi="Times New Roman" w:cs="Times New Roman"/>
          <w:color w:val="auto"/>
        </w:rPr>
        <w:t>质量证明书</w:t>
      </w:r>
    </w:p>
    <w:p>
      <w:pPr>
        <w:pStyle w:val="2"/>
        <w:keepNext w:val="0"/>
        <w:keepLines w:val="0"/>
        <w:pageBreakBefore w:val="0"/>
        <w:kinsoku/>
        <w:wordWrap/>
        <w:overflowPunct/>
        <w:topLinePunct w:val="0"/>
        <w:bidi w:val="0"/>
        <w:adjustRightInd/>
        <w:snapToGrid/>
        <w:spacing w:after="0" w:line="240" w:lineRule="auto"/>
        <w:contextualSpacing/>
        <w:textAlignment w:val="auto"/>
        <w:rPr>
          <w:color w:val="auto"/>
        </w:rPr>
      </w:pPr>
      <w:r>
        <w:rPr>
          <w:color w:val="auto"/>
        </w:rPr>
        <w:t>每批管材应附有产品质量证明书，其上注明：</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供方名称；</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产品名称；</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牌号、状态、尺寸规格；</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产品批号或生产日期；</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净重或件数；</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各项分析检验结果；</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供方质检部门的检印；</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本标准编号；</w:t>
      </w:r>
    </w:p>
    <w:p>
      <w:pPr>
        <w:pStyle w:val="2"/>
        <w:keepNext w:val="0"/>
        <w:keepLines w:val="0"/>
        <w:pageBreakBefore w:val="0"/>
        <w:numPr>
          <w:ilvl w:val="0"/>
          <w:numId w:val="6"/>
        </w:numPr>
        <w:kinsoku/>
        <w:wordWrap/>
        <w:overflowPunct/>
        <w:topLinePunct w:val="0"/>
        <w:bidi w:val="0"/>
        <w:adjustRightInd/>
        <w:snapToGrid/>
        <w:spacing w:after="0" w:line="240" w:lineRule="auto"/>
        <w:contextualSpacing/>
        <w:textAlignment w:val="auto"/>
        <w:rPr>
          <w:color w:val="auto"/>
        </w:rPr>
      </w:pPr>
      <w:r>
        <w:rPr>
          <w:color w:val="auto"/>
        </w:rPr>
        <w:t>包装日期（或出厂日期）。</w:t>
      </w:r>
    </w:p>
    <w:p>
      <w:pPr>
        <w:pStyle w:val="17"/>
        <w:keepNext w:val="0"/>
        <w:keepLines w:val="0"/>
        <w:pageBreakBefore w:val="0"/>
        <w:widowControl/>
        <w:numPr>
          <w:ilvl w:val="1"/>
          <w:numId w:val="4"/>
        </w:numPr>
        <w:kinsoku/>
        <w:wordWrap/>
        <w:overflowPunct/>
        <w:topLinePunct w:val="0"/>
        <w:autoSpaceDE/>
        <w:autoSpaceDN/>
        <w:bidi w:val="0"/>
        <w:adjustRightInd/>
        <w:snapToGrid/>
        <w:spacing w:before="313" w:beforeLines="100" w:after="313" w:afterLines="100" w:line="240" w:lineRule="auto"/>
        <w:textAlignment w:val="auto"/>
        <w:outlineLvl w:val="1"/>
        <w:rPr>
          <w:rFonts w:ascii="Times New Roman"/>
          <w:color w:val="auto"/>
        </w:rPr>
      </w:pPr>
      <w:r>
        <w:rPr>
          <w:rFonts w:ascii="Times New Roman"/>
          <w:color w:val="auto"/>
        </w:rPr>
        <w:t>订货单（或合同）内容</w:t>
      </w:r>
    </w:p>
    <w:p>
      <w:pPr>
        <w:pStyle w:val="18"/>
        <w:keepNext w:val="0"/>
        <w:keepLines w:val="0"/>
        <w:pageBreakBefore w:val="0"/>
        <w:widowControl/>
        <w:kinsoku/>
        <w:wordWrap/>
        <w:overflowPunct/>
        <w:topLinePunct w:val="0"/>
        <w:bidi w:val="0"/>
        <w:adjustRightInd/>
        <w:snapToGrid/>
        <w:spacing w:line="240" w:lineRule="auto"/>
        <w:ind w:firstLine="420"/>
        <w:textAlignment w:val="auto"/>
        <w:rPr>
          <w:rFonts w:ascii="Times New Roman" w:hAnsi="Times New Roman" w:cs="Times New Roman"/>
          <w:color w:val="auto"/>
        </w:rPr>
      </w:pPr>
      <w:r>
        <w:rPr>
          <w:rFonts w:ascii="Times New Roman" w:hAnsi="Times New Roman" w:cs="Times New Roman"/>
          <w:color w:val="auto"/>
        </w:rPr>
        <w:t>订购本标准所列材料的订货单（或合同）内宜包括下列内容：</w:t>
      </w:r>
    </w:p>
    <w:p>
      <w:pPr>
        <w:pStyle w:val="18"/>
        <w:keepNext w:val="0"/>
        <w:keepLines w:val="0"/>
        <w:pageBreakBefore w:val="0"/>
        <w:widowControl/>
        <w:numPr>
          <w:ilvl w:val="0"/>
          <w:numId w:val="7"/>
        </w:numPr>
        <w:kinsoku/>
        <w:wordWrap/>
        <w:overflowPunct/>
        <w:topLinePunct w:val="0"/>
        <w:bidi w:val="0"/>
        <w:adjustRightInd/>
        <w:snapToGrid/>
        <w:spacing w:line="240" w:lineRule="auto"/>
        <w:ind w:firstLineChars="0"/>
        <w:textAlignment w:val="auto"/>
        <w:rPr>
          <w:rFonts w:ascii="Times New Roman" w:hAnsi="Times New Roman" w:cs="Times New Roman"/>
          <w:color w:val="auto"/>
        </w:rPr>
      </w:pPr>
      <w:r>
        <w:rPr>
          <w:rFonts w:ascii="Times New Roman" w:hAnsi="Times New Roman" w:cs="Times New Roman"/>
          <w:color w:val="auto"/>
        </w:rPr>
        <w:t>产品名称；</w:t>
      </w:r>
    </w:p>
    <w:p>
      <w:pPr>
        <w:pStyle w:val="18"/>
        <w:keepNext w:val="0"/>
        <w:keepLines w:val="0"/>
        <w:pageBreakBefore w:val="0"/>
        <w:widowControl/>
        <w:numPr>
          <w:ilvl w:val="0"/>
          <w:numId w:val="7"/>
        </w:numPr>
        <w:kinsoku/>
        <w:wordWrap/>
        <w:overflowPunct/>
        <w:topLinePunct w:val="0"/>
        <w:bidi w:val="0"/>
        <w:adjustRightInd/>
        <w:snapToGrid/>
        <w:spacing w:line="240" w:lineRule="auto"/>
        <w:ind w:firstLineChars="0"/>
        <w:textAlignment w:val="auto"/>
        <w:rPr>
          <w:rFonts w:ascii="Times New Roman" w:hAnsi="Times New Roman" w:cs="Times New Roman"/>
          <w:color w:val="auto"/>
        </w:rPr>
      </w:pPr>
      <w:r>
        <w:rPr>
          <w:rFonts w:ascii="Times New Roman" w:hAnsi="Times New Roman" w:cs="Times New Roman"/>
          <w:color w:val="auto"/>
        </w:rPr>
        <w:t>合金牌号、供应状态、尺寸规格；</w:t>
      </w:r>
    </w:p>
    <w:p>
      <w:pPr>
        <w:pStyle w:val="18"/>
        <w:keepNext w:val="0"/>
        <w:keepLines w:val="0"/>
        <w:pageBreakBefore w:val="0"/>
        <w:widowControl/>
        <w:numPr>
          <w:ilvl w:val="0"/>
          <w:numId w:val="7"/>
        </w:numPr>
        <w:kinsoku/>
        <w:wordWrap/>
        <w:overflowPunct/>
        <w:topLinePunct w:val="0"/>
        <w:bidi w:val="0"/>
        <w:adjustRightInd/>
        <w:snapToGrid/>
        <w:spacing w:line="240" w:lineRule="auto"/>
        <w:ind w:firstLineChars="0"/>
        <w:textAlignment w:val="auto"/>
        <w:rPr>
          <w:rFonts w:ascii="Times New Roman" w:hAnsi="Times New Roman" w:cs="Times New Roman"/>
          <w:color w:val="auto"/>
        </w:rPr>
      </w:pPr>
      <w:r>
        <w:rPr>
          <w:rFonts w:ascii="Times New Roman" w:hAnsi="Times New Roman" w:cs="Times New Roman"/>
          <w:color w:val="auto"/>
        </w:rPr>
        <w:t>尺寸和外形允许偏差级别（未注明时，按3.3规定执行）；</w:t>
      </w:r>
    </w:p>
    <w:p>
      <w:pPr>
        <w:pStyle w:val="18"/>
        <w:keepNext w:val="0"/>
        <w:keepLines w:val="0"/>
        <w:pageBreakBefore w:val="0"/>
        <w:widowControl/>
        <w:numPr>
          <w:ilvl w:val="0"/>
          <w:numId w:val="7"/>
        </w:numPr>
        <w:kinsoku/>
        <w:wordWrap/>
        <w:overflowPunct/>
        <w:topLinePunct w:val="0"/>
        <w:bidi w:val="0"/>
        <w:adjustRightInd/>
        <w:snapToGrid/>
        <w:spacing w:line="240" w:lineRule="auto"/>
        <w:ind w:firstLineChars="0"/>
        <w:textAlignment w:val="auto"/>
        <w:rPr>
          <w:rFonts w:ascii="Times New Roman" w:hAnsi="Times New Roman" w:cs="Times New Roman"/>
          <w:color w:val="auto"/>
        </w:rPr>
      </w:pPr>
      <w:r>
        <w:rPr>
          <w:rFonts w:ascii="Times New Roman" w:hAnsi="Times New Roman" w:cs="Times New Roman"/>
          <w:color w:val="auto"/>
        </w:rPr>
        <w:t>定尺长度（为注明时，按不定尺）；</w:t>
      </w:r>
    </w:p>
    <w:p>
      <w:pPr>
        <w:pStyle w:val="18"/>
        <w:keepNext w:val="0"/>
        <w:keepLines w:val="0"/>
        <w:pageBreakBefore w:val="0"/>
        <w:widowControl/>
        <w:numPr>
          <w:ilvl w:val="0"/>
          <w:numId w:val="7"/>
        </w:numPr>
        <w:kinsoku/>
        <w:wordWrap/>
        <w:overflowPunct/>
        <w:topLinePunct w:val="0"/>
        <w:bidi w:val="0"/>
        <w:adjustRightInd/>
        <w:snapToGrid/>
        <w:spacing w:line="240" w:lineRule="auto"/>
        <w:ind w:firstLineChars="0"/>
        <w:textAlignment w:val="auto"/>
        <w:rPr>
          <w:rFonts w:ascii="Times New Roman" w:hAnsi="Times New Roman" w:cs="Times New Roman"/>
          <w:color w:val="auto"/>
        </w:rPr>
      </w:pPr>
      <w:r>
        <w:rPr>
          <w:rFonts w:ascii="Times New Roman" w:hAnsi="Times New Roman" w:cs="Times New Roman"/>
          <w:color w:val="auto"/>
        </w:rPr>
        <w:pict>
          <v:shape id="_x0000_s1064" o:spid="_x0000_s1064" o:spt="32" type="#_x0000_t32" style="position:absolute;left:0pt;margin-left:111.35pt;margin-top:24.95pt;height:0pt;width:211.9pt;z-index:251678720;mso-width-relative:page;mso-height-relative:page;" o:connectortype="straight" filled="f" coordsize="21600,21600">
            <v:path arrowok="t"/>
            <v:fill on="f" focussize="0,0"/>
            <v:stroke weight="1.5pt"/>
            <v:imagedata o:title=""/>
            <o:lock v:ext="edit"/>
          </v:shape>
        </w:pict>
      </w:r>
      <w:r>
        <w:rPr>
          <w:rFonts w:ascii="Times New Roman" w:hAnsi="Times New Roman" w:cs="Times New Roman"/>
          <w:color w:val="auto"/>
        </w:rPr>
        <w:t>本标准名称和编号；</w:t>
      </w:r>
    </w:p>
    <w:sectPr>
      <w:headerReference r:id="rId12" w:type="default"/>
      <w:footerReference r:id="rId14" w:type="default"/>
      <w:headerReference r:id="rId13" w:type="even"/>
      <w:footerReference r:id="rId15" w:type="even"/>
      <w:pgSz w:w="11906" w:h="16838"/>
      <w:pgMar w:top="567" w:right="1134" w:bottom="1134" w:left="1418"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魏碑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0"/>
      </w:rPr>
    </w:pPr>
    <w:r>
      <w:fldChar w:fldCharType="begin"/>
    </w:r>
    <w:r>
      <w:rPr>
        <w:rStyle w:val="10"/>
      </w:rPr>
      <w:instrText xml:space="preserve">PAGE  </w:instrText>
    </w:r>
    <w:r>
      <w:fldChar w:fldCharType="separate"/>
    </w:r>
    <w:r>
      <w:rPr>
        <w:rStyle w:val="10"/>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10"/>
      </w:rPr>
    </w:pPr>
    <w:r>
      <w:fldChar w:fldCharType="begin"/>
    </w:r>
    <w:r>
      <w:rPr>
        <w:rStyle w:val="10"/>
      </w:rPr>
      <w:instrText xml:space="preserve">PAGE  </w:instrText>
    </w:r>
    <w:r>
      <w:fldChar w:fldCharType="separate"/>
    </w:r>
    <w:r>
      <w:rPr>
        <w:rStyle w:val="10"/>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0"/>
      </w:rPr>
    </w:pPr>
    <w:r>
      <w:fldChar w:fldCharType="begin"/>
    </w:r>
    <w:r>
      <w:rPr>
        <w:rStyle w:val="10"/>
      </w:rPr>
      <w:instrText xml:space="preserve">PAGE  </w:instrText>
    </w:r>
    <w:r>
      <w:fldChar w:fldCharType="separate"/>
    </w:r>
    <w:r>
      <w:rPr>
        <w:rStyle w:val="10"/>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10"/>
      </w:rPr>
    </w:pPr>
    <w:r>
      <w:fldChar w:fldCharType="begin"/>
    </w:r>
    <w:r>
      <w:rPr>
        <w:rStyle w:val="10"/>
      </w:rPr>
      <w:instrText xml:space="preserve">PAGE  </w:instrText>
    </w:r>
    <w:r>
      <w:fldChar w:fldCharType="separate"/>
    </w:r>
    <w:r>
      <w:rPr>
        <w:rStyle w:val="10"/>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10"/>
      </w:rPr>
    </w:pPr>
    <w:r>
      <w:fldChar w:fldCharType="begin"/>
    </w:r>
    <w:r>
      <w:rPr>
        <w:rStyle w:val="10"/>
      </w:rPr>
      <w:instrText xml:space="preserve">PAGE  </w:instrText>
    </w:r>
    <w:r>
      <w:fldChar w:fldCharType="separate"/>
    </w:r>
    <w:r>
      <w:rPr>
        <w:rStyle w:val="10"/>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Style w:val="10"/>
      </w:rPr>
    </w:pPr>
    <w:r>
      <w:fldChar w:fldCharType="begin"/>
    </w:r>
    <w:r>
      <w:rPr>
        <w:rStyle w:val="10"/>
      </w:rPr>
      <w:instrText xml:space="preserve">PAGE  </w:instrText>
    </w:r>
    <w:r>
      <w:fldChar w:fldCharType="separate"/>
    </w:r>
    <w:r>
      <w:rPr>
        <w:rStyle w:val="10"/>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GB6892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GB6892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both"/>
    </w:pPr>
    <w:r>
      <w:t>GB/T</w:t>
    </w:r>
    <w:r>
      <w:rPr>
        <w:rFonts w:hint="eastAsia"/>
      </w:rPr>
      <w:t>xxxx</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both"/>
    </w:pPr>
    <w:r>
      <w:t>GB/T</w:t>
    </w:r>
    <w:r>
      <w:rPr>
        <w:rFonts w:hint="eastAsia"/>
      </w:rPr>
      <w:t>xxxx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264565A4"/>
    <w:multiLevelType w:val="multilevel"/>
    <w:tmpl w:val="264565A4"/>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7D9237F"/>
    <w:multiLevelType w:val="singleLevel"/>
    <w:tmpl w:val="47D9237F"/>
    <w:lvl w:ilvl="0" w:tentative="0">
      <w:start w:val="1"/>
      <w:numFmt w:val="lowerLetter"/>
      <w:lvlText w:val="%1)"/>
      <w:lvlJc w:val="left"/>
      <w:pPr>
        <w:tabs>
          <w:tab w:val="left" w:pos="705"/>
        </w:tabs>
        <w:ind w:left="705" w:hanging="285"/>
      </w:pPr>
      <w:rPr>
        <w:rFonts w:hint="default"/>
      </w:rPr>
    </w:lvl>
  </w:abstractNum>
  <w:abstractNum w:abstractNumId="3">
    <w:nsid w:val="621810D2"/>
    <w:multiLevelType w:val="multilevel"/>
    <w:tmpl w:val="621810D2"/>
    <w:lvl w:ilvl="0" w:tentative="0">
      <w:start w:val="1"/>
      <w:numFmt w:val="none"/>
      <w:pStyle w:val="44"/>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105" w:firstLine="0"/>
      </w:pPr>
      <w:rPr>
        <w:rFonts w:hint="eastAsia" w:ascii="黑体" w:hAnsi="Times New Roman" w:eastAsia="黑体"/>
        <w:b w:val="0"/>
        <w:i w:val="0"/>
        <w:sz w:val="21"/>
      </w:rPr>
    </w:lvl>
    <w:lvl w:ilvl="2" w:tentative="0">
      <w:start w:val="1"/>
      <w:numFmt w:val="decimal"/>
      <w:pStyle w:val="16"/>
      <w:suff w:val="nothing"/>
      <w:lvlText w:val="%14.4　"/>
      <w:lvlJc w:val="left"/>
      <w:pPr>
        <w:ind w:left="284" w:firstLine="0"/>
      </w:pPr>
      <w:rPr>
        <w:rFonts w:hint="eastAsia" w:ascii="黑体" w:hAnsi="Times New Roman" w:eastAsia="黑体"/>
        <w:b w:val="0"/>
        <w:i w:val="0"/>
        <w:sz w:val="21"/>
      </w:rPr>
    </w:lvl>
    <w:lvl w:ilvl="3" w:tentative="0">
      <w:start w:val="1"/>
      <w:numFmt w:val="decimal"/>
      <w:pStyle w:val="15"/>
      <w:suff w:val="nothing"/>
      <w:lvlText w:val="%14.%3.%4　"/>
      <w:lvlJc w:val="left"/>
      <w:pPr>
        <w:ind w:left="1589" w:hanging="29"/>
      </w:pPr>
      <w:rPr>
        <w:rFonts w:hint="eastAsia" w:ascii="黑体" w:hAnsi="Times New Roman" w:eastAsia="黑体"/>
        <w:b w:val="0"/>
        <w:i w:val="0"/>
        <w:strike w:val="0"/>
        <w:sz w:val="21"/>
      </w:rPr>
    </w:lvl>
    <w:lvl w:ilvl="4" w:tentative="0">
      <w:start w:val="1"/>
      <w:numFmt w:val="decimal"/>
      <w:pStyle w:val="38"/>
      <w:suff w:val="nothing"/>
      <w:lvlText w:val="%1%2.%3.%4.%5　"/>
      <w:lvlJc w:val="left"/>
      <w:pPr>
        <w:ind w:left="3278"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32"/>
      <w:suff w:val="nothing"/>
      <w:lvlText w:val="表%1　"/>
      <w:lvlJc w:val="left"/>
      <w:pPr>
        <w:ind w:left="2552" w:firstLine="0"/>
      </w:pPr>
      <w:rPr>
        <w:rFonts w:hint="eastAsia" w:ascii="黑体" w:hAnsi="Times New Roman" w:eastAsia="黑体"/>
        <w:b w:val="0"/>
        <w:i w:val="0"/>
        <w:sz w:val="21"/>
        <w:lang w:val="en-US"/>
      </w:rPr>
    </w:lvl>
    <w:lvl w:ilvl="1" w:tentative="0">
      <w:start w:val="1"/>
      <w:numFmt w:val="decimal"/>
      <w:lvlText w:val="%1.%2"/>
      <w:lvlJc w:val="left"/>
      <w:pPr>
        <w:tabs>
          <w:tab w:val="left" w:pos="1417"/>
        </w:tabs>
        <w:ind w:left="1417" w:hanging="567"/>
      </w:pPr>
      <w:rPr>
        <w:rFonts w:hint="eastAsia"/>
      </w:rPr>
    </w:lvl>
    <w:lvl w:ilvl="2" w:tentative="0">
      <w:start w:val="1"/>
      <w:numFmt w:val="decimal"/>
      <w:lvlText w:val="%1.%2.%3"/>
      <w:lvlJc w:val="left"/>
      <w:pPr>
        <w:tabs>
          <w:tab w:val="left" w:pos="1843"/>
        </w:tabs>
        <w:ind w:left="1843" w:hanging="567"/>
      </w:pPr>
      <w:rPr>
        <w:rFonts w:hint="eastAsia"/>
      </w:rPr>
    </w:lvl>
    <w:lvl w:ilvl="3" w:tentative="0">
      <w:start w:val="1"/>
      <w:numFmt w:val="decimal"/>
      <w:lvlText w:val="%1.%2.%3.%4"/>
      <w:lvlJc w:val="left"/>
      <w:pPr>
        <w:tabs>
          <w:tab w:val="left" w:pos="2409"/>
        </w:tabs>
        <w:ind w:left="2409" w:hanging="708"/>
      </w:pPr>
      <w:rPr>
        <w:rFonts w:hint="eastAsia"/>
      </w:rPr>
    </w:lvl>
    <w:lvl w:ilvl="4" w:tentative="0">
      <w:start w:val="1"/>
      <w:numFmt w:val="decimal"/>
      <w:lvlText w:val="%1.%2.%3.%4.%5"/>
      <w:lvlJc w:val="left"/>
      <w:pPr>
        <w:tabs>
          <w:tab w:val="left" w:pos="2976"/>
        </w:tabs>
        <w:ind w:left="2976" w:hanging="850"/>
      </w:pPr>
      <w:rPr>
        <w:rFonts w:hint="eastAsia"/>
      </w:rPr>
    </w:lvl>
    <w:lvl w:ilvl="5" w:tentative="0">
      <w:start w:val="1"/>
      <w:numFmt w:val="decimal"/>
      <w:lvlText w:val="%1.%2.%3.%4.%5.%6"/>
      <w:lvlJc w:val="left"/>
      <w:pPr>
        <w:tabs>
          <w:tab w:val="left" w:pos="3685"/>
        </w:tabs>
        <w:ind w:left="3685" w:hanging="1134"/>
      </w:pPr>
      <w:rPr>
        <w:rFonts w:hint="eastAsia"/>
      </w:rPr>
    </w:lvl>
    <w:lvl w:ilvl="6" w:tentative="0">
      <w:start w:val="1"/>
      <w:numFmt w:val="decimal"/>
      <w:lvlText w:val="%1.%2.%3.%4.%5.%6.%7"/>
      <w:lvlJc w:val="left"/>
      <w:pPr>
        <w:tabs>
          <w:tab w:val="left" w:pos="4252"/>
        </w:tabs>
        <w:ind w:left="4252" w:hanging="1276"/>
      </w:pPr>
      <w:rPr>
        <w:rFonts w:hint="eastAsia"/>
      </w:rPr>
    </w:lvl>
    <w:lvl w:ilvl="7" w:tentative="0">
      <w:start w:val="1"/>
      <w:numFmt w:val="decimal"/>
      <w:lvlText w:val="%1.%2.%3.%4.%5.%6.%7.%8"/>
      <w:lvlJc w:val="left"/>
      <w:pPr>
        <w:tabs>
          <w:tab w:val="left" w:pos="4819"/>
        </w:tabs>
        <w:ind w:left="4819" w:hanging="1418"/>
      </w:pPr>
      <w:rPr>
        <w:rFonts w:hint="eastAsia"/>
      </w:rPr>
    </w:lvl>
    <w:lvl w:ilvl="8" w:tentative="0">
      <w:start w:val="1"/>
      <w:numFmt w:val="decimal"/>
      <w:lvlText w:val="%1.%2.%3.%4.%5.%6.%7.%8.%9"/>
      <w:lvlJc w:val="left"/>
      <w:pPr>
        <w:tabs>
          <w:tab w:val="left" w:pos="5527"/>
        </w:tabs>
        <w:ind w:left="5527" w:hanging="1700"/>
      </w:pPr>
      <w:rPr>
        <w:rFonts w:hint="eastAsia"/>
      </w:rPr>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AF42770"/>
    <w:multiLevelType w:val="singleLevel"/>
    <w:tmpl w:val="7AF42770"/>
    <w:lvl w:ilvl="0" w:tentative="0">
      <w:start w:val="1"/>
      <w:numFmt w:val="lowerLetter"/>
      <w:lvlText w:val="%1)"/>
      <w:lvlJc w:val="left"/>
      <w:pPr>
        <w:tabs>
          <w:tab w:val="left" w:pos="705"/>
        </w:tabs>
        <w:ind w:left="705" w:hanging="285"/>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092"/>
    <w:rsid w:val="00004499"/>
    <w:rsid w:val="00004745"/>
    <w:rsid w:val="00012EEB"/>
    <w:rsid w:val="0001746A"/>
    <w:rsid w:val="000237EE"/>
    <w:rsid w:val="00030A45"/>
    <w:rsid w:val="00034B4F"/>
    <w:rsid w:val="00034D43"/>
    <w:rsid w:val="00036B7C"/>
    <w:rsid w:val="00036D5E"/>
    <w:rsid w:val="000530A0"/>
    <w:rsid w:val="00057463"/>
    <w:rsid w:val="00067A07"/>
    <w:rsid w:val="00083232"/>
    <w:rsid w:val="00086282"/>
    <w:rsid w:val="0009543A"/>
    <w:rsid w:val="000B036F"/>
    <w:rsid w:val="000B1F2F"/>
    <w:rsid w:val="000B28D8"/>
    <w:rsid w:val="000B4C6E"/>
    <w:rsid w:val="000B5E89"/>
    <w:rsid w:val="000C16AF"/>
    <w:rsid w:val="000C32EE"/>
    <w:rsid w:val="000C7F8A"/>
    <w:rsid w:val="000D456F"/>
    <w:rsid w:val="000D66B9"/>
    <w:rsid w:val="000F2CD4"/>
    <w:rsid w:val="000F57F9"/>
    <w:rsid w:val="00116B25"/>
    <w:rsid w:val="00120A42"/>
    <w:rsid w:val="00127316"/>
    <w:rsid w:val="00140CCF"/>
    <w:rsid w:val="0014256A"/>
    <w:rsid w:val="00142A34"/>
    <w:rsid w:val="001445A8"/>
    <w:rsid w:val="00151BB7"/>
    <w:rsid w:val="00155D5B"/>
    <w:rsid w:val="00165AA7"/>
    <w:rsid w:val="00174C4F"/>
    <w:rsid w:val="00180931"/>
    <w:rsid w:val="001A1855"/>
    <w:rsid w:val="001A494E"/>
    <w:rsid w:val="001A7553"/>
    <w:rsid w:val="001C4E60"/>
    <w:rsid w:val="001D217B"/>
    <w:rsid w:val="001D2A1A"/>
    <w:rsid w:val="001D743F"/>
    <w:rsid w:val="001F3D39"/>
    <w:rsid w:val="0020332D"/>
    <w:rsid w:val="002100AD"/>
    <w:rsid w:val="0021600B"/>
    <w:rsid w:val="0022341E"/>
    <w:rsid w:val="00232B17"/>
    <w:rsid w:val="002401BB"/>
    <w:rsid w:val="002421E2"/>
    <w:rsid w:val="0024306A"/>
    <w:rsid w:val="00243B55"/>
    <w:rsid w:val="002505AE"/>
    <w:rsid w:val="00251081"/>
    <w:rsid w:val="002521F9"/>
    <w:rsid w:val="00256EEE"/>
    <w:rsid w:val="00265955"/>
    <w:rsid w:val="00281CF4"/>
    <w:rsid w:val="0029077A"/>
    <w:rsid w:val="00293289"/>
    <w:rsid w:val="002F1CC0"/>
    <w:rsid w:val="002F3235"/>
    <w:rsid w:val="002F4237"/>
    <w:rsid w:val="002F6B26"/>
    <w:rsid w:val="002F7C1C"/>
    <w:rsid w:val="003277DB"/>
    <w:rsid w:val="00335E87"/>
    <w:rsid w:val="00336200"/>
    <w:rsid w:val="00345E2B"/>
    <w:rsid w:val="00354A56"/>
    <w:rsid w:val="0035567D"/>
    <w:rsid w:val="00373F26"/>
    <w:rsid w:val="00376DAA"/>
    <w:rsid w:val="003837B3"/>
    <w:rsid w:val="00386991"/>
    <w:rsid w:val="00390DDA"/>
    <w:rsid w:val="003A6D76"/>
    <w:rsid w:val="003B0810"/>
    <w:rsid w:val="003C5388"/>
    <w:rsid w:val="003D6795"/>
    <w:rsid w:val="003E24DD"/>
    <w:rsid w:val="003F0A93"/>
    <w:rsid w:val="003F7269"/>
    <w:rsid w:val="004025AB"/>
    <w:rsid w:val="00403754"/>
    <w:rsid w:val="00411BCC"/>
    <w:rsid w:val="00415D7A"/>
    <w:rsid w:val="0041664A"/>
    <w:rsid w:val="00435AF8"/>
    <w:rsid w:val="0044095E"/>
    <w:rsid w:val="00446AC5"/>
    <w:rsid w:val="004473C5"/>
    <w:rsid w:val="00460E22"/>
    <w:rsid w:val="00462402"/>
    <w:rsid w:val="00475A55"/>
    <w:rsid w:val="004840D5"/>
    <w:rsid w:val="00495EB7"/>
    <w:rsid w:val="004A614A"/>
    <w:rsid w:val="004A7EFE"/>
    <w:rsid w:val="004B438D"/>
    <w:rsid w:val="004B67CC"/>
    <w:rsid w:val="004B6A2D"/>
    <w:rsid w:val="004E215A"/>
    <w:rsid w:val="004F118A"/>
    <w:rsid w:val="00503A59"/>
    <w:rsid w:val="005226C2"/>
    <w:rsid w:val="005416EA"/>
    <w:rsid w:val="00542959"/>
    <w:rsid w:val="0054743F"/>
    <w:rsid w:val="00556407"/>
    <w:rsid w:val="00574C1B"/>
    <w:rsid w:val="0058190B"/>
    <w:rsid w:val="005A18FF"/>
    <w:rsid w:val="005B029A"/>
    <w:rsid w:val="005B1788"/>
    <w:rsid w:val="005C2271"/>
    <w:rsid w:val="005C68AD"/>
    <w:rsid w:val="005D1C67"/>
    <w:rsid w:val="005D312F"/>
    <w:rsid w:val="005D4DF8"/>
    <w:rsid w:val="005E0150"/>
    <w:rsid w:val="005E09CC"/>
    <w:rsid w:val="005E15FC"/>
    <w:rsid w:val="005E2488"/>
    <w:rsid w:val="005F2DC3"/>
    <w:rsid w:val="005F3AC1"/>
    <w:rsid w:val="00603B67"/>
    <w:rsid w:val="006070CF"/>
    <w:rsid w:val="00607AEE"/>
    <w:rsid w:val="006135CF"/>
    <w:rsid w:val="00634DA6"/>
    <w:rsid w:val="00650D08"/>
    <w:rsid w:val="00650E92"/>
    <w:rsid w:val="00666570"/>
    <w:rsid w:val="00684CD5"/>
    <w:rsid w:val="006907F5"/>
    <w:rsid w:val="00694E0A"/>
    <w:rsid w:val="006A1D16"/>
    <w:rsid w:val="006A3DA1"/>
    <w:rsid w:val="006A7098"/>
    <w:rsid w:val="006B0AE6"/>
    <w:rsid w:val="006B361E"/>
    <w:rsid w:val="006C2D01"/>
    <w:rsid w:val="006C46AF"/>
    <w:rsid w:val="00702D57"/>
    <w:rsid w:val="007161D3"/>
    <w:rsid w:val="00735F31"/>
    <w:rsid w:val="007459B5"/>
    <w:rsid w:val="00746316"/>
    <w:rsid w:val="00747325"/>
    <w:rsid w:val="00752025"/>
    <w:rsid w:val="00755092"/>
    <w:rsid w:val="007626C2"/>
    <w:rsid w:val="00763F62"/>
    <w:rsid w:val="00775189"/>
    <w:rsid w:val="00775C50"/>
    <w:rsid w:val="0078617E"/>
    <w:rsid w:val="007937CA"/>
    <w:rsid w:val="007942B9"/>
    <w:rsid w:val="00795742"/>
    <w:rsid w:val="007A2AB0"/>
    <w:rsid w:val="007A7F9A"/>
    <w:rsid w:val="007B76C7"/>
    <w:rsid w:val="007C4D6B"/>
    <w:rsid w:val="007D541E"/>
    <w:rsid w:val="00807E0F"/>
    <w:rsid w:val="00820F3D"/>
    <w:rsid w:val="0082689E"/>
    <w:rsid w:val="0083311D"/>
    <w:rsid w:val="0084342B"/>
    <w:rsid w:val="00855E48"/>
    <w:rsid w:val="008662BF"/>
    <w:rsid w:val="00870603"/>
    <w:rsid w:val="008A3815"/>
    <w:rsid w:val="008A5BFE"/>
    <w:rsid w:val="008B055A"/>
    <w:rsid w:val="008B1E88"/>
    <w:rsid w:val="008B2574"/>
    <w:rsid w:val="008D0975"/>
    <w:rsid w:val="008D22A9"/>
    <w:rsid w:val="008D2FF1"/>
    <w:rsid w:val="008E51F2"/>
    <w:rsid w:val="008E5814"/>
    <w:rsid w:val="008E7382"/>
    <w:rsid w:val="008F3FCA"/>
    <w:rsid w:val="009014E8"/>
    <w:rsid w:val="00906BD0"/>
    <w:rsid w:val="00914A3F"/>
    <w:rsid w:val="009221ED"/>
    <w:rsid w:val="0093375E"/>
    <w:rsid w:val="00936CCE"/>
    <w:rsid w:val="00944780"/>
    <w:rsid w:val="00950E88"/>
    <w:rsid w:val="009551C9"/>
    <w:rsid w:val="009623F4"/>
    <w:rsid w:val="0097349E"/>
    <w:rsid w:val="00974633"/>
    <w:rsid w:val="00975FAF"/>
    <w:rsid w:val="00986129"/>
    <w:rsid w:val="009877ED"/>
    <w:rsid w:val="009C5D87"/>
    <w:rsid w:val="009E3A01"/>
    <w:rsid w:val="009F3496"/>
    <w:rsid w:val="009F3D58"/>
    <w:rsid w:val="009F557F"/>
    <w:rsid w:val="00A0022E"/>
    <w:rsid w:val="00A01185"/>
    <w:rsid w:val="00A24A1F"/>
    <w:rsid w:val="00A3553A"/>
    <w:rsid w:val="00A46AD9"/>
    <w:rsid w:val="00A47127"/>
    <w:rsid w:val="00A604FB"/>
    <w:rsid w:val="00A73DCF"/>
    <w:rsid w:val="00A74567"/>
    <w:rsid w:val="00A940A0"/>
    <w:rsid w:val="00A96CD4"/>
    <w:rsid w:val="00AA29F6"/>
    <w:rsid w:val="00AA3464"/>
    <w:rsid w:val="00AB21FC"/>
    <w:rsid w:val="00AB3BD6"/>
    <w:rsid w:val="00AB788F"/>
    <w:rsid w:val="00AD163B"/>
    <w:rsid w:val="00AD61FE"/>
    <w:rsid w:val="00AE6813"/>
    <w:rsid w:val="00AE6BA5"/>
    <w:rsid w:val="00B036E6"/>
    <w:rsid w:val="00B11539"/>
    <w:rsid w:val="00B14F6C"/>
    <w:rsid w:val="00B228E8"/>
    <w:rsid w:val="00B41538"/>
    <w:rsid w:val="00B509CF"/>
    <w:rsid w:val="00B73110"/>
    <w:rsid w:val="00B85447"/>
    <w:rsid w:val="00BA19A6"/>
    <w:rsid w:val="00BA1BEA"/>
    <w:rsid w:val="00BB15A2"/>
    <w:rsid w:val="00BB5083"/>
    <w:rsid w:val="00BB61FF"/>
    <w:rsid w:val="00BC3186"/>
    <w:rsid w:val="00BC4DC9"/>
    <w:rsid w:val="00BC5EE5"/>
    <w:rsid w:val="00BD1096"/>
    <w:rsid w:val="00BD456A"/>
    <w:rsid w:val="00BF1E28"/>
    <w:rsid w:val="00C13628"/>
    <w:rsid w:val="00C3141B"/>
    <w:rsid w:val="00C45318"/>
    <w:rsid w:val="00C50DA5"/>
    <w:rsid w:val="00C61907"/>
    <w:rsid w:val="00C776F4"/>
    <w:rsid w:val="00C935C0"/>
    <w:rsid w:val="00CD4D23"/>
    <w:rsid w:val="00CD5403"/>
    <w:rsid w:val="00CE5238"/>
    <w:rsid w:val="00CF06EE"/>
    <w:rsid w:val="00CF2B06"/>
    <w:rsid w:val="00CF2ED5"/>
    <w:rsid w:val="00D004FD"/>
    <w:rsid w:val="00D07AA0"/>
    <w:rsid w:val="00D33567"/>
    <w:rsid w:val="00D34811"/>
    <w:rsid w:val="00D34DE1"/>
    <w:rsid w:val="00D369DF"/>
    <w:rsid w:val="00D40382"/>
    <w:rsid w:val="00D463B2"/>
    <w:rsid w:val="00D50552"/>
    <w:rsid w:val="00D66A7C"/>
    <w:rsid w:val="00D66BF9"/>
    <w:rsid w:val="00DA1077"/>
    <w:rsid w:val="00DB7CD9"/>
    <w:rsid w:val="00DC5063"/>
    <w:rsid w:val="00DE0C99"/>
    <w:rsid w:val="00E013B8"/>
    <w:rsid w:val="00E01E53"/>
    <w:rsid w:val="00E10C70"/>
    <w:rsid w:val="00E20BE8"/>
    <w:rsid w:val="00E22549"/>
    <w:rsid w:val="00E256DB"/>
    <w:rsid w:val="00E31E6F"/>
    <w:rsid w:val="00E35548"/>
    <w:rsid w:val="00E42125"/>
    <w:rsid w:val="00E4443A"/>
    <w:rsid w:val="00E470CD"/>
    <w:rsid w:val="00E51666"/>
    <w:rsid w:val="00E56ED3"/>
    <w:rsid w:val="00E61FA2"/>
    <w:rsid w:val="00E7415A"/>
    <w:rsid w:val="00E76177"/>
    <w:rsid w:val="00E81364"/>
    <w:rsid w:val="00EB2B0B"/>
    <w:rsid w:val="00EC6306"/>
    <w:rsid w:val="00ED08DC"/>
    <w:rsid w:val="00EE4CE2"/>
    <w:rsid w:val="00EF19A4"/>
    <w:rsid w:val="00EF7028"/>
    <w:rsid w:val="00F015FA"/>
    <w:rsid w:val="00F017CB"/>
    <w:rsid w:val="00F56663"/>
    <w:rsid w:val="00F6670E"/>
    <w:rsid w:val="00F722DA"/>
    <w:rsid w:val="00F92224"/>
    <w:rsid w:val="00FA6AE9"/>
    <w:rsid w:val="00FB144E"/>
    <w:rsid w:val="00FC2857"/>
    <w:rsid w:val="00FF5189"/>
    <w:rsid w:val="00FF60CD"/>
    <w:rsid w:val="013F0685"/>
    <w:rsid w:val="018078D5"/>
    <w:rsid w:val="01A7281B"/>
    <w:rsid w:val="01BA65AB"/>
    <w:rsid w:val="01DA2204"/>
    <w:rsid w:val="01EF0098"/>
    <w:rsid w:val="01F56BC1"/>
    <w:rsid w:val="02051592"/>
    <w:rsid w:val="022C358F"/>
    <w:rsid w:val="02A16FBB"/>
    <w:rsid w:val="02A52F85"/>
    <w:rsid w:val="02E70011"/>
    <w:rsid w:val="03493702"/>
    <w:rsid w:val="03594E4B"/>
    <w:rsid w:val="040A452F"/>
    <w:rsid w:val="043A7E58"/>
    <w:rsid w:val="04524AB7"/>
    <w:rsid w:val="04B40FDE"/>
    <w:rsid w:val="04DF66AF"/>
    <w:rsid w:val="04E02A83"/>
    <w:rsid w:val="051171C9"/>
    <w:rsid w:val="052A38D4"/>
    <w:rsid w:val="05342139"/>
    <w:rsid w:val="05367DDC"/>
    <w:rsid w:val="053D7EA3"/>
    <w:rsid w:val="055C7FCA"/>
    <w:rsid w:val="05811385"/>
    <w:rsid w:val="058B31FF"/>
    <w:rsid w:val="058C62AD"/>
    <w:rsid w:val="05B93148"/>
    <w:rsid w:val="05BB0A67"/>
    <w:rsid w:val="05C3676D"/>
    <w:rsid w:val="05C5018A"/>
    <w:rsid w:val="05E01C6D"/>
    <w:rsid w:val="06085BC2"/>
    <w:rsid w:val="06344303"/>
    <w:rsid w:val="064E17C3"/>
    <w:rsid w:val="06751AA4"/>
    <w:rsid w:val="06AF1FA9"/>
    <w:rsid w:val="06FE7593"/>
    <w:rsid w:val="071C5A69"/>
    <w:rsid w:val="071F7E13"/>
    <w:rsid w:val="072458D8"/>
    <w:rsid w:val="072B7F2A"/>
    <w:rsid w:val="0732528A"/>
    <w:rsid w:val="07413CE0"/>
    <w:rsid w:val="07517B5B"/>
    <w:rsid w:val="075A7B7E"/>
    <w:rsid w:val="07A50698"/>
    <w:rsid w:val="07BB14E7"/>
    <w:rsid w:val="07BD1E0E"/>
    <w:rsid w:val="07C1189C"/>
    <w:rsid w:val="07D57D52"/>
    <w:rsid w:val="083D418A"/>
    <w:rsid w:val="08623D51"/>
    <w:rsid w:val="086F7B38"/>
    <w:rsid w:val="08A51B15"/>
    <w:rsid w:val="08B513F1"/>
    <w:rsid w:val="090439BE"/>
    <w:rsid w:val="09155439"/>
    <w:rsid w:val="091C33E6"/>
    <w:rsid w:val="09206AAB"/>
    <w:rsid w:val="09341F97"/>
    <w:rsid w:val="095933DB"/>
    <w:rsid w:val="09725F06"/>
    <w:rsid w:val="099D68A4"/>
    <w:rsid w:val="09A6048B"/>
    <w:rsid w:val="09B143F0"/>
    <w:rsid w:val="09B9544A"/>
    <w:rsid w:val="09FB4084"/>
    <w:rsid w:val="09FF5A29"/>
    <w:rsid w:val="0A0A11C9"/>
    <w:rsid w:val="0A1B3D02"/>
    <w:rsid w:val="0A526759"/>
    <w:rsid w:val="0A5D06B2"/>
    <w:rsid w:val="0A731FE9"/>
    <w:rsid w:val="0A74279E"/>
    <w:rsid w:val="0A7F5F72"/>
    <w:rsid w:val="0A8B40CD"/>
    <w:rsid w:val="0AE376F5"/>
    <w:rsid w:val="0B230806"/>
    <w:rsid w:val="0B3514D7"/>
    <w:rsid w:val="0B384526"/>
    <w:rsid w:val="0B52639B"/>
    <w:rsid w:val="0B855EAB"/>
    <w:rsid w:val="0B8C2D17"/>
    <w:rsid w:val="0B9102A9"/>
    <w:rsid w:val="0B993466"/>
    <w:rsid w:val="0BC054E9"/>
    <w:rsid w:val="0C04395F"/>
    <w:rsid w:val="0C131EF0"/>
    <w:rsid w:val="0C23750A"/>
    <w:rsid w:val="0C3F6BAA"/>
    <w:rsid w:val="0C9A6E3A"/>
    <w:rsid w:val="0CFB2F84"/>
    <w:rsid w:val="0CFE3A57"/>
    <w:rsid w:val="0D027E90"/>
    <w:rsid w:val="0D802B7A"/>
    <w:rsid w:val="0D9957ED"/>
    <w:rsid w:val="0DB22184"/>
    <w:rsid w:val="0DD547D3"/>
    <w:rsid w:val="0DE67FD0"/>
    <w:rsid w:val="0E3F4668"/>
    <w:rsid w:val="0E531C4B"/>
    <w:rsid w:val="0ED7031A"/>
    <w:rsid w:val="0EE338A7"/>
    <w:rsid w:val="0EE6268E"/>
    <w:rsid w:val="0F156777"/>
    <w:rsid w:val="0F4407C5"/>
    <w:rsid w:val="0F5205A7"/>
    <w:rsid w:val="0F573F61"/>
    <w:rsid w:val="0F6660C6"/>
    <w:rsid w:val="0F796998"/>
    <w:rsid w:val="0F79710D"/>
    <w:rsid w:val="0F925B58"/>
    <w:rsid w:val="0FC76CEC"/>
    <w:rsid w:val="0FCC0C83"/>
    <w:rsid w:val="0FE83A9A"/>
    <w:rsid w:val="10001903"/>
    <w:rsid w:val="104A33AD"/>
    <w:rsid w:val="10732432"/>
    <w:rsid w:val="107A0461"/>
    <w:rsid w:val="108B0F93"/>
    <w:rsid w:val="10BD7271"/>
    <w:rsid w:val="10CE6AE4"/>
    <w:rsid w:val="10D136A7"/>
    <w:rsid w:val="11026B05"/>
    <w:rsid w:val="1110233E"/>
    <w:rsid w:val="11163E8D"/>
    <w:rsid w:val="11254CAB"/>
    <w:rsid w:val="1137221A"/>
    <w:rsid w:val="114B1A83"/>
    <w:rsid w:val="116A11D5"/>
    <w:rsid w:val="116D4293"/>
    <w:rsid w:val="11705A5A"/>
    <w:rsid w:val="11C343C9"/>
    <w:rsid w:val="11C72310"/>
    <w:rsid w:val="11E47533"/>
    <w:rsid w:val="127162D5"/>
    <w:rsid w:val="12AC097B"/>
    <w:rsid w:val="12DD7D7A"/>
    <w:rsid w:val="12ED1C86"/>
    <w:rsid w:val="13037413"/>
    <w:rsid w:val="134A4862"/>
    <w:rsid w:val="13593051"/>
    <w:rsid w:val="137B1674"/>
    <w:rsid w:val="13C54520"/>
    <w:rsid w:val="13CF2A53"/>
    <w:rsid w:val="13CF3FEA"/>
    <w:rsid w:val="13E8374A"/>
    <w:rsid w:val="13ED0089"/>
    <w:rsid w:val="142373D9"/>
    <w:rsid w:val="146B222A"/>
    <w:rsid w:val="1484314B"/>
    <w:rsid w:val="14C26F5A"/>
    <w:rsid w:val="14EB038D"/>
    <w:rsid w:val="1556650E"/>
    <w:rsid w:val="15771DE5"/>
    <w:rsid w:val="158B6749"/>
    <w:rsid w:val="15913AD1"/>
    <w:rsid w:val="15953395"/>
    <w:rsid w:val="159D4099"/>
    <w:rsid w:val="159E2001"/>
    <w:rsid w:val="15D36884"/>
    <w:rsid w:val="15D5574D"/>
    <w:rsid w:val="160850FE"/>
    <w:rsid w:val="162D3396"/>
    <w:rsid w:val="163C3653"/>
    <w:rsid w:val="163E653F"/>
    <w:rsid w:val="165E5C51"/>
    <w:rsid w:val="1685539F"/>
    <w:rsid w:val="16E15544"/>
    <w:rsid w:val="16FA0BE5"/>
    <w:rsid w:val="17207856"/>
    <w:rsid w:val="175729E2"/>
    <w:rsid w:val="17787022"/>
    <w:rsid w:val="178047A5"/>
    <w:rsid w:val="17805684"/>
    <w:rsid w:val="17890C3D"/>
    <w:rsid w:val="17A167B3"/>
    <w:rsid w:val="17F305B0"/>
    <w:rsid w:val="180210BF"/>
    <w:rsid w:val="182031CF"/>
    <w:rsid w:val="186E26BB"/>
    <w:rsid w:val="18BC0D05"/>
    <w:rsid w:val="18D242D4"/>
    <w:rsid w:val="19096644"/>
    <w:rsid w:val="1924485B"/>
    <w:rsid w:val="19340EC3"/>
    <w:rsid w:val="194E12AC"/>
    <w:rsid w:val="19527A37"/>
    <w:rsid w:val="1955782D"/>
    <w:rsid w:val="196450D9"/>
    <w:rsid w:val="196D1AC0"/>
    <w:rsid w:val="198B66CE"/>
    <w:rsid w:val="199D5F9A"/>
    <w:rsid w:val="19B33489"/>
    <w:rsid w:val="1A0F30A5"/>
    <w:rsid w:val="1A5502F0"/>
    <w:rsid w:val="1AA36FAE"/>
    <w:rsid w:val="1ABB7945"/>
    <w:rsid w:val="1ADA679A"/>
    <w:rsid w:val="1B0377E2"/>
    <w:rsid w:val="1B464ABA"/>
    <w:rsid w:val="1B5106C2"/>
    <w:rsid w:val="1B665517"/>
    <w:rsid w:val="1B7D42F6"/>
    <w:rsid w:val="1BAF7115"/>
    <w:rsid w:val="1BC801C4"/>
    <w:rsid w:val="1BD970B0"/>
    <w:rsid w:val="1BE74639"/>
    <w:rsid w:val="1BFE14B3"/>
    <w:rsid w:val="1C1B67DE"/>
    <w:rsid w:val="1C456749"/>
    <w:rsid w:val="1CAE0616"/>
    <w:rsid w:val="1CC5178F"/>
    <w:rsid w:val="1CEC63E4"/>
    <w:rsid w:val="1D254C16"/>
    <w:rsid w:val="1D6F7DF6"/>
    <w:rsid w:val="1D705EE4"/>
    <w:rsid w:val="1D732906"/>
    <w:rsid w:val="1DAC4FD3"/>
    <w:rsid w:val="1DCB54D4"/>
    <w:rsid w:val="1DD27783"/>
    <w:rsid w:val="1DE163B2"/>
    <w:rsid w:val="1DE279A4"/>
    <w:rsid w:val="1DE30443"/>
    <w:rsid w:val="1DF96E51"/>
    <w:rsid w:val="1E136A1F"/>
    <w:rsid w:val="1E293580"/>
    <w:rsid w:val="1E331D30"/>
    <w:rsid w:val="1E5065A7"/>
    <w:rsid w:val="1EC240DC"/>
    <w:rsid w:val="1EE30CA6"/>
    <w:rsid w:val="1EF72FA6"/>
    <w:rsid w:val="1F036EF4"/>
    <w:rsid w:val="1F073A44"/>
    <w:rsid w:val="1F0C54A5"/>
    <w:rsid w:val="1F2B3C66"/>
    <w:rsid w:val="1F2C4187"/>
    <w:rsid w:val="1F514360"/>
    <w:rsid w:val="1F7D2976"/>
    <w:rsid w:val="1F990D37"/>
    <w:rsid w:val="1FBF4FCD"/>
    <w:rsid w:val="1FDC3CF3"/>
    <w:rsid w:val="1FE27C2A"/>
    <w:rsid w:val="1FF1722C"/>
    <w:rsid w:val="1FF664CE"/>
    <w:rsid w:val="20001C31"/>
    <w:rsid w:val="205439DF"/>
    <w:rsid w:val="206833EF"/>
    <w:rsid w:val="209559CD"/>
    <w:rsid w:val="20982CE9"/>
    <w:rsid w:val="20D04DBB"/>
    <w:rsid w:val="20EA448B"/>
    <w:rsid w:val="212537FF"/>
    <w:rsid w:val="21255FDD"/>
    <w:rsid w:val="212D1680"/>
    <w:rsid w:val="214534BE"/>
    <w:rsid w:val="218869F4"/>
    <w:rsid w:val="21CA797E"/>
    <w:rsid w:val="21FE528E"/>
    <w:rsid w:val="22460FF0"/>
    <w:rsid w:val="224B692E"/>
    <w:rsid w:val="22623FBF"/>
    <w:rsid w:val="22741314"/>
    <w:rsid w:val="22907F99"/>
    <w:rsid w:val="2294345F"/>
    <w:rsid w:val="229B018E"/>
    <w:rsid w:val="22A76384"/>
    <w:rsid w:val="22AB318C"/>
    <w:rsid w:val="22AE3D34"/>
    <w:rsid w:val="22B60125"/>
    <w:rsid w:val="22B84894"/>
    <w:rsid w:val="22EE0B1C"/>
    <w:rsid w:val="231D5B44"/>
    <w:rsid w:val="23325762"/>
    <w:rsid w:val="2379725B"/>
    <w:rsid w:val="23E257D7"/>
    <w:rsid w:val="2421339B"/>
    <w:rsid w:val="24354EFC"/>
    <w:rsid w:val="245E3884"/>
    <w:rsid w:val="247E1207"/>
    <w:rsid w:val="24856DBF"/>
    <w:rsid w:val="24D62CE7"/>
    <w:rsid w:val="24E0138A"/>
    <w:rsid w:val="250918F4"/>
    <w:rsid w:val="250B47A3"/>
    <w:rsid w:val="25106F3C"/>
    <w:rsid w:val="25250D8A"/>
    <w:rsid w:val="257C3ACD"/>
    <w:rsid w:val="258F02AE"/>
    <w:rsid w:val="25BE5170"/>
    <w:rsid w:val="25C564BF"/>
    <w:rsid w:val="25D14818"/>
    <w:rsid w:val="26243348"/>
    <w:rsid w:val="26413983"/>
    <w:rsid w:val="26643FE5"/>
    <w:rsid w:val="269D5AA0"/>
    <w:rsid w:val="26AB290C"/>
    <w:rsid w:val="26CC2AE9"/>
    <w:rsid w:val="26E012BC"/>
    <w:rsid w:val="26F45548"/>
    <w:rsid w:val="27156951"/>
    <w:rsid w:val="27461C9E"/>
    <w:rsid w:val="27607680"/>
    <w:rsid w:val="27647840"/>
    <w:rsid w:val="27936E37"/>
    <w:rsid w:val="279B49BD"/>
    <w:rsid w:val="27BD1551"/>
    <w:rsid w:val="280F418B"/>
    <w:rsid w:val="281D7062"/>
    <w:rsid w:val="28624F36"/>
    <w:rsid w:val="28843860"/>
    <w:rsid w:val="28A37B34"/>
    <w:rsid w:val="28C149EA"/>
    <w:rsid w:val="29293AF0"/>
    <w:rsid w:val="294F4F3C"/>
    <w:rsid w:val="29660A85"/>
    <w:rsid w:val="298661A6"/>
    <w:rsid w:val="29872E2F"/>
    <w:rsid w:val="299506CC"/>
    <w:rsid w:val="29A60745"/>
    <w:rsid w:val="29B3136B"/>
    <w:rsid w:val="29C60147"/>
    <w:rsid w:val="2A2F7AFD"/>
    <w:rsid w:val="2A300046"/>
    <w:rsid w:val="2A450B55"/>
    <w:rsid w:val="2AD831C4"/>
    <w:rsid w:val="2AEB12F7"/>
    <w:rsid w:val="2B0A79A7"/>
    <w:rsid w:val="2B171D03"/>
    <w:rsid w:val="2B583010"/>
    <w:rsid w:val="2B6C7736"/>
    <w:rsid w:val="2BD7654A"/>
    <w:rsid w:val="2BDF167E"/>
    <w:rsid w:val="2BE9135F"/>
    <w:rsid w:val="2C45706E"/>
    <w:rsid w:val="2C7771D0"/>
    <w:rsid w:val="2C9D3983"/>
    <w:rsid w:val="2CC0215A"/>
    <w:rsid w:val="2CEE35AE"/>
    <w:rsid w:val="2CF27D0B"/>
    <w:rsid w:val="2D1A0263"/>
    <w:rsid w:val="2D1F6E85"/>
    <w:rsid w:val="2D212921"/>
    <w:rsid w:val="2D2974F0"/>
    <w:rsid w:val="2D6B5626"/>
    <w:rsid w:val="2D71673D"/>
    <w:rsid w:val="2DA95599"/>
    <w:rsid w:val="2DFB0E57"/>
    <w:rsid w:val="2E0D4430"/>
    <w:rsid w:val="2E612C8D"/>
    <w:rsid w:val="2E993AA8"/>
    <w:rsid w:val="2E9D2FA1"/>
    <w:rsid w:val="2EE766D1"/>
    <w:rsid w:val="2F1B1F8C"/>
    <w:rsid w:val="2F1D3018"/>
    <w:rsid w:val="2F22407C"/>
    <w:rsid w:val="2F3F1B28"/>
    <w:rsid w:val="2F41724C"/>
    <w:rsid w:val="2F7317A9"/>
    <w:rsid w:val="2F8E66A1"/>
    <w:rsid w:val="2FB110B5"/>
    <w:rsid w:val="2FBB6E07"/>
    <w:rsid w:val="2FE970EF"/>
    <w:rsid w:val="2FF92FE8"/>
    <w:rsid w:val="306E18DA"/>
    <w:rsid w:val="308750B9"/>
    <w:rsid w:val="308E74BB"/>
    <w:rsid w:val="30C00EBD"/>
    <w:rsid w:val="30C144C4"/>
    <w:rsid w:val="30F91D51"/>
    <w:rsid w:val="314372AF"/>
    <w:rsid w:val="318F462D"/>
    <w:rsid w:val="31C46F06"/>
    <w:rsid w:val="31F6209D"/>
    <w:rsid w:val="31F76B56"/>
    <w:rsid w:val="32023C18"/>
    <w:rsid w:val="32051AEC"/>
    <w:rsid w:val="320F0ADD"/>
    <w:rsid w:val="322B7D0B"/>
    <w:rsid w:val="326637E5"/>
    <w:rsid w:val="32CB39B5"/>
    <w:rsid w:val="32E25569"/>
    <w:rsid w:val="32FD3897"/>
    <w:rsid w:val="334528FE"/>
    <w:rsid w:val="33716BA7"/>
    <w:rsid w:val="33796D2E"/>
    <w:rsid w:val="33945E81"/>
    <w:rsid w:val="33C32A05"/>
    <w:rsid w:val="33C67196"/>
    <w:rsid w:val="33CD38C4"/>
    <w:rsid w:val="33DA5E1A"/>
    <w:rsid w:val="33F93839"/>
    <w:rsid w:val="341C29E8"/>
    <w:rsid w:val="3431015B"/>
    <w:rsid w:val="3435153C"/>
    <w:rsid w:val="34733452"/>
    <w:rsid w:val="34900C6B"/>
    <w:rsid w:val="34B617E2"/>
    <w:rsid w:val="34D527E4"/>
    <w:rsid w:val="34EE62C0"/>
    <w:rsid w:val="35220FAB"/>
    <w:rsid w:val="353E1458"/>
    <w:rsid w:val="35513CBE"/>
    <w:rsid w:val="3557180C"/>
    <w:rsid w:val="35637C78"/>
    <w:rsid w:val="35847315"/>
    <w:rsid w:val="360E62A9"/>
    <w:rsid w:val="36265BC3"/>
    <w:rsid w:val="364346D4"/>
    <w:rsid w:val="366042E7"/>
    <w:rsid w:val="36697194"/>
    <w:rsid w:val="367D2E30"/>
    <w:rsid w:val="3684205F"/>
    <w:rsid w:val="36A23337"/>
    <w:rsid w:val="36AA540D"/>
    <w:rsid w:val="36AE2A61"/>
    <w:rsid w:val="36D22996"/>
    <w:rsid w:val="36DC6E13"/>
    <w:rsid w:val="36E87AE3"/>
    <w:rsid w:val="3710797F"/>
    <w:rsid w:val="37212CDD"/>
    <w:rsid w:val="37404603"/>
    <w:rsid w:val="37571878"/>
    <w:rsid w:val="375768CA"/>
    <w:rsid w:val="375D3B93"/>
    <w:rsid w:val="3769318D"/>
    <w:rsid w:val="37711A5A"/>
    <w:rsid w:val="378E5891"/>
    <w:rsid w:val="380251C5"/>
    <w:rsid w:val="38043FFE"/>
    <w:rsid w:val="383265CF"/>
    <w:rsid w:val="38340252"/>
    <w:rsid w:val="387E079D"/>
    <w:rsid w:val="38845ABC"/>
    <w:rsid w:val="389A15C1"/>
    <w:rsid w:val="38C976B1"/>
    <w:rsid w:val="38CB4AFE"/>
    <w:rsid w:val="38F32571"/>
    <w:rsid w:val="39083976"/>
    <w:rsid w:val="392F4B3E"/>
    <w:rsid w:val="394332DE"/>
    <w:rsid w:val="394616F3"/>
    <w:rsid w:val="39673721"/>
    <w:rsid w:val="39C55624"/>
    <w:rsid w:val="3A3B179A"/>
    <w:rsid w:val="3A6F63D2"/>
    <w:rsid w:val="3A793D0F"/>
    <w:rsid w:val="3A916E2C"/>
    <w:rsid w:val="3A9C3D5E"/>
    <w:rsid w:val="3AA64038"/>
    <w:rsid w:val="3AF806C1"/>
    <w:rsid w:val="3B2C2929"/>
    <w:rsid w:val="3B636639"/>
    <w:rsid w:val="3BC60A0F"/>
    <w:rsid w:val="3BCB354A"/>
    <w:rsid w:val="3BF40DF3"/>
    <w:rsid w:val="3BF52AFB"/>
    <w:rsid w:val="3BF73AC2"/>
    <w:rsid w:val="3BF96518"/>
    <w:rsid w:val="3C28650D"/>
    <w:rsid w:val="3C49205A"/>
    <w:rsid w:val="3C5874B6"/>
    <w:rsid w:val="3C7B132A"/>
    <w:rsid w:val="3C8434AA"/>
    <w:rsid w:val="3CB003AC"/>
    <w:rsid w:val="3CCD1D04"/>
    <w:rsid w:val="3CE42B24"/>
    <w:rsid w:val="3CEE7EF2"/>
    <w:rsid w:val="3CF32E8A"/>
    <w:rsid w:val="3D0B6AEC"/>
    <w:rsid w:val="3D39487E"/>
    <w:rsid w:val="3D3C3FB7"/>
    <w:rsid w:val="3DB64BD1"/>
    <w:rsid w:val="3DC6405C"/>
    <w:rsid w:val="3DF80715"/>
    <w:rsid w:val="3E110DB1"/>
    <w:rsid w:val="3E117CBF"/>
    <w:rsid w:val="3E515332"/>
    <w:rsid w:val="3E9F50B2"/>
    <w:rsid w:val="3EB05506"/>
    <w:rsid w:val="3EB368BF"/>
    <w:rsid w:val="3EBD2071"/>
    <w:rsid w:val="3EC0563C"/>
    <w:rsid w:val="3EC17DC9"/>
    <w:rsid w:val="3ECA2FF6"/>
    <w:rsid w:val="3ED1436B"/>
    <w:rsid w:val="3F502655"/>
    <w:rsid w:val="3F621CAE"/>
    <w:rsid w:val="3F732519"/>
    <w:rsid w:val="3FB16856"/>
    <w:rsid w:val="3FB56A47"/>
    <w:rsid w:val="3FC03537"/>
    <w:rsid w:val="3FCB24DA"/>
    <w:rsid w:val="3FE01432"/>
    <w:rsid w:val="400E6CB7"/>
    <w:rsid w:val="40112F1E"/>
    <w:rsid w:val="40163DFC"/>
    <w:rsid w:val="401A2EEB"/>
    <w:rsid w:val="402919BB"/>
    <w:rsid w:val="40440696"/>
    <w:rsid w:val="40672670"/>
    <w:rsid w:val="40B22349"/>
    <w:rsid w:val="40F0430A"/>
    <w:rsid w:val="40FD17D6"/>
    <w:rsid w:val="410660B2"/>
    <w:rsid w:val="41216459"/>
    <w:rsid w:val="41541B97"/>
    <w:rsid w:val="41B45D0C"/>
    <w:rsid w:val="41E616DA"/>
    <w:rsid w:val="41EC6A15"/>
    <w:rsid w:val="420422E8"/>
    <w:rsid w:val="424608C4"/>
    <w:rsid w:val="42664F1B"/>
    <w:rsid w:val="42773F55"/>
    <w:rsid w:val="428C249C"/>
    <w:rsid w:val="429C27DB"/>
    <w:rsid w:val="42B8152B"/>
    <w:rsid w:val="42CC61D1"/>
    <w:rsid w:val="42D41C9E"/>
    <w:rsid w:val="43515983"/>
    <w:rsid w:val="43BC6A29"/>
    <w:rsid w:val="43E24AE6"/>
    <w:rsid w:val="440E1C21"/>
    <w:rsid w:val="448E58D9"/>
    <w:rsid w:val="44EE7679"/>
    <w:rsid w:val="45252411"/>
    <w:rsid w:val="456B7D4D"/>
    <w:rsid w:val="45D25D02"/>
    <w:rsid w:val="45E91694"/>
    <w:rsid w:val="46051024"/>
    <w:rsid w:val="46454663"/>
    <w:rsid w:val="46710645"/>
    <w:rsid w:val="46806F99"/>
    <w:rsid w:val="469E7075"/>
    <w:rsid w:val="46D55727"/>
    <w:rsid w:val="46F82D16"/>
    <w:rsid w:val="46F95C46"/>
    <w:rsid w:val="47004A20"/>
    <w:rsid w:val="470D53D4"/>
    <w:rsid w:val="473D45E7"/>
    <w:rsid w:val="474C63F1"/>
    <w:rsid w:val="47504235"/>
    <w:rsid w:val="47821685"/>
    <w:rsid w:val="47AF60A6"/>
    <w:rsid w:val="47B62741"/>
    <w:rsid w:val="47C4726D"/>
    <w:rsid w:val="47C8627A"/>
    <w:rsid w:val="4840227E"/>
    <w:rsid w:val="48556E72"/>
    <w:rsid w:val="485E59C6"/>
    <w:rsid w:val="487A7F88"/>
    <w:rsid w:val="487E03D8"/>
    <w:rsid w:val="48975F16"/>
    <w:rsid w:val="489847D6"/>
    <w:rsid w:val="489C232E"/>
    <w:rsid w:val="48F95A02"/>
    <w:rsid w:val="49692C61"/>
    <w:rsid w:val="496C5A56"/>
    <w:rsid w:val="49763297"/>
    <w:rsid w:val="49777989"/>
    <w:rsid w:val="498F2B80"/>
    <w:rsid w:val="49C10AC1"/>
    <w:rsid w:val="49FE22FB"/>
    <w:rsid w:val="4A0726FF"/>
    <w:rsid w:val="4A202293"/>
    <w:rsid w:val="4A4E0E6A"/>
    <w:rsid w:val="4AA42B97"/>
    <w:rsid w:val="4AA961F4"/>
    <w:rsid w:val="4AD75875"/>
    <w:rsid w:val="4AEB0C8B"/>
    <w:rsid w:val="4B0A16A3"/>
    <w:rsid w:val="4B224E44"/>
    <w:rsid w:val="4B4238C7"/>
    <w:rsid w:val="4B556892"/>
    <w:rsid w:val="4B9D47EC"/>
    <w:rsid w:val="4BAE3A09"/>
    <w:rsid w:val="4BB672E2"/>
    <w:rsid w:val="4BBB7030"/>
    <w:rsid w:val="4BFC0A80"/>
    <w:rsid w:val="4C20741B"/>
    <w:rsid w:val="4C255DED"/>
    <w:rsid w:val="4C281B77"/>
    <w:rsid w:val="4C5B491A"/>
    <w:rsid w:val="4C635ECE"/>
    <w:rsid w:val="4C8944F4"/>
    <w:rsid w:val="4CB45BA4"/>
    <w:rsid w:val="4CE9335B"/>
    <w:rsid w:val="4D396200"/>
    <w:rsid w:val="4DDD581C"/>
    <w:rsid w:val="4E094C11"/>
    <w:rsid w:val="4E3B76B0"/>
    <w:rsid w:val="4E4B4453"/>
    <w:rsid w:val="4E5B5021"/>
    <w:rsid w:val="4E8A2B47"/>
    <w:rsid w:val="4EC066D1"/>
    <w:rsid w:val="4ECC2302"/>
    <w:rsid w:val="4F396E18"/>
    <w:rsid w:val="4F5E67D3"/>
    <w:rsid w:val="4F731A14"/>
    <w:rsid w:val="4F8A35A7"/>
    <w:rsid w:val="4FC840C5"/>
    <w:rsid w:val="4FDE5CA0"/>
    <w:rsid w:val="4FDF214E"/>
    <w:rsid w:val="4FE54B7B"/>
    <w:rsid w:val="4FED1591"/>
    <w:rsid w:val="50034F1A"/>
    <w:rsid w:val="50696076"/>
    <w:rsid w:val="507A6205"/>
    <w:rsid w:val="508C3212"/>
    <w:rsid w:val="5090772D"/>
    <w:rsid w:val="50B60879"/>
    <w:rsid w:val="50B67918"/>
    <w:rsid w:val="50BC7F49"/>
    <w:rsid w:val="50E72EA8"/>
    <w:rsid w:val="511111E6"/>
    <w:rsid w:val="512249CA"/>
    <w:rsid w:val="515B48E0"/>
    <w:rsid w:val="5165638F"/>
    <w:rsid w:val="516D7CDF"/>
    <w:rsid w:val="51721061"/>
    <w:rsid w:val="518D139D"/>
    <w:rsid w:val="51BD0B7F"/>
    <w:rsid w:val="51F11F02"/>
    <w:rsid w:val="5227437B"/>
    <w:rsid w:val="5265172A"/>
    <w:rsid w:val="528A1E95"/>
    <w:rsid w:val="528F68AE"/>
    <w:rsid w:val="52B64F4C"/>
    <w:rsid w:val="52D10169"/>
    <w:rsid w:val="53070EA5"/>
    <w:rsid w:val="530750A8"/>
    <w:rsid w:val="53210F18"/>
    <w:rsid w:val="53581F34"/>
    <w:rsid w:val="535A0F9A"/>
    <w:rsid w:val="5368633A"/>
    <w:rsid w:val="53831A33"/>
    <w:rsid w:val="538E2762"/>
    <w:rsid w:val="539F2306"/>
    <w:rsid w:val="53A1532C"/>
    <w:rsid w:val="53CD06E3"/>
    <w:rsid w:val="53E80AEA"/>
    <w:rsid w:val="53EF7614"/>
    <w:rsid w:val="5418468D"/>
    <w:rsid w:val="541F5A0E"/>
    <w:rsid w:val="54B152DD"/>
    <w:rsid w:val="54ED18FD"/>
    <w:rsid w:val="55301F74"/>
    <w:rsid w:val="557211E3"/>
    <w:rsid w:val="55905C7A"/>
    <w:rsid w:val="55AB5986"/>
    <w:rsid w:val="55F87E5C"/>
    <w:rsid w:val="5602188E"/>
    <w:rsid w:val="560A769C"/>
    <w:rsid w:val="563F5408"/>
    <w:rsid w:val="56461C14"/>
    <w:rsid w:val="566F58F9"/>
    <w:rsid w:val="56A74747"/>
    <w:rsid w:val="56A80561"/>
    <w:rsid w:val="56B41005"/>
    <w:rsid w:val="570008B1"/>
    <w:rsid w:val="5727631F"/>
    <w:rsid w:val="574931B4"/>
    <w:rsid w:val="57617F03"/>
    <w:rsid w:val="5777670A"/>
    <w:rsid w:val="579B4FED"/>
    <w:rsid w:val="57E42583"/>
    <w:rsid w:val="580F6692"/>
    <w:rsid w:val="581A434B"/>
    <w:rsid w:val="58582957"/>
    <w:rsid w:val="585E350F"/>
    <w:rsid w:val="586D24C3"/>
    <w:rsid w:val="58A3734B"/>
    <w:rsid w:val="58B81EC2"/>
    <w:rsid w:val="58B961C4"/>
    <w:rsid w:val="58D27D3C"/>
    <w:rsid w:val="590652C2"/>
    <w:rsid w:val="593E4713"/>
    <w:rsid w:val="59567BA9"/>
    <w:rsid w:val="598A218F"/>
    <w:rsid w:val="59A67BD0"/>
    <w:rsid w:val="59D84566"/>
    <w:rsid w:val="59F6051C"/>
    <w:rsid w:val="5A16157D"/>
    <w:rsid w:val="5A1B29E6"/>
    <w:rsid w:val="5A585A71"/>
    <w:rsid w:val="5A964EFD"/>
    <w:rsid w:val="5AB07617"/>
    <w:rsid w:val="5AC01114"/>
    <w:rsid w:val="5AC92E18"/>
    <w:rsid w:val="5AD16AD6"/>
    <w:rsid w:val="5AF55A41"/>
    <w:rsid w:val="5AFA0F70"/>
    <w:rsid w:val="5B4B3D3B"/>
    <w:rsid w:val="5B531CBD"/>
    <w:rsid w:val="5B6B2DC4"/>
    <w:rsid w:val="5B914FFA"/>
    <w:rsid w:val="5C1B6299"/>
    <w:rsid w:val="5C55501F"/>
    <w:rsid w:val="5CA87E15"/>
    <w:rsid w:val="5CDB4AEB"/>
    <w:rsid w:val="5CE24D66"/>
    <w:rsid w:val="5CE835CA"/>
    <w:rsid w:val="5D19020D"/>
    <w:rsid w:val="5D451C28"/>
    <w:rsid w:val="5D705173"/>
    <w:rsid w:val="5DF04B8C"/>
    <w:rsid w:val="5DF63C7E"/>
    <w:rsid w:val="5DFC08BC"/>
    <w:rsid w:val="5E2A3C2B"/>
    <w:rsid w:val="5E6B24B3"/>
    <w:rsid w:val="5E72552B"/>
    <w:rsid w:val="5E931675"/>
    <w:rsid w:val="5F0317FE"/>
    <w:rsid w:val="5F1F532D"/>
    <w:rsid w:val="5F371475"/>
    <w:rsid w:val="5F3A0266"/>
    <w:rsid w:val="5F8D3935"/>
    <w:rsid w:val="5F9D2F5F"/>
    <w:rsid w:val="5FBE6E5F"/>
    <w:rsid w:val="5FC77956"/>
    <w:rsid w:val="5FD301C2"/>
    <w:rsid w:val="5FF84C92"/>
    <w:rsid w:val="600C6E43"/>
    <w:rsid w:val="600D5350"/>
    <w:rsid w:val="601851D8"/>
    <w:rsid w:val="60353C9C"/>
    <w:rsid w:val="604F49C2"/>
    <w:rsid w:val="604F5547"/>
    <w:rsid w:val="607C3F7C"/>
    <w:rsid w:val="6088376D"/>
    <w:rsid w:val="6093192D"/>
    <w:rsid w:val="60A4735A"/>
    <w:rsid w:val="60C53E56"/>
    <w:rsid w:val="60D11C39"/>
    <w:rsid w:val="60E26B4D"/>
    <w:rsid w:val="60E41530"/>
    <w:rsid w:val="60F848C5"/>
    <w:rsid w:val="611716CF"/>
    <w:rsid w:val="611E5849"/>
    <w:rsid w:val="61337C10"/>
    <w:rsid w:val="61821810"/>
    <w:rsid w:val="61834A78"/>
    <w:rsid w:val="61943A7F"/>
    <w:rsid w:val="619958B6"/>
    <w:rsid w:val="61A24F03"/>
    <w:rsid w:val="61CB12F1"/>
    <w:rsid w:val="61EE67CD"/>
    <w:rsid w:val="62100E55"/>
    <w:rsid w:val="62165861"/>
    <w:rsid w:val="62276A2F"/>
    <w:rsid w:val="6232479E"/>
    <w:rsid w:val="62351E6D"/>
    <w:rsid w:val="623D12E2"/>
    <w:rsid w:val="624633DE"/>
    <w:rsid w:val="62496490"/>
    <w:rsid w:val="62697D48"/>
    <w:rsid w:val="62846EEE"/>
    <w:rsid w:val="62B97B10"/>
    <w:rsid w:val="62FB0179"/>
    <w:rsid w:val="633A4C8A"/>
    <w:rsid w:val="633C662F"/>
    <w:rsid w:val="63662164"/>
    <w:rsid w:val="636A5656"/>
    <w:rsid w:val="639939C4"/>
    <w:rsid w:val="63AB775E"/>
    <w:rsid w:val="63C04AC3"/>
    <w:rsid w:val="63E35DD3"/>
    <w:rsid w:val="63E94334"/>
    <w:rsid w:val="64161642"/>
    <w:rsid w:val="64F14CD5"/>
    <w:rsid w:val="64FB5993"/>
    <w:rsid w:val="65157009"/>
    <w:rsid w:val="654A02C6"/>
    <w:rsid w:val="654C7D4B"/>
    <w:rsid w:val="65A328B8"/>
    <w:rsid w:val="65BE71DF"/>
    <w:rsid w:val="65DC22AD"/>
    <w:rsid w:val="65F7245E"/>
    <w:rsid w:val="661B0ABC"/>
    <w:rsid w:val="66665863"/>
    <w:rsid w:val="666B2D54"/>
    <w:rsid w:val="6684296E"/>
    <w:rsid w:val="668729B4"/>
    <w:rsid w:val="66AF480E"/>
    <w:rsid w:val="66B552D9"/>
    <w:rsid w:val="66D54786"/>
    <w:rsid w:val="6739603A"/>
    <w:rsid w:val="674E0D62"/>
    <w:rsid w:val="67532C10"/>
    <w:rsid w:val="67831821"/>
    <w:rsid w:val="679339AC"/>
    <w:rsid w:val="67975FAB"/>
    <w:rsid w:val="679B3202"/>
    <w:rsid w:val="67A6292E"/>
    <w:rsid w:val="67D0703D"/>
    <w:rsid w:val="68024085"/>
    <w:rsid w:val="68031514"/>
    <w:rsid w:val="6804563B"/>
    <w:rsid w:val="680C4806"/>
    <w:rsid w:val="68376970"/>
    <w:rsid w:val="6879435B"/>
    <w:rsid w:val="6883274C"/>
    <w:rsid w:val="68952711"/>
    <w:rsid w:val="68BD7381"/>
    <w:rsid w:val="68D66462"/>
    <w:rsid w:val="68F40012"/>
    <w:rsid w:val="68F7333E"/>
    <w:rsid w:val="68F82926"/>
    <w:rsid w:val="6988436E"/>
    <w:rsid w:val="699739A2"/>
    <w:rsid w:val="6A045FC3"/>
    <w:rsid w:val="6A110425"/>
    <w:rsid w:val="6A4403F5"/>
    <w:rsid w:val="6A6E5E4D"/>
    <w:rsid w:val="6AA92C6B"/>
    <w:rsid w:val="6ABD0AF5"/>
    <w:rsid w:val="6AC25EF3"/>
    <w:rsid w:val="6ACF5472"/>
    <w:rsid w:val="6AE657DF"/>
    <w:rsid w:val="6B065622"/>
    <w:rsid w:val="6B0F7E64"/>
    <w:rsid w:val="6B1A3298"/>
    <w:rsid w:val="6B315CCD"/>
    <w:rsid w:val="6B322551"/>
    <w:rsid w:val="6B76000B"/>
    <w:rsid w:val="6C1F4A77"/>
    <w:rsid w:val="6C4C0543"/>
    <w:rsid w:val="6C7908CC"/>
    <w:rsid w:val="6C803FE7"/>
    <w:rsid w:val="6C8423D2"/>
    <w:rsid w:val="6CA2701B"/>
    <w:rsid w:val="6CFD26D9"/>
    <w:rsid w:val="6D1871A7"/>
    <w:rsid w:val="6D4A2328"/>
    <w:rsid w:val="6D6C2933"/>
    <w:rsid w:val="6D717CF6"/>
    <w:rsid w:val="6DBB5CBB"/>
    <w:rsid w:val="6E1A7D13"/>
    <w:rsid w:val="6E1C1E30"/>
    <w:rsid w:val="6E2102B0"/>
    <w:rsid w:val="6E221388"/>
    <w:rsid w:val="6E393D87"/>
    <w:rsid w:val="6E484874"/>
    <w:rsid w:val="6E9C65AE"/>
    <w:rsid w:val="6EA01121"/>
    <w:rsid w:val="6EA92E19"/>
    <w:rsid w:val="6EAC429F"/>
    <w:rsid w:val="6EB37EC8"/>
    <w:rsid w:val="6ECD7E06"/>
    <w:rsid w:val="6ED37898"/>
    <w:rsid w:val="6F1C1301"/>
    <w:rsid w:val="6F2C4223"/>
    <w:rsid w:val="6F3B6A8E"/>
    <w:rsid w:val="6F507351"/>
    <w:rsid w:val="6F54693D"/>
    <w:rsid w:val="6FA8636C"/>
    <w:rsid w:val="6FBC0848"/>
    <w:rsid w:val="6FCF1F5E"/>
    <w:rsid w:val="701D4E87"/>
    <w:rsid w:val="7022715C"/>
    <w:rsid w:val="702A245B"/>
    <w:rsid w:val="703942D3"/>
    <w:rsid w:val="703C5301"/>
    <w:rsid w:val="7063479E"/>
    <w:rsid w:val="70C5380C"/>
    <w:rsid w:val="70C75C41"/>
    <w:rsid w:val="70D11CB7"/>
    <w:rsid w:val="711A1940"/>
    <w:rsid w:val="712119E6"/>
    <w:rsid w:val="712C5ABD"/>
    <w:rsid w:val="71384A6E"/>
    <w:rsid w:val="71630012"/>
    <w:rsid w:val="716F5C4C"/>
    <w:rsid w:val="71CB11D4"/>
    <w:rsid w:val="71D30EF8"/>
    <w:rsid w:val="72247F95"/>
    <w:rsid w:val="723571AA"/>
    <w:rsid w:val="723C117C"/>
    <w:rsid w:val="724B3EE5"/>
    <w:rsid w:val="724C4199"/>
    <w:rsid w:val="72587F05"/>
    <w:rsid w:val="7263268B"/>
    <w:rsid w:val="72820C42"/>
    <w:rsid w:val="72906DDA"/>
    <w:rsid w:val="72C4347C"/>
    <w:rsid w:val="72C74AE7"/>
    <w:rsid w:val="72E1578D"/>
    <w:rsid w:val="731A61CA"/>
    <w:rsid w:val="732948FE"/>
    <w:rsid w:val="732B4AE4"/>
    <w:rsid w:val="73477EDF"/>
    <w:rsid w:val="735238A0"/>
    <w:rsid w:val="73720B7C"/>
    <w:rsid w:val="7386072B"/>
    <w:rsid w:val="738E1084"/>
    <w:rsid w:val="739F560C"/>
    <w:rsid w:val="73A95761"/>
    <w:rsid w:val="73CC1C8C"/>
    <w:rsid w:val="73D6443C"/>
    <w:rsid w:val="73F03AC7"/>
    <w:rsid w:val="746F5C68"/>
    <w:rsid w:val="7480576E"/>
    <w:rsid w:val="74B30983"/>
    <w:rsid w:val="74DA7959"/>
    <w:rsid w:val="74F9415A"/>
    <w:rsid w:val="752452BB"/>
    <w:rsid w:val="755D4C45"/>
    <w:rsid w:val="75623FEC"/>
    <w:rsid w:val="76337195"/>
    <w:rsid w:val="76371546"/>
    <w:rsid w:val="7656693E"/>
    <w:rsid w:val="767B62AC"/>
    <w:rsid w:val="768A7670"/>
    <w:rsid w:val="7690286C"/>
    <w:rsid w:val="769C3B9E"/>
    <w:rsid w:val="76AB6BC4"/>
    <w:rsid w:val="76AD737C"/>
    <w:rsid w:val="76BD0A53"/>
    <w:rsid w:val="76DE075E"/>
    <w:rsid w:val="76F25AD7"/>
    <w:rsid w:val="77564C48"/>
    <w:rsid w:val="775E33C8"/>
    <w:rsid w:val="776C7399"/>
    <w:rsid w:val="778E137C"/>
    <w:rsid w:val="77AE04D9"/>
    <w:rsid w:val="77B93A47"/>
    <w:rsid w:val="77C91A29"/>
    <w:rsid w:val="77CB6683"/>
    <w:rsid w:val="77F50841"/>
    <w:rsid w:val="77FC02F8"/>
    <w:rsid w:val="7800689E"/>
    <w:rsid w:val="782D0EE9"/>
    <w:rsid w:val="785641E7"/>
    <w:rsid w:val="78BB14FE"/>
    <w:rsid w:val="78BB3D1F"/>
    <w:rsid w:val="78E3629E"/>
    <w:rsid w:val="78EB39E3"/>
    <w:rsid w:val="78F66A75"/>
    <w:rsid w:val="78FB725D"/>
    <w:rsid w:val="791E1391"/>
    <w:rsid w:val="797A51EF"/>
    <w:rsid w:val="798F4C94"/>
    <w:rsid w:val="7990517F"/>
    <w:rsid w:val="799C0603"/>
    <w:rsid w:val="799E2E32"/>
    <w:rsid w:val="799F20F7"/>
    <w:rsid w:val="79E54E9C"/>
    <w:rsid w:val="79E77A8E"/>
    <w:rsid w:val="79FC4695"/>
    <w:rsid w:val="7A001AC0"/>
    <w:rsid w:val="7A041652"/>
    <w:rsid w:val="7A162E0F"/>
    <w:rsid w:val="7A232FC2"/>
    <w:rsid w:val="7AA231AF"/>
    <w:rsid w:val="7B471217"/>
    <w:rsid w:val="7B5C13ED"/>
    <w:rsid w:val="7B7D7A0C"/>
    <w:rsid w:val="7B9D6633"/>
    <w:rsid w:val="7BA236CF"/>
    <w:rsid w:val="7BAB2900"/>
    <w:rsid w:val="7BD85CD3"/>
    <w:rsid w:val="7BE60A71"/>
    <w:rsid w:val="7C0B6779"/>
    <w:rsid w:val="7C103AEA"/>
    <w:rsid w:val="7C15265D"/>
    <w:rsid w:val="7C294C3F"/>
    <w:rsid w:val="7C4743D7"/>
    <w:rsid w:val="7CAD3C8A"/>
    <w:rsid w:val="7CE00DAC"/>
    <w:rsid w:val="7D103C49"/>
    <w:rsid w:val="7D3303AA"/>
    <w:rsid w:val="7D9D7FA3"/>
    <w:rsid w:val="7D9F63B7"/>
    <w:rsid w:val="7DA52F7F"/>
    <w:rsid w:val="7DBC0B0F"/>
    <w:rsid w:val="7DCE309C"/>
    <w:rsid w:val="7DD97FB3"/>
    <w:rsid w:val="7DE071A7"/>
    <w:rsid w:val="7DE776B1"/>
    <w:rsid w:val="7DEE54C8"/>
    <w:rsid w:val="7E40231B"/>
    <w:rsid w:val="7EF57144"/>
    <w:rsid w:val="7EF7725B"/>
    <w:rsid w:val="7F4058E7"/>
    <w:rsid w:val="7F7C25FD"/>
    <w:rsid w:val="7F801698"/>
    <w:rsid w:val="7F8C0FD6"/>
    <w:rsid w:val="7FDD15F6"/>
    <w:rsid w:val="7FF0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1"/>
    <w:qFormat/>
    <w:uiPriority w:val="0"/>
    <w:pPr>
      <w:ind w:firstLine="420"/>
    </w:pPr>
    <w:rPr>
      <w:szCs w:val="20"/>
    </w:rPr>
  </w:style>
  <w:style w:type="paragraph" w:styleId="3">
    <w:name w:val="Body Text"/>
    <w:basedOn w:val="1"/>
    <w:link w:val="50"/>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Date"/>
    <w:basedOn w:val="1"/>
    <w:next w:val="1"/>
    <w:link w:val="56"/>
    <w:unhideWhenUsed/>
    <w:qFormat/>
    <w:uiPriority w:val="99"/>
    <w:pPr>
      <w:ind w:left="100" w:leftChars="2500"/>
    </w:pPr>
  </w:style>
  <w:style w:type="paragraph" w:styleId="6">
    <w:name w:val="Balloon Text"/>
    <w:basedOn w:val="1"/>
    <w:link w:val="48"/>
    <w:unhideWhenUsed/>
    <w:qFormat/>
    <w:uiPriority w:val="99"/>
    <w:rPr>
      <w:sz w:val="18"/>
      <w:szCs w:val="18"/>
    </w:rPr>
  </w:style>
  <w:style w:type="paragraph" w:styleId="7">
    <w:name w:val="footer"/>
    <w:basedOn w:val="1"/>
    <w:link w:val="30"/>
    <w:qFormat/>
    <w:uiPriority w:val="0"/>
    <w:pPr>
      <w:tabs>
        <w:tab w:val="center" w:pos="4153"/>
        <w:tab w:val="right" w:pos="8306"/>
      </w:tabs>
      <w:snapToGrid w:val="0"/>
      <w:ind w:right="210" w:rightChars="100"/>
      <w:jc w:val="right"/>
    </w:pPr>
    <w:rPr>
      <w:rFonts w:asciiTheme="minorHAnsi" w:hAnsiTheme="minorHAnsi" w:eastAsiaTheme="minorEastAsia" w:cstheme="minorBidi"/>
      <w:sz w:val="18"/>
      <w:szCs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page number"/>
    <w:qFormat/>
    <w:uiPriority w:val="0"/>
    <w:rPr>
      <w:rFonts w:ascii="Times New Roman" w:hAnsi="Times New Roman" w:eastAsia="宋体"/>
      <w:sz w:val="18"/>
    </w:rPr>
  </w:style>
  <w:style w:type="character" w:styleId="11">
    <w:name w:val="Hyperlink"/>
    <w:basedOn w:val="9"/>
    <w:unhideWhenUsed/>
    <w:qFormat/>
    <w:uiPriority w:val="99"/>
    <w:rPr>
      <w:color w:val="0000CC"/>
      <w:u w:val="single"/>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二级条标题 Char"/>
    <w:link w:val="15"/>
    <w:qFormat/>
    <w:uiPriority w:val="0"/>
    <w:rPr>
      <w:rFonts w:ascii="黑体" w:eastAsia="黑体"/>
      <w:kern w:val="2"/>
      <w:sz w:val="21"/>
      <w:szCs w:val="22"/>
    </w:rPr>
  </w:style>
  <w:style w:type="paragraph" w:customStyle="1" w:styleId="15">
    <w:name w:val="二级条标题"/>
    <w:basedOn w:val="16"/>
    <w:next w:val="18"/>
    <w:link w:val="14"/>
    <w:qFormat/>
    <w:uiPriority w:val="0"/>
    <w:pPr>
      <w:numPr>
        <w:ilvl w:val="3"/>
      </w:numPr>
      <w:outlineLvl w:val="3"/>
    </w:pPr>
  </w:style>
  <w:style w:type="paragraph" w:customStyle="1" w:styleId="16">
    <w:name w:val="一级条标题"/>
    <w:basedOn w:val="17"/>
    <w:next w:val="18"/>
    <w:link w:val="22"/>
    <w:qFormat/>
    <w:uiPriority w:val="0"/>
    <w:pPr>
      <w:numPr>
        <w:ilvl w:val="2"/>
      </w:numPr>
      <w:spacing w:beforeLines="0" w:afterLines="0"/>
      <w:outlineLvl w:val="2"/>
    </w:pPr>
    <w:rPr>
      <w:rFonts w:hAnsiTheme="minorHAnsi" w:cstheme="minorBidi"/>
      <w:kern w:val="2"/>
      <w:szCs w:val="22"/>
    </w:rPr>
  </w:style>
  <w:style w:type="paragraph" w:customStyle="1" w:styleId="17">
    <w:name w:val="章标题"/>
    <w:next w:val="1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段"/>
    <w:link w:val="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9">
    <w:name w:val="段 Char"/>
    <w:link w:val="18"/>
    <w:qFormat/>
    <w:uiPriority w:val="0"/>
    <w:rPr>
      <w:rFonts w:ascii="宋体"/>
    </w:rPr>
  </w:style>
  <w:style w:type="character" w:customStyle="1" w:styleId="20">
    <w:name w:val="页脚 Char"/>
    <w:qFormat/>
    <w:uiPriority w:val="0"/>
    <w:rPr>
      <w:sz w:val="18"/>
      <w:szCs w:val="18"/>
    </w:rPr>
  </w:style>
  <w:style w:type="character" w:customStyle="1" w:styleId="21">
    <w:name w:val="页眉 Char"/>
    <w:qFormat/>
    <w:uiPriority w:val="0"/>
    <w:rPr>
      <w:sz w:val="18"/>
      <w:szCs w:val="18"/>
    </w:rPr>
  </w:style>
  <w:style w:type="character" w:customStyle="1" w:styleId="22">
    <w:name w:val="一级条标题 Char"/>
    <w:link w:val="16"/>
    <w:qFormat/>
    <w:uiPriority w:val="0"/>
    <w:rPr>
      <w:rFonts w:ascii="黑体" w:eastAsia="黑体"/>
      <w:kern w:val="2"/>
      <w:sz w:val="21"/>
      <w:szCs w:val="22"/>
    </w:rPr>
  </w:style>
  <w:style w:type="paragraph" w:customStyle="1" w:styleId="23">
    <w:name w:val="标准书眉一"/>
    <w:qFormat/>
    <w:uiPriority w:val="0"/>
    <w:pPr>
      <w:jc w:val="both"/>
    </w:pPr>
    <w:rPr>
      <w:rFonts w:ascii="Times New Roman" w:hAnsi="Times New Roman" w:eastAsia="宋体" w:cs="Times New Roman"/>
      <w:lang w:val="en-US" w:eastAsia="zh-CN" w:bidi="ar-SA"/>
    </w:r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
    <w:name w:val="实施日期"/>
    <w:basedOn w:val="25"/>
    <w:qFormat/>
    <w:uiPriority w:val="0"/>
    <w:pPr>
      <w:framePr w:hSpace="0" w:xAlign="right"/>
      <w:jc w:val="right"/>
    </w:pPr>
  </w:style>
  <w:style w:type="paragraph" w:customStyle="1" w:styleId="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29">
    <w:name w:val="页眉 Char1"/>
    <w:basedOn w:val="9"/>
    <w:link w:val="8"/>
    <w:semiHidden/>
    <w:qFormat/>
    <w:uiPriority w:val="99"/>
    <w:rPr>
      <w:rFonts w:ascii="Times New Roman" w:hAnsi="Times New Roman" w:eastAsia="宋体" w:cs="Times New Roman"/>
      <w:sz w:val="18"/>
      <w:szCs w:val="18"/>
    </w:rPr>
  </w:style>
  <w:style w:type="character" w:customStyle="1" w:styleId="30">
    <w:name w:val="页脚 Char1"/>
    <w:basedOn w:val="9"/>
    <w:link w:val="7"/>
    <w:semiHidden/>
    <w:qFormat/>
    <w:uiPriority w:val="99"/>
    <w:rPr>
      <w:rFonts w:ascii="Times New Roman" w:hAnsi="Times New Roman" w:eastAsia="宋体" w:cs="Times New Roman"/>
      <w:sz w:val="18"/>
      <w:szCs w:val="18"/>
    </w:rPr>
  </w:style>
  <w:style w:type="paragraph" w:customStyle="1" w:styleId="3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2">
    <w:name w:val="正文表标题"/>
    <w:next w:val="18"/>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33">
    <w:name w:val="封面标准号2"/>
    <w:basedOn w:val="1"/>
    <w:qFormat/>
    <w:uiPriority w:val="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5">
    <w:name w:val="封面标准代替信息"/>
    <w:basedOn w:val="33"/>
    <w:qFormat/>
    <w:uiPriority w:val="0"/>
    <w:pPr>
      <w:spacing w:before="57"/>
    </w:pPr>
    <w:rPr>
      <w:rFonts w:ascii="宋体"/>
      <w:sz w:val="21"/>
    </w:rPr>
  </w:style>
  <w:style w:type="paragraph" w:customStyle="1" w:styleId="36">
    <w:name w:val="z-窗体顶端1"/>
    <w:basedOn w:val="1"/>
    <w:link w:val="37"/>
    <w:qFormat/>
    <w:uiPriority w:val="34"/>
    <w:pPr>
      <w:ind w:firstLine="420" w:firstLineChars="200"/>
    </w:pPr>
    <w:rPr>
      <w:rFonts w:ascii="Calibri" w:hAnsi="Calibri"/>
      <w:szCs w:val="22"/>
    </w:rPr>
  </w:style>
  <w:style w:type="character" w:customStyle="1" w:styleId="37">
    <w:name w:val="z-窗体顶端 Char"/>
    <w:basedOn w:val="9"/>
    <w:link w:val="36"/>
    <w:qFormat/>
    <w:uiPriority w:val="34"/>
    <w:rPr>
      <w:rFonts w:ascii="Calibri" w:hAnsi="Calibri" w:eastAsia="宋体" w:cs="Times New Roman"/>
    </w:rPr>
  </w:style>
  <w:style w:type="paragraph" w:customStyle="1" w:styleId="38">
    <w:name w:val="三级条标题"/>
    <w:basedOn w:val="15"/>
    <w:next w:val="18"/>
    <w:qFormat/>
    <w:uiPriority w:val="0"/>
    <w:pPr>
      <w:numPr>
        <w:ilvl w:val="4"/>
      </w:numPr>
      <w:ind w:left="0"/>
      <w:outlineLvl w:val="4"/>
    </w:pPr>
  </w:style>
  <w:style w:type="paragraph" w:customStyle="1" w:styleId="39">
    <w:name w:val="封面正文"/>
    <w:qFormat/>
    <w:uiPriority w:val="0"/>
    <w:pPr>
      <w:jc w:val="both"/>
    </w:pPr>
    <w:rPr>
      <w:rFonts w:ascii="Times New Roman" w:hAnsi="Times New Roman" w:eastAsia="宋体" w:cs="Times New Roman"/>
      <w:lang w:val="en-US" w:eastAsia="zh-CN" w:bidi="ar-SA"/>
    </w:rPr>
  </w:style>
  <w:style w:type="paragraph" w:customStyle="1" w:styleId="40">
    <w:name w:val="_Style 2"/>
    <w:basedOn w:val="1"/>
    <w:qFormat/>
    <w:uiPriority w:val="34"/>
    <w:pPr>
      <w:ind w:firstLine="420" w:firstLineChars="200"/>
    </w:pPr>
    <w:rPr>
      <w:rFonts w:ascii="Calibri" w:hAnsi="Calibri"/>
      <w:szCs w:val="22"/>
    </w:rPr>
  </w:style>
  <w:style w:type="paragraph" w:customStyle="1" w:styleId="4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发布部门"/>
    <w:next w:val="1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标准书眉_偶数页"/>
    <w:basedOn w:val="24"/>
    <w:next w:val="1"/>
    <w:qFormat/>
    <w:uiPriority w:val="0"/>
    <w:pPr>
      <w:jc w:val="left"/>
    </w:pPr>
  </w:style>
  <w:style w:type="paragraph" w:customStyle="1" w:styleId="4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7">
    <w:name w:val="目次、标准名称标题"/>
    <w:basedOn w:val="44"/>
    <w:next w:val="18"/>
    <w:qFormat/>
    <w:uiPriority w:val="0"/>
    <w:pPr>
      <w:spacing w:line="460" w:lineRule="exact"/>
    </w:pPr>
  </w:style>
  <w:style w:type="character" w:customStyle="1" w:styleId="48">
    <w:name w:val="批注框文本 Char"/>
    <w:basedOn w:val="9"/>
    <w:link w:val="6"/>
    <w:semiHidden/>
    <w:qFormat/>
    <w:uiPriority w:val="99"/>
    <w:rPr>
      <w:rFonts w:ascii="Times New Roman" w:hAnsi="Times New Roman" w:eastAsia="宋体" w:cs="Times New Roman"/>
      <w:sz w:val="18"/>
      <w:szCs w:val="18"/>
    </w:rPr>
  </w:style>
  <w:style w:type="paragraph" w:customStyle="1" w:styleId="49">
    <w:name w:val="列出段落1"/>
    <w:basedOn w:val="1"/>
    <w:qFormat/>
    <w:uiPriority w:val="34"/>
    <w:pPr>
      <w:ind w:firstLine="420" w:firstLineChars="200"/>
    </w:pPr>
  </w:style>
  <w:style w:type="character" w:customStyle="1" w:styleId="50">
    <w:name w:val="正文文本 Char"/>
    <w:basedOn w:val="9"/>
    <w:link w:val="3"/>
    <w:semiHidden/>
    <w:qFormat/>
    <w:uiPriority w:val="99"/>
    <w:rPr>
      <w:rFonts w:ascii="Times New Roman" w:hAnsi="Times New Roman" w:eastAsia="宋体" w:cs="Times New Roman"/>
      <w:szCs w:val="24"/>
    </w:rPr>
  </w:style>
  <w:style w:type="character" w:customStyle="1" w:styleId="51">
    <w:name w:val="正文首行缩进 Char"/>
    <w:basedOn w:val="50"/>
    <w:link w:val="2"/>
    <w:qFormat/>
    <w:uiPriority w:val="0"/>
    <w:rPr>
      <w:rFonts w:ascii="Times New Roman" w:hAnsi="Times New Roman" w:eastAsia="宋体" w:cs="Times New Roman"/>
      <w:szCs w:val="20"/>
    </w:rPr>
  </w:style>
  <w:style w:type="table" w:customStyle="1" w:styleId="52">
    <w:name w:val="网格型1"/>
    <w:basedOn w:val="12"/>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3">
    <w:name w:val="五级条标题"/>
    <w:basedOn w:val="1"/>
    <w:next w:val="18"/>
    <w:qFormat/>
    <w:uiPriority w:val="0"/>
    <w:pPr>
      <w:widowControl/>
      <w:spacing w:beforeLines="50" w:afterLines="50"/>
      <w:jc w:val="left"/>
      <w:outlineLvl w:val="6"/>
    </w:pPr>
    <w:rPr>
      <w:rFonts w:ascii="黑体" w:eastAsia="黑体"/>
      <w:kern w:val="0"/>
      <w:szCs w:val="21"/>
    </w:rPr>
  </w:style>
  <w:style w:type="paragraph" w:customStyle="1" w:styleId="54">
    <w:name w:val="四级无"/>
    <w:basedOn w:val="1"/>
    <w:qFormat/>
    <w:uiPriority w:val="0"/>
    <w:pPr>
      <w:widowControl/>
      <w:spacing w:before="50" w:after="50"/>
      <w:jc w:val="left"/>
      <w:outlineLvl w:val="5"/>
    </w:pPr>
    <w:rPr>
      <w:rFonts w:ascii="宋体"/>
      <w:kern w:val="0"/>
      <w:szCs w:val="21"/>
    </w:rPr>
  </w:style>
  <w:style w:type="paragraph" w:styleId="55">
    <w:name w:val="List Paragraph"/>
    <w:basedOn w:val="1"/>
    <w:unhideWhenUsed/>
    <w:qFormat/>
    <w:uiPriority w:val="99"/>
    <w:pPr>
      <w:ind w:firstLine="420" w:firstLineChars="200"/>
    </w:pPr>
  </w:style>
  <w:style w:type="character" w:customStyle="1" w:styleId="56">
    <w:name w:val="日期 Char"/>
    <w:basedOn w:val="9"/>
    <w:link w:val="5"/>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1"/>
    <customShpInfo spid="_x0000_s1050"/>
    <customShpInfo spid="_x0000_s1049"/>
    <customShpInfo spid="_x0000_s1048"/>
    <customShpInfo spid="_x0000_s1047"/>
    <customShpInfo spid="_x0000_s1046"/>
    <customShpInfo spid="_x0000_s1045"/>
    <customShpInfo spid="_x0000_s1044"/>
    <customShpInfo spid="_x0000_s1058"/>
    <customShpInfo spid="_x0000_s1057"/>
    <customShpInfo spid="_x0000_s1056"/>
    <customShpInfo spid="_x0000_s1055"/>
    <customShpInfo spid="_x0000_s1054"/>
    <customShpInfo spid="_x0000_s1053"/>
    <customShpInfo spid="_x0000_s1059"/>
    <customShpInfo spid="_x0000_s1061"/>
    <customShpInfo spid="_x0000_s106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3FB00-2713-47DF-98B2-7EE5E6C7BB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4199</Words>
  <Characters>5218</Characters>
  <Lines>41</Lines>
  <Paragraphs>11</Paragraphs>
  <TotalTime>49</TotalTime>
  <ScaleCrop>false</ScaleCrop>
  <LinksUpToDate>false</LinksUpToDate>
  <CharactersWithSpaces>5453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2016-09-18T02:35:00Z</dcterms:created>
  <dc:creator>PC</dc:creator>
  <cp:lastModifiedBy>刘欢</cp:lastModifiedBy>
  <cp:lastPrinted>2018-07-04T00:59:00Z</cp:lastPrinted>
  <dcterms:modified xsi:type="dcterms:W3CDTF">2018-07-17T05:16:53Z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