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sz w:val="36"/>
          <w:szCs w:val="36"/>
        </w:rPr>
      </w:pPr>
      <w:r>
        <w:rPr>
          <w:rFonts w:hint="eastAsia" w:ascii="黑体" w:hAnsi="黑体" w:eastAsia="黑体" w:cs="黑体"/>
          <w:sz w:val="36"/>
          <w:szCs w:val="36"/>
          <w:lang w:val="en-US" w:eastAsia="zh-CN"/>
        </w:rPr>
        <w:t>1,2-</w:t>
      </w:r>
      <w:r>
        <w:rPr>
          <w:rFonts w:hint="eastAsia" w:ascii="黑体" w:hAnsi="黑体" w:eastAsia="黑体" w:cs="黑体"/>
          <w:sz w:val="36"/>
          <w:szCs w:val="36"/>
        </w:rPr>
        <w:t>双</w:t>
      </w:r>
      <w:r>
        <w:rPr>
          <w:rFonts w:hint="eastAsia" w:ascii="黑体" w:hAnsi="黑体" w:eastAsia="黑体" w:cs="黑体"/>
          <w:sz w:val="36"/>
          <w:szCs w:val="36"/>
          <w:lang w:val="en-US" w:eastAsia="zh-CN"/>
        </w:rPr>
        <w:t>二苯基膦乙烷</w:t>
      </w:r>
      <w:r>
        <w:rPr>
          <w:rFonts w:hint="eastAsia" w:ascii="黑体" w:hAnsi="黑体" w:eastAsia="黑体" w:cs="黑体"/>
          <w:sz w:val="36"/>
          <w:szCs w:val="36"/>
        </w:rPr>
        <w:t xml:space="preserve">氯化钯化学分析方法  </w:t>
      </w:r>
    </w:p>
    <w:p>
      <w:pPr>
        <w:pStyle w:val="14"/>
        <w:spacing w:line="360" w:lineRule="auto"/>
        <w:ind w:firstLine="0" w:firstLineChars="0"/>
        <w:rPr>
          <w:rFonts w:ascii="黑体" w:hAnsi="黑体" w:eastAsia="黑体" w:cs="黑体"/>
          <w:sz w:val="36"/>
          <w:szCs w:val="36"/>
        </w:rPr>
      </w:pPr>
      <w:r>
        <w:rPr>
          <w:rFonts w:hint="eastAsia" w:ascii="黑体" w:hAnsi="黑体" w:eastAsia="黑体" w:cs="黑体"/>
          <w:sz w:val="36"/>
          <w:szCs w:val="36"/>
        </w:rPr>
        <w:t xml:space="preserve">                 第1部分：钯量的测定</w:t>
      </w:r>
    </w:p>
    <w:p>
      <w:pPr>
        <w:spacing w:line="360" w:lineRule="auto"/>
        <w:jc w:val="center"/>
        <w:rPr>
          <w:rFonts w:ascii="黑体" w:hAnsi="黑体" w:eastAsia="黑体" w:cs="黑体"/>
          <w:sz w:val="36"/>
          <w:szCs w:val="36"/>
        </w:rPr>
      </w:pPr>
      <w:r>
        <w:rPr>
          <w:rFonts w:hint="eastAsia" w:ascii="黑体" w:hAnsi="黑体" w:eastAsia="黑体" w:cs="黑体"/>
          <w:sz w:val="36"/>
          <w:szCs w:val="36"/>
        </w:rPr>
        <w:t>丁二酮肟重量法</w:t>
      </w:r>
    </w:p>
    <w:p>
      <w:pPr>
        <w:pStyle w:val="17"/>
        <w:tabs>
          <w:tab w:val="left" w:pos="7155"/>
        </w:tabs>
        <w:spacing w:before="0" w:line="360" w:lineRule="auto"/>
        <w:ind w:firstLine="1084" w:firstLineChars="450"/>
        <w:jc w:val="both"/>
        <w:rPr>
          <w:b/>
          <w:sz w:val="24"/>
          <w:szCs w:val="24"/>
        </w:rPr>
      </w:pPr>
    </w:p>
    <w:p>
      <w:pPr>
        <w:pStyle w:val="17"/>
        <w:tabs>
          <w:tab w:val="left" w:pos="7155"/>
        </w:tabs>
        <w:spacing w:before="0" w:line="360" w:lineRule="auto"/>
        <w:rPr>
          <w:rFonts w:ascii="宋体" w:hAnsi="宋体"/>
          <w:b/>
          <w:bCs/>
          <w:sz w:val="30"/>
          <w:szCs w:val="30"/>
        </w:rPr>
      </w:pPr>
    </w:p>
    <w:p>
      <w:pPr>
        <w:pStyle w:val="17"/>
        <w:tabs>
          <w:tab w:val="left" w:pos="7155"/>
        </w:tabs>
        <w:spacing w:before="0" w:line="360" w:lineRule="auto"/>
        <w:rPr>
          <w:rFonts w:ascii="宋体" w:hAnsi="宋体"/>
          <w:b/>
          <w:bCs/>
          <w:sz w:val="30"/>
          <w:szCs w:val="30"/>
        </w:rPr>
      </w:pPr>
    </w:p>
    <w:p>
      <w:pPr>
        <w:pStyle w:val="17"/>
        <w:tabs>
          <w:tab w:val="left" w:pos="7155"/>
        </w:tabs>
        <w:spacing w:before="0" w:line="360" w:lineRule="auto"/>
        <w:rPr>
          <w:rFonts w:asciiTheme="minorEastAsia" w:hAnsiTheme="minorEastAsia" w:eastAsiaTheme="minorEastAsia"/>
          <w:b/>
          <w:bCs/>
          <w:sz w:val="30"/>
          <w:szCs w:val="30"/>
        </w:rPr>
      </w:pPr>
    </w:p>
    <w:p>
      <w:pPr>
        <w:pStyle w:val="17"/>
        <w:tabs>
          <w:tab w:val="left" w:pos="7155"/>
        </w:tabs>
        <w:spacing w:before="0" w:line="360" w:lineRule="auto"/>
        <w:jc w:val="both"/>
        <w:rPr>
          <w:rFonts w:asciiTheme="minorEastAsia" w:hAnsiTheme="minorEastAsia" w:eastAsiaTheme="minorEastAsia"/>
          <w:bCs/>
          <w:sz w:val="32"/>
          <w:szCs w:val="32"/>
        </w:rPr>
      </w:pPr>
      <w:r>
        <w:rPr>
          <w:rFonts w:hint="eastAsia" w:asciiTheme="minorEastAsia" w:hAnsiTheme="minorEastAsia" w:eastAsiaTheme="minorEastAsia"/>
          <w:b/>
          <w:bCs/>
          <w:sz w:val="30"/>
          <w:szCs w:val="30"/>
        </w:rPr>
        <w:t xml:space="preserve">                </w:t>
      </w:r>
      <w:r>
        <w:rPr>
          <w:rFonts w:hint="eastAsia" w:asciiTheme="minorEastAsia" w:hAnsiTheme="minorEastAsia" w:eastAsiaTheme="minorEastAsia"/>
          <w:bCs/>
          <w:sz w:val="30"/>
          <w:szCs w:val="30"/>
        </w:rPr>
        <w:t xml:space="preserve">     </w:t>
      </w:r>
      <w:r>
        <w:rPr>
          <w:rFonts w:hint="eastAsia" w:asciiTheme="minorEastAsia" w:hAnsiTheme="minorEastAsia" w:eastAsiaTheme="minorEastAsia"/>
          <w:bCs/>
          <w:sz w:val="36"/>
          <w:szCs w:val="36"/>
        </w:rPr>
        <w:t xml:space="preserve">  </w:t>
      </w:r>
      <w:r>
        <w:rPr>
          <w:rFonts w:hint="eastAsia" w:asciiTheme="minorEastAsia" w:hAnsiTheme="minorEastAsia" w:eastAsiaTheme="minorEastAsia"/>
          <w:bCs/>
          <w:sz w:val="32"/>
          <w:szCs w:val="32"/>
        </w:rPr>
        <w:t>实验报告</w:t>
      </w:r>
    </w:p>
    <w:p>
      <w:pPr>
        <w:pStyle w:val="17"/>
        <w:tabs>
          <w:tab w:val="left" w:pos="7155"/>
        </w:tabs>
        <w:spacing w:before="0" w:line="360" w:lineRule="auto"/>
        <w:rPr>
          <w:rFonts w:asciiTheme="minorEastAsia" w:hAnsiTheme="minorEastAsia" w:eastAsiaTheme="minorEastAsia"/>
          <w:sz w:val="24"/>
          <w:szCs w:val="24"/>
        </w:rPr>
      </w:pPr>
    </w:p>
    <w:p>
      <w:pPr>
        <w:pStyle w:val="17"/>
        <w:tabs>
          <w:tab w:val="left" w:pos="7155"/>
        </w:tabs>
        <w:spacing w:before="0" w:line="360" w:lineRule="auto"/>
        <w:rPr>
          <w:rFonts w:asciiTheme="minorEastAsia" w:hAnsiTheme="minorEastAsia" w:eastAsiaTheme="minorEastAsia"/>
          <w:sz w:val="24"/>
          <w:szCs w:val="24"/>
        </w:rPr>
      </w:pPr>
    </w:p>
    <w:p>
      <w:pPr>
        <w:pStyle w:val="17"/>
        <w:tabs>
          <w:tab w:val="left" w:pos="7155"/>
        </w:tabs>
        <w:spacing w:before="0" w:line="360" w:lineRule="auto"/>
        <w:rPr>
          <w:rFonts w:asciiTheme="minorEastAsia" w:hAnsiTheme="minorEastAsia" w:eastAsiaTheme="minorEastAsia"/>
          <w:sz w:val="24"/>
          <w:szCs w:val="24"/>
        </w:rPr>
      </w:pPr>
    </w:p>
    <w:p>
      <w:pPr>
        <w:pStyle w:val="17"/>
        <w:tabs>
          <w:tab w:val="left" w:pos="7155"/>
        </w:tabs>
        <w:spacing w:before="0" w:line="360" w:lineRule="auto"/>
        <w:rPr>
          <w:rFonts w:asciiTheme="minorEastAsia" w:hAnsiTheme="minorEastAsia" w:eastAsiaTheme="minorEastAsia"/>
          <w:sz w:val="24"/>
          <w:szCs w:val="24"/>
        </w:rPr>
      </w:pPr>
    </w:p>
    <w:p>
      <w:pPr>
        <w:pStyle w:val="17"/>
        <w:tabs>
          <w:tab w:val="left" w:pos="7155"/>
        </w:tabs>
        <w:spacing w:before="0" w:line="360" w:lineRule="auto"/>
        <w:rPr>
          <w:rFonts w:asciiTheme="minorEastAsia" w:hAnsiTheme="minorEastAsia" w:eastAsiaTheme="minorEastAsia"/>
          <w:sz w:val="24"/>
          <w:szCs w:val="24"/>
        </w:rPr>
      </w:pPr>
    </w:p>
    <w:p>
      <w:pPr>
        <w:pStyle w:val="17"/>
        <w:tabs>
          <w:tab w:val="left" w:pos="7155"/>
        </w:tabs>
        <w:spacing w:before="0" w:line="360" w:lineRule="auto"/>
        <w:rPr>
          <w:rFonts w:asciiTheme="minorEastAsia" w:hAnsiTheme="minorEastAsia" w:eastAsiaTheme="minorEastAsia"/>
          <w:sz w:val="24"/>
          <w:szCs w:val="24"/>
        </w:rPr>
      </w:pPr>
    </w:p>
    <w:p>
      <w:pPr>
        <w:pStyle w:val="17"/>
        <w:tabs>
          <w:tab w:val="left" w:pos="7155"/>
        </w:tabs>
        <w:spacing w:before="0" w:line="360" w:lineRule="auto"/>
        <w:rPr>
          <w:rFonts w:asciiTheme="minorEastAsia" w:hAnsiTheme="minorEastAsia" w:eastAsiaTheme="minorEastAsia"/>
          <w:sz w:val="24"/>
          <w:szCs w:val="24"/>
        </w:rPr>
      </w:pPr>
    </w:p>
    <w:p>
      <w:pPr>
        <w:pStyle w:val="17"/>
        <w:tabs>
          <w:tab w:val="left" w:pos="7155"/>
        </w:tabs>
        <w:spacing w:before="0" w:line="360" w:lineRule="auto"/>
        <w:rPr>
          <w:rFonts w:asciiTheme="minorEastAsia" w:hAnsiTheme="minorEastAsia" w:eastAsiaTheme="minorEastAsia"/>
          <w:sz w:val="24"/>
          <w:szCs w:val="24"/>
        </w:rPr>
      </w:pPr>
    </w:p>
    <w:p>
      <w:pPr>
        <w:pStyle w:val="17"/>
        <w:tabs>
          <w:tab w:val="left" w:pos="7155"/>
        </w:tabs>
        <w:spacing w:before="0" w:line="360" w:lineRule="auto"/>
        <w:rPr>
          <w:rFonts w:asciiTheme="minorEastAsia" w:hAnsiTheme="minorEastAsia" w:eastAsiaTheme="minorEastAsia"/>
          <w:sz w:val="24"/>
          <w:szCs w:val="24"/>
        </w:rPr>
      </w:pPr>
    </w:p>
    <w:p>
      <w:pPr>
        <w:pStyle w:val="17"/>
        <w:tabs>
          <w:tab w:val="left" w:pos="7155"/>
        </w:tabs>
        <w:spacing w:before="0" w:line="360" w:lineRule="auto"/>
        <w:rPr>
          <w:rFonts w:asciiTheme="minorEastAsia" w:hAnsiTheme="minorEastAsia" w:eastAsiaTheme="minorEastAsia"/>
          <w:sz w:val="24"/>
          <w:szCs w:val="24"/>
        </w:rPr>
      </w:pPr>
    </w:p>
    <w:p>
      <w:pPr>
        <w:pStyle w:val="17"/>
        <w:tabs>
          <w:tab w:val="left" w:pos="7155"/>
        </w:tabs>
        <w:spacing w:before="0" w:line="360" w:lineRule="auto"/>
        <w:jc w:val="both"/>
        <w:rPr>
          <w:rFonts w:asciiTheme="minorEastAsia" w:hAnsiTheme="minorEastAsia" w:eastAsiaTheme="minorEastAsia"/>
          <w:sz w:val="24"/>
          <w:szCs w:val="24"/>
        </w:rPr>
      </w:pPr>
    </w:p>
    <w:p>
      <w:pPr>
        <w:pStyle w:val="17"/>
        <w:tabs>
          <w:tab w:val="left" w:pos="7155"/>
        </w:tabs>
        <w:spacing w:before="0" w:line="360" w:lineRule="auto"/>
        <w:ind w:firstLine="2400" w:firstLineChars="750"/>
        <w:jc w:val="both"/>
        <w:rPr>
          <w:rFonts w:cs="宋体" w:asciiTheme="minorEastAsia" w:hAnsiTheme="minorEastAsia" w:eastAsiaTheme="minorEastAsia"/>
          <w:bCs/>
          <w:sz w:val="32"/>
          <w:szCs w:val="32"/>
        </w:rPr>
      </w:pPr>
    </w:p>
    <w:p>
      <w:pPr>
        <w:pStyle w:val="17"/>
        <w:tabs>
          <w:tab w:val="left" w:pos="7155"/>
        </w:tabs>
        <w:spacing w:before="0" w:line="360" w:lineRule="auto"/>
        <w:ind w:firstLine="2400" w:firstLineChars="750"/>
        <w:jc w:val="both"/>
        <w:rPr>
          <w:rFonts w:cs="宋体" w:asciiTheme="minorEastAsia" w:hAnsiTheme="minorEastAsia" w:eastAsiaTheme="minorEastAsia"/>
          <w:bCs/>
          <w:sz w:val="32"/>
          <w:szCs w:val="32"/>
        </w:rPr>
      </w:pPr>
    </w:p>
    <w:p>
      <w:pPr>
        <w:pStyle w:val="17"/>
        <w:tabs>
          <w:tab w:val="left" w:pos="7155"/>
        </w:tabs>
        <w:spacing w:before="0" w:line="360" w:lineRule="auto"/>
        <w:rPr>
          <w:rFonts w:cs="宋体" w:asciiTheme="minorEastAsia" w:hAnsiTheme="minorEastAsia" w:eastAsiaTheme="minorEastAsia"/>
          <w:bCs/>
          <w:sz w:val="32"/>
          <w:szCs w:val="32"/>
        </w:rPr>
      </w:pPr>
      <w:r>
        <w:rPr>
          <w:rFonts w:hint="eastAsia" w:cs="宋体" w:asciiTheme="minorEastAsia" w:hAnsiTheme="minorEastAsia" w:eastAsiaTheme="minorEastAsia"/>
          <w:bCs/>
          <w:sz w:val="32"/>
          <w:szCs w:val="32"/>
        </w:rPr>
        <w:t>江西省汉氏贵金属有限公司</w:t>
      </w:r>
    </w:p>
    <w:p>
      <w:pPr>
        <w:pStyle w:val="17"/>
        <w:tabs>
          <w:tab w:val="left" w:pos="7155"/>
        </w:tabs>
        <w:spacing w:before="0" w:line="360" w:lineRule="auto"/>
        <w:ind w:firstLine="2400" w:firstLineChars="750"/>
        <w:jc w:val="both"/>
        <w:rPr>
          <w:rFonts w:cs="宋体" w:asciiTheme="minorEastAsia" w:hAnsiTheme="minorEastAsia" w:eastAsiaTheme="minorEastAsia"/>
          <w:bCs/>
          <w:sz w:val="32"/>
          <w:szCs w:val="32"/>
        </w:rPr>
      </w:pPr>
    </w:p>
    <w:p>
      <w:pPr>
        <w:spacing w:line="360" w:lineRule="auto"/>
        <w:jc w:val="center"/>
        <w:rPr>
          <w:rFonts w:ascii="Times New Roman"/>
          <w:color w:val="000000"/>
          <w:sz w:val="32"/>
          <w:szCs w:val="32"/>
        </w:rPr>
      </w:pPr>
      <w:r>
        <w:rPr>
          <w:rFonts w:hint="eastAsia" w:ascii="Times New Roman" w:hAnsi="Times New Roman" w:cs="宋体"/>
          <w:bCs/>
          <w:sz w:val="32"/>
          <w:szCs w:val="30"/>
        </w:rPr>
        <w:t>201</w:t>
      </w:r>
      <w:r>
        <w:rPr>
          <w:rFonts w:hint="eastAsia" w:ascii="Times New Roman" w:hAnsi="Times New Roman" w:cs="宋体"/>
          <w:bCs/>
          <w:sz w:val="32"/>
          <w:szCs w:val="30"/>
          <w:lang w:val="en-US" w:eastAsia="zh-CN"/>
        </w:rPr>
        <w:t>8</w:t>
      </w:r>
      <w:r>
        <w:rPr>
          <w:rFonts w:hint="eastAsia" w:ascii="Times New Roman" w:hAnsi="宋体" w:cs="宋体"/>
          <w:bCs/>
          <w:sz w:val="32"/>
          <w:szCs w:val="30"/>
        </w:rPr>
        <w:t>年</w:t>
      </w:r>
      <w:r>
        <w:rPr>
          <w:rFonts w:hint="eastAsia" w:ascii="Times New Roman" w:hAnsi="Times New Roman" w:cs="宋体"/>
          <w:bCs/>
          <w:sz w:val="32"/>
          <w:szCs w:val="30"/>
        </w:rPr>
        <w:t>0</w:t>
      </w:r>
      <w:r>
        <w:rPr>
          <w:rFonts w:hint="eastAsia" w:ascii="Times New Roman" w:hAnsi="Times New Roman" w:cs="宋体"/>
          <w:bCs/>
          <w:sz w:val="32"/>
          <w:szCs w:val="30"/>
          <w:lang w:val="en-US" w:eastAsia="zh-CN"/>
        </w:rPr>
        <w:t>2</w:t>
      </w:r>
      <w:r>
        <w:rPr>
          <w:rFonts w:hint="eastAsia" w:ascii="Times New Roman"/>
          <w:color w:val="000000"/>
          <w:sz w:val="32"/>
          <w:szCs w:val="32"/>
        </w:rPr>
        <w:t>月</w:t>
      </w:r>
    </w:p>
    <w:p>
      <w:pPr>
        <w:spacing w:line="360" w:lineRule="auto"/>
        <w:rPr>
          <w:rFonts w:ascii="Times New Roman" w:hAnsi="Times New Roman" w:eastAsia="黑体"/>
          <w:sz w:val="32"/>
          <w:szCs w:val="32"/>
        </w:rPr>
      </w:pPr>
    </w:p>
    <w:p>
      <w:pPr>
        <w:spacing w:line="360" w:lineRule="auto"/>
        <w:jc w:val="center"/>
        <w:rPr>
          <w:rFonts w:ascii="黑体" w:hAnsi="黑体" w:eastAsia="黑体" w:cs="黑体"/>
          <w:sz w:val="36"/>
          <w:szCs w:val="36"/>
        </w:rPr>
      </w:pPr>
      <w:r>
        <w:rPr>
          <w:rFonts w:hint="eastAsia" w:ascii="Times New Roman" w:hAnsi="Times New Roman"/>
          <w:sz w:val="32"/>
          <w:szCs w:val="32"/>
        </w:rPr>
        <w:t xml:space="preserve">    </w:t>
      </w:r>
      <w:r>
        <w:rPr>
          <w:rFonts w:hint="eastAsia" w:ascii="黑体" w:hAnsi="黑体" w:eastAsia="黑体" w:cs="黑体"/>
          <w:sz w:val="36"/>
          <w:szCs w:val="36"/>
          <w:lang w:val="en-US" w:eastAsia="zh-CN"/>
        </w:rPr>
        <w:t>1,2-</w:t>
      </w:r>
      <w:r>
        <w:rPr>
          <w:rFonts w:hint="eastAsia" w:ascii="黑体" w:hAnsi="黑体" w:eastAsia="黑体" w:cs="黑体"/>
          <w:sz w:val="36"/>
          <w:szCs w:val="36"/>
        </w:rPr>
        <w:t>双</w:t>
      </w:r>
      <w:r>
        <w:rPr>
          <w:rFonts w:hint="eastAsia" w:ascii="黑体" w:hAnsi="黑体" w:eastAsia="黑体" w:cs="黑体"/>
          <w:sz w:val="36"/>
          <w:szCs w:val="36"/>
          <w:lang w:val="en-US" w:eastAsia="zh-CN"/>
        </w:rPr>
        <w:t>二苯基膦乙烷</w:t>
      </w:r>
      <w:r>
        <w:rPr>
          <w:rFonts w:hint="eastAsia" w:ascii="黑体" w:hAnsi="黑体" w:eastAsia="黑体" w:cs="黑体"/>
          <w:sz w:val="36"/>
          <w:szCs w:val="36"/>
        </w:rPr>
        <w:t xml:space="preserve">氯化钯化学分析方法  </w:t>
      </w:r>
    </w:p>
    <w:p>
      <w:pPr>
        <w:pStyle w:val="14"/>
        <w:spacing w:line="360" w:lineRule="auto"/>
        <w:ind w:firstLine="0" w:firstLineChars="0"/>
        <w:jc w:val="center"/>
        <w:rPr>
          <w:rFonts w:ascii="黑体" w:hAnsi="黑体" w:eastAsia="黑体" w:cs="黑体"/>
          <w:sz w:val="36"/>
          <w:szCs w:val="36"/>
        </w:rPr>
      </w:pPr>
      <w:r>
        <w:rPr>
          <w:rFonts w:hint="eastAsia" w:ascii="黑体" w:hAnsi="黑体" w:eastAsia="黑体" w:cs="黑体"/>
          <w:sz w:val="36"/>
          <w:szCs w:val="36"/>
        </w:rPr>
        <w:t>第1部分：钯量的测定</w:t>
      </w:r>
    </w:p>
    <w:p>
      <w:pPr>
        <w:spacing w:line="360" w:lineRule="auto"/>
        <w:jc w:val="center"/>
        <w:rPr>
          <w:rFonts w:ascii="黑体" w:hAnsi="黑体" w:eastAsia="黑体" w:cs="黑体"/>
          <w:sz w:val="36"/>
          <w:szCs w:val="36"/>
        </w:rPr>
      </w:pPr>
      <w:r>
        <w:rPr>
          <w:rFonts w:hint="eastAsia" w:ascii="黑体" w:hAnsi="黑体" w:eastAsia="黑体" w:cs="黑体"/>
          <w:sz w:val="36"/>
          <w:szCs w:val="36"/>
        </w:rPr>
        <w:t>丁二酮肟重量法</w:t>
      </w:r>
    </w:p>
    <w:p>
      <w:pPr>
        <w:spacing w:line="360" w:lineRule="auto"/>
        <w:jc w:val="center"/>
        <w:rPr>
          <w:rFonts w:ascii="黑体" w:hAnsi="黑体" w:eastAsia="黑体" w:cs="宋体"/>
          <w:sz w:val="28"/>
          <w:szCs w:val="28"/>
        </w:rPr>
      </w:pPr>
    </w:p>
    <w:p>
      <w:pPr>
        <w:spacing w:line="360" w:lineRule="auto"/>
        <w:rPr>
          <w:rFonts w:hint="eastAsia" w:ascii="黑体" w:hAnsi="黑体" w:eastAsia="黑体" w:cs="黑体"/>
          <w:b w:val="0"/>
          <w:bCs w:val="0"/>
          <w:sz w:val="21"/>
          <w:szCs w:val="21"/>
        </w:rPr>
      </w:pPr>
      <w:r>
        <w:rPr>
          <w:rFonts w:hint="eastAsia" w:ascii="黑体" w:hAnsi="黑体" w:eastAsia="黑体" w:cs="黑体"/>
          <w:b w:val="0"/>
          <w:bCs w:val="0"/>
          <w:sz w:val="21"/>
          <w:szCs w:val="21"/>
        </w:rPr>
        <w:t>1 前言</w:t>
      </w:r>
    </w:p>
    <w:p>
      <w:pPr>
        <w:spacing w:line="360" w:lineRule="auto"/>
        <w:ind w:firstLine="315" w:firstLineChars="150"/>
        <w:jc w:val="left"/>
        <w:rPr>
          <w:rFonts w:ascii="Times New Roman" w:hAnsi="Times New Roman" w:cs="Arial"/>
          <w:bCs/>
          <w:color w:val="333333"/>
          <w:szCs w:val="24"/>
          <w:shd w:val="clear" w:color="auto" w:fill="FFFFFF"/>
        </w:rPr>
      </w:pPr>
      <w:r>
        <w:rPr>
          <w:rFonts w:hint="eastAsia" w:asciiTheme="minorEastAsia" w:hAnsiTheme="minorEastAsia" w:eastAsiaTheme="minorEastAsia" w:cstheme="minorEastAsia"/>
          <w:bCs/>
          <w:sz w:val="21"/>
          <w:szCs w:val="21"/>
        </w:rPr>
        <w:t>1,</w:t>
      </w:r>
      <w:r>
        <w:rPr>
          <w:rFonts w:hint="eastAsia" w:asciiTheme="minorEastAsia" w:hAnsiTheme="minorEastAsia" w:eastAsiaTheme="minorEastAsia" w:cstheme="minorEastAsia"/>
          <w:bCs/>
          <w:sz w:val="21"/>
          <w:szCs w:val="21"/>
          <w:lang w:val="en-US" w:eastAsia="zh-CN"/>
        </w:rPr>
        <w:t>2</w:t>
      </w:r>
      <w:r>
        <w:rPr>
          <w:rFonts w:hint="eastAsia" w:asciiTheme="minorEastAsia" w:hAnsiTheme="minorEastAsia" w:eastAsiaTheme="minorEastAsia" w:cstheme="minorEastAsia"/>
          <w:bCs/>
          <w:sz w:val="21"/>
          <w:szCs w:val="21"/>
        </w:rPr>
        <w:t>-双二苯基膦</w:t>
      </w:r>
      <w:r>
        <w:rPr>
          <w:rFonts w:hint="eastAsia" w:asciiTheme="minorEastAsia" w:hAnsiTheme="minorEastAsia" w:eastAsiaTheme="minorEastAsia" w:cstheme="minorEastAsia"/>
          <w:bCs/>
          <w:sz w:val="21"/>
          <w:szCs w:val="21"/>
          <w:lang w:eastAsia="zh-CN"/>
        </w:rPr>
        <w:t>乙烷</w:t>
      </w:r>
      <w:r>
        <w:rPr>
          <w:rFonts w:hint="eastAsia" w:asciiTheme="minorEastAsia" w:hAnsiTheme="minorEastAsia" w:eastAsiaTheme="minorEastAsia" w:cstheme="minorEastAsia"/>
          <w:bCs/>
          <w:sz w:val="21"/>
          <w:szCs w:val="21"/>
        </w:rPr>
        <w:t>氯化钯</w:t>
      </w:r>
      <w:r>
        <w:rPr>
          <w:rFonts w:hint="eastAsia" w:ascii="Times New Roman" w:hAnsi="Times New Roman" w:cs="Arial"/>
          <w:bCs/>
          <w:color w:val="333333"/>
          <w:szCs w:val="24"/>
          <w:shd w:val="clear" w:color="auto" w:fill="FFFFFF"/>
        </w:rPr>
        <w:t>是一种重要的把化合物催化剂，其主要用于催化交叉偶联反应。与其它的Pd(II)和Ni(II)配合物类似，而且能有效催化卤代烯烃、卤代芳烃或三氟甲基磺酸基芳烃与格氏试剂间的交叉偶联反应，实现碳-碳键的形成该产品系为一种二膦配体。主要用于石油化工、化学化工和化学制药行业，随着国内钯化合物产品市场的开拓，贵金属钯的价格昂贵，生产成本、质量控制及贸易要求等均需对</w:t>
      </w:r>
      <w:r>
        <w:rPr>
          <w:rFonts w:hint="eastAsia" w:asciiTheme="minorEastAsia" w:hAnsiTheme="minorEastAsia" w:eastAsiaTheme="minorEastAsia" w:cstheme="minorEastAsia"/>
          <w:bCs/>
          <w:sz w:val="21"/>
          <w:szCs w:val="21"/>
        </w:rPr>
        <w:t>1,</w:t>
      </w:r>
      <w:r>
        <w:rPr>
          <w:rFonts w:hint="eastAsia" w:asciiTheme="minorEastAsia" w:hAnsiTheme="minorEastAsia" w:eastAsiaTheme="minorEastAsia" w:cstheme="minorEastAsia"/>
          <w:bCs/>
          <w:sz w:val="21"/>
          <w:szCs w:val="21"/>
          <w:lang w:val="en-US" w:eastAsia="zh-CN"/>
        </w:rPr>
        <w:t>2</w:t>
      </w:r>
      <w:r>
        <w:rPr>
          <w:rFonts w:hint="eastAsia" w:asciiTheme="minorEastAsia" w:hAnsiTheme="minorEastAsia" w:eastAsiaTheme="minorEastAsia" w:cstheme="minorEastAsia"/>
          <w:bCs/>
          <w:sz w:val="21"/>
          <w:szCs w:val="21"/>
        </w:rPr>
        <w:t>-双二苯基膦</w:t>
      </w:r>
      <w:r>
        <w:rPr>
          <w:rFonts w:hint="eastAsia" w:asciiTheme="minorEastAsia" w:hAnsiTheme="minorEastAsia" w:eastAsiaTheme="minorEastAsia" w:cstheme="minorEastAsia"/>
          <w:bCs/>
          <w:sz w:val="21"/>
          <w:szCs w:val="21"/>
          <w:lang w:eastAsia="zh-CN"/>
        </w:rPr>
        <w:t>乙烷</w:t>
      </w:r>
      <w:r>
        <w:rPr>
          <w:rFonts w:hint="eastAsia" w:asciiTheme="minorEastAsia" w:hAnsiTheme="minorEastAsia" w:eastAsiaTheme="minorEastAsia" w:cstheme="minorEastAsia"/>
          <w:bCs/>
          <w:sz w:val="21"/>
          <w:szCs w:val="21"/>
        </w:rPr>
        <w:t>氯化钯</w:t>
      </w:r>
      <w:r>
        <w:rPr>
          <w:rFonts w:hint="eastAsia" w:ascii="Times New Roman" w:hAnsi="Times New Roman" w:cs="Arial"/>
          <w:bCs/>
          <w:color w:val="333333"/>
          <w:szCs w:val="24"/>
          <w:shd w:val="clear" w:color="auto" w:fill="FFFFFF"/>
        </w:rPr>
        <w:t>中钯含量进行准确分析。</w:t>
      </w:r>
    </w:p>
    <w:p>
      <w:pPr>
        <w:spacing w:line="360" w:lineRule="auto"/>
        <w:ind w:firstLine="480"/>
        <w:rPr>
          <w:rFonts w:hint="eastAsia" w:ascii="Times New Roman" w:hAnsi="Times New Roman" w:cs="宋体"/>
          <w:szCs w:val="21"/>
        </w:rPr>
      </w:pPr>
      <w:r>
        <w:rPr>
          <w:rFonts w:hint="eastAsia" w:ascii="Times New Roman" w:hAnsi="Times New Roman" w:cs="Arial"/>
          <w:bCs/>
          <w:color w:val="333333"/>
          <w:szCs w:val="24"/>
          <w:shd w:val="clear" w:color="auto" w:fill="FFFFFF"/>
        </w:rPr>
        <w:t>查阅相关资料，目前尚未见</w:t>
      </w:r>
      <w:r>
        <w:rPr>
          <w:rFonts w:hint="eastAsia" w:asciiTheme="minorEastAsia" w:hAnsiTheme="minorEastAsia" w:eastAsiaTheme="minorEastAsia" w:cstheme="minorEastAsia"/>
          <w:bCs/>
          <w:sz w:val="21"/>
          <w:szCs w:val="21"/>
        </w:rPr>
        <w:t>1,</w:t>
      </w:r>
      <w:r>
        <w:rPr>
          <w:rFonts w:hint="eastAsia" w:asciiTheme="minorEastAsia" w:hAnsiTheme="minorEastAsia" w:eastAsiaTheme="minorEastAsia" w:cstheme="minorEastAsia"/>
          <w:bCs/>
          <w:sz w:val="21"/>
          <w:szCs w:val="21"/>
          <w:lang w:val="en-US" w:eastAsia="zh-CN"/>
        </w:rPr>
        <w:t>2</w:t>
      </w:r>
      <w:r>
        <w:rPr>
          <w:rFonts w:hint="eastAsia" w:asciiTheme="minorEastAsia" w:hAnsiTheme="minorEastAsia" w:eastAsiaTheme="minorEastAsia" w:cstheme="minorEastAsia"/>
          <w:bCs/>
          <w:sz w:val="21"/>
          <w:szCs w:val="21"/>
        </w:rPr>
        <w:t>-双二苯基膦</w:t>
      </w:r>
      <w:r>
        <w:rPr>
          <w:rFonts w:hint="eastAsia" w:asciiTheme="minorEastAsia" w:hAnsiTheme="minorEastAsia" w:eastAsiaTheme="minorEastAsia" w:cstheme="minorEastAsia"/>
          <w:bCs/>
          <w:sz w:val="21"/>
          <w:szCs w:val="21"/>
          <w:lang w:eastAsia="zh-CN"/>
        </w:rPr>
        <w:t>乙烷</w:t>
      </w:r>
      <w:r>
        <w:rPr>
          <w:rFonts w:hint="eastAsia" w:asciiTheme="minorEastAsia" w:hAnsiTheme="minorEastAsia" w:eastAsiaTheme="minorEastAsia" w:cstheme="minorEastAsia"/>
          <w:bCs/>
          <w:sz w:val="21"/>
          <w:szCs w:val="21"/>
        </w:rPr>
        <w:t>氯化钯</w:t>
      </w:r>
      <w:r>
        <w:rPr>
          <w:rFonts w:hint="eastAsia" w:ascii="Times New Roman" w:hAnsi="Times New Roman" w:cs="Arial"/>
          <w:bCs/>
          <w:color w:val="333333"/>
          <w:szCs w:val="24"/>
          <w:shd w:val="clear" w:color="auto" w:fill="FFFFFF"/>
        </w:rPr>
        <w:t>相应的标准分析方法发布。为了对产品质量的更好监控，满足生产需要，使得建立</w:t>
      </w:r>
      <w:r>
        <w:rPr>
          <w:rFonts w:hint="eastAsia" w:asciiTheme="minorEastAsia" w:hAnsiTheme="minorEastAsia" w:eastAsiaTheme="minorEastAsia" w:cstheme="minorEastAsia"/>
          <w:bCs/>
          <w:sz w:val="21"/>
          <w:szCs w:val="21"/>
        </w:rPr>
        <w:t>1,</w:t>
      </w:r>
      <w:r>
        <w:rPr>
          <w:rFonts w:hint="eastAsia" w:asciiTheme="minorEastAsia" w:hAnsiTheme="minorEastAsia" w:eastAsiaTheme="minorEastAsia" w:cstheme="minorEastAsia"/>
          <w:bCs/>
          <w:sz w:val="21"/>
          <w:szCs w:val="21"/>
          <w:lang w:val="en-US" w:eastAsia="zh-CN"/>
        </w:rPr>
        <w:t>2</w:t>
      </w:r>
      <w:r>
        <w:rPr>
          <w:rFonts w:hint="eastAsia" w:asciiTheme="minorEastAsia" w:hAnsiTheme="minorEastAsia" w:eastAsiaTheme="minorEastAsia" w:cstheme="minorEastAsia"/>
          <w:bCs/>
          <w:sz w:val="21"/>
          <w:szCs w:val="21"/>
        </w:rPr>
        <w:t>-双二苯基膦</w:t>
      </w:r>
      <w:r>
        <w:rPr>
          <w:rFonts w:hint="eastAsia" w:asciiTheme="minorEastAsia" w:hAnsiTheme="minorEastAsia" w:eastAsiaTheme="minorEastAsia" w:cstheme="minorEastAsia"/>
          <w:bCs/>
          <w:sz w:val="21"/>
          <w:szCs w:val="21"/>
          <w:lang w:eastAsia="zh-CN"/>
        </w:rPr>
        <w:t>乙烷</w:t>
      </w:r>
      <w:r>
        <w:rPr>
          <w:rFonts w:hint="eastAsia" w:asciiTheme="minorEastAsia" w:hAnsiTheme="minorEastAsia" w:eastAsiaTheme="minorEastAsia" w:cstheme="minorEastAsia"/>
          <w:bCs/>
          <w:sz w:val="21"/>
          <w:szCs w:val="21"/>
        </w:rPr>
        <w:t>氯化钯</w:t>
      </w:r>
      <w:r>
        <w:rPr>
          <w:rFonts w:hint="eastAsia" w:ascii="Times New Roman" w:hAnsi="Times New Roman" w:cs="Arial"/>
          <w:bCs/>
          <w:color w:val="333333"/>
          <w:szCs w:val="24"/>
          <w:shd w:val="clear" w:color="auto" w:fill="FFFFFF"/>
        </w:rPr>
        <w:t>中钯量的测定方法成为必要。经过长期的试验积累，采用重量法测定</w:t>
      </w:r>
      <w:r>
        <w:rPr>
          <w:rFonts w:hint="eastAsia" w:asciiTheme="minorEastAsia" w:hAnsiTheme="minorEastAsia" w:eastAsiaTheme="minorEastAsia" w:cstheme="minorEastAsia"/>
          <w:bCs/>
          <w:sz w:val="21"/>
          <w:szCs w:val="21"/>
        </w:rPr>
        <w:t>1,</w:t>
      </w:r>
      <w:r>
        <w:rPr>
          <w:rFonts w:hint="eastAsia" w:asciiTheme="minorEastAsia" w:hAnsiTheme="minorEastAsia" w:eastAsiaTheme="minorEastAsia" w:cstheme="minorEastAsia"/>
          <w:bCs/>
          <w:sz w:val="21"/>
          <w:szCs w:val="21"/>
          <w:lang w:val="en-US" w:eastAsia="zh-CN"/>
        </w:rPr>
        <w:t>2</w:t>
      </w:r>
      <w:r>
        <w:rPr>
          <w:rFonts w:hint="eastAsia" w:asciiTheme="minorEastAsia" w:hAnsiTheme="minorEastAsia" w:eastAsiaTheme="minorEastAsia" w:cstheme="minorEastAsia"/>
          <w:bCs/>
          <w:sz w:val="21"/>
          <w:szCs w:val="21"/>
        </w:rPr>
        <w:t>-双二苯基膦</w:t>
      </w:r>
      <w:r>
        <w:rPr>
          <w:rFonts w:hint="eastAsia" w:asciiTheme="minorEastAsia" w:hAnsiTheme="minorEastAsia" w:eastAsiaTheme="minorEastAsia" w:cstheme="minorEastAsia"/>
          <w:bCs/>
          <w:sz w:val="21"/>
          <w:szCs w:val="21"/>
          <w:lang w:eastAsia="zh-CN"/>
        </w:rPr>
        <w:t>乙烷</w:t>
      </w:r>
      <w:r>
        <w:rPr>
          <w:rFonts w:hint="eastAsia" w:asciiTheme="minorEastAsia" w:hAnsiTheme="minorEastAsia" w:eastAsiaTheme="minorEastAsia" w:cstheme="minorEastAsia"/>
          <w:bCs/>
          <w:sz w:val="21"/>
          <w:szCs w:val="21"/>
        </w:rPr>
        <w:t>氯化钯</w:t>
      </w:r>
      <w:r>
        <w:rPr>
          <w:rFonts w:hint="eastAsia" w:ascii="Times New Roman" w:hAnsi="Times New Roman" w:cs="Arial"/>
          <w:bCs/>
          <w:color w:val="333333"/>
          <w:szCs w:val="24"/>
          <w:shd w:val="clear" w:color="auto" w:fill="FFFFFF"/>
        </w:rPr>
        <w:t>中钯量，称样量小、方法准确稳定、结果偏差小、周期短、测定结果令人满意。</w:t>
      </w:r>
      <w:r>
        <w:rPr>
          <w:rFonts w:hint="eastAsia" w:ascii="Times New Roman" w:hAnsi="Times New Roman" w:cs="宋体"/>
          <w:szCs w:val="21"/>
        </w:rPr>
        <w:t>光度法、</w:t>
      </w:r>
      <w:r>
        <w:rPr>
          <w:rFonts w:hint="eastAsia" w:ascii="Times New Roman" w:hAnsi="Times New Roman" w:cs="宋体"/>
          <w:szCs w:val="21"/>
          <w:lang w:eastAsia="zh-CN"/>
        </w:rPr>
        <w:t>电感耦合等离子体原子发射光谱</w:t>
      </w:r>
      <w:r>
        <w:rPr>
          <w:rFonts w:hint="eastAsia" w:ascii="Times New Roman" w:hAnsi="Times New Roman" w:cs="宋体"/>
          <w:szCs w:val="21"/>
        </w:rPr>
        <w:t>法主要用作低量钯物料中钯量的测定；而能够成熟的稳定的用于高含量钯化合物中钯量的测定方法不多。</w:t>
      </w:r>
    </w:p>
    <w:p>
      <w:pPr>
        <w:spacing w:line="360" w:lineRule="auto"/>
        <w:ind w:firstLine="420" w:firstLineChars="200"/>
        <w:rPr>
          <w:rFonts w:hint="eastAsia" w:ascii="Times New Roman" w:hAnsi="Times New Roman"/>
          <w:szCs w:val="21"/>
        </w:rPr>
      </w:pPr>
      <w:r>
        <w:rPr>
          <w:rFonts w:hint="eastAsia" w:ascii="Times New Roman" w:hAnsi="Times New Roman" w:cs="宋体"/>
          <w:szCs w:val="21"/>
        </w:rPr>
        <w:t xml:space="preserve"> 本文通过用王水，高氯酸破坏</w:t>
      </w:r>
      <w:r>
        <w:rPr>
          <w:rFonts w:hint="eastAsia" w:hAnsi="宋体"/>
          <w:szCs w:val="21"/>
        </w:rPr>
        <w:t>1,2-双二苯基膦乙烷氯化钯</w:t>
      </w:r>
      <w:r>
        <w:rPr>
          <w:rFonts w:hint="eastAsia" w:ascii="Times New Roman" w:hAnsi="Times New Roman" w:cs="宋体"/>
          <w:szCs w:val="21"/>
        </w:rPr>
        <w:t>中的有机物并使钯转化成可离子状态，在盐酸介质中，用丁二酮肟络合沉淀从而计算</w:t>
      </w:r>
      <w:r>
        <w:rPr>
          <w:rFonts w:hint="eastAsia" w:hAnsi="宋体"/>
          <w:szCs w:val="21"/>
        </w:rPr>
        <w:t>1,2-双二苯基膦乙烷氯化钯</w:t>
      </w:r>
      <w:r>
        <w:rPr>
          <w:rFonts w:hint="eastAsia" w:ascii="Times New Roman" w:hAnsi="Times New Roman"/>
          <w:szCs w:val="21"/>
        </w:rPr>
        <w:t>中</w:t>
      </w:r>
      <w:r>
        <w:rPr>
          <w:rFonts w:hint="eastAsia" w:ascii="Times New Roman" w:hAnsi="Times New Roman" w:cs="宋体"/>
          <w:szCs w:val="21"/>
        </w:rPr>
        <w:t>钯含量，钯</w:t>
      </w:r>
      <w:r>
        <w:rPr>
          <w:rFonts w:hint="eastAsia" w:ascii="Times New Roman" w:hAnsi="Times New Roman"/>
          <w:color w:val="000000"/>
          <w:szCs w:val="21"/>
        </w:rPr>
        <w:t>测定范围：</w:t>
      </w:r>
      <w:r>
        <w:rPr>
          <w:rFonts w:hint="eastAsia"/>
          <w:kern w:val="0"/>
          <w:szCs w:val="21"/>
        </w:rPr>
        <w:t>1</w:t>
      </w:r>
      <w:r>
        <w:rPr>
          <w:rFonts w:hint="eastAsia"/>
          <w:kern w:val="0"/>
          <w:szCs w:val="21"/>
          <w:lang w:val="en-US" w:eastAsia="zh-CN"/>
        </w:rPr>
        <w:t>7.00</w:t>
      </w:r>
      <w:r>
        <w:rPr>
          <w:rFonts w:hint="eastAsia"/>
          <w:kern w:val="0"/>
          <w:szCs w:val="21"/>
        </w:rPr>
        <w:t>%</w:t>
      </w:r>
      <w:r>
        <w:rPr>
          <w:rFonts w:ascii="Times New Roman" w:hAnsi="Times New Roman"/>
          <w:szCs w:val="21"/>
        </w:rPr>
        <w:t>~</w:t>
      </w:r>
      <w:r>
        <w:rPr>
          <w:rFonts w:hint="eastAsia"/>
          <w:color w:val="000000"/>
          <w:szCs w:val="21"/>
        </w:rPr>
        <w:t>1</w:t>
      </w:r>
      <w:r>
        <w:rPr>
          <w:rFonts w:hint="eastAsia"/>
          <w:color w:val="000000"/>
          <w:szCs w:val="21"/>
          <w:lang w:val="en-US" w:eastAsia="zh-CN"/>
        </w:rPr>
        <w:t>9.00</w:t>
      </w:r>
      <w:r>
        <w:rPr>
          <w:rFonts w:hint="eastAsia"/>
          <w:color w:val="000000"/>
          <w:szCs w:val="21"/>
        </w:rPr>
        <w:t>%</w:t>
      </w:r>
      <w:r>
        <w:rPr>
          <w:rFonts w:hint="eastAsia" w:ascii="Times New Roman" w:hAnsi="Times New Roman"/>
          <w:color w:val="000000"/>
          <w:szCs w:val="21"/>
        </w:rPr>
        <w:t>；方法精密度</w:t>
      </w:r>
      <w:r>
        <w:rPr>
          <w:rFonts w:hint="eastAsia" w:ascii="Times New Roman" w:hAnsi="Times New Roman"/>
          <w:color w:val="000000"/>
          <w:szCs w:val="21"/>
          <w:lang w:val="en-US" w:eastAsia="zh-CN"/>
        </w:rPr>
        <w:t>小于0.14</w:t>
      </w:r>
      <w:r>
        <w:rPr>
          <w:rFonts w:hint="eastAsia" w:ascii="Times New Roman" w:hAnsi="Times New Roman"/>
          <w:color w:val="000000"/>
          <w:szCs w:val="21"/>
        </w:rPr>
        <w:t>%；样品加标回收率在</w:t>
      </w:r>
      <w:bookmarkStart w:id="0" w:name="OLE_LINK5"/>
      <w:r>
        <w:rPr>
          <w:rFonts w:hint="eastAsia" w:ascii="Times New Roman" w:hAnsi="Times New Roman"/>
          <w:color w:val="000000"/>
          <w:szCs w:val="21"/>
          <w:lang w:val="en-US" w:eastAsia="zh-CN"/>
        </w:rPr>
        <w:t>99.90</w:t>
      </w:r>
      <w:r>
        <w:rPr>
          <w:rFonts w:ascii="Times New Roman" w:hAnsi="Times New Roman"/>
          <w:szCs w:val="21"/>
        </w:rPr>
        <w:t>%~</w:t>
      </w:r>
      <w:r>
        <w:rPr>
          <w:rFonts w:hint="eastAsia" w:ascii="Times New Roman" w:hAnsi="Times New Roman"/>
          <w:szCs w:val="21"/>
          <w:lang w:val="en-US" w:eastAsia="zh-CN"/>
        </w:rPr>
        <w:t>100.74</w:t>
      </w:r>
      <w:r>
        <w:rPr>
          <w:rFonts w:ascii="Times New Roman" w:hAnsi="Times New Roman"/>
          <w:szCs w:val="21"/>
        </w:rPr>
        <w:t>%</w:t>
      </w:r>
      <w:bookmarkEnd w:id="0"/>
      <w:r>
        <w:rPr>
          <w:rFonts w:hint="eastAsia" w:ascii="Times New Roman" w:hAnsi="Times New Roman" w:cs="宋体"/>
          <w:color w:val="000000"/>
          <w:kern w:val="0"/>
          <w:szCs w:val="21"/>
        </w:rPr>
        <w:t>。因此</w:t>
      </w:r>
      <w:r>
        <w:rPr>
          <w:rFonts w:hint="eastAsia" w:ascii="Times New Roman" w:hAnsi="Times New Roman"/>
          <w:szCs w:val="21"/>
        </w:rPr>
        <w:t>本文提出的分析方法能够测定</w:t>
      </w:r>
      <w:r>
        <w:rPr>
          <w:rFonts w:hint="eastAsia" w:hAnsi="宋体"/>
          <w:szCs w:val="21"/>
        </w:rPr>
        <w:t>1,2-双二苯基膦乙烷氯化钯</w:t>
      </w:r>
      <w:r>
        <w:rPr>
          <w:rFonts w:hint="eastAsia" w:ascii="Times New Roman" w:hAnsi="Times New Roman"/>
          <w:szCs w:val="21"/>
        </w:rPr>
        <w:t>中钯的</w:t>
      </w:r>
      <w:r>
        <w:rPr>
          <w:rFonts w:hint="eastAsia" w:ascii="Times New Roman" w:hAnsi="Times New Roman"/>
          <w:szCs w:val="21"/>
          <w:lang w:eastAsia="zh-CN"/>
        </w:rPr>
        <w:t>质量分数</w:t>
      </w:r>
      <w:r>
        <w:rPr>
          <w:rFonts w:hint="eastAsia" w:ascii="Times New Roman" w:hAnsi="Times New Roman"/>
          <w:szCs w:val="21"/>
        </w:rPr>
        <w:t>。该方法准确性好、精密度高，</w:t>
      </w:r>
      <w:r>
        <w:rPr>
          <w:rFonts w:hint="eastAsia" w:ascii="Times New Roman" w:hAnsi="Times New Roman" w:cs="宋体"/>
          <w:color w:val="000000"/>
          <w:kern w:val="0"/>
          <w:szCs w:val="21"/>
        </w:rPr>
        <w:t>方法准确快速，</w:t>
      </w:r>
      <w:r>
        <w:rPr>
          <w:rFonts w:hint="eastAsia" w:ascii="Times New Roman" w:hAnsi="Times New Roman"/>
          <w:szCs w:val="21"/>
        </w:rPr>
        <w:t>操作简单。</w:t>
      </w:r>
    </w:p>
    <w:p>
      <w:pPr>
        <w:spacing w:line="360" w:lineRule="auto"/>
        <w:ind w:firstLine="420" w:firstLineChars="200"/>
        <w:rPr>
          <w:rFonts w:hint="eastAsia" w:ascii="Times New Roman" w:hAnsi="Times New Roman"/>
          <w:szCs w:val="21"/>
        </w:rPr>
      </w:pPr>
    </w:p>
    <w:p>
      <w:pPr>
        <w:spacing w:line="360" w:lineRule="auto"/>
        <w:rPr>
          <w:rFonts w:hint="eastAsia" w:ascii="黑体" w:hAnsi="黑体" w:eastAsia="黑体" w:cs="黑体"/>
          <w:b w:val="0"/>
          <w:bCs w:val="0"/>
          <w:sz w:val="21"/>
          <w:szCs w:val="21"/>
        </w:rPr>
      </w:pPr>
      <w:bookmarkStart w:id="1" w:name="OLE_LINK4"/>
      <w:r>
        <w:rPr>
          <w:rFonts w:hint="eastAsia" w:ascii="黑体" w:hAnsi="黑体" w:eastAsia="黑体" w:cs="黑体"/>
          <w:b w:val="0"/>
          <w:bCs w:val="0"/>
          <w:sz w:val="21"/>
          <w:szCs w:val="21"/>
        </w:rPr>
        <w:t>2 方法</w:t>
      </w:r>
      <w:r>
        <w:rPr>
          <w:rFonts w:hint="eastAsia" w:ascii="黑体" w:hAnsi="黑体" w:eastAsia="黑体" w:cs="黑体"/>
          <w:b w:val="0"/>
          <w:bCs w:val="0"/>
          <w:sz w:val="21"/>
          <w:szCs w:val="21"/>
          <w:lang w:eastAsia="zh-CN"/>
        </w:rPr>
        <w:t>提要</w:t>
      </w:r>
    </w:p>
    <w:p>
      <w:pPr>
        <w:pStyle w:val="17"/>
        <w:tabs>
          <w:tab w:val="left" w:pos="7155"/>
        </w:tabs>
        <w:spacing w:before="0" w:line="360" w:lineRule="auto"/>
        <w:ind w:firstLine="420" w:firstLineChars="200"/>
        <w:jc w:val="both"/>
        <w:rPr>
          <w:rFonts w:hint="eastAsia" w:ascii="Times New Roman" w:hAnsi="Times New Roman" w:eastAsia="宋体" w:cs="Times New Roman"/>
          <w:kern w:val="2"/>
          <w:sz w:val="21"/>
          <w:szCs w:val="21"/>
          <w:lang w:val="en-US" w:eastAsia="zh-CN" w:bidi="ar-SA"/>
        </w:rPr>
      </w:pPr>
      <w:bookmarkStart w:id="2" w:name="OLE_LINK15"/>
      <w:r>
        <w:rPr>
          <w:rFonts w:hint="eastAsia"/>
          <w:sz w:val="21"/>
          <w:szCs w:val="21"/>
        </w:rPr>
        <w:t>试料经硝酸、盐酸和高氯酸溶解，破坏有机物。在稀盐酸介质中，丁二酮肟沉淀钯</w:t>
      </w:r>
      <w:r>
        <w:rPr>
          <w:rFonts w:hint="eastAsia"/>
          <w:sz w:val="21"/>
          <w:szCs w:val="21"/>
          <w:lang w:eastAsia="zh-CN"/>
        </w:rPr>
        <w:t>与共存离子分离</w:t>
      </w:r>
      <w:r>
        <w:rPr>
          <w:rFonts w:hint="eastAsia"/>
          <w:sz w:val="21"/>
          <w:szCs w:val="21"/>
        </w:rPr>
        <w:t>，</w:t>
      </w:r>
      <w:r>
        <w:rPr>
          <w:rFonts w:hint="eastAsia"/>
          <w:sz w:val="21"/>
          <w:szCs w:val="21"/>
          <w:lang w:eastAsia="zh-CN"/>
        </w:rPr>
        <w:t>重量法测定钯的质量分数</w:t>
      </w:r>
      <w:r>
        <w:rPr>
          <w:rFonts w:hint="eastAsia" w:ascii="Times New Roman" w:hAnsi="Times New Roman" w:eastAsia="宋体" w:cs="Times New Roman"/>
          <w:kern w:val="2"/>
          <w:sz w:val="21"/>
          <w:szCs w:val="21"/>
          <w:lang w:val="en-US" w:eastAsia="zh-CN" w:bidi="ar-SA"/>
        </w:rPr>
        <w:t>。</w:t>
      </w:r>
      <w:bookmarkEnd w:id="2"/>
    </w:p>
    <w:p>
      <w:pPr>
        <w:pStyle w:val="17"/>
        <w:tabs>
          <w:tab w:val="left" w:pos="7155"/>
        </w:tabs>
        <w:spacing w:before="0" w:line="360" w:lineRule="auto"/>
        <w:ind w:firstLine="420" w:firstLineChars="200"/>
        <w:jc w:val="both"/>
        <w:rPr>
          <w:rFonts w:hint="eastAsia" w:ascii="Times New Roman" w:hAnsi="Times New Roman" w:eastAsia="宋体" w:cs="Times New Roman"/>
          <w:kern w:val="2"/>
          <w:sz w:val="21"/>
          <w:szCs w:val="21"/>
          <w:lang w:val="en-US" w:eastAsia="zh-CN" w:bidi="ar-SA"/>
        </w:rPr>
      </w:pPr>
    </w:p>
    <w:p>
      <w:pPr>
        <w:spacing w:line="360" w:lineRule="auto"/>
        <w:rPr>
          <w:rFonts w:hint="eastAsia" w:ascii="黑体" w:hAnsi="黑体" w:eastAsia="黑体" w:cs="黑体"/>
          <w:b w:val="0"/>
          <w:bCs w:val="0"/>
          <w:sz w:val="21"/>
          <w:szCs w:val="21"/>
        </w:rPr>
      </w:pPr>
      <w:r>
        <w:rPr>
          <w:rFonts w:hint="eastAsia" w:ascii="黑体" w:hAnsi="黑体" w:eastAsia="黑体" w:cs="黑体"/>
          <w:b w:val="0"/>
          <w:bCs w:val="0"/>
          <w:sz w:val="21"/>
          <w:szCs w:val="21"/>
        </w:rPr>
        <w:t>3</w:t>
      </w:r>
      <w:r>
        <w:rPr>
          <w:rFonts w:hint="eastAsia" w:ascii="黑体" w:hAnsi="黑体" w:eastAsia="黑体" w:cs="黑体"/>
          <w:b w:val="0"/>
          <w:bCs w:val="0"/>
          <w:sz w:val="21"/>
          <w:szCs w:val="21"/>
          <w:lang w:val="en-US" w:eastAsia="zh-CN"/>
        </w:rPr>
        <w:t xml:space="preserve">  </w:t>
      </w:r>
      <w:bookmarkStart w:id="3" w:name="OLE_LINK1"/>
      <w:r>
        <w:rPr>
          <w:rFonts w:hint="eastAsia" w:ascii="黑体" w:hAnsi="黑体" w:eastAsia="黑体" w:cs="黑体"/>
          <w:b w:val="0"/>
          <w:bCs w:val="0"/>
          <w:sz w:val="21"/>
          <w:szCs w:val="21"/>
        </w:rPr>
        <w:t>试剂和材料</w:t>
      </w:r>
      <w:bookmarkEnd w:id="3"/>
    </w:p>
    <w:p>
      <w:pPr>
        <w:ind w:firstLine="420" w:firstLineChars="200"/>
        <w:rPr>
          <w:szCs w:val="21"/>
        </w:rPr>
      </w:pPr>
      <w:bookmarkStart w:id="4" w:name="OLE_LINK2"/>
      <w:bookmarkStart w:id="5" w:name="OLE_LINK16"/>
      <w:bookmarkStart w:id="6" w:name="OLE_LINK13"/>
      <w:bookmarkStart w:id="7" w:name="OLE_LINK8"/>
      <w:r>
        <w:rPr>
          <w:rFonts w:hint="eastAsia"/>
        </w:rPr>
        <w:t>除非另有说明，</w:t>
      </w:r>
      <w:r>
        <w:rPr>
          <w:rFonts w:hint="eastAsia"/>
          <w:lang w:eastAsia="zh-CN"/>
        </w:rPr>
        <w:t>在</w:t>
      </w:r>
      <w:r>
        <w:rPr>
          <w:rFonts w:hint="eastAsia"/>
        </w:rPr>
        <w:t>分析中仅</w:t>
      </w:r>
      <w:r>
        <w:rPr>
          <w:rFonts w:hint="eastAsia"/>
          <w:lang w:eastAsia="zh-CN"/>
        </w:rPr>
        <w:t>适用</w:t>
      </w:r>
      <w:r>
        <w:rPr>
          <w:rFonts w:hint="eastAsia"/>
        </w:rPr>
        <w:t>确认为分析纯的试剂和蒸馏水或去离子水或相当纯度的水</w:t>
      </w:r>
      <w:r>
        <w:rPr>
          <w:szCs w:val="21"/>
        </w:rPr>
        <w:t>。</w:t>
      </w:r>
    </w:p>
    <w:p>
      <w:pPr>
        <w:pStyle w:val="17"/>
        <w:tabs>
          <w:tab w:val="left" w:pos="7155"/>
        </w:tabs>
        <w:spacing w:before="0" w:line="360" w:lineRule="auto"/>
        <w:jc w:val="both"/>
        <w:rPr>
          <w:sz w:val="21"/>
          <w:szCs w:val="21"/>
        </w:rPr>
      </w:pPr>
      <w:r>
        <w:rPr>
          <w:rFonts w:hint="eastAsia" w:ascii="黑体" w:hAnsi="黑体" w:eastAsia="黑体"/>
          <w:bCs/>
          <w:kern w:val="2"/>
          <w:sz w:val="21"/>
          <w:szCs w:val="21"/>
        </w:rPr>
        <w:t>3.1</w:t>
      </w:r>
      <w:r>
        <w:rPr>
          <w:rFonts w:hint="eastAsia" w:ascii="黑体" w:hAnsi="黑体" w:eastAsia="黑体"/>
          <w:bCs/>
          <w:kern w:val="2"/>
          <w:sz w:val="21"/>
          <w:szCs w:val="21"/>
          <w:lang w:val="en-US" w:eastAsia="zh-CN"/>
        </w:rPr>
        <w:t xml:space="preserve"> </w:t>
      </w:r>
      <w:r>
        <w:rPr>
          <w:sz w:val="21"/>
          <w:szCs w:val="21"/>
        </w:rPr>
        <w:t>盐酸（ρ1.19</w:t>
      </w:r>
      <w:r>
        <w:rPr>
          <w:rFonts w:hint="eastAsia"/>
          <w:sz w:val="21"/>
          <w:szCs w:val="21"/>
          <w:lang w:val="en-US" w:eastAsia="zh-CN"/>
        </w:rPr>
        <w:t xml:space="preserve"> </w:t>
      </w:r>
      <w:r>
        <w:rPr>
          <w:sz w:val="21"/>
          <w:szCs w:val="21"/>
        </w:rPr>
        <w:t>g/mL</w:t>
      </w:r>
      <w:r>
        <w:rPr>
          <w:rFonts w:hint="eastAsia"/>
          <w:sz w:val="21"/>
          <w:szCs w:val="21"/>
        </w:rPr>
        <w:t>）。</w:t>
      </w:r>
    </w:p>
    <w:p>
      <w:pPr>
        <w:pStyle w:val="17"/>
        <w:tabs>
          <w:tab w:val="left" w:pos="7155"/>
        </w:tabs>
        <w:spacing w:before="0" w:line="360" w:lineRule="auto"/>
        <w:jc w:val="both"/>
        <w:rPr>
          <w:sz w:val="21"/>
          <w:szCs w:val="21"/>
        </w:rPr>
      </w:pPr>
      <w:r>
        <w:rPr>
          <w:rFonts w:hint="eastAsia" w:ascii="黑体" w:hAnsi="黑体" w:eastAsia="黑体"/>
          <w:bCs/>
          <w:kern w:val="2"/>
          <w:sz w:val="21"/>
          <w:szCs w:val="21"/>
        </w:rPr>
        <w:t xml:space="preserve">3.2 </w:t>
      </w:r>
      <w:r>
        <w:rPr>
          <w:rFonts w:hint="eastAsia"/>
          <w:sz w:val="21"/>
          <w:szCs w:val="21"/>
        </w:rPr>
        <w:t>硝酸（</w:t>
      </w:r>
      <w:r>
        <w:rPr>
          <w:sz w:val="21"/>
          <w:szCs w:val="21"/>
        </w:rPr>
        <w:t>ρ1.42</w:t>
      </w:r>
      <w:r>
        <w:rPr>
          <w:rFonts w:hint="eastAsia"/>
          <w:sz w:val="21"/>
          <w:szCs w:val="21"/>
          <w:lang w:val="en-US" w:eastAsia="zh-CN"/>
        </w:rPr>
        <w:t xml:space="preserve"> </w:t>
      </w:r>
      <w:r>
        <w:rPr>
          <w:sz w:val="21"/>
          <w:szCs w:val="21"/>
        </w:rPr>
        <w:t>g</w:t>
      </w:r>
      <w:r>
        <w:rPr>
          <w:rFonts w:hint="eastAsia"/>
          <w:sz w:val="21"/>
          <w:szCs w:val="21"/>
        </w:rPr>
        <w:t>/mL）。</w:t>
      </w:r>
    </w:p>
    <w:p>
      <w:pPr>
        <w:pStyle w:val="17"/>
        <w:tabs>
          <w:tab w:val="left" w:pos="7155"/>
        </w:tabs>
        <w:spacing w:before="0" w:line="360" w:lineRule="auto"/>
        <w:jc w:val="both"/>
        <w:rPr>
          <w:rFonts w:hint="eastAsia"/>
          <w:sz w:val="21"/>
          <w:szCs w:val="21"/>
        </w:rPr>
      </w:pPr>
      <w:r>
        <w:rPr>
          <w:rFonts w:hint="eastAsia" w:ascii="黑体" w:hAnsi="黑体" w:eastAsia="黑体"/>
          <w:bCs/>
          <w:kern w:val="2"/>
          <w:sz w:val="21"/>
          <w:szCs w:val="21"/>
        </w:rPr>
        <w:t xml:space="preserve">3.3 </w:t>
      </w:r>
      <w:r>
        <w:rPr>
          <w:rFonts w:hint="eastAsia"/>
          <w:sz w:val="21"/>
          <w:szCs w:val="21"/>
        </w:rPr>
        <w:t>高氯酸</w:t>
      </w:r>
      <w:r>
        <w:rPr>
          <w:sz w:val="21"/>
          <w:szCs w:val="21"/>
        </w:rPr>
        <w:t>（ρ1.7</w:t>
      </w:r>
      <w:r>
        <w:rPr>
          <w:rFonts w:hint="eastAsia"/>
          <w:sz w:val="21"/>
          <w:szCs w:val="21"/>
        </w:rPr>
        <w:t>6</w:t>
      </w:r>
      <w:r>
        <w:rPr>
          <w:rFonts w:hint="eastAsia"/>
          <w:sz w:val="21"/>
          <w:szCs w:val="21"/>
          <w:lang w:val="en-US" w:eastAsia="zh-CN"/>
        </w:rPr>
        <w:t xml:space="preserve"> </w:t>
      </w:r>
      <w:r>
        <w:rPr>
          <w:rFonts w:hint="eastAsia"/>
          <w:sz w:val="21"/>
          <w:szCs w:val="21"/>
        </w:rPr>
        <w:t>g/mL）。</w:t>
      </w:r>
    </w:p>
    <w:p>
      <w:pPr>
        <w:pStyle w:val="17"/>
        <w:tabs>
          <w:tab w:val="left" w:pos="7155"/>
        </w:tabs>
        <w:spacing w:before="0" w:line="360" w:lineRule="auto"/>
        <w:jc w:val="both"/>
        <w:rPr>
          <w:rFonts w:hint="eastAsia"/>
          <w:sz w:val="21"/>
          <w:szCs w:val="21"/>
          <w:lang w:val="en-US" w:eastAsia="zh-CN"/>
        </w:rPr>
      </w:pPr>
      <w:r>
        <w:rPr>
          <w:rFonts w:hint="eastAsia" w:ascii="黑体" w:hAnsi="Times New Roman" w:eastAsia="黑体" w:cs="Times New Roman"/>
          <w:color w:val="000000"/>
          <w:kern w:val="0"/>
          <w:sz w:val="21"/>
          <w:szCs w:val="21"/>
          <w:lang w:val="en-US" w:eastAsia="zh-CN" w:bidi="ar-SA"/>
        </w:rPr>
        <w:t>3.4</w:t>
      </w:r>
      <w:r>
        <w:rPr>
          <w:rFonts w:hint="eastAsia"/>
          <w:sz w:val="21"/>
          <w:szCs w:val="21"/>
          <w:lang w:val="en-US" w:eastAsia="zh-CN"/>
        </w:rPr>
        <w:t xml:space="preserve"> 无水乙醇（</w:t>
      </w:r>
      <w:r>
        <w:rPr>
          <w:sz w:val="21"/>
          <w:szCs w:val="21"/>
        </w:rPr>
        <w:t>ρ</w:t>
      </w:r>
      <w:r>
        <w:rPr>
          <w:rFonts w:hint="eastAsia"/>
          <w:sz w:val="21"/>
          <w:szCs w:val="21"/>
          <w:lang w:val="en-US" w:eastAsia="zh-CN"/>
        </w:rPr>
        <w:t xml:space="preserve">0.79 </w:t>
      </w:r>
      <w:r>
        <w:rPr>
          <w:rFonts w:hint="eastAsia"/>
          <w:sz w:val="21"/>
          <w:szCs w:val="21"/>
        </w:rPr>
        <w:t>g/mL</w:t>
      </w:r>
      <w:r>
        <w:rPr>
          <w:rFonts w:hint="eastAsia"/>
          <w:sz w:val="21"/>
          <w:szCs w:val="21"/>
          <w:lang w:val="en-US" w:eastAsia="zh-CN"/>
        </w:rPr>
        <w:t>）。</w:t>
      </w:r>
    </w:p>
    <w:p>
      <w:pPr>
        <w:pStyle w:val="17"/>
        <w:tabs>
          <w:tab w:val="left" w:pos="7155"/>
        </w:tabs>
        <w:spacing w:before="0" w:line="360" w:lineRule="auto"/>
        <w:jc w:val="both"/>
        <w:rPr>
          <w:rFonts w:hAnsiTheme="minorEastAsia" w:eastAsiaTheme="minorEastAsia"/>
          <w:sz w:val="21"/>
          <w:szCs w:val="21"/>
        </w:rPr>
      </w:pPr>
      <w:r>
        <w:rPr>
          <w:rFonts w:hint="eastAsia" w:ascii="黑体" w:hAnsi="黑体" w:eastAsia="黑体"/>
          <w:sz w:val="21"/>
          <w:szCs w:val="21"/>
        </w:rPr>
        <w:t>3.</w:t>
      </w:r>
      <w:r>
        <w:rPr>
          <w:rFonts w:hint="eastAsia" w:ascii="黑体" w:hAnsi="黑体" w:eastAsia="黑体"/>
          <w:sz w:val="21"/>
          <w:szCs w:val="21"/>
          <w:lang w:val="en-US" w:eastAsia="zh-CN"/>
        </w:rPr>
        <w:t>5</w:t>
      </w:r>
      <w:r>
        <w:rPr>
          <w:rFonts w:hint="eastAsia" w:ascii="黑体" w:hAnsi="黑体" w:eastAsia="黑体"/>
          <w:sz w:val="21"/>
          <w:szCs w:val="21"/>
        </w:rPr>
        <w:t xml:space="preserve"> </w:t>
      </w:r>
      <w:r>
        <w:rPr>
          <w:rFonts w:hAnsiTheme="minorEastAsia" w:eastAsiaTheme="minorEastAsia"/>
          <w:sz w:val="21"/>
          <w:szCs w:val="21"/>
        </w:rPr>
        <w:t>盐酸（</w:t>
      </w:r>
      <w:r>
        <w:rPr>
          <w:rFonts w:hint="eastAsia" w:eastAsiaTheme="minorEastAsia"/>
          <w:sz w:val="21"/>
          <w:szCs w:val="21"/>
          <w:lang w:val="en-US" w:eastAsia="zh-CN"/>
        </w:rPr>
        <w:t>1</w:t>
      </w:r>
      <w:r>
        <w:rPr>
          <w:rFonts w:eastAsiaTheme="minorEastAsia"/>
          <w:sz w:val="21"/>
          <w:szCs w:val="21"/>
        </w:rPr>
        <w:t>+9</w:t>
      </w:r>
      <w:r>
        <w:rPr>
          <w:rFonts w:hint="eastAsia" w:eastAsiaTheme="minorEastAsia"/>
          <w:sz w:val="21"/>
          <w:szCs w:val="21"/>
          <w:lang w:val="en-US" w:eastAsia="zh-CN"/>
        </w:rPr>
        <w:t>9</w:t>
      </w:r>
      <w:r>
        <w:rPr>
          <w:rFonts w:hAnsiTheme="minorEastAsia" w:eastAsiaTheme="minorEastAsia"/>
          <w:sz w:val="21"/>
          <w:szCs w:val="21"/>
        </w:rPr>
        <w:t>）。</w:t>
      </w:r>
    </w:p>
    <w:p>
      <w:pPr>
        <w:pStyle w:val="17"/>
        <w:tabs>
          <w:tab w:val="left" w:pos="7155"/>
        </w:tabs>
        <w:spacing w:before="0" w:line="360" w:lineRule="auto"/>
        <w:jc w:val="both"/>
        <w:rPr>
          <w:sz w:val="21"/>
          <w:szCs w:val="21"/>
        </w:rPr>
      </w:pPr>
      <w:r>
        <w:rPr>
          <w:rFonts w:hint="eastAsia" w:ascii="黑体" w:hAnsi="黑体" w:eastAsia="黑体"/>
          <w:bCs/>
          <w:kern w:val="2"/>
          <w:sz w:val="21"/>
          <w:szCs w:val="21"/>
        </w:rPr>
        <w:t>3.</w:t>
      </w:r>
      <w:r>
        <w:rPr>
          <w:rFonts w:hint="eastAsia" w:ascii="黑体" w:hAnsi="黑体" w:eastAsia="黑体"/>
          <w:bCs/>
          <w:kern w:val="2"/>
          <w:sz w:val="21"/>
          <w:szCs w:val="21"/>
          <w:lang w:val="en-US" w:eastAsia="zh-CN"/>
        </w:rPr>
        <w:t>6</w:t>
      </w:r>
      <w:r>
        <w:rPr>
          <w:rFonts w:hint="eastAsia" w:ascii="黑体" w:hAnsi="黑体" w:eastAsia="黑体"/>
          <w:bCs/>
          <w:kern w:val="2"/>
          <w:sz w:val="21"/>
          <w:szCs w:val="21"/>
        </w:rPr>
        <w:t xml:space="preserve"> </w:t>
      </w:r>
      <w:r>
        <w:rPr>
          <w:rFonts w:hint="eastAsia"/>
          <w:sz w:val="21"/>
          <w:szCs w:val="21"/>
        </w:rPr>
        <w:t>丁二酮肟乙醇溶液（10 g/L）称取1</w:t>
      </w:r>
      <w:r>
        <w:rPr>
          <w:rFonts w:hint="eastAsia"/>
          <w:sz w:val="21"/>
          <w:szCs w:val="21"/>
          <w:lang w:val="en-US" w:eastAsia="zh-CN"/>
        </w:rPr>
        <w:t>0</w:t>
      </w:r>
      <w:r>
        <w:rPr>
          <w:rFonts w:hint="eastAsia"/>
          <w:sz w:val="21"/>
          <w:szCs w:val="21"/>
        </w:rPr>
        <w:t xml:space="preserve"> g丁二酮肟，于10</w:t>
      </w:r>
      <w:r>
        <w:rPr>
          <w:rFonts w:hint="eastAsia"/>
          <w:sz w:val="21"/>
          <w:szCs w:val="21"/>
          <w:lang w:val="en-US" w:eastAsia="zh-CN"/>
        </w:rPr>
        <w:t>0</w:t>
      </w:r>
      <w:r>
        <w:rPr>
          <w:rFonts w:hint="eastAsia"/>
          <w:sz w:val="21"/>
          <w:szCs w:val="21"/>
        </w:rPr>
        <w:t>0 mL</w:t>
      </w:r>
      <w:r>
        <w:rPr>
          <w:rFonts w:hint="eastAsia"/>
          <w:sz w:val="21"/>
          <w:szCs w:val="21"/>
          <w:lang w:eastAsia="zh-CN"/>
        </w:rPr>
        <w:t>无水</w:t>
      </w:r>
      <w:r>
        <w:rPr>
          <w:rFonts w:hint="eastAsia"/>
          <w:sz w:val="21"/>
          <w:szCs w:val="21"/>
        </w:rPr>
        <w:t>乙醇溶液中溶解，混匀。</w:t>
      </w:r>
    </w:p>
    <w:bookmarkEnd w:id="4"/>
    <w:p>
      <w:pPr>
        <w:spacing w:line="360" w:lineRule="auto"/>
        <w:rPr>
          <w:rFonts w:ascii="Times New Roman" w:hAnsi="Times New Roman"/>
          <w:szCs w:val="21"/>
        </w:rPr>
      </w:pPr>
      <w:r>
        <w:rPr>
          <w:rFonts w:hint="eastAsia" w:ascii="Times New Roman" w:hAnsi="Times New Roman"/>
          <w:szCs w:val="21"/>
          <w:lang w:val="en-US" w:eastAsia="zh-CN"/>
        </w:rPr>
        <w:t xml:space="preserve">3.7 </w:t>
      </w:r>
      <w:r>
        <w:rPr>
          <w:rFonts w:hint="eastAsia" w:ascii="Times New Roman" w:hAnsi="Times New Roman"/>
          <w:szCs w:val="21"/>
        </w:rPr>
        <w:t>氯化钠溶液（</w:t>
      </w:r>
      <w:r>
        <w:rPr>
          <w:rFonts w:ascii="Times New Roman" w:hAnsi="Times New Roman"/>
          <w:szCs w:val="21"/>
        </w:rPr>
        <w:t>10%</w:t>
      </w:r>
      <w:r>
        <w:rPr>
          <w:rFonts w:hint="eastAsia" w:ascii="Times New Roman" w:hAnsi="Times New Roman"/>
          <w:szCs w:val="21"/>
        </w:rPr>
        <w:t>），称取</w:t>
      </w:r>
      <w:r>
        <w:rPr>
          <w:rFonts w:ascii="Times New Roman" w:hAnsi="Times New Roman"/>
          <w:szCs w:val="21"/>
        </w:rPr>
        <w:t>10 g</w:t>
      </w:r>
      <w:r>
        <w:rPr>
          <w:rFonts w:hint="eastAsia" w:ascii="Times New Roman" w:hAnsi="Times New Roman"/>
          <w:szCs w:val="21"/>
        </w:rPr>
        <w:t>氯化钠，于水中溶解，并稀释至</w:t>
      </w:r>
      <w:r>
        <w:rPr>
          <w:rFonts w:ascii="Times New Roman" w:hAnsi="Times New Roman"/>
          <w:szCs w:val="21"/>
        </w:rPr>
        <w:t>100</w:t>
      </w:r>
      <w:r>
        <w:rPr>
          <w:rFonts w:hint="eastAsia" w:ascii="Times New Roman" w:hAnsi="Times New Roman"/>
          <w:szCs w:val="21"/>
        </w:rPr>
        <w:t xml:space="preserve"> </w:t>
      </w:r>
      <w:r>
        <w:rPr>
          <w:rFonts w:ascii="Times New Roman" w:hAnsi="Times New Roman"/>
          <w:szCs w:val="21"/>
        </w:rPr>
        <w:t>mL</w:t>
      </w:r>
      <w:r>
        <w:rPr>
          <w:rFonts w:hint="eastAsia" w:ascii="Times New Roman" w:hAnsi="Times New Roman"/>
          <w:szCs w:val="21"/>
        </w:rPr>
        <w:t>，混匀。</w:t>
      </w:r>
    </w:p>
    <w:p>
      <w:pPr>
        <w:spacing w:line="360" w:lineRule="auto"/>
        <w:rPr>
          <w:rFonts w:hint="eastAsia" w:ascii="Times New Roman" w:hAnsi="Times New Roman"/>
          <w:szCs w:val="21"/>
          <w:lang w:val="en-US" w:eastAsia="zh-CN"/>
        </w:rPr>
      </w:pPr>
      <w:r>
        <w:rPr>
          <w:rFonts w:hint="eastAsia" w:ascii="Times New Roman" w:hAnsi="Times New Roman"/>
          <w:szCs w:val="21"/>
          <w:lang w:val="en-US" w:eastAsia="zh-CN"/>
        </w:rPr>
        <w:t xml:space="preserve">3.8 </w:t>
      </w:r>
      <w:r>
        <w:rPr>
          <w:rFonts w:hint="eastAsia" w:ascii="Times New Roman" w:hAnsi="Times New Roman"/>
          <w:szCs w:val="21"/>
        </w:rPr>
        <w:t>钯标准贮备溶液：称取</w:t>
      </w:r>
      <w:r>
        <w:rPr>
          <w:rFonts w:ascii="Times New Roman" w:hAnsi="Times New Roman"/>
          <w:szCs w:val="21"/>
        </w:rPr>
        <w:t>0.5000 g</w:t>
      </w:r>
      <w:r>
        <w:rPr>
          <w:rFonts w:hint="eastAsia" w:ascii="Times New Roman" w:hAnsi="Times New Roman"/>
          <w:szCs w:val="21"/>
        </w:rPr>
        <w:t>已通氢还原后的海绵钯（质量分数</w:t>
      </w:r>
      <w:r>
        <w:rPr>
          <w:rFonts w:ascii="Times New Roman" w:hAnsi="Times New Roman"/>
          <w:szCs w:val="21"/>
        </w:rPr>
        <w:t>≥99.99%</w:t>
      </w:r>
      <w:r>
        <w:rPr>
          <w:rFonts w:hint="eastAsia" w:ascii="Times New Roman" w:hAnsi="Times New Roman"/>
          <w:szCs w:val="21"/>
        </w:rPr>
        <w:t>），置于</w:t>
      </w:r>
      <w:r>
        <w:rPr>
          <w:rFonts w:ascii="Times New Roman" w:hAnsi="Times New Roman"/>
          <w:szCs w:val="21"/>
        </w:rPr>
        <w:t>600 mL</w:t>
      </w:r>
      <w:r>
        <w:rPr>
          <w:rFonts w:hint="eastAsia" w:ascii="Times New Roman" w:hAnsi="Times New Roman"/>
          <w:szCs w:val="21"/>
        </w:rPr>
        <w:t>高型烧杯中，加入</w:t>
      </w:r>
      <w:r>
        <w:rPr>
          <w:rFonts w:ascii="Times New Roman" w:hAnsi="Times New Roman"/>
          <w:szCs w:val="21"/>
        </w:rPr>
        <w:t>6 mL</w:t>
      </w:r>
      <w:r>
        <w:rPr>
          <w:rFonts w:hint="eastAsia" w:ascii="Times New Roman" w:hAnsi="Times New Roman"/>
          <w:szCs w:val="21"/>
        </w:rPr>
        <w:t>盐酸（</w:t>
      </w:r>
      <w:r>
        <w:rPr>
          <w:rFonts w:hint="eastAsia" w:ascii="Times New Roman" w:hAnsi="Times New Roman"/>
          <w:szCs w:val="21"/>
          <w:lang w:val="en-US" w:eastAsia="zh-CN"/>
        </w:rPr>
        <w:t>3.</w:t>
      </w:r>
      <w:r>
        <w:rPr>
          <w:rFonts w:ascii="Times New Roman" w:hAnsi="Times New Roman"/>
          <w:szCs w:val="21"/>
        </w:rPr>
        <w:t>1</w:t>
      </w:r>
      <w:r>
        <w:rPr>
          <w:rFonts w:hint="eastAsia" w:ascii="Times New Roman" w:hAnsi="Times New Roman"/>
          <w:szCs w:val="21"/>
        </w:rPr>
        <w:t>），</w:t>
      </w:r>
      <w:r>
        <w:rPr>
          <w:rFonts w:ascii="Times New Roman" w:hAnsi="Times New Roman"/>
          <w:szCs w:val="21"/>
        </w:rPr>
        <w:t>2 mL</w:t>
      </w:r>
      <w:r>
        <w:rPr>
          <w:rFonts w:hint="eastAsia" w:ascii="Times New Roman" w:hAnsi="Times New Roman"/>
          <w:szCs w:val="21"/>
        </w:rPr>
        <w:t>硝酸（</w:t>
      </w:r>
      <w:r>
        <w:rPr>
          <w:rFonts w:hint="eastAsia" w:ascii="Times New Roman" w:hAnsi="Times New Roman"/>
          <w:szCs w:val="21"/>
          <w:lang w:val="en-US" w:eastAsia="zh-CN"/>
        </w:rPr>
        <w:t>3</w:t>
      </w:r>
      <w:r>
        <w:rPr>
          <w:rFonts w:ascii="Times New Roman" w:hAnsi="Times New Roman"/>
          <w:szCs w:val="21"/>
        </w:rPr>
        <w:t>.2</w:t>
      </w:r>
      <w:r>
        <w:rPr>
          <w:rFonts w:hint="eastAsia" w:ascii="Times New Roman" w:hAnsi="Times New Roman"/>
          <w:szCs w:val="21"/>
        </w:rPr>
        <w:t>），盖上表面皿，低温加热溶解完全，补加</w:t>
      </w:r>
      <w:r>
        <w:rPr>
          <w:rFonts w:ascii="Times New Roman" w:hAnsi="Times New Roman"/>
          <w:szCs w:val="21"/>
        </w:rPr>
        <w:t xml:space="preserve">1 mL 10% </w:t>
      </w:r>
      <w:r>
        <w:rPr>
          <w:rFonts w:hint="eastAsia" w:ascii="Times New Roman" w:hAnsi="Times New Roman"/>
          <w:szCs w:val="21"/>
        </w:rPr>
        <w:t>氯化钠</w:t>
      </w:r>
      <w:r>
        <w:rPr>
          <w:rFonts w:hint="eastAsia" w:ascii="Times New Roman" w:hAnsi="Times New Roman"/>
          <w:szCs w:val="21"/>
          <w:lang w:eastAsia="zh-CN"/>
        </w:rPr>
        <w:t>溶液</w:t>
      </w:r>
      <w:r>
        <w:rPr>
          <w:rFonts w:hint="eastAsia" w:ascii="Times New Roman" w:hAnsi="Times New Roman"/>
          <w:szCs w:val="21"/>
        </w:rPr>
        <w:t>（</w:t>
      </w:r>
      <w:r>
        <w:rPr>
          <w:rFonts w:hint="eastAsia" w:ascii="Times New Roman" w:hAnsi="Times New Roman"/>
          <w:szCs w:val="21"/>
          <w:lang w:val="en-US" w:eastAsia="zh-CN"/>
        </w:rPr>
        <w:t>3.7</w:t>
      </w:r>
      <w:r>
        <w:rPr>
          <w:rFonts w:hint="eastAsia" w:ascii="Times New Roman" w:hAnsi="Times New Roman"/>
          <w:szCs w:val="21"/>
        </w:rPr>
        <w:t>）</w:t>
      </w:r>
      <w:r>
        <w:rPr>
          <w:rFonts w:hint="eastAsia" w:ascii="Times New Roman" w:hAnsi="Times New Roman"/>
          <w:szCs w:val="21"/>
          <w:lang w:eastAsia="zh-CN"/>
        </w:rPr>
        <w:t>，</w:t>
      </w:r>
      <w:r>
        <w:rPr>
          <w:rFonts w:hint="eastAsia" w:ascii="Times New Roman" w:hAnsi="Times New Roman"/>
          <w:color w:val="auto"/>
          <w:szCs w:val="21"/>
        </w:rPr>
        <w:t>低温蒸发至湿盐状，加入</w:t>
      </w:r>
      <w:r>
        <w:rPr>
          <w:rFonts w:ascii="Times New Roman" w:hAnsi="Times New Roman"/>
          <w:color w:val="auto"/>
          <w:szCs w:val="21"/>
        </w:rPr>
        <w:t>25 mL</w:t>
      </w:r>
      <w:r>
        <w:rPr>
          <w:rFonts w:hint="eastAsia" w:ascii="Times New Roman" w:hAnsi="Times New Roman"/>
          <w:color w:val="auto"/>
          <w:szCs w:val="21"/>
        </w:rPr>
        <w:t>盐酸（</w:t>
      </w:r>
      <w:r>
        <w:rPr>
          <w:rFonts w:ascii="Times New Roman" w:hAnsi="Times New Roman"/>
          <w:color w:val="auto"/>
          <w:szCs w:val="21"/>
        </w:rPr>
        <w:t>3.1</w:t>
      </w:r>
      <w:r>
        <w:rPr>
          <w:rFonts w:hint="eastAsia" w:ascii="Times New Roman" w:hAnsi="Times New Roman"/>
          <w:color w:val="auto"/>
          <w:szCs w:val="21"/>
        </w:rPr>
        <w:t>），转入</w:t>
      </w:r>
      <w:r>
        <w:rPr>
          <w:rFonts w:ascii="Times New Roman" w:hAnsi="Times New Roman"/>
          <w:color w:val="auto"/>
          <w:szCs w:val="21"/>
        </w:rPr>
        <w:t>500 mL</w:t>
      </w:r>
      <w:r>
        <w:rPr>
          <w:rFonts w:hint="eastAsia" w:ascii="Times New Roman" w:hAnsi="Times New Roman"/>
          <w:color w:val="auto"/>
          <w:szCs w:val="21"/>
        </w:rPr>
        <w:t>容量瓶中，用水稀释至刻度</w:t>
      </w:r>
      <w:r>
        <w:rPr>
          <w:rFonts w:hint="eastAsia" w:ascii="Times New Roman" w:hAnsi="Times New Roman"/>
          <w:color w:val="auto"/>
          <w:szCs w:val="21"/>
          <w:lang w:eastAsia="zh-CN"/>
        </w:rPr>
        <w:t>，</w:t>
      </w:r>
      <w:r>
        <w:rPr>
          <w:rFonts w:hint="eastAsia" w:ascii="Times New Roman" w:hAnsi="Times New Roman"/>
          <w:szCs w:val="21"/>
        </w:rPr>
        <w:t>混匀。此溶液</w:t>
      </w:r>
      <w:r>
        <w:rPr>
          <w:rFonts w:ascii="Times New Roman" w:hAnsi="Times New Roman"/>
          <w:szCs w:val="21"/>
        </w:rPr>
        <w:t>1 mL</w:t>
      </w:r>
      <w:r>
        <w:rPr>
          <w:rFonts w:hint="eastAsia" w:ascii="Times New Roman" w:hAnsi="Times New Roman"/>
          <w:szCs w:val="21"/>
        </w:rPr>
        <w:t>含</w:t>
      </w:r>
      <w:r>
        <w:rPr>
          <w:rFonts w:ascii="Times New Roman" w:hAnsi="Times New Roman"/>
          <w:szCs w:val="21"/>
        </w:rPr>
        <w:t>1 mg</w:t>
      </w:r>
      <w:r>
        <w:rPr>
          <w:rFonts w:hint="eastAsia" w:ascii="Times New Roman" w:hAnsi="Times New Roman"/>
          <w:szCs w:val="21"/>
        </w:rPr>
        <w:t>钯。</w:t>
      </w:r>
    </w:p>
    <w:p>
      <w:pPr>
        <w:pStyle w:val="17"/>
        <w:tabs>
          <w:tab w:val="left" w:pos="7155"/>
        </w:tabs>
        <w:spacing w:before="0" w:line="360" w:lineRule="auto"/>
        <w:jc w:val="both"/>
        <w:rPr>
          <w:rFonts w:hAnsiTheme="minorEastAsia" w:eastAsiaTheme="minorEastAsia"/>
          <w:sz w:val="21"/>
          <w:szCs w:val="21"/>
        </w:rPr>
      </w:pPr>
      <w:r>
        <w:rPr>
          <w:rFonts w:hint="eastAsia" w:ascii="黑体" w:hAnsi="黑体" w:eastAsia="黑体"/>
          <w:bCs/>
          <w:kern w:val="2"/>
          <w:sz w:val="21"/>
          <w:szCs w:val="21"/>
        </w:rPr>
        <w:t>3.</w:t>
      </w:r>
      <w:r>
        <w:rPr>
          <w:rFonts w:hint="eastAsia" w:ascii="黑体" w:hAnsi="黑体" w:eastAsia="黑体"/>
          <w:bCs/>
          <w:kern w:val="2"/>
          <w:sz w:val="21"/>
          <w:szCs w:val="21"/>
          <w:lang w:val="en-US" w:eastAsia="zh-CN"/>
        </w:rPr>
        <w:t>9</w:t>
      </w:r>
      <w:r>
        <w:rPr>
          <w:rFonts w:hint="eastAsia" w:ascii="黑体" w:hAnsi="黑体" w:eastAsia="黑体"/>
          <w:bCs/>
          <w:kern w:val="2"/>
          <w:sz w:val="21"/>
          <w:szCs w:val="21"/>
        </w:rPr>
        <w:t xml:space="preserve"> </w:t>
      </w:r>
      <w:r>
        <w:rPr>
          <w:rFonts w:hint="eastAsia"/>
          <w:sz w:val="21"/>
          <w:szCs w:val="21"/>
        </w:rPr>
        <w:t>G4玻璃砂芯</w:t>
      </w:r>
      <w:r>
        <w:rPr>
          <w:rFonts w:hint="eastAsia"/>
          <w:sz w:val="21"/>
          <w:szCs w:val="21"/>
          <w:lang w:eastAsia="zh-CN"/>
        </w:rPr>
        <w:t>坩埚</w:t>
      </w:r>
      <w:r>
        <w:rPr>
          <w:rFonts w:hint="eastAsia"/>
          <w:sz w:val="21"/>
          <w:szCs w:val="21"/>
        </w:rPr>
        <w:t>。</w:t>
      </w:r>
      <w:bookmarkStart w:id="8" w:name="OLE_LINK7"/>
    </w:p>
    <w:bookmarkEnd w:id="5"/>
    <w:bookmarkEnd w:id="8"/>
    <w:p>
      <w:pPr>
        <w:spacing w:line="360" w:lineRule="auto"/>
        <w:rPr>
          <w:rFonts w:hint="eastAsia" w:ascii="Times New Roman" w:hAnsi="Times New Roman" w:eastAsiaTheme="minorEastAsia"/>
          <w:b/>
          <w:bCs/>
          <w:szCs w:val="21"/>
        </w:rPr>
      </w:pPr>
    </w:p>
    <w:p>
      <w:pPr>
        <w:spacing w:line="360" w:lineRule="auto"/>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4</w:t>
      </w:r>
      <w:r>
        <w:rPr>
          <w:rFonts w:hint="eastAsia" w:ascii="黑体" w:hAnsi="黑体" w:eastAsia="黑体" w:cs="黑体"/>
          <w:b w:val="0"/>
          <w:bCs w:val="0"/>
          <w:sz w:val="21"/>
          <w:szCs w:val="21"/>
        </w:rPr>
        <w:t xml:space="preserve"> 分析步骤</w:t>
      </w:r>
    </w:p>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4.1试料</w:t>
      </w:r>
    </w:p>
    <w:p>
      <w:pPr>
        <w:spacing w:line="360" w:lineRule="auto"/>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称取0.30 g试样，精确至0.0001 g。</w:t>
      </w:r>
    </w:p>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4.2平行试验</w:t>
      </w:r>
    </w:p>
    <w:p>
      <w:pPr>
        <w:spacing w:line="360" w:lineRule="auto"/>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独立地进行两次测定，取其平均值。</w:t>
      </w:r>
    </w:p>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4.3测定</w:t>
      </w:r>
    </w:p>
    <w:p>
      <w:pPr>
        <w:spacing w:line="360" w:lineRule="auto"/>
        <w:rPr>
          <w:rFonts w:hint="eastAsia" w:ascii="Times New Roman" w:hAnsi="Times New Roman" w:eastAsiaTheme="minorEastAsia"/>
          <w:szCs w:val="21"/>
          <w:lang w:val="en-US" w:eastAsia="zh-CN"/>
        </w:rPr>
      </w:pPr>
      <w:bookmarkStart w:id="9" w:name="OLE_LINK17"/>
      <w:r>
        <w:rPr>
          <w:rFonts w:hint="eastAsia" w:ascii="Times New Roman" w:hAnsi="Times New Roman" w:eastAsiaTheme="minorEastAsia"/>
          <w:szCs w:val="21"/>
          <w:lang w:val="en-US" w:eastAsia="zh-CN"/>
        </w:rPr>
        <w:t xml:space="preserve">4.3.1 </w:t>
      </w:r>
      <w:r>
        <w:rPr>
          <w:rFonts w:cs="Times New Roman" w:asciiTheme="minorEastAsia" w:hAnsiTheme="minorEastAsia"/>
          <w:bCs/>
          <w:szCs w:val="21"/>
        </w:rPr>
        <w:t>将</w:t>
      </w:r>
      <w:r>
        <w:rPr>
          <w:rFonts w:ascii="Times New Roman" w:cs="Times New Roman" w:hAnsiTheme="minorEastAsia"/>
          <w:bCs/>
          <w:szCs w:val="21"/>
        </w:rPr>
        <w:t>试料</w:t>
      </w:r>
      <w:r>
        <w:rPr>
          <w:rFonts w:ascii="Times New Roman" w:hAnsi="Times New Roman" w:cs="Times New Roman"/>
          <w:bCs/>
          <w:szCs w:val="21"/>
        </w:rPr>
        <w:t>(</w:t>
      </w:r>
      <w:r>
        <w:rPr>
          <w:rFonts w:hint="eastAsia" w:ascii="Times New Roman" w:hAnsi="Times New Roman" w:cs="Times New Roman"/>
          <w:bCs/>
          <w:szCs w:val="21"/>
          <w:lang w:val="en-US" w:eastAsia="zh-CN"/>
        </w:rPr>
        <w:t>4</w:t>
      </w:r>
      <w:r>
        <w:rPr>
          <w:rFonts w:ascii="Times New Roman" w:hAnsi="Times New Roman" w:cs="Times New Roman"/>
          <w:bCs/>
          <w:szCs w:val="21"/>
        </w:rPr>
        <w:t>.1)</w:t>
      </w:r>
      <w:r>
        <w:rPr>
          <w:rFonts w:ascii="Times New Roman" w:cs="Times New Roman" w:hAnsiTheme="minorEastAsia"/>
          <w:bCs/>
          <w:szCs w:val="21"/>
        </w:rPr>
        <w:t>置于</w:t>
      </w:r>
      <w:r>
        <w:rPr>
          <w:rFonts w:hint="eastAsia" w:ascii="Times New Roman" w:hAnsi="Times New Roman" w:cs="Times New Roman"/>
          <w:bCs/>
          <w:szCs w:val="21"/>
        </w:rPr>
        <w:t>5</w:t>
      </w:r>
      <w:r>
        <w:rPr>
          <w:rFonts w:ascii="Times New Roman" w:hAnsi="Times New Roman" w:cs="Times New Roman"/>
          <w:bCs/>
          <w:szCs w:val="21"/>
        </w:rPr>
        <w:t>00 mL</w:t>
      </w:r>
      <w:r>
        <w:rPr>
          <w:rFonts w:ascii="Times New Roman" w:cs="Times New Roman" w:hAnsiTheme="minorEastAsia"/>
          <w:bCs/>
          <w:szCs w:val="21"/>
        </w:rPr>
        <w:t>烧杯中，</w:t>
      </w:r>
      <w:r>
        <w:rPr>
          <w:rFonts w:hint="eastAsia" w:ascii="Times New Roman" w:cs="Times New Roman" w:hAnsiTheme="minorEastAsia"/>
          <w:bCs/>
          <w:szCs w:val="21"/>
        </w:rPr>
        <w:t>加入15 mL盐酸（3.1）和10 mL硝酸（3.2），盖上表面皿，低温加热溶解</w:t>
      </w:r>
      <w:r>
        <w:rPr>
          <w:rFonts w:hint="eastAsia" w:ascii="Times New Roman" w:cs="Times New Roman" w:hAnsiTheme="minorEastAsia"/>
          <w:bCs/>
          <w:szCs w:val="21"/>
          <w:lang w:eastAsia="zh-CN"/>
        </w:rPr>
        <w:t>。取下，冷却，</w:t>
      </w:r>
      <w:r>
        <w:rPr>
          <w:rFonts w:hint="eastAsia" w:ascii="Times New Roman" w:cs="Times New Roman" w:hAnsiTheme="minorEastAsia"/>
          <w:bCs/>
          <w:szCs w:val="21"/>
        </w:rPr>
        <w:t>加入10 mL高氯酸（3.3），盖上表面皿，</w:t>
      </w:r>
      <w:r>
        <w:rPr>
          <w:rFonts w:hint="eastAsia" w:hAnsi="宋体"/>
          <w:bCs/>
          <w:szCs w:val="21"/>
        </w:rPr>
        <w:t>分解有机物至</w:t>
      </w:r>
      <w:r>
        <w:rPr>
          <w:rFonts w:hint="eastAsia" w:ascii="宋体" w:hAnsi="宋体"/>
          <w:bCs/>
          <w:szCs w:val="21"/>
        </w:rPr>
        <w:t>烧杯底部冒大量白烟。取下，</w:t>
      </w:r>
      <w:r>
        <w:rPr>
          <w:rFonts w:hint="eastAsia" w:ascii="Times New Roman" w:cs="Times New Roman" w:hAnsiTheme="minorEastAsia"/>
          <w:bCs/>
          <w:szCs w:val="21"/>
        </w:rPr>
        <w:t>冷却，</w:t>
      </w:r>
      <w:r>
        <w:rPr>
          <w:rFonts w:hint="eastAsia" w:ascii="Times New Roman" w:cs="Times New Roman" w:hAnsiTheme="minorEastAsia"/>
          <w:bCs/>
          <w:szCs w:val="21"/>
          <w:lang w:eastAsia="zh-CN"/>
        </w:rPr>
        <w:t>用少量水</w:t>
      </w:r>
      <w:r>
        <w:rPr>
          <w:rFonts w:hint="eastAsia" w:ascii="Times New Roman" w:cs="Times New Roman" w:hAnsiTheme="minorEastAsia"/>
          <w:bCs/>
          <w:szCs w:val="21"/>
        </w:rPr>
        <w:t>冲洗表面皿及杯壁，加入2 mL盐酸（3.1）和300mL水，加热至约80℃</w:t>
      </w:r>
      <w:r>
        <w:rPr>
          <w:rFonts w:hint="eastAsia" w:ascii="Times New Roman" w:cs="Times New Roman" w:hAnsiTheme="minorEastAsia"/>
          <w:bCs/>
          <w:szCs w:val="21"/>
          <w:lang w:eastAsia="zh-CN"/>
        </w:rPr>
        <w:t>。</w:t>
      </w:r>
      <w:r>
        <w:rPr>
          <w:rFonts w:hint="eastAsia" w:ascii="Times New Roman" w:cs="Times New Roman" w:hAnsiTheme="minorEastAsia"/>
          <w:bCs/>
          <w:szCs w:val="21"/>
        </w:rPr>
        <w:t>取下，于搅拌下加入50 mL</w:t>
      </w:r>
      <w:r>
        <w:rPr>
          <w:rFonts w:hint="eastAsia"/>
          <w:szCs w:val="21"/>
        </w:rPr>
        <w:t>丁二酮肟乙醇</w:t>
      </w:r>
      <w:r>
        <w:rPr>
          <w:rFonts w:hint="eastAsia" w:ascii="Times New Roman" w:cs="Times New Roman" w:hAnsiTheme="minorEastAsia"/>
          <w:bCs/>
          <w:szCs w:val="21"/>
        </w:rPr>
        <w:t>溶液（3.6），在出现沉淀后继续搅拌3min，静置5h</w:t>
      </w:r>
      <w:r>
        <w:rPr>
          <w:rFonts w:hint="eastAsia" w:ascii="Times New Roman" w:hAnsi="Times New Roman" w:eastAsiaTheme="minorEastAsia"/>
          <w:szCs w:val="21"/>
          <w:lang w:val="en-US" w:eastAsia="zh-CN"/>
        </w:rPr>
        <w:t>。</w:t>
      </w:r>
    </w:p>
    <w:p>
      <w:pPr>
        <w:spacing w:line="360" w:lineRule="auto"/>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 xml:space="preserve">4.3.2 </w:t>
      </w:r>
      <w:r>
        <w:rPr>
          <w:rFonts w:hint="eastAsia" w:ascii="宋体" w:hAnsi="宋体" w:eastAsia="宋体" w:cs="Times New Roman"/>
          <w:kern w:val="0"/>
          <w:szCs w:val="21"/>
        </w:rPr>
        <w:t>用</w:t>
      </w:r>
      <w:r>
        <w:rPr>
          <w:rFonts w:ascii="Times New Roman" w:hAnsi="宋体" w:eastAsia="宋体" w:cs="Times New Roman"/>
          <w:kern w:val="0"/>
          <w:szCs w:val="21"/>
        </w:rPr>
        <w:t>已恒重的</w:t>
      </w:r>
      <w:r>
        <w:rPr>
          <w:rFonts w:hint="eastAsia" w:ascii="Times New Roman" w:hAnsi="宋体" w:eastAsia="宋体" w:cs="Times New Roman"/>
          <w:kern w:val="0"/>
          <w:szCs w:val="21"/>
        </w:rPr>
        <w:t>G4</w:t>
      </w:r>
      <w:r>
        <w:rPr>
          <w:rFonts w:ascii="Times New Roman" w:hAnsi="宋体" w:eastAsia="宋体" w:cs="Times New Roman"/>
          <w:kern w:val="0"/>
          <w:szCs w:val="21"/>
        </w:rPr>
        <w:t>玻璃</w:t>
      </w:r>
      <w:r>
        <w:rPr>
          <w:rFonts w:hint="eastAsia"/>
          <w:szCs w:val="21"/>
        </w:rPr>
        <w:t>砂芯</w:t>
      </w:r>
      <w:r>
        <w:rPr>
          <w:rFonts w:ascii="Times New Roman" w:hAnsi="宋体" w:eastAsia="宋体" w:cs="Times New Roman"/>
          <w:kern w:val="0"/>
          <w:szCs w:val="21"/>
        </w:rPr>
        <w:t>坩埚（</w:t>
      </w:r>
      <w:r>
        <w:rPr>
          <w:rFonts w:hint="eastAsia" w:ascii="Times New Roman" w:hAnsi="Times New Roman" w:eastAsia="宋体" w:cs="Times New Roman"/>
          <w:kern w:val="0"/>
          <w:szCs w:val="21"/>
        </w:rPr>
        <w:t>3.7</w:t>
      </w:r>
      <w:r>
        <w:rPr>
          <w:rFonts w:ascii="Times New Roman" w:hAnsi="宋体" w:eastAsia="宋体" w:cs="Times New Roman"/>
          <w:kern w:val="0"/>
          <w:szCs w:val="21"/>
        </w:rPr>
        <w:t>）</w:t>
      </w:r>
      <w:r>
        <w:rPr>
          <w:rFonts w:hint="eastAsia" w:ascii="Times New Roman" w:hAnsi="宋体" w:eastAsia="宋体" w:cs="Times New Roman"/>
          <w:kern w:val="0"/>
          <w:szCs w:val="21"/>
        </w:rPr>
        <w:t>抽滤</w:t>
      </w:r>
      <w:r>
        <w:rPr>
          <w:rFonts w:hint="eastAsia"/>
          <w:szCs w:val="21"/>
        </w:rPr>
        <w:t>丁二酮肟</w:t>
      </w:r>
      <w:r>
        <w:rPr>
          <w:rFonts w:hint="eastAsia" w:ascii="宋体" w:hAnsi="宋体" w:eastAsia="宋体" w:cs="Times New Roman"/>
          <w:kern w:val="0"/>
          <w:szCs w:val="21"/>
        </w:rPr>
        <w:t>钯沉淀</w:t>
      </w:r>
      <w:r>
        <w:rPr>
          <w:rFonts w:ascii="Times New Roman" w:hAnsi="宋体" w:eastAsia="宋体" w:cs="Times New Roman"/>
          <w:kern w:val="0"/>
          <w:szCs w:val="21"/>
        </w:rPr>
        <w:t>，用盐酸（</w:t>
      </w:r>
      <w:r>
        <w:rPr>
          <w:rFonts w:hint="eastAsia" w:ascii="Times New Roman" w:hAnsi="Times New Roman" w:eastAsia="宋体" w:cs="Times New Roman"/>
          <w:kern w:val="0"/>
          <w:szCs w:val="21"/>
        </w:rPr>
        <w:t>3.5</w:t>
      </w:r>
      <w:r>
        <w:rPr>
          <w:rFonts w:ascii="Times New Roman" w:hAnsi="宋体" w:eastAsia="宋体" w:cs="Times New Roman"/>
          <w:kern w:val="0"/>
          <w:szCs w:val="21"/>
        </w:rPr>
        <w:t>）洗涤烧杯</w:t>
      </w:r>
      <w:r>
        <w:rPr>
          <w:rFonts w:hint="eastAsia" w:ascii="Times New Roman" w:hAnsi="宋体"/>
          <w:kern w:val="0"/>
          <w:szCs w:val="21"/>
        </w:rPr>
        <w:t>（并用带橡皮头的玻璃棒擦烧杯边沿）</w:t>
      </w:r>
      <w:r>
        <w:rPr>
          <w:rFonts w:ascii="Times New Roman" w:hAnsi="宋体" w:eastAsia="宋体" w:cs="Times New Roman"/>
          <w:kern w:val="0"/>
          <w:szCs w:val="21"/>
        </w:rPr>
        <w:t>及沉淀各</w:t>
      </w:r>
      <w:r>
        <w:rPr>
          <w:rFonts w:ascii="Times New Roman" w:hAnsi="Times New Roman" w:eastAsia="宋体" w:cs="Times New Roman"/>
          <w:kern w:val="0"/>
          <w:szCs w:val="21"/>
        </w:rPr>
        <w:t>10</w:t>
      </w:r>
      <w:r>
        <w:rPr>
          <w:rFonts w:ascii="Times New Roman" w:hAnsi="宋体" w:eastAsia="宋体" w:cs="Times New Roman"/>
          <w:kern w:val="0"/>
          <w:szCs w:val="21"/>
        </w:rPr>
        <w:t>次，</w:t>
      </w:r>
      <w:r>
        <w:rPr>
          <w:rFonts w:ascii="Times New Roman"/>
          <w:color w:val="auto"/>
          <w:szCs w:val="21"/>
        </w:rPr>
        <w:t>每次约</w:t>
      </w:r>
      <w:r>
        <w:rPr>
          <w:rFonts w:ascii="Times New Roman" w:hAnsi="Times New Roman"/>
          <w:color w:val="auto"/>
          <w:szCs w:val="21"/>
        </w:rPr>
        <w:t>10 mL</w:t>
      </w:r>
      <w:r>
        <w:rPr>
          <w:rFonts w:ascii="Times New Roman" w:hAnsi="宋体" w:eastAsia="宋体" w:cs="Times New Roman"/>
          <w:kern w:val="0"/>
          <w:szCs w:val="21"/>
        </w:rPr>
        <w:t>，用约</w:t>
      </w:r>
      <w:r>
        <w:rPr>
          <w:rFonts w:hint="eastAsia" w:ascii="Times New Roman" w:hAnsi="宋体" w:eastAsia="宋体" w:cs="Times New Roman"/>
          <w:kern w:val="0"/>
          <w:szCs w:val="21"/>
        </w:rPr>
        <w:t>60</w:t>
      </w:r>
      <w:r>
        <w:rPr>
          <w:rFonts w:ascii="Times New Roman" w:hAnsi="宋体" w:eastAsia="宋体" w:cs="Times New Roman"/>
          <w:kern w:val="0"/>
          <w:szCs w:val="21"/>
        </w:rPr>
        <w:t>℃</w:t>
      </w:r>
      <w:r>
        <w:rPr>
          <w:rFonts w:hint="eastAsia" w:ascii="宋体" w:hAnsi="宋体" w:eastAsia="宋体"/>
          <w:b/>
          <w:szCs w:val="21"/>
        </w:rPr>
        <w:t>～</w:t>
      </w:r>
      <w:r>
        <w:rPr>
          <w:rFonts w:hint="eastAsia" w:ascii="Times New Roman" w:hAnsi="Times New Roman" w:eastAsia="宋体" w:cs="Times New Roman"/>
          <w:kern w:val="0"/>
          <w:szCs w:val="21"/>
          <w:lang w:val="en-US" w:eastAsia="zh-CN"/>
        </w:rPr>
        <w:t>70</w:t>
      </w:r>
      <w:r>
        <w:rPr>
          <w:rFonts w:ascii="Times New Roman" w:hAnsi="宋体" w:eastAsia="宋体" w:cs="Times New Roman"/>
          <w:kern w:val="0"/>
          <w:szCs w:val="21"/>
        </w:rPr>
        <w:t>℃的热水洗涤烧杯及沉淀各</w:t>
      </w:r>
      <w:r>
        <w:rPr>
          <w:rFonts w:ascii="Times New Roman" w:hAnsi="Times New Roman" w:eastAsia="宋体" w:cs="Times New Roman"/>
          <w:kern w:val="0"/>
          <w:szCs w:val="21"/>
        </w:rPr>
        <w:t>5</w:t>
      </w:r>
      <w:r>
        <w:rPr>
          <w:rFonts w:ascii="Times New Roman" w:hAnsi="宋体" w:eastAsia="宋体" w:cs="Times New Roman"/>
          <w:kern w:val="0"/>
          <w:szCs w:val="21"/>
        </w:rPr>
        <w:t>次</w:t>
      </w:r>
      <w:r>
        <w:rPr>
          <w:rFonts w:hint="eastAsia" w:ascii="Times New Roman" w:hAnsi="Times New Roman" w:eastAsiaTheme="minorEastAsia"/>
          <w:szCs w:val="21"/>
          <w:lang w:val="en-US" w:eastAsia="zh-CN"/>
        </w:rPr>
        <w:t>。</w:t>
      </w:r>
    </w:p>
    <w:p>
      <w:pPr>
        <w:spacing w:line="360" w:lineRule="auto"/>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4.3.3</w:t>
      </w:r>
      <w:r>
        <w:rPr>
          <w:rFonts w:hint="eastAsia" w:ascii="Times New Roman" w:hAnsi="Times New Roman" w:eastAsia="宋体" w:cs="Times New Roman"/>
          <w:kern w:val="0"/>
          <w:szCs w:val="21"/>
        </w:rPr>
        <w:t>将</w:t>
      </w:r>
      <w:r>
        <w:rPr>
          <w:rFonts w:ascii="Times New Roman" w:hAnsi="宋体" w:eastAsia="宋体" w:cs="Times New Roman"/>
          <w:kern w:val="0"/>
          <w:szCs w:val="21"/>
        </w:rPr>
        <w:t>玻璃</w:t>
      </w:r>
      <w:r>
        <w:rPr>
          <w:rFonts w:hint="eastAsia"/>
          <w:szCs w:val="21"/>
        </w:rPr>
        <w:t>砂芯</w:t>
      </w:r>
      <w:r>
        <w:rPr>
          <w:rFonts w:ascii="Times New Roman" w:hAnsi="宋体" w:eastAsia="宋体" w:cs="Times New Roman"/>
          <w:kern w:val="0"/>
          <w:szCs w:val="21"/>
        </w:rPr>
        <w:t>坩埚</w:t>
      </w:r>
      <w:r>
        <w:rPr>
          <w:rFonts w:hint="eastAsia" w:ascii="Times New Roman" w:hAnsi="Times New Roman" w:eastAsia="宋体" w:cs="Times New Roman"/>
          <w:kern w:val="0"/>
          <w:szCs w:val="21"/>
        </w:rPr>
        <w:t>于已恒温110℃的干燥箱中烘干2h取出，置于干燥器中冷却30 min后称取质量，直至恒重</w:t>
      </w:r>
      <w:r>
        <w:rPr>
          <w:rFonts w:hint="eastAsia" w:ascii="Times New Roman" w:hAnsi="Times New Roman" w:eastAsiaTheme="minorEastAsia"/>
          <w:szCs w:val="21"/>
          <w:lang w:val="en-US" w:eastAsia="zh-CN"/>
        </w:rPr>
        <w:t>。</w:t>
      </w:r>
      <w:bookmarkEnd w:id="6"/>
      <w:bookmarkEnd w:id="9"/>
    </w:p>
    <w:p>
      <w:pPr>
        <w:pStyle w:val="21"/>
        <w:numPr>
          <w:ilvl w:val="1"/>
          <w:numId w:val="0"/>
        </w:numPr>
        <w:spacing w:before="156" w:after="156"/>
        <w:rPr>
          <w:rFonts w:hAnsi="宋体"/>
          <w:szCs w:val="21"/>
        </w:rPr>
      </w:pPr>
      <w:r>
        <w:rPr>
          <w:rFonts w:hint="eastAsia" w:hAnsi="宋体"/>
          <w:szCs w:val="21"/>
          <w:lang w:val="en-US" w:eastAsia="zh-CN"/>
        </w:rPr>
        <w:t xml:space="preserve">4.4 </w:t>
      </w:r>
      <w:r>
        <w:rPr>
          <w:rFonts w:hint="eastAsia" w:hAnsi="宋体"/>
          <w:szCs w:val="21"/>
        </w:rPr>
        <w:t>分析结果的计算</w:t>
      </w:r>
    </w:p>
    <w:p>
      <w:pPr>
        <w:pStyle w:val="17"/>
        <w:tabs>
          <w:tab w:val="left" w:pos="7155"/>
        </w:tabs>
        <w:spacing w:before="0" w:line="240" w:lineRule="auto"/>
        <w:jc w:val="both"/>
        <w:rPr>
          <w:sz w:val="21"/>
          <w:szCs w:val="21"/>
        </w:rPr>
      </w:pPr>
      <w:r>
        <w:rPr>
          <w:rFonts w:hint="eastAsia" w:ascii="宋体" w:hAnsi="宋体"/>
          <w:sz w:val="21"/>
          <w:szCs w:val="21"/>
          <w:lang w:eastAsia="zh-CN"/>
        </w:rPr>
        <w:t>钯含量以钯的质量分数</w:t>
      </w:r>
      <w:r>
        <w:rPr>
          <w:rFonts w:hint="eastAsia"/>
          <w:i/>
          <w:sz w:val="21"/>
          <w:szCs w:val="21"/>
        </w:rPr>
        <w:t>w</w:t>
      </w:r>
      <w:r>
        <w:rPr>
          <w:rFonts w:hint="eastAsia" w:ascii="宋体" w:hAnsi="宋体"/>
          <w:sz w:val="21"/>
          <w:szCs w:val="21"/>
          <w:vertAlign w:val="subscript"/>
        </w:rPr>
        <w:t>Pd</w:t>
      </w:r>
      <w:r>
        <w:rPr>
          <w:rFonts w:hint="eastAsia" w:ascii="宋体" w:hAnsi="宋体"/>
          <w:sz w:val="21"/>
          <w:szCs w:val="21"/>
          <w:vertAlign w:val="baseline"/>
          <w:lang w:eastAsia="zh-CN"/>
        </w:rPr>
        <w:t>计</w:t>
      </w:r>
      <w:r>
        <w:rPr>
          <w:rFonts w:hAnsi="宋体"/>
        </w:rPr>
        <w:t>，</w:t>
      </w:r>
      <w:r>
        <w:rPr>
          <w:rFonts w:hint="eastAsia" w:ascii="宋体" w:hAnsi="宋体"/>
          <w:sz w:val="21"/>
          <w:szCs w:val="21"/>
          <w:lang w:eastAsia="zh-CN"/>
        </w:rPr>
        <w:t>按公式（</w:t>
      </w:r>
      <w:r>
        <w:rPr>
          <w:rFonts w:hint="eastAsia" w:ascii="宋体" w:hAnsi="宋体"/>
          <w:sz w:val="21"/>
          <w:szCs w:val="21"/>
          <w:lang w:val="en-US" w:eastAsia="zh-CN"/>
        </w:rPr>
        <w:t>1</w:t>
      </w:r>
      <w:r>
        <w:rPr>
          <w:rFonts w:hint="eastAsia" w:ascii="宋体" w:hAnsi="宋体"/>
          <w:sz w:val="21"/>
          <w:szCs w:val="21"/>
          <w:lang w:eastAsia="zh-CN"/>
        </w:rPr>
        <w:t>）计算</w:t>
      </w:r>
      <w:r>
        <w:rPr>
          <w:rFonts w:hint="eastAsia"/>
          <w:sz w:val="21"/>
          <w:szCs w:val="21"/>
        </w:rPr>
        <w:t>：</w:t>
      </w:r>
    </w:p>
    <w:p>
      <w:pPr>
        <w:pStyle w:val="17"/>
        <w:tabs>
          <w:tab w:val="left" w:pos="7155"/>
        </w:tabs>
        <w:spacing w:before="0" w:line="240" w:lineRule="auto"/>
        <w:jc w:val="right"/>
        <w:rPr>
          <w:sz w:val="21"/>
          <w:szCs w:val="21"/>
        </w:rPr>
      </w:pPr>
      <w:bookmarkStart w:id="10" w:name="OLE_LINK24"/>
      <w:r>
        <w:rPr>
          <w:position w:val="-30"/>
        </w:rPr>
        <w:object>
          <v:shape id="_x0000_i1025" o:spt="75" type="#_x0000_t75" style="height:34.25pt;width:157pt;" o:ole="t" filled="f" o:preferrelative="t" stroked="f" coordsize="21600,21600">
            <v:path/>
            <v:fill on="f" focussize="0,0"/>
            <v:stroke on="f"/>
            <v:imagedata r:id="rId5" o:title=""/>
            <o:lock v:ext="edit" aspectratio="t"/>
            <w10:wrap type="none"/>
            <w10:anchorlock/>
          </v:shape>
          <o:OLEObject Type="Embed" ProgID="Equation.3" ShapeID="_x0000_i1025" DrawAspect="Content" ObjectID="_1468075725" r:id="rId4">
            <o:LockedField>false</o:LockedField>
          </o:OLEObject>
        </w:object>
      </w:r>
      <w:r>
        <w:rPr>
          <w:rFonts w:hint="eastAsia"/>
          <w:sz w:val="21"/>
          <w:szCs w:val="21"/>
        </w:rPr>
        <w:t>……………………………（1）</w:t>
      </w:r>
    </w:p>
    <w:bookmarkEnd w:id="10"/>
    <w:p>
      <w:pPr>
        <w:ind w:firstLine="424" w:firstLineChars="202"/>
        <w:rPr>
          <w:rFonts w:ascii="宋体" w:hAnsi="宋体" w:eastAsia="宋体"/>
          <w:szCs w:val="21"/>
        </w:rPr>
      </w:pPr>
      <w:r>
        <w:rPr>
          <w:rFonts w:ascii="宋体" w:hAnsi="宋体" w:eastAsia="宋体"/>
          <w:szCs w:val="21"/>
        </w:rPr>
        <w:t>式中：</w:t>
      </w:r>
    </w:p>
    <w:p>
      <w:pPr>
        <w:spacing w:beforeLines="50" w:afterLines="50"/>
        <w:ind w:firstLine="424" w:firstLineChars="202"/>
        <w:jc w:val="left"/>
        <w:rPr>
          <w:rFonts w:cs="宋体"/>
          <w:szCs w:val="21"/>
        </w:rPr>
      </w:pPr>
      <w:bookmarkStart w:id="11" w:name="OLE_LINK12"/>
      <w:bookmarkStart w:id="12" w:name="OLE_LINK25"/>
      <w:r>
        <w:rPr>
          <w:rFonts w:ascii="Times New Roman" w:hAnsi="Times New Roman" w:eastAsia="宋体" w:cs="Times New Roman"/>
          <w:i/>
          <w:iCs/>
          <w:szCs w:val="21"/>
        </w:rPr>
        <w:t>m</w:t>
      </w:r>
      <w:r>
        <w:rPr>
          <w:rFonts w:ascii="宋体" w:hAnsi="宋体" w:eastAsia="宋体" w:cs="宋体"/>
          <w:iCs/>
          <w:szCs w:val="21"/>
          <w:vertAlign w:val="subscript"/>
        </w:rPr>
        <w:t>2</w:t>
      </w:r>
      <w:r>
        <w:rPr>
          <w:rFonts w:hint="eastAsia" w:cs="宋体"/>
          <w:szCs w:val="21"/>
        </w:rPr>
        <w:t>——丁二酮肟钯和玻璃砂芯坩埚的质量，单位为克（g）；</w:t>
      </w:r>
    </w:p>
    <w:p>
      <w:pPr>
        <w:spacing w:beforeLines="50" w:afterLines="50"/>
        <w:ind w:firstLine="424" w:firstLineChars="202"/>
        <w:jc w:val="left"/>
        <w:rPr>
          <w:rFonts w:cs="宋体"/>
          <w:szCs w:val="21"/>
        </w:rPr>
      </w:pPr>
      <w:r>
        <w:rPr>
          <w:rFonts w:ascii="Times New Roman" w:hAnsi="Times New Roman" w:eastAsia="宋体" w:cs="Times New Roman"/>
          <w:i/>
          <w:iCs/>
          <w:szCs w:val="21"/>
        </w:rPr>
        <w:t>m</w:t>
      </w:r>
      <w:r>
        <w:rPr>
          <w:rFonts w:ascii="宋体" w:hAnsi="宋体" w:eastAsia="宋体" w:cs="宋体"/>
          <w:iCs/>
          <w:szCs w:val="21"/>
          <w:vertAlign w:val="subscript"/>
        </w:rPr>
        <w:t>1</w:t>
      </w:r>
      <w:bookmarkStart w:id="13" w:name="OLE_LINK14"/>
      <w:r>
        <w:rPr>
          <w:rFonts w:hint="eastAsia" w:cs="宋体"/>
          <w:szCs w:val="21"/>
        </w:rPr>
        <w:t>——</w:t>
      </w:r>
      <w:bookmarkEnd w:id="13"/>
      <w:r>
        <w:rPr>
          <w:rFonts w:hint="eastAsia" w:cs="宋体"/>
          <w:szCs w:val="21"/>
        </w:rPr>
        <w:t>玻璃砂芯坩埚的质量，单位为克（g）；</w:t>
      </w:r>
    </w:p>
    <w:bookmarkEnd w:id="11"/>
    <w:p>
      <w:pPr>
        <w:spacing w:beforeLines="50" w:afterLines="50"/>
        <w:ind w:firstLine="424" w:firstLineChars="202"/>
        <w:jc w:val="left"/>
        <w:rPr>
          <w:rFonts w:cs="宋体"/>
          <w:szCs w:val="21"/>
        </w:rPr>
      </w:pPr>
      <w:r>
        <w:rPr>
          <w:rFonts w:ascii="Times New Roman" w:hAnsi="Times New Roman" w:cs="Times New Roman"/>
          <w:i/>
          <w:iCs/>
          <w:szCs w:val="21"/>
        </w:rPr>
        <w:t>m</w:t>
      </w:r>
      <w:r>
        <w:rPr>
          <w:rFonts w:cs="宋体"/>
          <w:iCs/>
          <w:szCs w:val="21"/>
          <w:vertAlign w:val="subscript"/>
        </w:rPr>
        <w:t>0</w:t>
      </w:r>
      <w:r>
        <w:rPr>
          <w:rFonts w:hint="eastAsia" w:cs="宋体"/>
          <w:szCs w:val="21"/>
        </w:rPr>
        <w:t>——试料的质量，单位为克（g）；</w:t>
      </w:r>
    </w:p>
    <w:p>
      <w:pPr>
        <w:spacing w:beforeLines="50" w:afterLines="50"/>
        <w:ind w:firstLine="424" w:firstLineChars="202"/>
        <w:jc w:val="left"/>
        <w:rPr>
          <w:rFonts w:cs="宋体"/>
          <w:szCs w:val="21"/>
        </w:rPr>
      </w:pPr>
      <w:r>
        <w:rPr>
          <w:rFonts w:cs="宋体"/>
          <w:iCs/>
          <w:szCs w:val="21"/>
        </w:rPr>
        <w:t>0.3161</w:t>
      </w:r>
      <w:r>
        <w:rPr>
          <w:rFonts w:hint="eastAsia" w:cs="宋体"/>
          <w:szCs w:val="21"/>
        </w:rPr>
        <w:t>——丁二酮肟钯对钯的质量换算系数。</w:t>
      </w:r>
    </w:p>
    <w:p>
      <w:pPr>
        <w:spacing w:beforeLines="50" w:afterLines="50"/>
        <w:ind w:firstLine="424" w:firstLineChars="202"/>
        <w:jc w:val="left"/>
        <w:rPr>
          <w:rFonts w:ascii="Times New Roman" w:hAnsi="Times New Roman" w:eastAsiaTheme="minorEastAsia"/>
        </w:rPr>
      </w:pPr>
      <w:r>
        <w:rPr>
          <w:rFonts w:hint="eastAsia" w:cs="宋体"/>
          <w:szCs w:val="21"/>
        </w:rPr>
        <w:t>分析结果保留至小数点后两位。</w:t>
      </w:r>
      <w:bookmarkEnd w:id="12"/>
    </w:p>
    <w:p>
      <w:pPr>
        <w:spacing w:line="360" w:lineRule="auto"/>
        <w:rPr>
          <w:rFonts w:hint="eastAsia" w:ascii="Times New Roman" w:hAnsi="Times New Roman" w:eastAsiaTheme="minorEastAsia"/>
          <w:szCs w:val="21"/>
          <w:lang w:val="en-US" w:eastAsia="zh-CN"/>
        </w:rPr>
      </w:pPr>
      <w:bookmarkStart w:id="20" w:name="_GoBack"/>
      <w:bookmarkEnd w:id="20"/>
    </w:p>
    <w:bookmarkEnd w:id="7"/>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 结果与讨论</w:t>
      </w:r>
    </w:p>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5.1 溶液沉淀时盐酸的用量</w:t>
      </w:r>
    </w:p>
    <w:bookmarkEnd w:id="1"/>
    <w:p>
      <w:pPr>
        <w:spacing w:line="360" w:lineRule="auto"/>
        <w:ind w:firstLine="420" w:firstLineChars="200"/>
        <w:rPr>
          <w:rFonts w:ascii="Times New Roman" w:hAnsi="Times New Roman" w:eastAsiaTheme="minorEastAsia"/>
          <w:szCs w:val="21"/>
        </w:rPr>
      </w:pPr>
      <w:r>
        <w:rPr>
          <w:rFonts w:hint="eastAsia" w:ascii="Times New Roman" w:hAnsi="Times New Roman" w:eastAsiaTheme="minorEastAsia"/>
          <w:szCs w:val="21"/>
        </w:rPr>
        <w:t>试样溶液沉淀时盐酸的用量直接影响丁二酮肟与钯形成沉淀时溶液的酸度。对试样分别加入不同体积的盐酸，按照（</w:t>
      </w:r>
      <w:r>
        <w:rPr>
          <w:rFonts w:hint="eastAsia" w:ascii="Times New Roman" w:hAnsi="Times New Roman" w:eastAsiaTheme="minorEastAsia"/>
          <w:szCs w:val="21"/>
          <w:lang w:val="en-US" w:eastAsia="zh-CN"/>
        </w:rPr>
        <w:t>4.</w:t>
      </w:r>
      <w:r>
        <w:rPr>
          <w:rFonts w:hint="eastAsia" w:ascii="Times New Roman" w:hAnsi="Times New Roman" w:eastAsiaTheme="minorEastAsia"/>
          <w:szCs w:val="21"/>
        </w:rPr>
        <w:t>3）进行测定，其结果列于表</w:t>
      </w:r>
      <w:r>
        <w:rPr>
          <w:rFonts w:ascii="Times New Roman" w:hAnsi="Times New Roman" w:eastAsiaTheme="minorEastAsia"/>
          <w:szCs w:val="21"/>
        </w:rPr>
        <w:t>1</w:t>
      </w:r>
      <w:r>
        <w:rPr>
          <w:rFonts w:hint="eastAsia" w:ascii="Times New Roman" w:hAnsi="Times New Roman" w:eastAsiaTheme="minorEastAsia"/>
          <w:szCs w:val="21"/>
        </w:rPr>
        <w:t>。</w:t>
      </w:r>
    </w:p>
    <w:p>
      <w:pPr>
        <w:spacing w:line="360" w:lineRule="auto"/>
        <w:jc w:val="center"/>
        <w:rPr>
          <w:rFonts w:ascii="Times New Roman" w:hAnsi="Times New Roman" w:eastAsiaTheme="minorEastAsia"/>
          <w:szCs w:val="21"/>
        </w:rPr>
      </w:pPr>
      <w:bookmarkStart w:id="14" w:name="OLE_LINK19"/>
      <w:bookmarkStart w:id="15" w:name="OLE_LINK11"/>
      <w:r>
        <w:rPr>
          <w:rFonts w:hint="eastAsia" w:ascii="Times New Roman" w:hAnsi="Times New Roman" w:eastAsiaTheme="minorEastAsia"/>
          <w:szCs w:val="21"/>
        </w:rPr>
        <w:t xml:space="preserve"> 表</w:t>
      </w:r>
      <w:r>
        <w:rPr>
          <w:rFonts w:ascii="Times New Roman" w:hAnsi="Times New Roman" w:eastAsiaTheme="minorEastAsia"/>
          <w:szCs w:val="21"/>
        </w:rPr>
        <w:t xml:space="preserve">1 </w:t>
      </w:r>
      <w:r>
        <w:rPr>
          <w:rFonts w:hint="eastAsia" w:ascii="Times New Roman" w:hAnsi="Times New Roman" w:eastAsiaTheme="minorEastAsia"/>
          <w:szCs w:val="21"/>
        </w:rPr>
        <w:t>试样溶解中盐酸用量试验</w:t>
      </w:r>
    </w:p>
    <w:tbl>
      <w:tblPr>
        <w:tblStyle w:val="10"/>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spacing w:line="360" w:lineRule="auto"/>
              <w:jc w:val="center"/>
              <w:rPr>
                <w:rFonts w:ascii="Times New Roman" w:hAnsi="Times New Roman" w:eastAsiaTheme="minorEastAsia"/>
                <w:szCs w:val="21"/>
              </w:rPr>
            </w:pPr>
            <w:bookmarkStart w:id="16" w:name="OLE_LINK9"/>
            <w:r>
              <w:rPr>
                <w:rFonts w:hint="eastAsia" w:ascii="Times New Roman" w:hAnsi="Times New Roman" w:eastAsiaTheme="minorEastAsia"/>
                <w:szCs w:val="21"/>
              </w:rPr>
              <w:t>盐酸体积</w:t>
            </w:r>
            <w:r>
              <w:rPr>
                <w:rFonts w:ascii="Times New Roman" w:hAnsi="Times New Roman" w:eastAsiaTheme="minorEastAsia"/>
                <w:szCs w:val="21"/>
              </w:rPr>
              <w:t>v/mL</w:t>
            </w:r>
          </w:p>
        </w:tc>
        <w:tc>
          <w:tcPr>
            <w:tcW w:w="1704" w:type="dxa"/>
            <w:vAlign w:val="center"/>
          </w:tcPr>
          <w:p>
            <w:pPr>
              <w:spacing w:line="360" w:lineRule="auto"/>
              <w:jc w:val="center"/>
              <w:rPr>
                <w:rFonts w:ascii="Times New Roman" w:hAnsi="Times New Roman" w:eastAsiaTheme="minorEastAsia"/>
                <w:szCs w:val="21"/>
              </w:rPr>
            </w:pPr>
            <w:r>
              <w:rPr>
                <w:rFonts w:hint="eastAsia" w:ascii="Times New Roman" w:hAnsi="Times New Roman" w:eastAsiaTheme="minorEastAsia"/>
                <w:szCs w:val="21"/>
                <w:lang w:val="en-US" w:eastAsia="zh-CN"/>
              </w:rPr>
              <w:t>0.</w:t>
            </w:r>
            <w:r>
              <w:rPr>
                <w:rFonts w:ascii="Times New Roman" w:hAnsi="Times New Roman" w:eastAsiaTheme="minorEastAsia"/>
                <w:szCs w:val="21"/>
              </w:rPr>
              <w:t>5</w:t>
            </w:r>
          </w:p>
        </w:tc>
        <w:tc>
          <w:tcPr>
            <w:tcW w:w="1704" w:type="dxa"/>
            <w:vAlign w:val="center"/>
          </w:tcPr>
          <w:p>
            <w:pPr>
              <w:spacing w:line="360" w:lineRule="auto"/>
              <w:jc w:val="center"/>
              <w:rPr>
                <w:rFonts w:ascii="Times New Roman" w:hAnsi="Times New Roman" w:eastAsiaTheme="minorEastAsia"/>
                <w:szCs w:val="21"/>
              </w:rPr>
            </w:pPr>
            <w:r>
              <w:rPr>
                <w:rFonts w:ascii="Times New Roman" w:hAnsi="Times New Roman" w:eastAsiaTheme="minorEastAsia"/>
                <w:szCs w:val="21"/>
              </w:rPr>
              <w:t>1</w:t>
            </w:r>
          </w:p>
        </w:tc>
        <w:tc>
          <w:tcPr>
            <w:tcW w:w="1704" w:type="dxa"/>
            <w:vAlign w:val="center"/>
          </w:tcPr>
          <w:p>
            <w:pPr>
              <w:spacing w:line="360" w:lineRule="auto"/>
              <w:jc w:val="center"/>
              <w:rPr>
                <w:rFonts w:ascii="Times New Roman" w:hAnsi="Times New Roman" w:eastAsiaTheme="minorEastAsia"/>
                <w:szCs w:val="21"/>
              </w:rPr>
            </w:pPr>
            <w:r>
              <w:rPr>
                <w:rFonts w:hint="eastAsia" w:ascii="Times New Roman" w:hAnsi="Times New Roman" w:eastAsiaTheme="minorEastAsia"/>
                <w:szCs w:val="21"/>
                <w:lang w:val="en-US" w:eastAsia="zh-CN"/>
              </w:rPr>
              <w:t>2</w:t>
            </w:r>
          </w:p>
        </w:tc>
        <w:tc>
          <w:tcPr>
            <w:tcW w:w="1704" w:type="dxa"/>
            <w:vAlign w:val="center"/>
          </w:tcPr>
          <w:p>
            <w:pPr>
              <w:spacing w:line="360" w:lineRule="auto"/>
              <w:jc w:val="center"/>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04" w:type="dxa"/>
            <w:vAlign w:val="center"/>
          </w:tcPr>
          <w:p>
            <w:pPr>
              <w:spacing w:line="360" w:lineRule="auto"/>
              <w:jc w:val="center"/>
              <w:rPr>
                <w:rFonts w:ascii="Times New Roman" w:hAnsi="Times New Roman" w:eastAsiaTheme="minorEastAsia"/>
                <w:szCs w:val="21"/>
              </w:rPr>
            </w:pPr>
            <w:r>
              <w:rPr>
                <w:rFonts w:ascii="Times New Roman" w:hAnsi="Times New Roman" w:eastAsiaTheme="minorEastAsia"/>
                <w:szCs w:val="21"/>
              </w:rPr>
              <w:t>Pd</w:t>
            </w:r>
            <w:r>
              <w:rPr>
                <w:rFonts w:hint="eastAsia" w:ascii="Times New Roman" w:hAnsi="Times New Roman" w:eastAsiaTheme="minorEastAsia"/>
                <w:szCs w:val="21"/>
              </w:rPr>
              <w:t>质量分数</w:t>
            </w:r>
            <w:r>
              <w:rPr>
                <w:rFonts w:ascii="Times New Roman" w:hAnsi="Times New Roman" w:eastAsiaTheme="minorEastAsia"/>
                <w:szCs w:val="21"/>
              </w:rPr>
              <w:t>/%</w:t>
            </w:r>
          </w:p>
        </w:tc>
        <w:tc>
          <w:tcPr>
            <w:tcW w:w="1704" w:type="dxa"/>
            <w:vAlign w:val="center"/>
          </w:tcPr>
          <w:p>
            <w:pPr>
              <w:spacing w:line="360" w:lineRule="auto"/>
              <w:jc w:val="center"/>
              <w:rPr>
                <w:rFonts w:ascii="Times New Roman" w:hAnsi="Times New Roman" w:eastAsiaTheme="minorEastAsia"/>
                <w:szCs w:val="21"/>
              </w:rPr>
            </w:pPr>
            <w:r>
              <w:rPr>
                <w:rFonts w:hint="eastAsia" w:ascii="Times New Roman" w:hAnsi="Times New Roman" w:eastAsiaTheme="minorEastAsia"/>
                <w:szCs w:val="21"/>
                <w:lang w:val="en-US" w:eastAsia="zh-CN"/>
              </w:rPr>
              <w:t>17.50</w:t>
            </w:r>
          </w:p>
        </w:tc>
        <w:tc>
          <w:tcPr>
            <w:tcW w:w="1704" w:type="dxa"/>
            <w:vAlign w:val="center"/>
          </w:tcPr>
          <w:p>
            <w:pPr>
              <w:spacing w:line="360" w:lineRule="auto"/>
              <w:jc w:val="center"/>
              <w:rPr>
                <w:rFonts w:ascii="Times New Roman" w:hAnsi="Times New Roman" w:eastAsiaTheme="minorEastAsia"/>
                <w:szCs w:val="21"/>
              </w:rPr>
            </w:pPr>
            <w:r>
              <w:rPr>
                <w:rFonts w:hint="eastAsia" w:ascii="Times New Roman" w:hAnsi="Times New Roman" w:eastAsiaTheme="minorEastAsia"/>
                <w:szCs w:val="21"/>
                <w:lang w:val="en-US" w:eastAsia="zh-CN"/>
              </w:rPr>
              <w:t>17.52</w:t>
            </w:r>
          </w:p>
        </w:tc>
        <w:tc>
          <w:tcPr>
            <w:tcW w:w="1704" w:type="dxa"/>
            <w:vAlign w:val="center"/>
          </w:tcPr>
          <w:p>
            <w:pPr>
              <w:spacing w:line="360" w:lineRule="auto"/>
              <w:jc w:val="center"/>
              <w:rPr>
                <w:rFonts w:ascii="Times New Roman" w:hAnsi="Times New Roman" w:eastAsiaTheme="minorEastAsia"/>
                <w:szCs w:val="21"/>
              </w:rPr>
            </w:pPr>
            <w:r>
              <w:rPr>
                <w:rFonts w:hint="eastAsia" w:ascii="Times New Roman" w:hAnsi="Times New Roman" w:eastAsiaTheme="minorEastAsia"/>
                <w:szCs w:val="21"/>
                <w:lang w:val="en-US" w:eastAsia="zh-CN"/>
              </w:rPr>
              <w:t>17.55</w:t>
            </w:r>
          </w:p>
        </w:tc>
        <w:tc>
          <w:tcPr>
            <w:tcW w:w="1704" w:type="dxa"/>
            <w:vAlign w:val="center"/>
          </w:tcPr>
          <w:p>
            <w:pPr>
              <w:spacing w:line="360" w:lineRule="auto"/>
              <w:jc w:val="center"/>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17.51</w:t>
            </w:r>
          </w:p>
        </w:tc>
      </w:tr>
      <w:bookmarkEnd w:id="14"/>
    </w:tbl>
    <w:p>
      <w:pPr>
        <w:spacing w:line="360" w:lineRule="auto"/>
        <w:ind w:firstLine="420" w:firstLineChars="200"/>
        <w:rPr>
          <w:rFonts w:ascii="Times New Roman" w:hAnsi="Times New Roman" w:eastAsiaTheme="minorEastAsia"/>
          <w:szCs w:val="21"/>
        </w:rPr>
      </w:pPr>
      <w:bookmarkStart w:id="17" w:name="OLE_LINK18"/>
      <w:r>
        <w:rPr>
          <w:rFonts w:hint="eastAsia" w:ascii="Times New Roman" w:hAnsi="Times New Roman" w:eastAsiaTheme="minorEastAsia"/>
          <w:szCs w:val="21"/>
        </w:rPr>
        <w:t>从表</w:t>
      </w:r>
      <w:r>
        <w:rPr>
          <w:rFonts w:ascii="Times New Roman" w:hAnsi="Times New Roman" w:eastAsiaTheme="minorEastAsia"/>
          <w:szCs w:val="21"/>
        </w:rPr>
        <w:t>1</w:t>
      </w:r>
      <w:r>
        <w:rPr>
          <w:rFonts w:hint="eastAsia" w:ascii="Times New Roman" w:hAnsi="Times New Roman" w:eastAsiaTheme="minorEastAsia"/>
          <w:szCs w:val="21"/>
        </w:rPr>
        <w:t>中可以看出，盐酸体积分别为</w:t>
      </w:r>
      <w:bookmarkStart w:id="18" w:name="OLE_LINK3"/>
      <w:r>
        <w:rPr>
          <w:rFonts w:hint="eastAsia" w:ascii="Times New Roman" w:hAnsi="Times New Roman" w:eastAsiaTheme="minorEastAsia"/>
          <w:szCs w:val="21"/>
          <w:lang w:val="en-US" w:eastAsia="zh-CN"/>
        </w:rPr>
        <w:t>0.</w:t>
      </w:r>
      <w:r>
        <w:rPr>
          <w:rFonts w:ascii="Times New Roman" w:hAnsi="Times New Roman" w:eastAsiaTheme="minorEastAsia"/>
          <w:szCs w:val="21"/>
        </w:rPr>
        <w:t>5 mL</w:t>
      </w:r>
      <w:r>
        <w:rPr>
          <w:rFonts w:hint="eastAsia" w:ascii="Times New Roman" w:hAnsi="Times New Roman" w:eastAsiaTheme="minorEastAsia"/>
          <w:szCs w:val="21"/>
        </w:rPr>
        <w:t>、</w:t>
      </w:r>
      <w:r>
        <w:rPr>
          <w:rFonts w:ascii="Times New Roman" w:hAnsi="Times New Roman" w:eastAsiaTheme="minorEastAsia"/>
          <w:szCs w:val="21"/>
        </w:rPr>
        <w:t>1 mL</w:t>
      </w:r>
      <w:r>
        <w:rPr>
          <w:rFonts w:hint="eastAsia" w:ascii="Times New Roman" w:hAnsi="Times New Roman" w:eastAsiaTheme="minorEastAsia"/>
          <w:szCs w:val="21"/>
        </w:rPr>
        <w:t>、</w:t>
      </w:r>
      <w:r>
        <w:rPr>
          <w:rFonts w:hint="eastAsia" w:ascii="Times New Roman" w:hAnsi="Times New Roman" w:eastAsiaTheme="minorEastAsia"/>
          <w:szCs w:val="21"/>
          <w:lang w:val="en-US" w:eastAsia="zh-CN"/>
        </w:rPr>
        <w:t>2</w:t>
      </w:r>
      <w:r>
        <w:rPr>
          <w:rFonts w:ascii="Times New Roman" w:hAnsi="Times New Roman" w:eastAsiaTheme="minorEastAsia"/>
          <w:szCs w:val="21"/>
        </w:rPr>
        <w:t xml:space="preserve"> mL</w:t>
      </w:r>
      <w:r>
        <w:rPr>
          <w:rFonts w:hint="eastAsia" w:ascii="Times New Roman" w:hAnsi="Times New Roman" w:eastAsiaTheme="minorEastAsia"/>
          <w:szCs w:val="21"/>
          <w:lang w:eastAsia="zh-CN"/>
        </w:rPr>
        <w:t>和</w:t>
      </w:r>
      <w:r>
        <w:rPr>
          <w:rFonts w:hint="eastAsia" w:ascii="Times New Roman" w:hAnsi="Times New Roman" w:eastAsiaTheme="minorEastAsia"/>
          <w:szCs w:val="21"/>
          <w:lang w:val="en-US" w:eastAsia="zh-CN"/>
        </w:rPr>
        <w:t>3</w:t>
      </w:r>
      <w:r>
        <w:rPr>
          <w:rFonts w:ascii="Times New Roman" w:hAnsi="Times New Roman" w:eastAsiaTheme="minorEastAsia"/>
          <w:szCs w:val="21"/>
        </w:rPr>
        <w:t>mL</w:t>
      </w:r>
      <w:bookmarkEnd w:id="18"/>
      <w:r>
        <w:rPr>
          <w:rFonts w:hint="eastAsia" w:ascii="Times New Roman" w:hAnsi="Times New Roman" w:eastAsiaTheme="minorEastAsia"/>
          <w:szCs w:val="21"/>
        </w:rPr>
        <w:t>时，其测定结果基本一致，综合考虑盐酸用量选择为</w:t>
      </w:r>
      <w:r>
        <w:rPr>
          <w:rFonts w:hint="eastAsia" w:ascii="Times New Roman" w:hAnsi="Times New Roman" w:eastAsiaTheme="minorEastAsia"/>
          <w:szCs w:val="21"/>
          <w:lang w:val="en-US" w:eastAsia="zh-CN"/>
        </w:rPr>
        <w:t>2</w:t>
      </w:r>
      <w:r>
        <w:rPr>
          <w:rFonts w:ascii="Times New Roman" w:hAnsi="Times New Roman" w:eastAsiaTheme="minorEastAsia"/>
          <w:szCs w:val="21"/>
        </w:rPr>
        <w:t xml:space="preserve"> mL</w:t>
      </w:r>
      <w:r>
        <w:rPr>
          <w:rFonts w:hint="eastAsia" w:ascii="Times New Roman" w:hAnsi="Times New Roman" w:eastAsiaTheme="minorEastAsia"/>
          <w:szCs w:val="21"/>
        </w:rPr>
        <w:t>。</w:t>
      </w:r>
    </w:p>
    <w:bookmarkEnd w:id="15"/>
    <w:bookmarkEnd w:id="16"/>
    <w:bookmarkEnd w:id="17"/>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5.2 丁二酮肟乙醇溶液用量</w:t>
      </w:r>
    </w:p>
    <w:p>
      <w:pPr>
        <w:spacing w:line="360" w:lineRule="auto"/>
        <w:ind w:firstLine="420" w:firstLineChars="200"/>
        <w:rPr>
          <w:rFonts w:ascii="Times New Roman" w:hAnsi="Times New Roman"/>
          <w:szCs w:val="21"/>
        </w:rPr>
      </w:pPr>
      <w:r>
        <w:rPr>
          <w:rFonts w:hint="eastAsia" w:ascii="Times New Roman" w:hAnsi="Times New Roman"/>
          <w:szCs w:val="21"/>
        </w:rPr>
        <w:t>对试样分别加入不同体积的</w:t>
      </w:r>
      <w:r>
        <w:rPr>
          <w:rFonts w:ascii="Times New Roman" w:hAnsi="Times New Roman"/>
          <w:szCs w:val="21"/>
        </w:rPr>
        <w:t>10 g/L</w:t>
      </w:r>
      <w:r>
        <w:rPr>
          <w:rFonts w:hint="eastAsia" w:ascii="Times New Roman" w:hAnsi="Times New Roman"/>
          <w:szCs w:val="21"/>
        </w:rPr>
        <w:t>丁二酮肟乙醇溶液，按照（</w:t>
      </w:r>
      <w:r>
        <w:rPr>
          <w:rFonts w:hint="eastAsia" w:ascii="Times New Roman" w:hAnsi="Times New Roman"/>
          <w:szCs w:val="21"/>
          <w:lang w:val="en-US" w:eastAsia="zh-CN"/>
        </w:rPr>
        <w:t>4</w:t>
      </w:r>
      <w:r>
        <w:rPr>
          <w:rFonts w:hint="eastAsia" w:ascii="Times New Roman" w:hAnsi="Times New Roman"/>
          <w:szCs w:val="21"/>
        </w:rPr>
        <w:t>.3）进行测定，其结果列于表</w:t>
      </w:r>
      <w:r>
        <w:rPr>
          <w:rFonts w:ascii="Times New Roman" w:hAnsi="Times New Roman"/>
          <w:szCs w:val="21"/>
        </w:rPr>
        <w:t>2</w:t>
      </w:r>
      <w:r>
        <w:rPr>
          <w:rFonts w:hint="eastAsia" w:ascii="Times New Roman" w:hAnsi="Times New Roman"/>
          <w:szCs w:val="21"/>
        </w:rPr>
        <w:t>。</w:t>
      </w:r>
    </w:p>
    <w:p>
      <w:pPr>
        <w:spacing w:line="360" w:lineRule="auto"/>
        <w:jc w:val="center"/>
        <w:rPr>
          <w:rFonts w:ascii="Times New Roman" w:hAnsi="Times New Roman"/>
          <w:szCs w:val="21"/>
        </w:rPr>
      </w:pPr>
      <w:r>
        <w:rPr>
          <w:rFonts w:hint="eastAsia" w:ascii="Times New Roman" w:hAnsi="Times New Roman"/>
          <w:szCs w:val="21"/>
        </w:rPr>
        <w:t xml:space="preserve">  表</w:t>
      </w:r>
      <w:r>
        <w:rPr>
          <w:rFonts w:ascii="Times New Roman" w:hAnsi="Times New Roman"/>
          <w:szCs w:val="21"/>
        </w:rPr>
        <w:t xml:space="preserve">2 </w:t>
      </w:r>
      <w:r>
        <w:rPr>
          <w:rFonts w:hint="eastAsia" w:ascii="Times New Roman" w:hAnsi="Times New Roman"/>
          <w:szCs w:val="21"/>
        </w:rPr>
        <w:t>丁二酮肟乙醇溶液用量试验</w:t>
      </w:r>
    </w:p>
    <w:tbl>
      <w:tblPr>
        <w:tblStyle w:val="10"/>
        <w:tblW w:w="8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5"/>
        <w:gridCol w:w="1258"/>
        <w:gridCol w:w="1259"/>
        <w:gridCol w:w="1259"/>
        <w:gridCol w:w="125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2035" w:type="dxa"/>
            <w:vAlign w:val="center"/>
          </w:tcPr>
          <w:p>
            <w:pPr>
              <w:spacing w:line="360" w:lineRule="auto"/>
              <w:jc w:val="center"/>
              <w:rPr>
                <w:rFonts w:ascii="Times New Roman" w:hAnsi="Times New Roman"/>
                <w:szCs w:val="21"/>
              </w:rPr>
            </w:pPr>
            <w:r>
              <w:rPr>
                <w:rFonts w:hint="eastAsia" w:ascii="Times New Roman" w:hAnsi="Times New Roman"/>
                <w:szCs w:val="21"/>
              </w:rPr>
              <w:t>丁二酮肟乙醇溶液体积</w:t>
            </w:r>
            <w:r>
              <w:rPr>
                <w:rFonts w:ascii="Times New Roman" w:hAnsi="Times New Roman"/>
                <w:szCs w:val="21"/>
              </w:rPr>
              <w:t>/mL</w:t>
            </w:r>
          </w:p>
        </w:tc>
        <w:tc>
          <w:tcPr>
            <w:tcW w:w="1258" w:type="dxa"/>
            <w:vAlign w:val="center"/>
          </w:tcPr>
          <w:p>
            <w:pPr>
              <w:spacing w:line="360" w:lineRule="auto"/>
              <w:jc w:val="center"/>
              <w:rPr>
                <w:rFonts w:ascii="Times New Roman" w:hAnsi="Times New Roman"/>
                <w:szCs w:val="21"/>
              </w:rPr>
            </w:pPr>
            <w:r>
              <w:rPr>
                <w:rFonts w:ascii="Times New Roman" w:hAnsi="Times New Roman"/>
                <w:szCs w:val="21"/>
              </w:rPr>
              <w:t>30</w:t>
            </w:r>
          </w:p>
        </w:tc>
        <w:tc>
          <w:tcPr>
            <w:tcW w:w="1259" w:type="dxa"/>
            <w:vAlign w:val="center"/>
          </w:tcPr>
          <w:p>
            <w:pPr>
              <w:spacing w:line="360" w:lineRule="auto"/>
              <w:jc w:val="center"/>
              <w:rPr>
                <w:rFonts w:ascii="Times New Roman" w:hAnsi="Times New Roman"/>
                <w:szCs w:val="21"/>
              </w:rPr>
            </w:pPr>
            <w:r>
              <w:rPr>
                <w:rFonts w:ascii="Times New Roman" w:hAnsi="Times New Roman"/>
                <w:szCs w:val="21"/>
              </w:rPr>
              <w:t>40</w:t>
            </w:r>
          </w:p>
        </w:tc>
        <w:tc>
          <w:tcPr>
            <w:tcW w:w="1259" w:type="dxa"/>
            <w:vAlign w:val="center"/>
          </w:tcPr>
          <w:p>
            <w:pPr>
              <w:spacing w:line="360" w:lineRule="auto"/>
              <w:jc w:val="center"/>
              <w:rPr>
                <w:rFonts w:ascii="Times New Roman" w:hAnsi="Times New Roman"/>
                <w:szCs w:val="21"/>
              </w:rPr>
            </w:pPr>
            <w:r>
              <w:rPr>
                <w:rFonts w:ascii="Times New Roman" w:hAnsi="Times New Roman"/>
                <w:szCs w:val="21"/>
              </w:rPr>
              <w:t>50</w:t>
            </w:r>
          </w:p>
        </w:tc>
        <w:tc>
          <w:tcPr>
            <w:tcW w:w="1259" w:type="dxa"/>
            <w:vAlign w:val="center"/>
          </w:tcPr>
          <w:p>
            <w:pPr>
              <w:spacing w:line="360" w:lineRule="auto"/>
              <w:jc w:val="center"/>
              <w:rPr>
                <w:rFonts w:ascii="Times New Roman" w:hAnsi="Times New Roman"/>
                <w:szCs w:val="21"/>
              </w:rPr>
            </w:pPr>
            <w:r>
              <w:rPr>
                <w:rFonts w:ascii="Times New Roman" w:hAnsi="Times New Roman"/>
                <w:szCs w:val="21"/>
              </w:rPr>
              <w:t>60</w:t>
            </w:r>
          </w:p>
        </w:tc>
        <w:tc>
          <w:tcPr>
            <w:tcW w:w="1259" w:type="dxa"/>
            <w:vAlign w:val="center"/>
          </w:tcPr>
          <w:p>
            <w:pPr>
              <w:spacing w:line="360" w:lineRule="auto"/>
              <w:jc w:val="center"/>
              <w:rPr>
                <w:rFonts w:ascii="Times New Roman" w:hAnsi="Times New Roman"/>
                <w:szCs w:val="21"/>
              </w:rPr>
            </w:pPr>
            <w:r>
              <w:rPr>
                <w:rFonts w:ascii="Times New Roman" w:hAnsi="Times New Roman"/>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2035" w:type="dxa"/>
            <w:vAlign w:val="center"/>
          </w:tcPr>
          <w:p>
            <w:pPr>
              <w:spacing w:line="360" w:lineRule="auto"/>
              <w:jc w:val="center"/>
              <w:rPr>
                <w:rFonts w:ascii="Times New Roman" w:hAnsi="Times New Roman"/>
                <w:szCs w:val="21"/>
              </w:rPr>
            </w:pPr>
            <w:r>
              <w:rPr>
                <w:rFonts w:ascii="Times New Roman" w:hAnsi="Times New Roman"/>
                <w:szCs w:val="21"/>
              </w:rPr>
              <w:t>Pd</w:t>
            </w:r>
            <w:r>
              <w:rPr>
                <w:rFonts w:hint="eastAsia" w:ascii="Times New Roman" w:hAnsi="Times New Roman"/>
                <w:szCs w:val="21"/>
              </w:rPr>
              <w:t>质量分数</w:t>
            </w:r>
            <w:r>
              <w:rPr>
                <w:rFonts w:ascii="Times New Roman" w:hAnsi="Times New Roman"/>
                <w:szCs w:val="21"/>
              </w:rPr>
              <w:t>/%</w:t>
            </w:r>
          </w:p>
        </w:tc>
        <w:tc>
          <w:tcPr>
            <w:tcW w:w="1258" w:type="dxa"/>
            <w:vAlign w:val="center"/>
          </w:tcPr>
          <w:p>
            <w:pPr>
              <w:spacing w:line="360" w:lineRule="auto"/>
              <w:jc w:val="center"/>
              <w:rPr>
                <w:rFonts w:ascii="Times New Roman" w:hAnsi="Times New Roman"/>
                <w:szCs w:val="21"/>
              </w:rPr>
            </w:pPr>
            <w:r>
              <w:rPr>
                <w:rFonts w:hint="eastAsia" w:ascii="Times New Roman" w:hAnsi="Times New Roman"/>
                <w:szCs w:val="21"/>
                <w:lang w:val="en-US" w:eastAsia="zh-CN"/>
              </w:rPr>
              <w:t>17.40</w:t>
            </w:r>
          </w:p>
        </w:tc>
        <w:tc>
          <w:tcPr>
            <w:tcW w:w="1259" w:type="dxa"/>
            <w:vAlign w:val="center"/>
          </w:tcPr>
          <w:p>
            <w:pPr>
              <w:spacing w:line="360" w:lineRule="auto"/>
              <w:jc w:val="center"/>
              <w:rPr>
                <w:rFonts w:ascii="Times New Roman" w:hAnsi="Times New Roman"/>
                <w:szCs w:val="21"/>
              </w:rPr>
            </w:pPr>
            <w:r>
              <w:rPr>
                <w:rFonts w:hint="eastAsia" w:ascii="Times New Roman" w:hAnsi="Times New Roman"/>
                <w:szCs w:val="21"/>
                <w:lang w:val="en-US" w:eastAsia="zh-CN"/>
              </w:rPr>
              <w:t>17.46</w:t>
            </w:r>
          </w:p>
        </w:tc>
        <w:tc>
          <w:tcPr>
            <w:tcW w:w="1259" w:type="dxa"/>
            <w:vAlign w:val="center"/>
          </w:tcPr>
          <w:p>
            <w:pPr>
              <w:spacing w:line="360" w:lineRule="auto"/>
              <w:jc w:val="center"/>
              <w:rPr>
                <w:rFonts w:ascii="Times New Roman" w:hAnsi="Times New Roman"/>
                <w:szCs w:val="21"/>
              </w:rPr>
            </w:pPr>
            <w:r>
              <w:rPr>
                <w:rFonts w:hint="eastAsia" w:ascii="Times New Roman" w:hAnsi="Times New Roman"/>
                <w:szCs w:val="21"/>
                <w:lang w:val="en-US" w:eastAsia="zh-CN"/>
              </w:rPr>
              <w:t>17.56</w:t>
            </w:r>
          </w:p>
        </w:tc>
        <w:tc>
          <w:tcPr>
            <w:tcW w:w="1259" w:type="dxa"/>
            <w:vAlign w:val="center"/>
          </w:tcPr>
          <w:p>
            <w:pPr>
              <w:spacing w:line="360" w:lineRule="auto"/>
              <w:jc w:val="center"/>
              <w:rPr>
                <w:rFonts w:ascii="Times New Roman" w:hAnsi="Times New Roman"/>
                <w:szCs w:val="21"/>
              </w:rPr>
            </w:pPr>
            <w:r>
              <w:rPr>
                <w:rFonts w:hint="eastAsia" w:ascii="Times New Roman" w:hAnsi="Times New Roman"/>
                <w:szCs w:val="21"/>
                <w:lang w:val="en-US" w:eastAsia="zh-CN"/>
              </w:rPr>
              <w:t>17.55</w:t>
            </w:r>
          </w:p>
        </w:tc>
        <w:tc>
          <w:tcPr>
            <w:tcW w:w="1259" w:type="dxa"/>
            <w:vAlign w:val="center"/>
          </w:tcPr>
          <w:p>
            <w:pPr>
              <w:spacing w:line="360" w:lineRule="auto"/>
              <w:jc w:val="center"/>
              <w:rPr>
                <w:rFonts w:ascii="Times New Roman" w:hAnsi="Times New Roman"/>
                <w:szCs w:val="21"/>
              </w:rPr>
            </w:pPr>
            <w:r>
              <w:rPr>
                <w:rFonts w:hint="eastAsia" w:ascii="Times New Roman" w:hAnsi="Times New Roman"/>
                <w:szCs w:val="21"/>
                <w:lang w:val="en-US" w:eastAsia="zh-CN"/>
              </w:rPr>
              <w:t>17.56</w:t>
            </w:r>
          </w:p>
        </w:tc>
      </w:tr>
    </w:tbl>
    <w:p>
      <w:pPr>
        <w:spacing w:line="360" w:lineRule="auto"/>
        <w:ind w:firstLine="420" w:firstLineChars="200"/>
        <w:rPr>
          <w:rFonts w:ascii="Times New Roman" w:hAnsi="Times New Roman"/>
          <w:szCs w:val="21"/>
        </w:rPr>
      </w:pPr>
      <w:r>
        <w:rPr>
          <w:rFonts w:hint="eastAsia" w:ascii="Times New Roman" w:hAnsi="Times New Roman"/>
          <w:szCs w:val="21"/>
        </w:rPr>
        <w:t>从表</w:t>
      </w:r>
      <w:r>
        <w:rPr>
          <w:rFonts w:ascii="Times New Roman" w:hAnsi="Times New Roman"/>
          <w:szCs w:val="21"/>
        </w:rPr>
        <w:t>2</w:t>
      </w:r>
      <w:r>
        <w:rPr>
          <w:rFonts w:hint="eastAsia" w:ascii="Times New Roman" w:hAnsi="Times New Roman"/>
          <w:szCs w:val="21"/>
        </w:rPr>
        <w:t>中可以看出，当丁二酮肟乙醇溶液的体积在</w:t>
      </w:r>
      <w:r>
        <w:rPr>
          <w:rFonts w:ascii="Times New Roman" w:hAnsi="Times New Roman"/>
          <w:szCs w:val="21"/>
        </w:rPr>
        <w:t>40 mL~60 mL</w:t>
      </w:r>
      <w:r>
        <w:rPr>
          <w:rFonts w:hint="eastAsia" w:ascii="Times New Roman" w:hAnsi="Times New Roman"/>
          <w:szCs w:val="21"/>
        </w:rPr>
        <w:t>范围内，测定结果符合产品要求，综合考虑丁二酮肟乙醇溶液的用量选择为</w:t>
      </w:r>
      <w:r>
        <w:rPr>
          <w:rFonts w:ascii="Times New Roman" w:hAnsi="Times New Roman"/>
          <w:szCs w:val="21"/>
        </w:rPr>
        <w:t>50 mL</w:t>
      </w:r>
      <w:r>
        <w:rPr>
          <w:rFonts w:hint="eastAsia" w:ascii="Times New Roman" w:hAnsi="Times New Roman"/>
          <w:szCs w:val="21"/>
        </w:rPr>
        <w:t>。</w:t>
      </w:r>
    </w:p>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5.3 沉淀静置时间</w:t>
      </w:r>
    </w:p>
    <w:p>
      <w:pPr>
        <w:spacing w:line="360" w:lineRule="auto"/>
        <w:ind w:firstLine="420" w:firstLineChars="200"/>
        <w:rPr>
          <w:rFonts w:ascii="Times New Roman" w:hAnsi="Times New Roman" w:eastAsiaTheme="minorEastAsia"/>
          <w:szCs w:val="21"/>
        </w:rPr>
      </w:pPr>
      <w:r>
        <w:rPr>
          <w:rFonts w:hint="eastAsia" w:ascii="Times New Roman" w:hAnsi="Times New Roman" w:eastAsiaTheme="minorEastAsia"/>
          <w:szCs w:val="21"/>
        </w:rPr>
        <w:t>考察丁二酮肟钯沉淀静置时间对测定结果的影响，其实验数据列于表</w:t>
      </w:r>
      <w:r>
        <w:rPr>
          <w:rFonts w:ascii="Times New Roman" w:hAnsi="Times New Roman" w:eastAsiaTheme="minorEastAsia"/>
          <w:szCs w:val="21"/>
        </w:rPr>
        <w:t>3</w:t>
      </w:r>
      <w:r>
        <w:rPr>
          <w:rFonts w:hint="eastAsia" w:ascii="Times New Roman" w:hAnsi="Times New Roman" w:eastAsiaTheme="minorEastAsia"/>
          <w:szCs w:val="21"/>
        </w:rPr>
        <w:t>。</w:t>
      </w:r>
    </w:p>
    <w:p>
      <w:pPr>
        <w:spacing w:line="360" w:lineRule="auto"/>
        <w:rPr>
          <w:rFonts w:ascii="Times New Roman" w:hAnsi="Times New Roman" w:eastAsiaTheme="minorEastAsia"/>
          <w:szCs w:val="21"/>
        </w:rPr>
      </w:pPr>
      <w:r>
        <w:rPr>
          <w:rFonts w:hint="eastAsia" w:ascii="Times New Roman" w:hAnsi="Times New Roman"/>
          <w:szCs w:val="21"/>
        </w:rPr>
        <w:t xml:space="preserve">                           </w:t>
      </w:r>
      <w:r>
        <w:rPr>
          <w:rFonts w:hint="eastAsia" w:ascii="Times New Roman" w:hAnsi="Times New Roman" w:eastAsiaTheme="minorEastAsia"/>
          <w:szCs w:val="21"/>
        </w:rPr>
        <w:t>表</w:t>
      </w:r>
      <w:r>
        <w:rPr>
          <w:rFonts w:ascii="Times New Roman" w:hAnsi="Times New Roman" w:eastAsiaTheme="minorEastAsia"/>
          <w:szCs w:val="21"/>
        </w:rPr>
        <w:t xml:space="preserve">3 </w:t>
      </w:r>
      <w:r>
        <w:rPr>
          <w:rFonts w:hint="eastAsia" w:ascii="Times New Roman" w:hAnsi="Times New Roman" w:eastAsiaTheme="minorEastAsia"/>
          <w:szCs w:val="21"/>
        </w:rPr>
        <w:t>丁二酮肟钯沉淀静置时间</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208"/>
        <w:gridCol w:w="1209"/>
        <w:gridCol w:w="1209"/>
        <w:gridCol w:w="1209"/>
        <w:gridCol w:w="1209"/>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0" w:type="dxa"/>
            <w:vAlign w:val="center"/>
          </w:tcPr>
          <w:p>
            <w:pPr>
              <w:spacing w:line="360" w:lineRule="auto"/>
              <w:jc w:val="center"/>
              <w:rPr>
                <w:rFonts w:ascii="Times New Roman" w:hAnsi="Times New Roman" w:eastAsiaTheme="minorEastAsia"/>
                <w:szCs w:val="21"/>
              </w:rPr>
            </w:pPr>
            <w:r>
              <w:rPr>
                <w:rFonts w:hint="eastAsia" w:ascii="Times New Roman" w:hAnsi="Times New Roman" w:eastAsiaTheme="minorEastAsia"/>
                <w:szCs w:val="21"/>
              </w:rPr>
              <w:t>静置时间</w:t>
            </w:r>
            <w:r>
              <w:rPr>
                <w:rFonts w:ascii="Times New Roman" w:hAnsi="Times New Roman" w:eastAsiaTheme="minorEastAsia"/>
                <w:szCs w:val="21"/>
              </w:rPr>
              <w:t>/h</w:t>
            </w:r>
          </w:p>
        </w:tc>
        <w:tc>
          <w:tcPr>
            <w:tcW w:w="1208" w:type="dxa"/>
            <w:vAlign w:val="center"/>
          </w:tcPr>
          <w:p>
            <w:pPr>
              <w:spacing w:line="360" w:lineRule="auto"/>
              <w:jc w:val="center"/>
              <w:rPr>
                <w:rFonts w:ascii="Times New Roman" w:hAnsi="Times New Roman" w:eastAsiaTheme="minorEastAsia"/>
                <w:szCs w:val="21"/>
              </w:rPr>
            </w:pPr>
            <w:r>
              <w:rPr>
                <w:rFonts w:ascii="Times New Roman" w:hAnsi="Times New Roman" w:eastAsiaTheme="minorEastAsia"/>
                <w:szCs w:val="21"/>
              </w:rPr>
              <w:t>1</w:t>
            </w:r>
          </w:p>
        </w:tc>
        <w:tc>
          <w:tcPr>
            <w:tcW w:w="1209" w:type="dxa"/>
            <w:vAlign w:val="center"/>
          </w:tcPr>
          <w:p>
            <w:pPr>
              <w:spacing w:line="360" w:lineRule="auto"/>
              <w:jc w:val="center"/>
              <w:rPr>
                <w:rFonts w:ascii="Times New Roman" w:hAnsi="Times New Roman" w:eastAsiaTheme="minorEastAsia"/>
                <w:szCs w:val="21"/>
              </w:rPr>
            </w:pPr>
            <w:r>
              <w:rPr>
                <w:rFonts w:ascii="Times New Roman" w:hAnsi="Times New Roman" w:eastAsiaTheme="minorEastAsia"/>
                <w:szCs w:val="21"/>
              </w:rPr>
              <w:t>2</w:t>
            </w:r>
          </w:p>
        </w:tc>
        <w:tc>
          <w:tcPr>
            <w:tcW w:w="1209" w:type="dxa"/>
            <w:vAlign w:val="center"/>
          </w:tcPr>
          <w:p>
            <w:pPr>
              <w:spacing w:line="360" w:lineRule="auto"/>
              <w:jc w:val="center"/>
              <w:rPr>
                <w:rFonts w:ascii="Times New Roman" w:hAnsi="Times New Roman" w:eastAsiaTheme="minorEastAsia"/>
                <w:szCs w:val="21"/>
              </w:rPr>
            </w:pPr>
            <w:r>
              <w:rPr>
                <w:rFonts w:ascii="Times New Roman" w:hAnsi="Times New Roman" w:eastAsiaTheme="minorEastAsia"/>
                <w:szCs w:val="21"/>
              </w:rPr>
              <w:t>4</w:t>
            </w:r>
          </w:p>
        </w:tc>
        <w:tc>
          <w:tcPr>
            <w:tcW w:w="1209" w:type="dxa"/>
            <w:vAlign w:val="center"/>
          </w:tcPr>
          <w:p>
            <w:pPr>
              <w:spacing w:line="360" w:lineRule="auto"/>
              <w:jc w:val="center"/>
              <w:rPr>
                <w:rFonts w:ascii="Times New Roman" w:hAnsi="Times New Roman" w:eastAsiaTheme="minorEastAsia"/>
                <w:szCs w:val="21"/>
              </w:rPr>
            </w:pPr>
            <w:r>
              <w:rPr>
                <w:rFonts w:ascii="Times New Roman" w:hAnsi="Times New Roman" w:eastAsiaTheme="minorEastAsia"/>
                <w:szCs w:val="21"/>
              </w:rPr>
              <w:t>5</w:t>
            </w:r>
          </w:p>
        </w:tc>
        <w:tc>
          <w:tcPr>
            <w:tcW w:w="1209" w:type="dxa"/>
            <w:vAlign w:val="center"/>
          </w:tcPr>
          <w:p>
            <w:pPr>
              <w:spacing w:line="360" w:lineRule="auto"/>
              <w:jc w:val="center"/>
              <w:rPr>
                <w:rFonts w:ascii="Times New Roman" w:hAnsi="Times New Roman" w:eastAsiaTheme="minorEastAsia"/>
                <w:szCs w:val="21"/>
              </w:rPr>
            </w:pPr>
            <w:r>
              <w:rPr>
                <w:rFonts w:ascii="Times New Roman" w:hAnsi="Times New Roman" w:eastAsiaTheme="minorEastAsia"/>
                <w:szCs w:val="21"/>
              </w:rPr>
              <w:t>7</w:t>
            </w:r>
          </w:p>
        </w:tc>
        <w:tc>
          <w:tcPr>
            <w:tcW w:w="1098" w:type="dxa"/>
            <w:vAlign w:val="center"/>
          </w:tcPr>
          <w:p>
            <w:pPr>
              <w:spacing w:line="360" w:lineRule="auto"/>
              <w:jc w:val="center"/>
              <w:rPr>
                <w:rFonts w:ascii="Times New Roman" w:hAnsi="Times New Roman" w:eastAsiaTheme="minorEastAsia"/>
                <w:szCs w:val="21"/>
              </w:rPr>
            </w:pPr>
            <w:r>
              <w:rPr>
                <w:rFonts w:hint="eastAsia" w:ascii="Times New Roman" w:hAnsi="Times New Roman" w:eastAsiaTheme="minorEastAsia"/>
                <w:szCs w:val="21"/>
              </w:rPr>
              <w:t>静置过夜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0" w:type="dxa"/>
            <w:vAlign w:val="center"/>
          </w:tcPr>
          <w:p>
            <w:pPr>
              <w:spacing w:line="360" w:lineRule="auto"/>
              <w:jc w:val="center"/>
              <w:rPr>
                <w:rFonts w:ascii="Times New Roman" w:hAnsi="Times New Roman" w:eastAsiaTheme="minorEastAsia"/>
                <w:szCs w:val="21"/>
              </w:rPr>
            </w:pPr>
            <w:r>
              <w:rPr>
                <w:rFonts w:hint="eastAsia" w:ascii="Times New Roman" w:hAnsi="Times New Roman" w:eastAsiaTheme="minorEastAsia"/>
                <w:szCs w:val="21"/>
              </w:rPr>
              <w:t>Pd质量分数/%</w:t>
            </w:r>
          </w:p>
        </w:tc>
        <w:tc>
          <w:tcPr>
            <w:tcW w:w="1208" w:type="dxa"/>
            <w:vAlign w:val="center"/>
          </w:tcPr>
          <w:p>
            <w:pPr>
              <w:spacing w:line="360" w:lineRule="auto"/>
              <w:jc w:val="center"/>
              <w:rPr>
                <w:rFonts w:ascii="Times New Roman" w:hAnsi="Times New Roman" w:eastAsiaTheme="minorEastAsia"/>
                <w:szCs w:val="21"/>
              </w:rPr>
            </w:pPr>
            <w:r>
              <w:rPr>
                <w:rFonts w:hint="eastAsia" w:ascii="Times New Roman" w:hAnsi="Times New Roman"/>
                <w:szCs w:val="21"/>
                <w:lang w:val="en-US" w:eastAsia="zh-CN"/>
              </w:rPr>
              <w:t>17.45</w:t>
            </w:r>
          </w:p>
        </w:tc>
        <w:tc>
          <w:tcPr>
            <w:tcW w:w="1209" w:type="dxa"/>
            <w:vAlign w:val="center"/>
          </w:tcPr>
          <w:p>
            <w:pPr>
              <w:spacing w:line="360" w:lineRule="auto"/>
              <w:jc w:val="center"/>
              <w:rPr>
                <w:rFonts w:ascii="Times New Roman" w:hAnsi="Times New Roman" w:eastAsiaTheme="minorEastAsia"/>
                <w:szCs w:val="21"/>
              </w:rPr>
            </w:pPr>
            <w:r>
              <w:rPr>
                <w:rFonts w:hint="eastAsia" w:ascii="Times New Roman" w:hAnsi="Times New Roman"/>
                <w:szCs w:val="21"/>
                <w:lang w:val="en-US" w:eastAsia="zh-CN"/>
              </w:rPr>
              <w:t>17.48</w:t>
            </w:r>
          </w:p>
        </w:tc>
        <w:tc>
          <w:tcPr>
            <w:tcW w:w="1209" w:type="dxa"/>
            <w:vAlign w:val="center"/>
          </w:tcPr>
          <w:p>
            <w:pPr>
              <w:spacing w:line="360" w:lineRule="auto"/>
              <w:jc w:val="center"/>
              <w:rPr>
                <w:rFonts w:ascii="Times New Roman" w:hAnsi="Times New Roman" w:eastAsiaTheme="minorEastAsia"/>
                <w:szCs w:val="21"/>
              </w:rPr>
            </w:pPr>
            <w:r>
              <w:rPr>
                <w:rFonts w:hint="eastAsia" w:ascii="Times New Roman" w:hAnsi="Times New Roman"/>
                <w:szCs w:val="21"/>
                <w:lang w:val="en-US" w:eastAsia="zh-CN"/>
              </w:rPr>
              <w:t>17.50</w:t>
            </w:r>
          </w:p>
        </w:tc>
        <w:tc>
          <w:tcPr>
            <w:tcW w:w="1209" w:type="dxa"/>
            <w:vAlign w:val="center"/>
          </w:tcPr>
          <w:p>
            <w:pPr>
              <w:spacing w:line="360" w:lineRule="auto"/>
              <w:jc w:val="center"/>
              <w:rPr>
                <w:rFonts w:ascii="Times New Roman" w:hAnsi="Times New Roman" w:eastAsiaTheme="minorEastAsia"/>
                <w:szCs w:val="21"/>
              </w:rPr>
            </w:pPr>
            <w:r>
              <w:rPr>
                <w:rFonts w:hint="eastAsia" w:ascii="Times New Roman" w:hAnsi="Times New Roman"/>
                <w:szCs w:val="21"/>
                <w:lang w:val="en-US" w:eastAsia="zh-CN"/>
              </w:rPr>
              <w:t>17.57</w:t>
            </w:r>
          </w:p>
        </w:tc>
        <w:tc>
          <w:tcPr>
            <w:tcW w:w="1209" w:type="dxa"/>
            <w:vAlign w:val="center"/>
          </w:tcPr>
          <w:p>
            <w:pPr>
              <w:spacing w:line="360" w:lineRule="auto"/>
              <w:jc w:val="center"/>
              <w:rPr>
                <w:rFonts w:ascii="Times New Roman" w:hAnsi="Times New Roman" w:eastAsiaTheme="minorEastAsia"/>
                <w:szCs w:val="21"/>
              </w:rPr>
            </w:pPr>
            <w:r>
              <w:rPr>
                <w:rFonts w:hint="eastAsia" w:ascii="Times New Roman" w:hAnsi="Times New Roman"/>
                <w:szCs w:val="21"/>
                <w:lang w:val="en-US" w:eastAsia="zh-CN"/>
              </w:rPr>
              <w:t>17.55</w:t>
            </w:r>
          </w:p>
        </w:tc>
        <w:tc>
          <w:tcPr>
            <w:tcW w:w="1098" w:type="dxa"/>
            <w:vAlign w:val="center"/>
          </w:tcPr>
          <w:p>
            <w:pPr>
              <w:spacing w:line="360" w:lineRule="auto"/>
              <w:jc w:val="center"/>
              <w:rPr>
                <w:rFonts w:ascii="Times New Roman" w:hAnsi="Times New Roman" w:eastAsiaTheme="minorEastAsia"/>
                <w:szCs w:val="21"/>
              </w:rPr>
            </w:pPr>
            <w:r>
              <w:rPr>
                <w:rFonts w:hint="eastAsia" w:ascii="Times New Roman" w:hAnsi="Times New Roman"/>
                <w:szCs w:val="21"/>
                <w:lang w:val="en-US" w:eastAsia="zh-CN"/>
              </w:rPr>
              <w:t>17.56</w:t>
            </w:r>
          </w:p>
        </w:tc>
      </w:tr>
    </w:tbl>
    <w:p>
      <w:pPr>
        <w:spacing w:line="360" w:lineRule="auto"/>
        <w:ind w:firstLine="420" w:firstLineChars="200"/>
        <w:rPr>
          <w:rFonts w:ascii="Times New Roman" w:hAnsi="Times New Roman" w:eastAsiaTheme="minorEastAsia"/>
          <w:szCs w:val="21"/>
        </w:rPr>
      </w:pPr>
      <w:bookmarkStart w:id="19" w:name="OLE_LINK10"/>
      <w:r>
        <w:rPr>
          <w:rFonts w:hint="eastAsia" w:ascii="Times New Roman" w:hAnsi="Times New Roman" w:eastAsiaTheme="minorEastAsia"/>
          <w:szCs w:val="21"/>
        </w:rPr>
        <w:t>从表</w:t>
      </w:r>
      <w:r>
        <w:rPr>
          <w:rFonts w:ascii="Times New Roman" w:hAnsi="Times New Roman" w:eastAsiaTheme="minorEastAsia"/>
          <w:szCs w:val="21"/>
        </w:rPr>
        <w:t>3</w:t>
      </w:r>
      <w:r>
        <w:rPr>
          <w:rFonts w:hint="eastAsia" w:ascii="Times New Roman" w:hAnsi="Times New Roman" w:eastAsiaTheme="minorEastAsia"/>
          <w:szCs w:val="21"/>
        </w:rPr>
        <w:t>中可以看出，丁二酮肟钯沉淀静置时间不小于</w:t>
      </w:r>
      <w:r>
        <w:rPr>
          <w:rFonts w:hint="eastAsia" w:ascii="Times New Roman" w:hAnsi="Times New Roman" w:eastAsiaTheme="minorEastAsia"/>
          <w:szCs w:val="21"/>
          <w:lang w:val="en-US" w:eastAsia="zh-CN"/>
        </w:rPr>
        <w:t>5</w:t>
      </w:r>
      <w:r>
        <w:rPr>
          <w:rFonts w:ascii="Times New Roman" w:hAnsi="Times New Roman" w:eastAsiaTheme="minorEastAsia"/>
          <w:szCs w:val="21"/>
        </w:rPr>
        <w:t>h</w:t>
      </w:r>
      <w:r>
        <w:rPr>
          <w:rFonts w:hint="eastAsia" w:ascii="Times New Roman" w:hAnsi="Times New Roman" w:eastAsiaTheme="minorEastAsia"/>
          <w:szCs w:val="21"/>
        </w:rPr>
        <w:t>时，测定结果基本一致。</w:t>
      </w:r>
    </w:p>
    <w:bookmarkEnd w:id="19"/>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5.4 加标回收率</w:t>
      </w:r>
    </w:p>
    <w:p>
      <w:pPr>
        <w:spacing w:line="360" w:lineRule="auto"/>
        <w:ind w:firstLine="420" w:firstLineChars="200"/>
        <w:rPr>
          <w:rFonts w:ascii="Times New Roman" w:hAnsi="Times New Roman"/>
          <w:szCs w:val="21"/>
        </w:rPr>
      </w:pPr>
      <w:r>
        <w:rPr>
          <w:rFonts w:hint="eastAsia" w:ascii="Times New Roman" w:hAnsi="Times New Roman" w:eastAsiaTheme="minorEastAsia"/>
          <w:szCs w:val="21"/>
          <w:lang w:val="en-US" w:eastAsia="zh-CN"/>
        </w:rPr>
        <w:t>称取0.30g试样，精确至0.0001 g，置于</w:t>
      </w:r>
      <w:r>
        <w:rPr>
          <w:rFonts w:ascii="Times New Roman" w:hAnsi="Times New Roman"/>
          <w:szCs w:val="21"/>
        </w:rPr>
        <w:t>600 mL</w:t>
      </w:r>
      <w:r>
        <w:rPr>
          <w:rFonts w:hint="eastAsia" w:ascii="Times New Roman" w:hAnsi="Times New Roman"/>
          <w:szCs w:val="21"/>
        </w:rPr>
        <w:t>烧杯</w:t>
      </w:r>
      <w:r>
        <w:rPr>
          <w:rFonts w:hint="eastAsia" w:ascii="Times New Roman" w:hAnsi="Times New Roman"/>
          <w:szCs w:val="21"/>
          <w:lang w:val="en-US" w:eastAsia="zh-CN"/>
        </w:rPr>
        <w:t>中，同时加入</w:t>
      </w:r>
      <w:r>
        <w:rPr>
          <w:rFonts w:ascii="Times New Roman" w:hAnsi="Times New Roman"/>
          <w:szCs w:val="21"/>
        </w:rPr>
        <w:t>5</w:t>
      </w:r>
      <w:r>
        <w:rPr>
          <w:rFonts w:hint="eastAsia" w:ascii="Times New Roman" w:hAnsi="Times New Roman"/>
          <w:szCs w:val="21"/>
          <w:lang w:val="en-US" w:eastAsia="zh-CN"/>
        </w:rPr>
        <w:t>0</w:t>
      </w:r>
      <w:r>
        <w:rPr>
          <w:rFonts w:ascii="Times New Roman" w:hAnsi="Times New Roman"/>
          <w:szCs w:val="21"/>
        </w:rPr>
        <w:t xml:space="preserve"> mL 1 mg/mL</w:t>
      </w:r>
      <w:r>
        <w:rPr>
          <w:rFonts w:hint="eastAsia" w:ascii="Times New Roman" w:hAnsi="Times New Roman"/>
          <w:szCs w:val="21"/>
        </w:rPr>
        <w:t>的钯标准溶液（</w:t>
      </w:r>
      <w:r>
        <w:rPr>
          <w:rFonts w:hint="eastAsia" w:ascii="Times New Roman" w:hAnsi="Times New Roman"/>
          <w:szCs w:val="21"/>
          <w:lang w:val="en-US" w:eastAsia="zh-CN"/>
        </w:rPr>
        <w:t>3.8</w:t>
      </w:r>
      <w:r>
        <w:rPr>
          <w:rFonts w:hint="eastAsia" w:ascii="Times New Roman" w:hAnsi="Times New Roman"/>
          <w:szCs w:val="21"/>
        </w:rPr>
        <w:t>），按照（</w:t>
      </w:r>
      <w:r>
        <w:rPr>
          <w:rFonts w:hint="eastAsia" w:ascii="Times New Roman" w:hAnsi="Times New Roman"/>
          <w:szCs w:val="21"/>
          <w:lang w:val="en-US" w:eastAsia="zh-CN"/>
        </w:rPr>
        <w:t>4</w:t>
      </w:r>
      <w:r>
        <w:rPr>
          <w:rFonts w:hint="eastAsia" w:ascii="Times New Roman" w:hAnsi="Times New Roman"/>
          <w:szCs w:val="21"/>
        </w:rPr>
        <w:t>.3）进行，其测定结果列于表</w:t>
      </w:r>
      <w:r>
        <w:rPr>
          <w:rFonts w:ascii="Times New Roman" w:hAnsi="Times New Roman"/>
          <w:szCs w:val="21"/>
        </w:rPr>
        <w:t>4</w: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 xml:space="preserve">                                表</w:t>
      </w:r>
      <w:r>
        <w:rPr>
          <w:rFonts w:ascii="Times New Roman" w:hAnsi="Times New Roman"/>
          <w:szCs w:val="21"/>
        </w:rPr>
        <w:t xml:space="preserve">4 </w:t>
      </w:r>
      <w:r>
        <w:rPr>
          <w:rFonts w:hint="eastAsia" w:ascii="Times New Roman" w:hAnsi="Times New Roman"/>
          <w:szCs w:val="21"/>
        </w:rPr>
        <w:t>加标回收率</w:t>
      </w:r>
    </w:p>
    <w:tbl>
      <w:tblPr>
        <w:tblStyle w:val="10"/>
        <w:tblW w:w="85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spacing w:line="360" w:lineRule="auto"/>
              <w:jc w:val="center"/>
              <w:rPr>
                <w:rFonts w:ascii="Times New Roman" w:hAnsi="Times New Roman"/>
                <w:szCs w:val="21"/>
              </w:rPr>
            </w:pPr>
            <w:r>
              <w:rPr>
                <w:rFonts w:hint="eastAsia" w:ascii="Times New Roman" w:hAnsi="Times New Roman"/>
                <w:szCs w:val="21"/>
              </w:rPr>
              <w:t>加入</w:t>
            </w:r>
            <w:r>
              <w:rPr>
                <w:rFonts w:ascii="Times New Roman" w:hAnsi="Times New Roman"/>
                <w:szCs w:val="21"/>
              </w:rPr>
              <w:t>Pd</w:t>
            </w:r>
            <w:r>
              <w:rPr>
                <w:rFonts w:hint="eastAsia" w:ascii="Times New Roman" w:hAnsi="Times New Roman"/>
                <w:szCs w:val="21"/>
              </w:rPr>
              <w:t>量</w:t>
            </w:r>
            <w:r>
              <w:rPr>
                <w:rFonts w:ascii="Times New Roman" w:hAnsi="Times New Roman"/>
                <w:szCs w:val="21"/>
              </w:rPr>
              <w:t>/mg</w:t>
            </w:r>
          </w:p>
        </w:tc>
        <w:tc>
          <w:tcPr>
            <w:tcW w:w="2130" w:type="dxa"/>
          </w:tcPr>
          <w:p>
            <w:pPr>
              <w:spacing w:line="360" w:lineRule="auto"/>
              <w:jc w:val="center"/>
              <w:rPr>
                <w:rFonts w:ascii="Times New Roman" w:hAnsi="Times New Roman"/>
                <w:szCs w:val="21"/>
              </w:rPr>
            </w:pPr>
            <w:r>
              <w:rPr>
                <w:rFonts w:ascii="Times New Roman" w:hAnsi="Times New Roman"/>
                <w:szCs w:val="21"/>
              </w:rPr>
              <w:t>Pd</w:t>
            </w:r>
            <w:r>
              <w:rPr>
                <w:rFonts w:hint="eastAsia" w:ascii="Times New Roman" w:hAnsi="Times New Roman"/>
                <w:szCs w:val="21"/>
                <w:lang w:eastAsia="zh-CN"/>
              </w:rPr>
              <w:t>本底</w:t>
            </w:r>
            <w:r>
              <w:rPr>
                <w:rFonts w:hint="eastAsia" w:ascii="Times New Roman" w:hAnsi="Times New Roman"/>
                <w:szCs w:val="21"/>
              </w:rPr>
              <w:t>值</w:t>
            </w:r>
            <w:r>
              <w:rPr>
                <w:rFonts w:ascii="Times New Roman" w:hAnsi="Times New Roman"/>
                <w:szCs w:val="21"/>
              </w:rPr>
              <w:t>/mg</w:t>
            </w:r>
          </w:p>
        </w:tc>
        <w:tc>
          <w:tcPr>
            <w:tcW w:w="2131" w:type="dxa"/>
            <w:vAlign w:val="top"/>
          </w:tcPr>
          <w:p>
            <w:pPr>
              <w:spacing w:line="360" w:lineRule="auto"/>
              <w:jc w:val="center"/>
              <w:rPr>
                <w:rFonts w:ascii="Times New Roman" w:hAnsi="Times New Roman"/>
                <w:szCs w:val="21"/>
              </w:rPr>
            </w:pPr>
            <w:r>
              <w:rPr>
                <w:rFonts w:ascii="Times New Roman" w:hAnsi="Times New Roman"/>
                <w:szCs w:val="21"/>
              </w:rPr>
              <w:t>Pd</w:t>
            </w:r>
            <w:r>
              <w:rPr>
                <w:rFonts w:hint="eastAsia" w:ascii="Times New Roman" w:hAnsi="Times New Roman"/>
                <w:szCs w:val="21"/>
                <w:lang w:eastAsia="zh-CN"/>
              </w:rPr>
              <w:t>测得</w:t>
            </w:r>
            <w:r>
              <w:rPr>
                <w:rFonts w:hint="eastAsia" w:ascii="Times New Roman" w:hAnsi="Times New Roman"/>
                <w:szCs w:val="21"/>
              </w:rPr>
              <w:t>值</w:t>
            </w:r>
            <w:r>
              <w:rPr>
                <w:rFonts w:ascii="Times New Roman" w:hAnsi="Times New Roman"/>
                <w:szCs w:val="21"/>
              </w:rPr>
              <w:t>/mg</w:t>
            </w:r>
          </w:p>
        </w:tc>
        <w:tc>
          <w:tcPr>
            <w:tcW w:w="2120" w:type="dxa"/>
            <w:vAlign w:val="top"/>
          </w:tcPr>
          <w:p>
            <w:pPr>
              <w:spacing w:line="360" w:lineRule="auto"/>
              <w:jc w:val="center"/>
              <w:rPr>
                <w:rFonts w:hint="eastAsia" w:ascii="Times New Roman" w:hAnsi="Times New Roman"/>
                <w:szCs w:val="21"/>
              </w:rPr>
            </w:pPr>
            <w:r>
              <w:rPr>
                <w:rFonts w:hint="eastAsia" w:ascii="Times New Roman" w:hAnsi="Times New Roman"/>
                <w:szCs w:val="21"/>
              </w:rPr>
              <w:t>回收率</w:t>
            </w:r>
            <w:r>
              <w:rPr>
                <w:rFonts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Merge w:val="restart"/>
            <w:vAlign w:val="center"/>
          </w:tcPr>
          <w:p>
            <w:pPr>
              <w:spacing w:line="360" w:lineRule="auto"/>
              <w:jc w:val="center"/>
              <w:rPr>
                <w:rFonts w:ascii="Times New Roman" w:hAnsi="Times New Roman"/>
                <w:szCs w:val="21"/>
              </w:rPr>
            </w:pPr>
            <w:r>
              <w:rPr>
                <w:rFonts w:ascii="Times New Roman" w:hAnsi="Times New Roman"/>
                <w:szCs w:val="21"/>
              </w:rPr>
              <w:t>50.00</w:t>
            </w:r>
          </w:p>
        </w:tc>
        <w:tc>
          <w:tcPr>
            <w:tcW w:w="2130" w:type="dxa"/>
            <w:tcBorders>
              <w:bottom w:val="single" w:color="auto" w:sz="4" w:space="0"/>
            </w:tcBorders>
            <w:vAlign w:val="top"/>
          </w:tcPr>
          <w:p>
            <w:pPr>
              <w:spacing w:line="360" w:lineRule="auto"/>
              <w:jc w:val="center"/>
              <w:rPr>
                <w:rFonts w:hint="eastAsia" w:ascii="Times New Roman" w:hAnsi="Times New Roman" w:eastAsia="宋体"/>
                <w:szCs w:val="21"/>
                <w:lang w:val="en-US" w:eastAsia="zh-CN"/>
              </w:rPr>
            </w:pPr>
            <w:r>
              <w:rPr>
                <w:rFonts w:hint="eastAsia" w:ascii="Times New Roman" w:hAnsi="Times New Roman"/>
                <w:szCs w:val="21"/>
                <w:lang w:val="en-US" w:eastAsia="zh-CN"/>
              </w:rPr>
              <w:t>52.90</w:t>
            </w:r>
          </w:p>
        </w:tc>
        <w:tc>
          <w:tcPr>
            <w:tcW w:w="2131" w:type="dxa"/>
            <w:vAlign w:val="top"/>
          </w:tcPr>
          <w:p>
            <w:pPr>
              <w:spacing w:line="360" w:lineRule="auto"/>
              <w:jc w:val="center"/>
              <w:rPr>
                <w:rFonts w:hint="eastAsia" w:ascii="Times New Roman" w:hAnsi="Times New Roman" w:eastAsia="宋体"/>
                <w:szCs w:val="21"/>
                <w:lang w:eastAsia="zh-CN"/>
              </w:rPr>
            </w:pPr>
            <w:r>
              <w:rPr>
                <w:rFonts w:hint="eastAsia" w:ascii="Times New Roman" w:hAnsi="Times New Roman"/>
                <w:szCs w:val="21"/>
                <w:lang w:val="en-US" w:eastAsia="zh-CN"/>
              </w:rPr>
              <w:t>103.27</w:t>
            </w:r>
          </w:p>
        </w:tc>
        <w:tc>
          <w:tcPr>
            <w:tcW w:w="2120" w:type="dxa"/>
            <w:vAlign w:val="top"/>
          </w:tcPr>
          <w:p>
            <w:pPr>
              <w:spacing w:line="360" w:lineRule="auto"/>
              <w:jc w:val="center"/>
              <w:rPr>
                <w:rFonts w:ascii="Times New Roman" w:hAnsi="Times New Roman"/>
                <w:szCs w:val="21"/>
              </w:rPr>
            </w:pPr>
            <w:r>
              <w:rPr>
                <w:rFonts w:hint="eastAsia" w:ascii="Times New Roman" w:hAnsi="Times New Roman"/>
                <w:szCs w:val="21"/>
                <w:lang w:val="en-US" w:eastAsia="zh-CN"/>
              </w:rPr>
              <w:t>100.74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Merge w:val="continue"/>
          </w:tcPr>
          <w:p>
            <w:pPr>
              <w:spacing w:line="360" w:lineRule="auto"/>
              <w:jc w:val="center"/>
              <w:rPr>
                <w:rFonts w:ascii="Times New Roman" w:hAnsi="Times New Roman"/>
                <w:szCs w:val="21"/>
              </w:rPr>
            </w:pPr>
          </w:p>
        </w:tc>
        <w:tc>
          <w:tcPr>
            <w:tcW w:w="2130" w:type="dxa"/>
            <w:tcBorders>
              <w:top w:val="single" w:color="auto" w:sz="4" w:space="0"/>
            </w:tcBorders>
            <w:vAlign w:val="top"/>
          </w:tcPr>
          <w:p>
            <w:pPr>
              <w:spacing w:line="360" w:lineRule="auto"/>
              <w:jc w:val="center"/>
              <w:rPr>
                <w:rFonts w:hint="eastAsia" w:ascii="Times New Roman" w:hAnsi="Times New Roman" w:eastAsia="宋体"/>
                <w:szCs w:val="21"/>
                <w:lang w:val="en-US" w:eastAsia="zh-CN"/>
              </w:rPr>
            </w:pPr>
            <w:r>
              <w:rPr>
                <w:rFonts w:hint="eastAsia" w:ascii="Times New Roman" w:hAnsi="Times New Roman"/>
                <w:szCs w:val="21"/>
                <w:lang w:val="en-US" w:eastAsia="zh-CN"/>
              </w:rPr>
              <w:t>53.42</w:t>
            </w:r>
          </w:p>
        </w:tc>
        <w:tc>
          <w:tcPr>
            <w:tcW w:w="2131" w:type="dxa"/>
            <w:vAlign w:val="top"/>
          </w:tcPr>
          <w:p>
            <w:pPr>
              <w:spacing w:line="360" w:lineRule="auto"/>
              <w:jc w:val="center"/>
              <w:rPr>
                <w:rFonts w:hint="eastAsia" w:ascii="Times New Roman" w:hAnsi="Times New Roman" w:eastAsia="宋体"/>
                <w:szCs w:val="21"/>
                <w:lang w:eastAsia="zh-CN"/>
              </w:rPr>
            </w:pPr>
            <w:r>
              <w:rPr>
                <w:rFonts w:hint="eastAsia" w:ascii="Times New Roman" w:hAnsi="Times New Roman"/>
                <w:szCs w:val="21"/>
                <w:lang w:val="en-US" w:eastAsia="zh-CN"/>
              </w:rPr>
              <w:t>103.71</w:t>
            </w:r>
          </w:p>
        </w:tc>
        <w:tc>
          <w:tcPr>
            <w:tcW w:w="2120" w:type="dxa"/>
            <w:vAlign w:val="top"/>
          </w:tcPr>
          <w:p>
            <w:pPr>
              <w:spacing w:line="360" w:lineRule="auto"/>
              <w:jc w:val="center"/>
              <w:rPr>
                <w:rFonts w:ascii="Times New Roman" w:hAnsi="Times New Roman"/>
                <w:szCs w:val="21"/>
              </w:rPr>
            </w:pPr>
            <w:r>
              <w:rPr>
                <w:rFonts w:hint="eastAsia" w:ascii="Times New Roman" w:hAnsi="Times New Roman"/>
                <w:szCs w:val="21"/>
                <w:lang w:val="en-US" w:eastAsia="zh-CN"/>
              </w:rPr>
              <w:t>100.58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Merge w:val="continue"/>
          </w:tcPr>
          <w:p>
            <w:pPr>
              <w:spacing w:line="360" w:lineRule="auto"/>
              <w:jc w:val="center"/>
              <w:rPr>
                <w:rFonts w:ascii="Times New Roman" w:hAnsi="Times New Roman"/>
                <w:szCs w:val="21"/>
              </w:rPr>
            </w:pPr>
          </w:p>
        </w:tc>
        <w:tc>
          <w:tcPr>
            <w:tcW w:w="2130" w:type="dxa"/>
            <w:vAlign w:val="top"/>
          </w:tcPr>
          <w:p>
            <w:pPr>
              <w:spacing w:line="360" w:lineRule="auto"/>
              <w:jc w:val="center"/>
              <w:rPr>
                <w:rFonts w:hint="eastAsia" w:ascii="Times New Roman" w:hAnsi="Times New Roman" w:eastAsia="宋体"/>
                <w:szCs w:val="21"/>
                <w:lang w:val="en-US" w:eastAsia="zh-CN"/>
              </w:rPr>
            </w:pPr>
            <w:r>
              <w:rPr>
                <w:rFonts w:hint="eastAsia" w:ascii="Times New Roman" w:hAnsi="Times New Roman"/>
                <w:szCs w:val="21"/>
                <w:lang w:val="en-US" w:eastAsia="zh-CN"/>
              </w:rPr>
              <w:t>54.11</w:t>
            </w:r>
          </w:p>
        </w:tc>
        <w:tc>
          <w:tcPr>
            <w:tcW w:w="2131" w:type="dxa"/>
            <w:vAlign w:val="top"/>
          </w:tcPr>
          <w:p>
            <w:pPr>
              <w:spacing w:line="360" w:lineRule="auto"/>
              <w:jc w:val="center"/>
              <w:rPr>
                <w:rFonts w:hint="eastAsia" w:ascii="Times New Roman" w:hAnsi="Times New Roman" w:eastAsia="宋体"/>
                <w:szCs w:val="21"/>
                <w:lang w:eastAsia="zh-CN"/>
              </w:rPr>
            </w:pPr>
            <w:r>
              <w:rPr>
                <w:rFonts w:hint="eastAsia" w:ascii="Times New Roman" w:hAnsi="Times New Roman"/>
                <w:szCs w:val="21"/>
                <w:lang w:val="en-US" w:eastAsia="zh-CN"/>
              </w:rPr>
              <w:t>104.31</w:t>
            </w:r>
          </w:p>
        </w:tc>
        <w:tc>
          <w:tcPr>
            <w:tcW w:w="2120" w:type="dxa"/>
            <w:vAlign w:val="top"/>
          </w:tcPr>
          <w:p>
            <w:pPr>
              <w:spacing w:line="360" w:lineRule="auto"/>
              <w:jc w:val="center"/>
              <w:rPr>
                <w:rFonts w:hint="eastAsia" w:ascii="Times New Roman" w:hAnsi="Times New Roman" w:eastAsia="宋体"/>
                <w:szCs w:val="21"/>
                <w:lang w:val="en-US" w:eastAsia="zh-CN"/>
              </w:rPr>
            </w:pPr>
            <w:r>
              <w:rPr>
                <w:rFonts w:hint="eastAsia" w:ascii="Times New Roman" w:hAnsi="Times New Roman"/>
                <w:szCs w:val="21"/>
                <w:lang w:val="en-US" w:eastAsia="zh-CN"/>
              </w:rPr>
              <w:t>99.90</w:t>
            </w:r>
          </w:p>
        </w:tc>
      </w:tr>
    </w:tbl>
    <w:p>
      <w:pPr>
        <w:spacing w:line="360" w:lineRule="auto"/>
        <w:ind w:firstLine="420" w:firstLineChars="200"/>
        <w:rPr>
          <w:rFonts w:ascii="Times New Roman" w:hAnsi="Times New Roman"/>
          <w:szCs w:val="21"/>
        </w:rPr>
      </w:pPr>
      <w:r>
        <w:rPr>
          <w:rFonts w:hint="eastAsia" w:ascii="Times New Roman" w:hAnsi="Times New Roman"/>
          <w:szCs w:val="21"/>
        </w:rPr>
        <w:t>从表</w:t>
      </w:r>
      <w:r>
        <w:rPr>
          <w:rFonts w:ascii="Times New Roman" w:hAnsi="Times New Roman"/>
          <w:szCs w:val="21"/>
        </w:rPr>
        <w:t>4</w:t>
      </w:r>
      <w:r>
        <w:rPr>
          <w:rFonts w:hint="eastAsia" w:ascii="Times New Roman" w:hAnsi="Times New Roman"/>
          <w:szCs w:val="21"/>
        </w:rPr>
        <w:t>中可以看出，回收率在</w:t>
      </w:r>
      <w:r>
        <w:rPr>
          <w:rFonts w:ascii="Times New Roman" w:hAnsi="Times New Roman"/>
          <w:szCs w:val="21"/>
        </w:rPr>
        <w:t>99.</w:t>
      </w:r>
      <w:r>
        <w:rPr>
          <w:rFonts w:hint="eastAsia" w:ascii="Times New Roman" w:hAnsi="Times New Roman"/>
          <w:szCs w:val="21"/>
          <w:lang w:val="en-US" w:eastAsia="zh-CN"/>
        </w:rPr>
        <w:t>90</w:t>
      </w:r>
      <w:r>
        <w:rPr>
          <w:rFonts w:ascii="Times New Roman" w:hAnsi="Times New Roman"/>
          <w:szCs w:val="21"/>
        </w:rPr>
        <w:t>%~100</w:t>
      </w:r>
      <w:r>
        <w:rPr>
          <w:rFonts w:hint="eastAsia" w:ascii="Times New Roman" w:hAnsi="Times New Roman"/>
          <w:szCs w:val="21"/>
        </w:rPr>
        <w:t>.</w:t>
      </w:r>
      <w:r>
        <w:rPr>
          <w:rFonts w:hint="eastAsia" w:ascii="Times New Roman" w:hAnsi="Times New Roman"/>
          <w:szCs w:val="21"/>
          <w:lang w:val="en-US" w:eastAsia="zh-CN"/>
        </w:rPr>
        <w:t>74</w:t>
      </w:r>
      <w:r>
        <w:rPr>
          <w:rFonts w:ascii="Times New Roman" w:hAnsi="Times New Roman"/>
          <w:szCs w:val="21"/>
        </w:rPr>
        <w:t>%</w:t>
      </w:r>
      <w:r>
        <w:rPr>
          <w:rFonts w:hint="eastAsia" w:ascii="Times New Roman" w:hAnsi="Times New Roman"/>
          <w:szCs w:val="21"/>
        </w:rPr>
        <w:t>之间，满足测定要求。</w:t>
      </w:r>
    </w:p>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5.5 精密度</w:t>
      </w:r>
    </w:p>
    <w:p>
      <w:pPr>
        <w:spacing w:line="360" w:lineRule="auto"/>
        <w:ind w:firstLine="420" w:firstLineChars="200"/>
        <w:rPr>
          <w:rFonts w:ascii="Times New Roman" w:hAnsi="Times New Roman"/>
          <w:szCs w:val="21"/>
        </w:rPr>
      </w:pPr>
      <w:r>
        <w:rPr>
          <w:rFonts w:hint="eastAsia" w:ascii="Times New Roman" w:hAnsi="Times New Roman"/>
          <w:szCs w:val="21"/>
        </w:rPr>
        <w:t>按照分析方法对试样进行</w:t>
      </w:r>
      <w:r>
        <w:rPr>
          <w:rFonts w:ascii="Times New Roman" w:hAnsi="Times New Roman"/>
          <w:szCs w:val="21"/>
        </w:rPr>
        <w:t>11</w:t>
      </w:r>
      <w:r>
        <w:rPr>
          <w:rFonts w:hint="eastAsia" w:ascii="Times New Roman" w:hAnsi="Times New Roman"/>
          <w:szCs w:val="21"/>
        </w:rPr>
        <w:t>次独立试验，测定结果列入表</w:t>
      </w:r>
      <w:r>
        <w:rPr>
          <w:rFonts w:ascii="Times New Roman" w:hAnsi="Times New Roman"/>
          <w:szCs w:val="21"/>
        </w:rPr>
        <w:t>5</w: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 xml:space="preserve">                                    表</w:t>
      </w:r>
      <w:r>
        <w:rPr>
          <w:rFonts w:ascii="Times New Roman" w:hAnsi="Times New Roman"/>
          <w:szCs w:val="21"/>
        </w:rPr>
        <w:t xml:space="preserve">5 </w:t>
      </w:r>
      <w:r>
        <w:rPr>
          <w:rFonts w:hint="eastAsia" w:ascii="Times New Roman" w:hAnsi="Times New Roman"/>
          <w:szCs w:val="21"/>
        </w:rPr>
        <w:t>精密度</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4705"/>
        <w:gridCol w:w="959"/>
        <w:gridCol w:w="1032"/>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939" w:type="dxa"/>
            <w:vAlign w:val="center"/>
          </w:tcPr>
          <w:p>
            <w:pPr>
              <w:spacing w:line="360" w:lineRule="auto"/>
              <w:jc w:val="center"/>
              <w:rPr>
                <w:rFonts w:hint="eastAsia" w:ascii="Times New Roman" w:hAnsi="Times New Roman" w:eastAsia="宋体"/>
                <w:szCs w:val="21"/>
                <w:lang w:val="en-US" w:eastAsia="zh-CN"/>
              </w:rPr>
            </w:pPr>
            <w:r>
              <w:rPr>
                <w:rFonts w:hint="eastAsia" w:ascii="Times New Roman" w:hAnsi="Times New Roman"/>
                <w:szCs w:val="21"/>
                <w:lang w:val="en-US" w:eastAsia="zh-CN"/>
              </w:rPr>
              <w:t>序号</w:t>
            </w:r>
          </w:p>
        </w:tc>
        <w:tc>
          <w:tcPr>
            <w:tcW w:w="4705" w:type="dxa"/>
            <w:vAlign w:val="center"/>
          </w:tcPr>
          <w:p>
            <w:pPr>
              <w:spacing w:line="360" w:lineRule="auto"/>
              <w:jc w:val="center"/>
              <w:rPr>
                <w:rFonts w:ascii="Times New Roman" w:hAnsi="Times New Roman"/>
                <w:szCs w:val="21"/>
              </w:rPr>
            </w:pPr>
            <w:r>
              <w:rPr>
                <w:rFonts w:hint="eastAsia" w:ascii="Times New Roman" w:hAnsi="Times New Roman"/>
                <w:szCs w:val="21"/>
              </w:rPr>
              <w:t>试样测定</w:t>
            </w:r>
            <w:r>
              <w:rPr>
                <w:rFonts w:ascii="Times New Roman" w:hAnsi="Times New Roman"/>
                <w:szCs w:val="21"/>
              </w:rPr>
              <w:t>Pd</w:t>
            </w:r>
            <w:r>
              <w:rPr>
                <w:rFonts w:hint="eastAsia" w:ascii="Times New Roman" w:hAnsi="Times New Roman"/>
                <w:szCs w:val="21"/>
              </w:rPr>
              <w:t>质量分数</w:t>
            </w:r>
            <w:r>
              <w:rPr>
                <w:rFonts w:ascii="Times New Roman" w:hAnsi="Times New Roman"/>
                <w:szCs w:val="21"/>
              </w:rPr>
              <w:t>/%</w:t>
            </w:r>
          </w:p>
        </w:tc>
        <w:tc>
          <w:tcPr>
            <w:tcW w:w="959" w:type="dxa"/>
            <w:vAlign w:val="center"/>
          </w:tcPr>
          <w:p>
            <w:pPr>
              <w:spacing w:line="360" w:lineRule="auto"/>
              <w:jc w:val="center"/>
              <w:rPr>
                <w:rFonts w:ascii="Times New Roman" w:hAnsi="Times New Roman"/>
                <w:szCs w:val="21"/>
              </w:rPr>
            </w:pPr>
            <w:r>
              <w:rPr>
                <w:rFonts w:hint="eastAsia" w:ascii="Times New Roman" w:hAnsi="Times New Roman"/>
                <w:szCs w:val="21"/>
              </w:rPr>
              <w:t>平均值</w:t>
            </w:r>
            <w:r>
              <w:rPr>
                <w:rFonts w:ascii="Times New Roman" w:hAnsi="Times New Roman"/>
                <w:szCs w:val="21"/>
              </w:rPr>
              <w:t>/%</w:t>
            </w:r>
          </w:p>
        </w:tc>
        <w:tc>
          <w:tcPr>
            <w:tcW w:w="1032" w:type="dxa"/>
            <w:vAlign w:val="center"/>
          </w:tcPr>
          <w:p>
            <w:pPr>
              <w:spacing w:line="360" w:lineRule="auto"/>
              <w:jc w:val="center"/>
              <w:rPr>
                <w:rFonts w:ascii="Times New Roman" w:hAnsi="Times New Roman"/>
                <w:szCs w:val="21"/>
              </w:rPr>
            </w:pPr>
            <w:r>
              <w:rPr>
                <w:rFonts w:hint="eastAsia" w:ascii="Times New Roman" w:hAnsi="Times New Roman"/>
                <w:szCs w:val="21"/>
              </w:rPr>
              <w:t>标准偏差（</w:t>
            </w:r>
            <w:r>
              <w:rPr>
                <w:rFonts w:ascii="Times New Roman" w:hAnsi="Times New Roman"/>
                <w:szCs w:val="21"/>
              </w:rPr>
              <w:t>SD</w:t>
            </w:r>
            <w:r>
              <w:rPr>
                <w:rFonts w:hint="eastAsia" w:ascii="Times New Roman" w:hAnsi="Times New Roman"/>
                <w:szCs w:val="21"/>
              </w:rPr>
              <w:t>）</w:t>
            </w:r>
          </w:p>
        </w:tc>
        <w:tc>
          <w:tcPr>
            <w:tcW w:w="887" w:type="dxa"/>
            <w:vAlign w:val="center"/>
          </w:tcPr>
          <w:p>
            <w:pPr>
              <w:spacing w:line="360" w:lineRule="auto"/>
              <w:jc w:val="center"/>
              <w:rPr>
                <w:rFonts w:ascii="Times New Roman" w:hAnsi="Times New Roman"/>
                <w:szCs w:val="21"/>
              </w:rPr>
            </w:pPr>
            <w:r>
              <w:rPr>
                <w:rFonts w:ascii="Times New Roman" w:hAnsi="Times New Roman"/>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39" w:type="dxa"/>
            <w:vAlign w:val="center"/>
          </w:tcPr>
          <w:p>
            <w:pPr>
              <w:spacing w:line="360" w:lineRule="auto"/>
              <w:jc w:val="center"/>
              <w:rPr>
                <w:rFonts w:hint="eastAsia" w:ascii="Times New Roman" w:hAnsi="Times New Roman" w:eastAsia="宋体"/>
                <w:kern w:val="0"/>
                <w:sz w:val="20"/>
                <w:lang w:val="en-US" w:eastAsia="zh-CN"/>
              </w:rPr>
            </w:pPr>
            <w:r>
              <w:rPr>
                <w:rFonts w:hint="eastAsia" w:ascii="Times New Roman" w:hAnsi="Times New Roman"/>
                <w:kern w:val="0"/>
                <w:sz w:val="20"/>
                <w:lang w:val="en-US" w:eastAsia="zh-CN"/>
              </w:rPr>
              <w:t>1#</w:t>
            </w:r>
          </w:p>
        </w:tc>
        <w:tc>
          <w:tcPr>
            <w:tcW w:w="4705" w:type="dxa"/>
            <w:vAlign w:val="center"/>
          </w:tcPr>
          <w:p>
            <w:pPr>
              <w:spacing w:line="360" w:lineRule="auto"/>
              <w:jc w:val="left"/>
              <w:rPr>
                <w:rFonts w:ascii="Times New Roman" w:hAnsi="Times New Roman"/>
                <w:szCs w:val="21"/>
              </w:rPr>
            </w:pPr>
            <w:r>
              <w:rPr>
                <w:rFonts w:hint="eastAsia" w:ascii="Times New Roman" w:hAnsi="Times New Roman"/>
                <w:kern w:val="0"/>
                <w:sz w:val="20"/>
                <w:lang w:val="en-US" w:eastAsia="zh-CN"/>
              </w:rPr>
              <w:t>17.61</w:t>
            </w:r>
            <w:r>
              <w:rPr>
                <w:rFonts w:hint="eastAsia" w:ascii="Times New Roman" w:hAnsi="Times New Roman"/>
                <w:kern w:val="0"/>
                <w:sz w:val="20"/>
              </w:rPr>
              <w:t xml:space="preserve">  </w:t>
            </w:r>
            <w:r>
              <w:rPr>
                <w:rFonts w:hint="eastAsia" w:ascii="Times New Roman" w:hAnsi="Times New Roman"/>
                <w:kern w:val="0"/>
                <w:sz w:val="20"/>
                <w:lang w:val="en-US" w:eastAsia="zh-CN"/>
              </w:rPr>
              <w:t>17.59</w:t>
            </w:r>
            <w:r>
              <w:rPr>
                <w:rFonts w:hint="eastAsia" w:ascii="Times New Roman" w:hAnsi="Times New Roman"/>
                <w:kern w:val="0"/>
                <w:sz w:val="20"/>
              </w:rPr>
              <w:t xml:space="preserve">  </w:t>
            </w:r>
            <w:r>
              <w:rPr>
                <w:rFonts w:hint="eastAsia" w:ascii="Times New Roman" w:hAnsi="Times New Roman"/>
                <w:kern w:val="0"/>
                <w:sz w:val="20"/>
                <w:lang w:val="en-US" w:eastAsia="zh-CN"/>
              </w:rPr>
              <w:t>17.63</w:t>
            </w:r>
            <w:r>
              <w:rPr>
                <w:rFonts w:hint="eastAsia" w:ascii="Times New Roman" w:hAnsi="Times New Roman"/>
                <w:kern w:val="0"/>
                <w:sz w:val="20"/>
              </w:rPr>
              <w:t xml:space="preserve"> </w:t>
            </w:r>
            <w:r>
              <w:rPr>
                <w:rFonts w:hint="eastAsia" w:ascii="Times New Roman" w:hAnsi="Times New Roman"/>
                <w:kern w:val="0"/>
                <w:sz w:val="20"/>
                <w:lang w:val="en-US" w:eastAsia="zh-CN"/>
              </w:rPr>
              <w:t xml:space="preserve"> 17.64  17.63</w:t>
            </w:r>
            <w:r>
              <w:rPr>
                <w:rFonts w:hint="eastAsia" w:ascii="Times New Roman" w:hAnsi="Times New Roman"/>
                <w:kern w:val="0"/>
                <w:sz w:val="20"/>
              </w:rPr>
              <w:t xml:space="preserve">  </w:t>
            </w:r>
            <w:r>
              <w:rPr>
                <w:rFonts w:hint="eastAsia" w:ascii="Times New Roman" w:hAnsi="Times New Roman"/>
                <w:kern w:val="0"/>
                <w:sz w:val="20"/>
                <w:lang w:val="en-US" w:eastAsia="zh-CN"/>
              </w:rPr>
              <w:t>17.60</w:t>
            </w:r>
            <w:r>
              <w:rPr>
                <w:rFonts w:hint="eastAsia" w:ascii="Times New Roman" w:hAnsi="Times New Roman"/>
                <w:kern w:val="0"/>
                <w:sz w:val="20"/>
              </w:rPr>
              <w:t xml:space="preserve">  </w:t>
            </w:r>
            <w:r>
              <w:rPr>
                <w:rFonts w:hint="eastAsia" w:ascii="Times New Roman" w:hAnsi="Times New Roman"/>
                <w:kern w:val="0"/>
                <w:sz w:val="20"/>
                <w:lang w:val="en-US" w:eastAsia="zh-CN"/>
              </w:rPr>
              <w:t>17.62</w:t>
            </w:r>
            <w:r>
              <w:rPr>
                <w:rFonts w:hint="eastAsia" w:ascii="Times New Roman" w:hAnsi="Times New Roman"/>
                <w:kern w:val="0"/>
                <w:sz w:val="20"/>
              </w:rPr>
              <w:t xml:space="preserve">  </w:t>
            </w:r>
            <w:r>
              <w:rPr>
                <w:rFonts w:hint="eastAsia" w:ascii="Times New Roman" w:hAnsi="Times New Roman"/>
                <w:kern w:val="0"/>
                <w:sz w:val="20"/>
                <w:lang w:val="en-US" w:eastAsia="zh-CN"/>
              </w:rPr>
              <w:t>17.63  17.61</w:t>
            </w:r>
            <w:r>
              <w:rPr>
                <w:rFonts w:hint="eastAsia" w:ascii="Times New Roman" w:hAnsi="Times New Roman"/>
                <w:kern w:val="0"/>
                <w:sz w:val="20"/>
              </w:rPr>
              <w:t xml:space="preserve">  </w:t>
            </w:r>
            <w:r>
              <w:rPr>
                <w:rFonts w:hint="eastAsia" w:ascii="Times New Roman" w:hAnsi="Times New Roman"/>
                <w:kern w:val="0"/>
                <w:sz w:val="20"/>
                <w:lang w:val="en-US" w:eastAsia="zh-CN"/>
              </w:rPr>
              <w:t>17.59</w:t>
            </w:r>
            <w:r>
              <w:rPr>
                <w:rFonts w:hint="eastAsia" w:ascii="Times New Roman" w:hAnsi="Times New Roman"/>
                <w:kern w:val="0"/>
                <w:sz w:val="20"/>
              </w:rPr>
              <w:t xml:space="preserve">  </w:t>
            </w:r>
            <w:r>
              <w:rPr>
                <w:rFonts w:hint="eastAsia" w:ascii="Times New Roman" w:hAnsi="Times New Roman"/>
                <w:kern w:val="0"/>
                <w:sz w:val="20"/>
                <w:lang w:val="en-US" w:eastAsia="zh-CN"/>
              </w:rPr>
              <w:t>17.60</w:t>
            </w:r>
          </w:p>
        </w:tc>
        <w:tc>
          <w:tcPr>
            <w:tcW w:w="959" w:type="dxa"/>
            <w:vAlign w:val="center"/>
          </w:tcPr>
          <w:p>
            <w:pPr>
              <w:spacing w:line="360" w:lineRule="auto"/>
              <w:jc w:val="center"/>
              <w:rPr>
                <w:rFonts w:ascii="Times New Roman" w:hAnsi="Times New Roman"/>
                <w:szCs w:val="21"/>
              </w:rPr>
            </w:pPr>
            <w:r>
              <w:rPr>
                <w:rFonts w:hint="eastAsia" w:ascii="Times New Roman" w:hAnsi="Times New Roman"/>
                <w:kern w:val="0"/>
                <w:sz w:val="20"/>
                <w:lang w:val="en-US" w:eastAsia="zh-CN"/>
              </w:rPr>
              <w:t>17.61</w:t>
            </w:r>
          </w:p>
        </w:tc>
        <w:tc>
          <w:tcPr>
            <w:tcW w:w="1032" w:type="dxa"/>
            <w:vAlign w:val="center"/>
          </w:tcPr>
          <w:p>
            <w:pPr>
              <w:spacing w:line="360" w:lineRule="auto"/>
              <w:jc w:val="center"/>
              <w:rPr>
                <w:rFonts w:ascii="Times New Roman" w:hAnsi="Times New Roman"/>
                <w:szCs w:val="21"/>
              </w:rPr>
            </w:pPr>
            <w:r>
              <w:rPr>
                <w:rFonts w:hint="eastAsia" w:ascii="Times New Roman" w:hAnsi="Times New Roman"/>
                <w:kern w:val="0"/>
                <w:sz w:val="20"/>
                <w:lang w:val="en-US" w:eastAsia="zh-CN"/>
              </w:rPr>
              <w:t>0.0175</w:t>
            </w:r>
          </w:p>
        </w:tc>
        <w:tc>
          <w:tcPr>
            <w:tcW w:w="887" w:type="dxa"/>
            <w:vAlign w:val="center"/>
          </w:tcPr>
          <w:p>
            <w:pPr>
              <w:spacing w:line="360" w:lineRule="auto"/>
              <w:jc w:val="center"/>
              <w:rPr>
                <w:rFonts w:ascii="Times New Roman" w:hAnsi="Times New Roman"/>
                <w:szCs w:val="21"/>
              </w:rPr>
            </w:pPr>
            <w:r>
              <w:rPr>
                <w:rFonts w:ascii="Times New Roman" w:hAnsi="Times New Roman"/>
                <w:kern w:val="0"/>
                <w:sz w:val="20"/>
              </w:rPr>
              <w:t>0.</w:t>
            </w:r>
            <w:r>
              <w:rPr>
                <w:rFonts w:hint="eastAsia" w:ascii="Times New Roman" w:hAnsi="Times New Roman"/>
                <w:kern w:val="0"/>
                <w:sz w:val="20"/>
                <w:lang w:val="en-US" w:eastAsia="zh-CN"/>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39" w:type="dxa"/>
            <w:vAlign w:val="center"/>
          </w:tcPr>
          <w:p>
            <w:pPr>
              <w:spacing w:line="360" w:lineRule="auto"/>
              <w:jc w:val="center"/>
              <w:rPr>
                <w:rFonts w:hint="eastAsia" w:ascii="Times New Roman" w:hAnsi="Times New Roman"/>
                <w:kern w:val="0"/>
                <w:sz w:val="20"/>
                <w:lang w:val="en-US" w:eastAsia="zh-CN"/>
              </w:rPr>
            </w:pPr>
            <w:r>
              <w:rPr>
                <w:rFonts w:hint="eastAsia" w:ascii="Times New Roman" w:hAnsi="Times New Roman"/>
                <w:kern w:val="0"/>
                <w:sz w:val="20"/>
                <w:lang w:val="en-US" w:eastAsia="zh-CN"/>
              </w:rPr>
              <w:t>2#</w:t>
            </w:r>
          </w:p>
        </w:tc>
        <w:tc>
          <w:tcPr>
            <w:tcW w:w="4705" w:type="dxa"/>
            <w:vAlign w:val="top"/>
          </w:tcPr>
          <w:p>
            <w:pPr>
              <w:spacing w:line="360" w:lineRule="auto"/>
              <w:jc w:val="left"/>
              <w:rPr>
                <w:rFonts w:ascii="Times New Roman" w:hAnsi="Times New Roman"/>
                <w:szCs w:val="21"/>
              </w:rPr>
            </w:pPr>
            <w:r>
              <w:rPr>
                <w:rFonts w:hint="eastAsia" w:ascii="Times New Roman" w:hAnsi="Times New Roman"/>
                <w:kern w:val="0"/>
                <w:sz w:val="20"/>
                <w:lang w:val="en-US" w:eastAsia="zh-CN"/>
              </w:rPr>
              <w:t>17.33</w:t>
            </w:r>
            <w:r>
              <w:rPr>
                <w:rFonts w:hint="eastAsia" w:ascii="Times New Roman" w:hAnsi="Times New Roman"/>
                <w:kern w:val="0"/>
                <w:sz w:val="20"/>
              </w:rPr>
              <w:t xml:space="preserve">  </w:t>
            </w:r>
            <w:r>
              <w:rPr>
                <w:rFonts w:hint="eastAsia" w:ascii="Times New Roman" w:hAnsi="Times New Roman"/>
                <w:kern w:val="0"/>
                <w:sz w:val="20"/>
                <w:lang w:val="en-US" w:eastAsia="zh-CN"/>
              </w:rPr>
              <w:t>17.32</w:t>
            </w:r>
            <w:r>
              <w:rPr>
                <w:rFonts w:hint="eastAsia" w:ascii="Times New Roman" w:hAnsi="Times New Roman"/>
                <w:kern w:val="0"/>
                <w:sz w:val="20"/>
              </w:rPr>
              <w:t xml:space="preserve">  </w:t>
            </w:r>
            <w:r>
              <w:rPr>
                <w:rFonts w:hint="eastAsia" w:ascii="Times New Roman" w:hAnsi="Times New Roman"/>
                <w:kern w:val="0"/>
                <w:sz w:val="20"/>
                <w:lang w:val="en-US" w:eastAsia="zh-CN"/>
              </w:rPr>
              <w:t>17.35</w:t>
            </w:r>
            <w:r>
              <w:rPr>
                <w:rFonts w:hint="eastAsia" w:ascii="Times New Roman" w:hAnsi="Times New Roman"/>
                <w:kern w:val="0"/>
                <w:sz w:val="20"/>
              </w:rPr>
              <w:t xml:space="preserve"> </w:t>
            </w:r>
            <w:r>
              <w:rPr>
                <w:rFonts w:hint="eastAsia" w:ascii="Times New Roman" w:hAnsi="Times New Roman"/>
                <w:kern w:val="0"/>
                <w:sz w:val="20"/>
                <w:lang w:val="en-US" w:eastAsia="zh-CN"/>
              </w:rPr>
              <w:t xml:space="preserve"> 17.31  17.28</w:t>
            </w:r>
            <w:r>
              <w:rPr>
                <w:rFonts w:hint="eastAsia" w:ascii="Times New Roman" w:hAnsi="Times New Roman"/>
                <w:kern w:val="0"/>
                <w:sz w:val="20"/>
              </w:rPr>
              <w:t xml:space="preserve">  </w:t>
            </w:r>
            <w:r>
              <w:rPr>
                <w:rFonts w:hint="eastAsia" w:ascii="Times New Roman" w:hAnsi="Times New Roman"/>
                <w:kern w:val="0"/>
                <w:sz w:val="20"/>
                <w:lang w:val="en-US" w:eastAsia="zh-CN"/>
              </w:rPr>
              <w:t>17.31</w:t>
            </w:r>
            <w:r>
              <w:rPr>
                <w:rFonts w:hint="eastAsia" w:ascii="Times New Roman" w:hAnsi="Times New Roman"/>
                <w:kern w:val="0"/>
                <w:sz w:val="20"/>
              </w:rPr>
              <w:t xml:space="preserve">  </w:t>
            </w:r>
            <w:r>
              <w:rPr>
                <w:rFonts w:hint="eastAsia" w:ascii="Times New Roman" w:hAnsi="Times New Roman"/>
                <w:kern w:val="0"/>
                <w:sz w:val="20"/>
                <w:lang w:val="en-US" w:eastAsia="zh-CN"/>
              </w:rPr>
              <w:t>17.30</w:t>
            </w:r>
            <w:r>
              <w:rPr>
                <w:rFonts w:hint="eastAsia" w:ascii="Times New Roman" w:hAnsi="Times New Roman"/>
                <w:kern w:val="0"/>
                <w:sz w:val="20"/>
              </w:rPr>
              <w:t xml:space="preserve">  </w:t>
            </w:r>
            <w:r>
              <w:rPr>
                <w:rFonts w:hint="eastAsia" w:ascii="Times New Roman" w:hAnsi="Times New Roman"/>
                <w:kern w:val="0"/>
                <w:sz w:val="20"/>
                <w:lang w:val="en-US" w:eastAsia="zh-CN"/>
              </w:rPr>
              <w:t>17.29  17.33</w:t>
            </w:r>
            <w:r>
              <w:rPr>
                <w:rFonts w:hint="eastAsia" w:ascii="Times New Roman" w:hAnsi="Times New Roman"/>
                <w:kern w:val="0"/>
                <w:sz w:val="20"/>
              </w:rPr>
              <w:t xml:space="preserve">  </w:t>
            </w:r>
            <w:r>
              <w:rPr>
                <w:rFonts w:hint="eastAsia" w:ascii="Times New Roman" w:hAnsi="Times New Roman"/>
                <w:kern w:val="0"/>
                <w:sz w:val="20"/>
                <w:lang w:val="en-US" w:eastAsia="zh-CN"/>
              </w:rPr>
              <w:t>17.34</w:t>
            </w:r>
            <w:r>
              <w:rPr>
                <w:rFonts w:hint="eastAsia" w:ascii="Times New Roman" w:hAnsi="Times New Roman"/>
                <w:kern w:val="0"/>
                <w:sz w:val="20"/>
              </w:rPr>
              <w:t xml:space="preserve">  </w:t>
            </w:r>
            <w:r>
              <w:rPr>
                <w:rFonts w:hint="eastAsia" w:ascii="Times New Roman" w:hAnsi="Times New Roman"/>
                <w:kern w:val="0"/>
                <w:sz w:val="20"/>
                <w:lang w:val="en-US" w:eastAsia="zh-CN"/>
              </w:rPr>
              <w:t>17.30</w:t>
            </w:r>
          </w:p>
        </w:tc>
        <w:tc>
          <w:tcPr>
            <w:tcW w:w="959" w:type="dxa"/>
            <w:vAlign w:val="center"/>
          </w:tcPr>
          <w:p>
            <w:pPr>
              <w:spacing w:line="360" w:lineRule="auto"/>
              <w:jc w:val="center"/>
              <w:rPr>
                <w:rFonts w:hint="eastAsia" w:ascii="Times New Roman" w:hAnsi="Times New Roman" w:eastAsia="宋体"/>
                <w:szCs w:val="21"/>
                <w:lang w:eastAsia="zh-CN"/>
              </w:rPr>
            </w:pPr>
            <w:r>
              <w:rPr>
                <w:rFonts w:hint="eastAsia" w:ascii="Times New Roman" w:hAnsi="Times New Roman"/>
                <w:kern w:val="0"/>
                <w:sz w:val="20"/>
                <w:lang w:val="en-US" w:eastAsia="zh-CN"/>
              </w:rPr>
              <w:t>17.32</w:t>
            </w:r>
          </w:p>
        </w:tc>
        <w:tc>
          <w:tcPr>
            <w:tcW w:w="1032" w:type="dxa"/>
            <w:vAlign w:val="center"/>
          </w:tcPr>
          <w:p>
            <w:pPr>
              <w:spacing w:line="360" w:lineRule="auto"/>
              <w:jc w:val="center"/>
              <w:rPr>
                <w:rFonts w:ascii="Times New Roman" w:hAnsi="Times New Roman"/>
                <w:szCs w:val="21"/>
              </w:rPr>
            </w:pPr>
            <w:r>
              <w:rPr>
                <w:rFonts w:ascii="Times New Roman" w:hAnsi="Times New Roman"/>
                <w:kern w:val="0"/>
                <w:sz w:val="20"/>
              </w:rPr>
              <w:t>0.0</w:t>
            </w:r>
            <w:r>
              <w:rPr>
                <w:rFonts w:hint="eastAsia" w:ascii="Times New Roman" w:hAnsi="Times New Roman"/>
                <w:kern w:val="0"/>
                <w:sz w:val="20"/>
                <w:lang w:val="en-US" w:eastAsia="zh-CN"/>
              </w:rPr>
              <w:t>21</w:t>
            </w:r>
          </w:p>
        </w:tc>
        <w:tc>
          <w:tcPr>
            <w:tcW w:w="887" w:type="dxa"/>
            <w:vAlign w:val="center"/>
          </w:tcPr>
          <w:p>
            <w:pPr>
              <w:spacing w:line="360" w:lineRule="auto"/>
              <w:jc w:val="center"/>
              <w:rPr>
                <w:rFonts w:ascii="Times New Roman" w:hAnsi="Times New Roman"/>
                <w:szCs w:val="21"/>
              </w:rPr>
            </w:pPr>
            <w:r>
              <w:rPr>
                <w:rFonts w:hint="eastAsia" w:ascii="Times New Roman" w:hAnsi="Times New Roman"/>
                <w:kern w:val="0"/>
                <w:sz w:val="20"/>
              </w:rPr>
              <w:t>0.</w:t>
            </w:r>
            <w:r>
              <w:rPr>
                <w:rFonts w:hint="eastAsia" w:ascii="Times New Roman" w:hAnsi="Times New Roman"/>
                <w:kern w:val="0"/>
                <w:sz w:val="2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39" w:type="dxa"/>
            <w:vAlign w:val="center"/>
          </w:tcPr>
          <w:p>
            <w:pPr>
              <w:spacing w:line="360" w:lineRule="auto"/>
              <w:jc w:val="center"/>
              <w:rPr>
                <w:rFonts w:hint="eastAsia" w:ascii="Times New Roman" w:hAnsi="Times New Roman"/>
                <w:kern w:val="0"/>
                <w:sz w:val="20"/>
              </w:rPr>
            </w:pPr>
            <w:r>
              <w:rPr>
                <w:rFonts w:hint="eastAsia" w:ascii="Times New Roman" w:hAnsi="Times New Roman"/>
                <w:kern w:val="0"/>
                <w:sz w:val="20"/>
                <w:lang w:val="en-US" w:eastAsia="zh-CN"/>
              </w:rPr>
              <w:t>3#</w:t>
            </w:r>
          </w:p>
        </w:tc>
        <w:tc>
          <w:tcPr>
            <w:tcW w:w="4705" w:type="dxa"/>
            <w:vAlign w:val="top"/>
          </w:tcPr>
          <w:p>
            <w:pPr>
              <w:spacing w:line="360" w:lineRule="auto"/>
              <w:jc w:val="left"/>
              <w:rPr>
                <w:rFonts w:ascii="Times New Roman" w:hAnsi="Times New Roman"/>
                <w:szCs w:val="21"/>
              </w:rPr>
            </w:pPr>
            <w:r>
              <w:rPr>
                <w:rFonts w:hint="eastAsia" w:ascii="Times New Roman" w:hAnsi="Times New Roman"/>
                <w:kern w:val="0"/>
                <w:sz w:val="20"/>
                <w:lang w:val="en-US" w:eastAsia="zh-CN"/>
              </w:rPr>
              <w:t>18.2</w:t>
            </w:r>
            <w:r>
              <w:rPr>
                <w:rFonts w:hint="eastAsia" w:ascii="Times New Roman" w:hAnsi="Times New Roman"/>
                <w:kern w:val="0"/>
                <w:sz w:val="20"/>
              </w:rPr>
              <w:t xml:space="preserve">4  </w:t>
            </w:r>
            <w:r>
              <w:rPr>
                <w:rFonts w:hint="eastAsia" w:ascii="Times New Roman" w:hAnsi="Times New Roman"/>
                <w:kern w:val="0"/>
                <w:sz w:val="20"/>
                <w:lang w:val="en-US" w:eastAsia="zh-CN"/>
              </w:rPr>
              <w:t>18.20</w:t>
            </w:r>
            <w:r>
              <w:rPr>
                <w:rFonts w:hint="eastAsia" w:ascii="Times New Roman" w:hAnsi="Times New Roman"/>
                <w:kern w:val="0"/>
                <w:sz w:val="20"/>
              </w:rPr>
              <w:t xml:space="preserve">  </w:t>
            </w:r>
            <w:r>
              <w:rPr>
                <w:rFonts w:hint="eastAsia" w:ascii="Times New Roman" w:hAnsi="Times New Roman"/>
                <w:kern w:val="0"/>
                <w:sz w:val="20"/>
                <w:lang w:val="en-US" w:eastAsia="zh-CN"/>
              </w:rPr>
              <w:t>18.21  18.25</w:t>
            </w:r>
            <w:r>
              <w:rPr>
                <w:rFonts w:hint="eastAsia" w:ascii="Times New Roman" w:hAnsi="Times New Roman"/>
                <w:kern w:val="0"/>
                <w:sz w:val="20"/>
              </w:rPr>
              <w:t xml:space="preserve">  </w:t>
            </w:r>
            <w:r>
              <w:rPr>
                <w:rFonts w:hint="eastAsia" w:ascii="Times New Roman" w:hAnsi="Times New Roman"/>
                <w:kern w:val="0"/>
                <w:sz w:val="20"/>
                <w:lang w:val="en-US" w:eastAsia="zh-CN"/>
              </w:rPr>
              <w:t>18.23</w:t>
            </w:r>
            <w:r>
              <w:rPr>
                <w:rFonts w:hint="eastAsia" w:ascii="Times New Roman" w:hAnsi="Times New Roman"/>
                <w:kern w:val="0"/>
                <w:sz w:val="20"/>
              </w:rPr>
              <w:t xml:space="preserve">  </w:t>
            </w:r>
            <w:r>
              <w:rPr>
                <w:rFonts w:hint="eastAsia" w:ascii="Times New Roman" w:hAnsi="Times New Roman"/>
                <w:kern w:val="0"/>
                <w:sz w:val="20"/>
                <w:lang w:val="en-US" w:eastAsia="zh-CN"/>
              </w:rPr>
              <w:t>18.24</w:t>
            </w:r>
            <w:r>
              <w:rPr>
                <w:rFonts w:hint="eastAsia" w:ascii="Times New Roman" w:hAnsi="Times New Roman"/>
                <w:kern w:val="0"/>
                <w:sz w:val="20"/>
              </w:rPr>
              <w:t xml:space="preserve">  </w:t>
            </w:r>
            <w:r>
              <w:rPr>
                <w:rFonts w:hint="eastAsia" w:ascii="Times New Roman" w:hAnsi="Times New Roman"/>
                <w:kern w:val="0"/>
                <w:sz w:val="20"/>
                <w:lang w:val="en-US" w:eastAsia="zh-CN"/>
              </w:rPr>
              <w:t>18.29</w:t>
            </w:r>
            <w:r>
              <w:rPr>
                <w:rFonts w:hint="eastAsia" w:ascii="Times New Roman" w:hAnsi="Times New Roman"/>
                <w:kern w:val="0"/>
                <w:sz w:val="20"/>
              </w:rPr>
              <w:t xml:space="preserve">  </w:t>
            </w:r>
            <w:r>
              <w:rPr>
                <w:rFonts w:hint="eastAsia" w:ascii="Times New Roman" w:hAnsi="Times New Roman"/>
                <w:kern w:val="0"/>
                <w:sz w:val="20"/>
                <w:lang w:val="en-US" w:eastAsia="zh-CN"/>
              </w:rPr>
              <w:t>18.2</w:t>
            </w:r>
            <w:r>
              <w:rPr>
                <w:rFonts w:hint="eastAsia" w:ascii="Times New Roman" w:hAnsi="Times New Roman"/>
                <w:kern w:val="0"/>
                <w:sz w:val="20"/>
              </w:rPr>
              <w:t xml:space="preserve">6  </w:t>
            </w:r>
            <w:r>
              <w:rPr>
                <w:rFonts w:hint="eastAsia" w:ascii="Times New Roman" w:hAnsi="Times New Roman"/>
                <w:kern w:val="0"/>
                <w:sz w:val="20"/>
                <w:lang w:val="en-US" w:eastAsia="zh-CN"/>
              </w:rPr>
              <w:t>18.2</w:t>
            </w:r>
            <w:r>
              <w:rPr>
                <w:rFonts w:hint="eastAsia" w:ascii="Times New Roman" w:hAnsi="Times New Roman"/>
                <w:kern w:val="0"/>
                <w:sz w:val="20"/>
              </w:rPr>
              <w:t xml:space="preserve">5  </w:t>
            </w:r>
            <w:r>
              <w:rPr>
                <w:rFonts w:hint="eastAsia" w:ascii="Times New Roman" w:hAnsi="Times New Roman"/>
                <w:kern w:val="0"/>
                <w:sz w:val="20"/>
                <w:lang w:val="en-US" w:eastAsia="zh-CN"/>
              </w:rPr>
              <w:t>18.2</w:t>
            </w:r>
            <w:r>
              <w:rPr>
                <w:rFonts w:hint="eastAsia" w:ascii="Times New Roman" w:hAnsi="Times New Roman"/>
                <w:kern w:val="0"/>
                <w:sz w:val="20"/>
              </w:rPr>
              <w:t xml:space="preserve">6  </w:t>
            </w:r>
            <w:r>
              <w:rPr>
                <w:rFonts w:hint="eastAsia" w:ascii="Times New Roman" w:hAnsi="Times New Roman"/>
                <w:kern w:val="0"/>
                <w:sz w:val="20"/>
                <w:lang w:val="en-US" w:eastAsia="zh-CN"/>
              </w:rPr>
              <w:t>18.2</w:t>
            </w:r>
            <w:r>
              <w:rPr>
                <w:rFonts w:hint="eastAsia" w:ascii="Times New Roman" w:hAnsi="Times New Roman"/>
                <w:kern w:val="0"/>
                <w:sz w:val="20"/>
              </w:rPr>
              <w:t>1</w:t>
            </w:r>
          </w:p>
        </w:tc>
        <w:tc>
          <w:tcPr>
            <w:tcW w:w="959" w:type="dxa"/>
            <w:vAlign w:val="center"/>
          </w:tcPr>
          <w:p>
            <w:pPr>
              <w:spacing w:line="360" w:lineRule="auto"/>
              <w:jc w:val="center"/>
              <w:rPr>
                <w:rFonts w:hint="eastAsia" w:ascii="Times New Roman" w:hAnsi="Times New Roman" w:eastAsia="宋体"/>
                <w:szCs w:val="21"/>
                <w:lang w:val="en-US" w:eastAsia="zh-CN"/>
              </w:rPr>
            </w:pPr>
            <w:r>
              <w:rPr>
                <w:rFonts w:hint="eastAsia" w:ascii="Times New Roman" w:hAnsi="Times New Roman"/>
                <w:kern w:val="0"/>
                <w:sz w:val="20"/>
                <w:lang w:val="en-US" w:eastAsia="zh-CN"/>
              </w:rPr>
              <w:t>18.24</w:t>
            </w:r>
          </w:p>
        </w:tc>
        <w:tc>
          <w:tcPr>
            <w:tcW w:w="1032" w:type="dxa"/>
            <w:vAlign w:val="center"/>
          </w:tcPr>
          <w:p>
            <w:pPr>
              <w:spacing w:line="360" w:lineRule="auto"/>
              <w:jc w:val="center"/>
              <w:rPr>
                <w:rFonts w:hint="eastAsia" w:ascii="Times New Roman" w:hAnsi="Times New Roman" w:eastAsia="宋体"/>
                <w:szCs w:val="21"/>
                <w:lang w:val="en-US" w:eastAsia="zh-CN"/>
              </w:rPr>
            </w:pPr>
            <w:r>
              <w:rPr>
                <w:rFonts w:hint="eastAsia" w:ascii="Times New Roman" w:hAnsi="Times New Roman"/>
                <w:kern w:val="0"/>
                <w:sz w:val="20"/>
              </w:rPr>
              <w:t>0.0</w:t>
            </w:r>
            <w:r>
              <w:rPr>
                <w:rFonts w:hint="eastAsia" w:ascii="Times New Roman" w:hAnsi="Times New Roman"/>
                <w:kern w:val="0"/>
                <w:sz w:val="20"/>
                <w:lang w:val="en-US" w:eastAsia="zh-CN"/>
              </w:rPr>
              <w:t>27</w:t>
            </w:r>
          </w:p>
        </w:tc>
        <w:tc>
          <w:tcPr>
            <w:tcW w:w="887" w:type="dxa"/>
            <w:vAlign w:val="center"/>
          </w:tcPr>
          <w:p>
            <w:pPr>
              <w:spacing w:line="360" w:lineRule="auto"/>
              <w:jc w:val="center"/>
              <w:rPr>
                <w:rFonts w:hint="eastAsia" w:ascii="Times New Roman" w:hAnsi="Times New Roman" w:eastAsia="宋体"/>
                <w:szCs w:val="21"/>
                <w:lang w:val="en-US" w:eastAsia="zh-CN"/>
              </w:rPr>
            </w:pPr>
            <w:r>
              <w:rPr>
                <w:rFonts w:hint="eastAsia" w:ascii="Times New Roman" w:hAnsi="Times New Roman"/>
                <w:kern w:val="0"/>
                <w:sz w:val="20"/>
              </w:rPr>
              <w:t>0.1</w:t>
            </w:r>
            <w:r>
              <w:rPr>
                <w:rFonts w:hint="eastAsia" w:ascii="Times New Roman" w:hAnsi="Times New Roman"/>
                <w:kern w:val="0"/>
                <w:sz w:val="20"/>
                <w:lang w:val="en-US" w:eastAsia="zh-CN"/>
              </w:rPr>
              <w:t>4</w:t>
            </w:r>
          </w:p>
        </w:tc>
      </w:tr>
    </w:tbl>
    <w:p>
      <w:pPr>
        <w:spacing w:line="360" w:lineRule="auto"/>
        <w:rPr>
          <w:rFonts w:hint="eastAsia" w:ascii="Times New Roman" w:hAnsi="宋体" w:cs="宋体"/>
          <w:sz w:val="21"/>
          <w:szCs w:val="21"/>
          <w:lang w:val="en-US" w:eastAsia="zh-CN"/>
        </w:rPr>
      </w:pPr>
    </w:p>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6．结论</w:t>
      </w:r>
    </w:p>
    <w:p>
      <w:pPr>
        <w:spacing w:line="360" w:lineRule="auto"/>
        <w:ind w:firstLine="420" w:firstLineChars="200"/>
        <w:rPr>
          <w:rFonts w:ascii="Times New Roman" w:hAnsi="Times New Roman" w:cs="宋体"/>
          <w:sz w:val="21"/>
          <w:szCs w:val="21"/>
        </w:rPr>
      </w:pPr>
      <w:r>
        <w:rPr>
          <w:rFonts w:hint="eastAsia" w:ascii="Times New Roman" w:hAnsi="宋体" w:cs="宋体"/>
          <w:sz w:val="21"/>
          <w:szCs w:val="21"/>
        </w:rPr>
        <w:t>本文通过用</w:t>
      </w:r>
      <w:r>
        <w:rPr>
          <w:rFonts w:hint="eastAsia" w:ascii="Times New Roman" w:hAnsi="宋体" w:cs="宋体"/>
          <w:sz w:val="21"/>
          <w:szCs w:val="21"/>
          <w:lang w:eastAsia="zh-CN"/>
        </w:rPr>
        <w:t>硝酸、盐酸溶解</w:t>
      </w:r>
      <w:r>
        <w:rPr>
          <w:rFonts w:hint="eastAsia" w:ascii="Times New Roman" w:hAnsi="宋体" w:cs="宋体"/>
          <w:sz w:val="21"/>
          <w:szCs w:val="21"/>
        </w:rPr>
        <w:t>，高氯酸破坏</w:t>
      </w:r>
      <w:r>
        <w:rPr>
          <w:rFonts w:hint="eastAsia" w:asciiTheme="minorEastAsia" w:hAnsiTheme="minorEastAsia" w:eastAsiaTheme="minorEastAsia" w:cstheme="minorEastAsia"/>
          <w:bCs/>
          <w:sz w:val="21"/>
          <w:szCs w:val="21"/>
        </w:rPr>
        <w:t>1,</w:t>
      </w:r>
      <w:r>
        <w:rPr>
          <w:rFonts w:hint="eastAsia" w:asciiTheme="minorEastAsia" w:hAnsiTheme="minorEastAsia" w:eastAsiaTheme="minorEastAsia" w:cstheme="minorEastAsia"/>
          <w:bCs/>
          <w:sz w:val="21"/>
          <w:szCs w:val="21"/>
          <w:lang w:val="en-US" w:eastAsia="zh-CN"/>
        </w:rPr>
        <w:t>2</w:t>
      </w:r>
      <w:r>
        <w:rPr>
          <w:rFonts w:hint="eastAsia" w:asciiTheme="minorEastAsia" w:hAnsiTheme="minorEastAsia" w:eastAsiaTheme="minorEastAsia" w:cstheme="minorEastAsia"/>
          <w:bCs/>
          <w:sz w:val="21"/>
          <w:szCs w:val="21"/>
        </w:rPr>
        <w:t>-双二苯基膦</w:t>
      </w:r>
      <w:r>
        <w:rPr>
          <w:rFonts w:hint="eastAsia" w:asciiTheme="minorEastAsia" w:hAnsiTheme="minorEastAsia" w:eastAsiaTheme="minorEastAsia" w:cstheme="minorEastAsia"/>
          <w:bCs/>
          <w:sz w:val="21"/>
          <w:szCs w:val="21"/>
          <w:lang w:eastAsia="zh-CN"/>
        </w:rPr>
        <w:t>乙烷</w:t>
      </w:r>
      <w:r>
        <w:rPr>
          <w:rFonts w:hint="eastAsia" w:asciiTheme="minorEastAsia" w:hAnsiTheme="minorEastAsia" w:eastAsiaTheme="minorEastAsia" w:cstheme="minorEastAsia"/>
          <w:bCs/>
          <w:sz w:val="21"/>
          <w:szCs w:val="21"/>
        </w:rPr>
        <w:t>氯化钯</w:t>
      </w:r>
      <w:r>
        <w:rPr>
          <w:rFonts w:hint="eastAsia" w:ascii="Times New Roman" w:hAnsi="宋体" w:cs="宋体"/>
          <w:sz w:val="21"/>
          <w:szCs w:val="21"/>
        </w:rPr>
        <w:t>中的有机物并使钯转化成可离子状态，在盐酸介质中，用丁二酮肟络合沉淀从而计算</w:t>
      </w:r>
      <w:r>
        <w:rPr>
          <w:rFonts w:hint="eastAsia" w:asciiTheme="minorEastAsia" w:hAnsiTheme="minorEastAsia" w:eastAsiaTheme="minorEastAsia" w:cstheme="minorEastAsia"/>
          <w:bCs/>
          <w:sz w:val="21"/>
          <w:szCs w:val="21"/>
        </w:rPr>
        <w:t>1,</w:t>
      </w:r>
      <w:r>
        <w:rPr>
          <w:rFonts w:hint="eastAsia" w:asciiTheme="minorEastAsia" w:hAnsiTheme="minorEastAsia" w:eastAsiaTheme="minorEastAsia" w:cstheme="minorEastAsia"/>
          <w:bCs/>
          <w:sz w:val="21"/>
          <w:szCs w:val="21"/>
          <w:lang w:val="en-US" w:eastAsia="zh-CN"/>
        </w:rPr>
        <w:t>2</w:t>
      </w:r>
      <w:r>
        <w:rPr>
          <w:rFonts w:hint="eastAsia" w:asciiTheme="minorEastAsia" w:hAnsiTheme="minorEastAsia" w:eastAsiaTheme="minorEastAsia" w:cstheme="minorEastAsia"/>
          <w:bCs/>
          <w:sz w:val="21"/>
          <w:szCs w:val="21"/>
        </w:rPr>
        <w:t>-双二苯基膦</w:t>
      </w:r>
      <w:r>
        <w:rPr>
          <w:rFonts w:hint="eastAsia" w:asciiTheme="minorEastAsia" w:hAnsiTheme="minorEastAsia" w:eastAsiaTheme="minorEastAsia" w:cstheme="minorEastAsia"/>
          <w:bCs/>
          <w:sz w:val="21"/>
          <w:szCs w:val="21"/>
          <w:lang w:eastAsia="zh-CN"/>
        </w:rPr>
        <w:t>乙烷</w:t>
      </w:r>
      <w:r>
        <w:rPr>
          <w:rFonts w:hint="eastAsia" w:asciiTheme="minorEastAsia" w:hAnsiTheme="minorEastAsia" w:eastAsiaTheme="minorEastAsia" w:cstheme="minorEastAsia"/>
          <w:bCs/>
          <w:sz w:val="21"/>
          <w:szCs w:val="21"/>
        </w:rPr>
        <w:t>氯化钯</w:t>
      </w:r>
      <w:r>
        <w:rPr>
          <w:rFonts w:hint="eastAsia" w:ascii="Times New Roman"/>
          <w:sz w:val="21"/>
          <w:szCs w:val="21"/>
        </w:rPr>
        <w:t>中</w:t>
      </w:r>
      <w:r>
        <w:rPr>
          <w:rFonts w:hint="eastAsia" w:ascii="Times New Roman" w:hAnsi="宋体" w:cs="宋体"/>
          <w:sz w:val="21"/>
          <w:szCs w:val="21"/>
        </w:rPr>
        <w:t>钯含量，</w:t>
      </w:r>
      <w:r>
        <w:rPr>
          <w:rFonts w:hint="eastAsia" w:ascii="Times New Roman" w:hAnsi="宋体"/>
          <w:color w:val="000000"/>
          <w:sz w:val="21"/>
          <w:szCs w:val="21"/>
        </w:rPr>
        <w:t>方法精密度</w:t>
      </w:r>
      <w:r>
        <w:rPr>
          <w:rFonts w:hint="eastAsia" w:ascii="Times New Roman" w:hAnsi="宋体"/>
          <w:color w:val="000000"/>
          <w:sz w:val="21"/>
          <w:szCs w:val="21"/>
          <w:lang w:eastAsia="zh-CN"/>
        </w:rPr>
        <w:t>小于</w:t>
      </w:r>
      <w:r>
        <w:rPr>
          <w:rFonts w:hint="eastAsia" w:ascii="Times New Roman" w:hAnsi="Times New Roman"/>
          <w:color w:val="000000"/>
          <w:sz w:val="21"/>
          <w:szCs w:val="21"/>
        </w:rPr>
        <w:t>0.</w:t>
      </w:r>
      <w:r>
        <w:rPr>
          <w:rFonts w:hint="eastAsia" w:ascii="Times New Roman" w:hAnsi="Times New Roman"/>
          <w:color w:val="000000"/>
          <w:sz w:val="21"/>
          <w:szCs w:val="21"/>
          <w:lang w:val="en-US" w:eastAsia="zh-CN"/>
        </w:rPr>
        <w:t>14</w:t>
      </w:r>
      <w:r>
        <w:rPr>
          <w:rFonts w:hint="eastAsia" w:ascii="Times New Roman" w:hAnsi="Times New Roman"/>
          <w:color w:val="000000"/>
          <w:sz w:val="21"/>
          <w:szCs w:val="21"/>
        </w:rPr>
        <w:t>%</w:t>
      </w:r>
      <w:r>
        <w:rPr>
          <w:rFonts w:hint="eastAsia" w:ascii="Times New Roman" w:hAnsi="宋体"/>
          <w:color w:val="000000"/>
          <w:sz w:val="21"/>
          <w:szCs w:val="21"/>
        </w:rPr>
        <w:t>；样品加标回收率在</w:t>
      </w:r>
      <w:r>
        <w:rPr>
          <w:rFonts w:hint="eastAsia" w:ascii="Times New Roman" w:hAnsi="Times New Roman"/>
          <w:szCs w:val="21"/>
          <w:lang w:val="en-US" w:eastAsia="zh-CN"/>
        </w:rPr>
        <w:t>99.90</w:t>
      </w:r>
      <w:r>
        <w:rPr>
          <w:rFonts w:ascii="Times New Roman" w:hAnsi="Times New Roman"/>
          <w:szCs w:val="21"/>
        </w:rPr>
        <w:t>%~100</w:t>
      </w:r>
      <w:r>
        <w:rPr>
          <w:rFonts w:hint="eastAsia" w:ascii="Times New Roman" w:hAnsi="Times New Roman"/>
          <w:szCs w:val="21"/>
        </w:rPr>
        <w:t>.</w:t>
      </w:r>
      <w:r>
        <w:rPr>
          <w:rFonts w:hint="eastAsia" w:ascii="Times New Roman" w:hAnsi="Times New Roman"/>
          <w:szCs w:val="21"/>
          <w:lang w:val="en-US" w:eastAsia="zh-CN"/>
        </w:rPr>
        <w:t>74</w:t>
      </w:r>
      <w:r>
        <w:rPr>
          <w:rFonts w:ascii="Times New Roman" w:hAnsi="Times New Roman"/>
          <w:szCs w:val="21"/>
        </w:rPr>
        <w:t>%</w:t>
      </w:r>
      <w:r>
        <w:rPr>
          <w:rFonts w:hint="eastAsia" w:ascii="Times New Roman" w:hAnsi="宋体" w:cs="宋体"/>
          <w:color w:val="000000"/>
          <w:kern w:val="0"/>
          <w:sz w:val="21"/>
          <w:szCs w:val="21"/>
        </w:rPr>
        <w:t>。因此</w:t>
      </w:r>
      <w:r>
        <w:rPr>
          <w:rFonts w:hint="eastAsia" w:ascii="Times New Roman" w:hAnsi="Times New Roman"/>
          <w:sz w:val="21"/>
          <w:szCs w:val="21"/>
        </w:rPr>
        <w:t>本文提出的分析方法能够测定</w:t>
      </w:r>
      <w:r>
        <w:rPr>
          <w:rFonts w:hint="eastAsia" w:asciiTheme="minorEastAsia" w:hAnsiTheme="minorEastAsia" w:eastAsiaTheme="minorEastAsia" w:cstheme="minorEastAsia"/>
          <w:bCs/>
          <w:sz w:val="21"/>
          <w:szCs w:val="21"/>
        </w:rPr>
        <w:t>1,</w:t>
      </w:r>
      <w:r>
        <w:rPr>
          <w:rFonts w:hint="eastAsia" w:asciiTheme="minorEastAsia" w:hAnsiTheme="minorEastAsia" w:eastAsiaTheme="minorEastAsia" w:cstheme="minorEastAsia"/>
          <w:bCs/>
          <w:sz w:val="21"/>
          <w:szCs w:val="21"/>
          <w:lang w:val="en-US" w:eastAsia="zh-CN"/>
        </w:rPr>
        <w:t>2</w:t>
      </w:r>
      <w:r>
        <w:rPr>
          <w:rFonts w:hint="eastAsia" w:asciiTheme="minorEastAsia" w:hAnsiTheme="minorEastAsia" w:eastAsiaTheme="minorEastAsia" w:cstheme="minorEastAsia"/>
          <w:bCs/>
          <w:sz w:val="21"/>
          <w:szCs w:val="21"/>
        </w:rPr>
        <w:t>-双二苯基膦</w:t>
      </w:r>
      <w:r>
        <w:rPr>
          <w:rFonts w:hint="eastAsia" w:asciiTheme="minorEastAsia" w:hAnsiTheme="minorEastAsia" w:eastAsiaTheme="minorEastAsia" w:cstheme="minorEastAsia"/>
          <w:bCs/>
          <w:sz w:val="21"/>
          <w:szCs w:val="21"/>
          <w:lang w:eastAsia="zh-CN"/>
        </w:rPr>
        <w:t>乙烷</w:t>
      </w:r>
      <w:r>
        <w:rPr>
          <w:rFonts w:hint="eastAsia" w:asciiTheme="minorEastAsia" w:hAnsiTheme="minorEastAsia" w:eastAsiaTheme="minorEastAsia" w:cstheme="minorEastAsia"/>
          <w:bCs/>
          <w:sz w:val="21"/>
          <w:szCs w:val="21"/>
        </w:rPr>
        <w:t>氯化钯</w:t>
      </w:r>
      <w:r>
        <w:rPr>
          <w:rFonts w:hint="eastAsia" w:ascii="Times New Roman" w:hAnsi="Times New Roman"/>
          <w:sz w:val="21"/>
          <w:szCs w:val="21"/>
        </w:rPr>
        <w:t>中钯的含量。该方法准确性好、精密度高，</w:t>
      </w:r>
      <w:r>
        <w:rPr>
          <w:rFonts w:hint="eastAsia" w:ascii="Times New Roman" w:hAnsi="宋体" w:cs="宋体"/>
          <w:color w:val="000000"/>
          <w:kern w:val="0"/>
          <w:sz w:val="21"/>
          <w:szCs w:val="21"/>
        </w:rPr>
        <w:t>方法准确快速，</w:t>
      </w:r>
      <w:r>
        <w:rPr>
          <w:rFonts w:hint="eastAsia" w:ascii="Times New Roman" w:hAnsi="Times New Roman"/>
          <w:sz w:val="21"/>
          <w:szCs w:val="21"/>
        </w:rPr>
        <w:t>操作简单。</w:t>
      </w:r>
    </w:p>
    <w:p>
      <w:pPr>
        <w:spacing w:line="360" w:lineRule="auto"/>
        <w:ind w:firstLine="420" w:firstLineChars="200"/>
        <w:rPr>
          <w:rFonts w:ascii="Times New Roman" w:hAnsi="Times New Roman" w:eastAsiaTheme="minorEastAsia"/>
          <w:szCs w:val="21"/>
        </w:rPr>
      </w:pPr>
      <w:r>
        <w:rPr>
          <w:rFonts w:hint="eastAsia" w:ascii="Times New Roman" w:hAnsi="Times New Roman" w:eastAsiaTheme="minorEastAsia"/>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C1EFB"/>
    <w:multiLevelType w:val="multilevel"/>
    <w:tmpl w:val="6D1C1EFB"/>
    <w:lvl w:ilvl="0" w:tentative="0">
      <w:start w:val="0"/>
      <w:numFmt w:val="bullet"/>
      <w:lvlText w:val="—"/>
      <w:lvlJc w:val="left"/>
      <w:pPr>
        <w:ind w:left="465" w:hanging="360"/>
      </w:pPr>
      <w:rPr>
        <w:rFonts w:hint="eastAsia" w:ascii="宋体" w:hAnsi="宋体" w:eastAsia="宋体" w:cstheme="minorBidi"/>
      </w:rPr>
    </w:lvl>
    <w:lvl w:ilvl="1" w:tentative="0">
      <w:start w:val="1"/>
      <w:numFmt w:val="bullet"/>
      <w:pStyle w:val="21"/>
      <w:lvlText w:val=""/>
      <w:lvlJc w:val="left"/>
      <w:pPr>
        <w:ind w:left="945" w:hanging="420"/>
      </w:pPr>
      <w:rPr>
        <w:rFonts w:hint="default" w:ascii="Wingdings" w:hAnsi="Wingdings"/>
      </w:rPr>
    </w:lvl>
    <w:lvl w:ilvl="2" w:tentative="0">
      <w:start w:val="1"/>
      <w:numFmt w:val="bullet"/>
      <w:lvlText w:val=""/>
      <w:lvlJc w:val="left"/>
      <w:pPr>
        <w:ind w:left="1365" w:hanging="420"/>
      </w:pPr>
      <w:rPr>
        <w:rFonts w:hint="default" w:ascii="Wingdings" w:hAnsi="Wingdings"/>
      </w:rPr>
    </w:lvl>
    <w:lvl w:ilvl="3" w:tentative="0">
      <w:start w:val="1"/>
      <w:numFmt w:val="bullet"/>
      <w:lvlText w:val=""/>
      <w:lvlJc w:val="left"/>
      <w:pPr>
        <w:ind w:left="1785" w:hanging="420"/>
      </w:pPr>
      <w:rPr>
        <w:rFonts w:hint="default" w:ascii="Wingdings" w:hAnsi="Wingdings"/>
      </w:rPr>
    </w:lvl>
    <w:lvl w:ilvl="4" w:tentative="0">
      <w:start w:val="1"/>
      <w:numFmt w:val="bullet"/>
      <w:lvlText w:val=""/>
      <w:lvlJc w:val="left"/>
      <w:pPr>
        <w:ind w:left="2205" w:hanging="420"/>
      </w:pPr>
      <w:rPr>
        <w:rFonts w:hint="default" w:ascii="Wingdings" w:hAnsi="Wingdings"/>
      </w:rPr>
    </w:lvl>
    <w:lvl w:ilvl="5" w:tentative="0">
      <w:start w:val="1"/>
      <w:numFmt w:val="bullet"/>
      <w:lvlText w:val=""/>
      <w:lvlJc w:val="left"/>
      <w:pPr>
        <w:ind w:left="2625" w:hanging="420"/>
      </w:pPr>
      <w:rPr>
        <w:rFonts w:hint="default" w:ascii="Wingdings" w:hAnsi="Wingdings"/>
      </w:rPr>
    </w:lvl>
    <w:lvl w:ilvl="6" w:tentative="0">
      <w:start w:val="1"/>
      <w:numFmt w:val="bullet"/>
      <w:lvlText w:val=""/>
      <w:lvlJc w:val="left"/>
      <w:pPr>
        <w:ind w:left="3045" w:hanging="420"/>
      </w:pPr>
      <w:rPr>
        <w:rFonts w:hint="default" w:ascii="Wingdings" w:hAnsi="Wingdings"/>
      </w:rPr>
    </w:lvl>
    <w:lvl w:ilvl="7" w:tentative="0">
      <w:start w:val="1"/>
      <w:numFmt w:val="bullet"/>
      <w:lvlText w:val=""/>
      <w:lvlJc w:val="left"/>
      <w:pPr>
        <w:ind w:left="3465" w:hanging="420"/>
      </w:pPr>
      <w:rPr>
        <w:rFonts w:hint="default" w:ascii="Wingdings" w:hAnsi="Wingdings"/>
      </w:rPr>
    </w:lvl>
    <w:lvl w:ilvl="8" w:tentative="0">
      <w:start w:val="1"/>
      <w:numFmt w:val="bullet"/>
      <w:lvlText w:val=""/>
      <w:lvlJc w:val="left"/>
      <w:pPr>
        <w:ind w:left="388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262"/>
    <w:rsid w:val="0000577F"/>
    <w:rsid w:val="00012A25"/>
    <w:rsid w:val="00014BC5"/>
    <w:rsid w:val="00093B13"/>
    <w:rsid w:val="000A7288"/>
    <w:rsid w:val="000B5AC6"/>
    <w:rsid w:val="000D7A03"/>
    <w:rsid w:val="0012237B"/>
    <w:rsid w:val="001905F9"/>
    <w:rsid w:val="001A20D7"/>
    <w:rsid w:val="001B0BB0"/>
    <w:rsid w:val="001D1902"/>
    <w:rsid w:val="001D6AB1"/>
    <w:rsid w:val="001F5282"/>
    <w:rsid w:val="001F5D37"/>
    <w:rsid w:val="0022391E"/>
    <w:rsid w:val="0022452F"/>
    <w:rsid w:val="00224F21"/>
    <w:rsid w:val="00292305"/>
    <w:rsid w:val="002A3A71"/>
    <w:rsid w:val="002A67D9"/>
    <w:rsid w:val="002B5550"/>
    <w:rsid w:val="002F1DC3"/>
    <w:rsid w:val="0030475A"/>
    <w:rsid w:val="003126E2"/>
    <w:rsid w:val="00336FDF"/>
    <w:rsid w:val="00347687"/>
    <w:rsid w:val="003949A6"/>
    <w:rsid w:val="003D79B3"/>
    <w:rsid w:val="004026D5"/>
    <w:rsid w:val="004041F6"/>
    <w:rsid w:val="004210FE"/>
    <w:rsid w:val="00430B6A"/>
    <w:rsid w:val="004404D9"/>
    <w:rsid w:val="00451C34"/>
    <w:rsid w:val="00462FE4"/>
    <w:rsid w:val="00466E02"/>
    <w:rsid w:val="00476E59"/>
    <w:rsid w:val="0047787F"/>
    <w:rsid w:val="0048651A"/>
    <w:rsid w:val="004D0A6F"/>
    <w:rsid w:val="004D1B71"/>
    <w:rsid w:val="004F71E3"/>
    <w:rsid w:val="00505D2C"/>
    <w:rsid w:val="005335D6"/>
    <w:rsid w:val="00557A7B"/>
    <w:rsid w:val="005610CB"/>
    <w:rsid w:val="005A5BC4"/>
    <w:rsid w:val="005C4AAF"/>
    <w:rsid w:val="005D5056"/>
    <w:rsid w:val="005E137F"/>
    <w:rsid w:val="00621954"/>
    <w:rsid w:val="00623A47"/>
    <w:rsid w:val="006369C0"/>
    <w:rsid w:val="00692F4A"/>
    <w:rsid w:val="006C58C7"/>
    <w:rsid w:val="006D18BE"/>
    <w:rsid w:val="006D2D4A"/>
    <w:rsid w:val="006D313E"/>
    <w:rsid w:val="006D6740"/>
    <w:rsid w:val="006E12D0"/>
    <w:rsid w:val="0070753B"/>
    <w:rsid w:val="00712813"/>
    <w:rsid w:val="007145A9"/>
    <w:rsid w:val="00720EDB"/>
    <w:rsid w:val="00740A7A"/>
    <w:rsid w:val="00773649"/>
    <w:rsid w:val="00784254"/>
    <w:rsid w:val="007A38C2"/>
    <w:rsid w:val="007B14BC"/>
    <w:rsid w:val="008207CC"/>
    <w:rsid w:val="00877D14"/>
    <w:rsid w:val="008D2EF0"/>
    <w:rsid w:val="009011EE"/>
    <w:rsid w:val="00903D45"/>
    <w:rsid w:val="00904F85"/>
    <w:rsid w:val="00916B3E"/>
    <w:rsid w:val="00921BF2"/>
    <w:rsid w:val="00935AF5"/>
    <w:rsid w:val="00935C79"/>
    <w:rsid w:val="00944341"/>
    <w:rsid w:val="009534C2"/>
    <w:rsid w:val="00971111"/>
    <w:rsid w:val="0097602E"/>
    <w:rsid w:val="009940D3"/>
    <w:rsid w:val="009A28A9"/>
    <w:rsid w:val="009B66E7"/>
    <w:rsid w:val="009E436D"/>
    <w:rsid w:val="00A03D2A"/>
    <w:rsid w:val="00A10408"/>
    <w:rsid w:val="00A21095"/>
    <w:rsid w:val="00A37575"/>
    <w:rsid w:val="00A40DC8"/>
    <w:rsid w:val="00A411EB"/>
    <w:rsid w:val="00A77168"/>
    <w:rsid w:val="00AC7B12"/>
    <w:rsid w:val="00AD00CC"/>
    <w:rsid w:val="00AD4AF1"/>
    <w:rsid w:val="00AF69F8"/>
    <w:rsid w:val="00B01262"/>
    <w:rsid w:val="00B030CC"/>
    <w:rsid w:val="00B05B7F"/>
    <w:rsid w:val="00B06272"/>
    <w:rsid w:val="00B668DB"/>
    <w:rsid w:val="00B83505"/>
    <w:rsid w:val="00B85D6D"/>
    <w:rsid w:val="00B9110C"/>
    <w:rsid w:val="00BB4797"/>
    <w:rsid w:val="00BB6323"/>
    <w:rsid w:val="00BE5116"/>
    <w:rsid w:val="00C100EE"/>
    <w:rsid w:val="00C135CF"/>
    <w:rsid w:val="00C149CF"/>
    <w:rsid w:val="00C5706C"/>
    <w:rsid w:val="00C63C19"/>
    <w:rsid w:val="00C84687"/>
    <w:rsid w:val="00C97D86"/>
    <w:rsid w:val="00CB75E1"/>
    <w:rsid w:val="00CC6449"/>
    <w:rsid w:val="00CD76C5"/>
    <w:rsid w:val="00CE2A83"/>
    <w:rsid w:val="00D128D6"/>
    <w:rsid w:val="00D3175E"/>
    <w:rsid w:val="00D6344A"/>
    <w:rsid w:val="00D67595"/>
    <w:rsid w:val="00D7124B"/>
    <w:rsid w:val="00D86575"/>
    <w:rsid w:val="00D87C9A"/>
    <w:rsid w:val="00D91AA0"/>
    <w:rsid w:val="00DC02B0"/>
    <w:rsid w:val="00DD45C4"/>
    <w:rsid w:val="00DE39EF"/>
    <w:rsid w:val="00DF6D0B"/>
    <w:rsid w:val="00E020AD"/>
    <w:rsid w:val="00E03590"/>
    <w:rsid w:val="00E228F0"/>
    <w:rsid w:val="00E24007"/>
    <w:rsid w:val="00E337F4"/>
    <w:rsid w:val="00E34876"/>
    <w:rsid w:val="00E423DA"/>
    <w:rsid w:val="00E65749"/>
    <w:rsid w:val="00E7204B"/>
    <w:rsid w:val="00E73338"/>
    <w:rsid w:val="00E90294"/>
    <w:rsid w:val="00EA3848"/>
    <w:rsid w:val="00EC238A"/>
    <w:rsid w:val="00ED72D8"/>
    <w:rsid w:val="00EE7BC8"/>
    <w:rsid w:val="00F01FE4"/>
    <w:rsid w:val="00F14CB7"/>
    <w:rsid w:val="00FD3D76"/>
    <w:rsid w:val="00FE0B60"/>
    <w:rsid w:val="04057551"/>
    <w:rsid w:val="091F1508"/>
    <w:rsid w:val="0B827E5D"/>
    <w:rsid w:val="0FEC3022"/>
    <w:rsid w:val="11025C7C"/>
    <w:rsid w:val="123E3223"/>
    <w:rsid w:val="13131DF8"/>
    <w:rsid w:val="1546780E"/>
    <w:rsid w:val="18455B80"/>
    <w:rsid w:val="18DA107A"/>
    <w:rsid w:val="18F94479"/>
    <w:rsid w:val="190E424F"/>
    <w:rsid w:val="1C101C7B"/>
    <w:rsid w:val="1C2A6F43"/>
    <w:rsid w:val="1E7E03B3"/>
    <w:rsid w:val="226E0BD5"/>
    <w:rsid w:val="230F4B3F"/>
    <w:rsid w:val="25D13355"/>
    <w:rsid w:val="26702E5E"/>
    <w:rsid w:val="26C10824"/>
    <w:rsid w:val="26F27B11"/>
    <w:rsid w:val="277362A5"/>
    <w:rsid w:val="28476F2C"/>
    <w:rsid w:val="2BBD227E"/>
    <w:rsid w:val="2C8B5F54"/>
    <w:rsid w:val="2EE95830"/>
    <w:rsid w:val="2FF96111"/>
    <w:rsid w:val="30CD3650"/>
    <w:rsid w:val="30CD7579"/>
    <w:rsid w:val="31DC18BE"/>
    <w:rsid w:val="339E6566"/>
    <w:rsid w:val="35D04F1C"/>
    <w:rsid w:val="368C223F"/>
    <w:rsid w:val="36B71A72"/>
    <w:rsid w:val="38252BF4"/>
    <w:rsid w:val="38573016"/>
    <w:rsid w:val="38A27F0B"/>
    <w:rsid w:val="3A203374"/>
    <w:rsid w:val="3AED53FB"/>
    <w:rsid w:val="3B260188"/>
    <w:rsid w:val="3D3261D0"/>
    <w:rsid w:val="3D6E6620"/>
    <w:rsid w:val="3D7946E5"/>
    <w:rsid w:val="4043052A"/>
    <w:rsid w:val="41136FF8"/>
    <w:rsid w:val="42BC761F"/>
    <w:rsid w:val="436C42A6"/>
    <w:rsid w:val="47422B75"/>
    <w:rsid w:val="47A32DA4"/>
    <w:rsid w:val="4A2F149F"/>
    <w:rsid w:val="4B06285E"/>
    <w:rsid w:val="4DDB01A9"/>
    <w:rsid w:val="4F4E3CAC"/>
    <w:rsid w:val="4F735C8B"/>
    <w:rsid w:val="50D308F2"/>
    <w:rsid w:val="510D4D16"/>
    <w:rsid w:val="52086C01"/>
    <w:rsid w:val="55346A37"/>
    <w:rsid w:val="562D7EED"/>
    <w:rsid w:val="577053FE"/>
    <w:rsid w:val="58607C53"/>
    <w:rsid w:val="5880775B"/>
    <w:rsid w:val="59117118"/>
    <w:rsid w:val="5A103BC2"/>
    <w:rsid w:val="5A98524B"/>
    <w:rsid w:val="5AD831EB"/>
    <w:rsid w:val="5D6B59B6"/>
    <w:rsid w:val="5E9F45ED"/>
    <w:rsid w:val="5FC9371A"/>
    <w:rsid w:val="60CE13B1"/>
    <w:rsid w:val="64266CD1"/>
    <w:rsid w:val="644055E3"/>
    <w:rsid w:val="65862ACC"/>
    <w:rsid w:val="66C04994"/>
    <w:rsid w:val="6A956316"/>
    <w:rsid w:val="6B042E6C"/>
    <w:rsid w:val="6B9662A3"/>
    <w:rsid w:val="6C091141"/>
    <w:rsid w:val="70A2142D"/>
    <w:rsid w:val="70D06C1C"/>
    <w:rsid w:val="71741CD7"/>
    <w:rsid w:val="73B05C89"/>
    <w:rsid w:val="73EE2383"/>
    <w:rsid w:val="784C28A2"/>
    <w:rsid w:val="7A0B1E41"/>
    <w:rsid w:val="7A6D7F9E"/>
    <w:rsid w:val="7AD4090A"/>
    <w:rsid w:val="7CEB6A77"/>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nhideWhenUsed="0" w:uiPriority="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jc w:val="left"/>
      <w:textAlignment w:val="baseline"/>
    </w:pPr>
    <w:rPr>
      <w:rFonts w:ascii="Times New Roman" w:hAnsi="Times New Roman"/>
      <w:kern w:val="0"/>
      <w:sz w:val="24"/>
      <w:szCs w:val="20"/>
    </w:rPr>
  </w:style>
  <w:style w:type="paragraph" w:styleId="3">
    <w:name w:val="annotation text"/>
    <w:basedOn w:val="1"/>
    <w:semiHidden/>
    <w:uiPriority w:val="0"/>
    <w:pPr>
      <w:jc w:val="left"/>
    </w:pPr>
  </w:style>
  <w:style w:type="paragraph" w:styleId="4">
    <w:name w:val="Date"/>
    <w:basedOn w:val="1"/>
    <w:next w:val="1"/>
    <w:link w:val="20"/>
    <w:unhideWhenUsed/>
    <w:qFormat/>
    <w:uiPriority w:val="99"/>
    <w:pPr>
      <w:ind w:left="100" w:leftChars="2500"/>
    </w:pPr>
  </w:style>
  <w:style w:type="paragraph" w:styleId="5">
    <w:name w:val="Balloon Text"/>
    <w:basedOn w:val="1"/>
    <w:link w:val="16"/>
    <w:semiHidden/>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iPriority w:val="0"/>
    <w:rPr>
      <w:sz w:val="21"/>
      <w:szCs w:val="21"/>
    </w:rPr>
  </w:style>
  <w:style w:type="table" w:styleId="11">
    <w:name w:val="Table Grid"/>
    <w:basedOn w:val="1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8"/>
    <w:link w:val="7"/>
    <w:qFormat/>
    <w:locked/>
    <w:uiPriority w:val="99"/>
    <w:rPr>
      <w:rFonts w:cs="Times New Roman"/>
      <w:sz w:val="18"/>
      <w:szCs w:val="18"/>
    </w:rPr>
  </w:style>
  <w:style w:type="character" w:customStyle="1" w:styleId="13">
    <w:name w:val="页脚 Char"/>
    <w:basedOn w:val="8"/>
    <w:link w:val="6"/>
    <w:qFormat/>
    <w:locked/>
    <w:uiPriority w:val="99"/>
    <w:rPr>
      <w:rFonts w:cs="Times New Roman"/>
      <w:sz w:val="18"/>
      <w:szCs w:val="18"/>
    </w:rPr>
  </w:style>
  <w:style w:type="paragraph" w:customStyle="1" w:styleId="14">
    <w:name w:val="列出段落1"/>
    <w:basedOn w:val="1"/>
    <w:qFormat/>
    <w:uiPriority w:val="99"/>
    <w:pPr>
      <w:ind w:firstLine="420" w:firstLineChars="200"/>
    </w:pPr>
  </w:style>
  <w:style w:type="character" w:customStyle="1" w:styleId="15">
    <w:name w:val="占位符文本1"/>
    <w:basedOn w:val="8"/>
    <w:semiHidden/>
    <w:qFormat/>
    <w:uiPriority w:val="99"/>
    <w:rPr>
      <w:rFonts w:cs="Times New Roman"/>
      <w:color w:val="808080"/>
    </w:rPr>
  </w:style>
  <w:style w:type="character" w:customStyle="1" w:styleId="16">
    <w:name w:val="批注框文本 Char"/>
    <w:basedOn w:val="8"/>
    <w:link w:val="5"/>
    <w:semiHidden/>
    <w:qFormat/>
    <w:locked/>
    <w:uiPriority w:val="99"/>
    <w:rPr>
      <w:rFonts w:cs="Times New Roman"/>
      <w:sz w:val="18"/>
      <w:szCs w:val="18"/>
    </w:rPr>
  </w:style>
  <w:style w:type="paragraph" w:customStyle="1" w:styleId="17">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
    <w:name w:val="列出段落2"/>
    <w:basedOn w:val="1"/>
    <w:qFormat/>
    <w:uiPriority w:val="34"/>
    <w:pPr>
      <w:ind w:firstLine="420" w:firstLineChars="200"/>
    </w:pPr>
  </w:style>
  <w:style w:type="character" w:customStyle="1" w:styleId="20">
    <w:name w:val="日期 Char"/>
    <w:basedOn w:val="8"/>
    <w:link w:val="4"/>
    <w:semiHidden/>
    <w:qFormat/>
    <w:uiPriority w:val="99"/>
    <w:rPr>
      <w:kern w:val="2"/>
      <w:sz w:val="21"/>
      <w:szCs w:val="22"/>
    </w:rPr>
  </w:style>
  <w:style w:type="paragraph" w:customStyle="1" w:styleId="21">
    <w:name w:val="章标题"/>
    <w:next w:val="18"/>
    <w:qFormat/>
    <w:uiPriority w:val="0"/>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476</Words>
  <Characters>2716</Characters>
  <Lines>22</Lines>
  <Paragraphs>6</Paragraphs>
  <TotalTime>0</TotalTime>
  <ScaleCrop>false</ScaleCrop>
  <LinksUpToDate>false</LinksUpToDate>
  <CharactersWithSpaces>3186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2015-04-29T00:34:00Z</dcterms:created>
  <dc:creator>Administrator</dc:creator>
  <cp:lastModifiedBy>Administrator</cp:lastModifiedBy>
  <cp:lastPrinted>2016-06-12T00:46:00Z</cp:lastPrinted>
  <dcterms:modified xsi:type="dcterms:W3CDTF">2018-05-09T05:48:50Z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