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1,2-双二苯基膦乙烷氯化钯化学分析法</w:t>
      </w:r>
    </w:p>
    <w:p>
      <w:pPr>
        <w:jc w:val="center"/>
        <w:rPr>
          <w:rFonts w:hint="eastAsia"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 xml:space="preserve"> 第1部分</w:t>
      </w:r>
      <w:r>
        <w:rPr>
          <w:rFonts w:hint="eastAsia" w:ascii="黑体" w:eastAsia="黑体" w:cs="黑体"/>
          <w:bCs/>
          <w:sz w:val="36"/>
          <w:szCs w:val="36"/>
          <w:lang w:eastAsia="zh-CN"/>
        </w:rPr>
        <w:t>：</w:t>
      </w:r>
      <w:r>
        <w:rPr>
          <w:rFonts w:hint="eastAsia" w:ascii="黑体" w:eastAsia="黑体" w:cs="黑体"/>
          <w:bCs/>
          <w:sz w:val="36"/>
          <w:szCs w:val="36"/>
        </w:rPr>
        <w:t>钯量的测定</w:t>
      </w:r>
    </w:p>
    <w:p>
      <w:pPr>
        <w:jc w:val="center"/>
        <w:rPr>
          <w:rFonts w:hint="eastAsia"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丁二酮肟重量法</w:t>
      </w:r>
    </w:p>
    <w:p>
      <w:pPr>
        <w:jc w:val="center"/>
        <w:rPr>
          <w:rFonts w:hint="eastAsia" w:ascii="黑体" w:eastAsia="黑体" w:cs="黑体"/>
          <w:bCs/>
          <w:sz w:val="36"/>
          <w:szCs w:val="36"/>
        </w:rPr>
      </w:pPr>
    </w:p>
    <w:p>
      <w:pPr>
        <w:jc w:val="center"/>
        <w:rPr>
          <w:rFonts w:hint="eastAsia"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编制说明</w:t>
      </w:r>
    </w:p>
    <w:p>
      <w:pPr>
        <w:jc w:val="center"/>
        <w:rPr>
          <w:rFonts w:ascii="黑体" w:eastAsia="黑体" w:cs="黑体"/>
          <w:bCs/>
          <w:sz w:val="36"/>
          <w:szCs w:val="36"/>
        </w:rPr>
      </w:pPr>
    </w:p>
    <w:p>
      <w:pPr>
        <w:jc w:val="center"/>
        <w:rPr>
          <w:rFonts w:asci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cs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cs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cs="黑体"/>
          <w:bCs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黑体"/>
          <w:sz w:val="32"/>
          <w:szCs w:val="32"/>
        </w:rPr>
      </w:pPr>
      <w:r>
        <w:rPr>
          <w:rFonts w:hint="eastAsia" w:ascii="Times New Roman" w:cs="黑体" w:hAnsiTheme="minorEastAsia"/>
          <w:sz w:val="32"/>
          <w:szCs w:val="32"/>
        </w:rPr>
        <w:t>江西省汉氏贵金属有限公司</w:t>
      </w:r>
    </w:p>
    <w:p>
      <w:pPr>
        <w:spacing w:line="360" w:lineRule="auto"/>
        <w:jc w:val="center"/>
        <w:rPr>
          <w:rFonts w:ascii="Times New Roman" w:hAnsi="Times New Roman" w:cs="黑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黑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黑体"/>
          <w:sz w:val="32"/>
          <w:szCs w:val="32"/>
        </w:rPr>
        <w:t>201</w:t>
      </w:r>
      <w:r>
        <w:rPr>
          <w:rFonts w:hint="eastAsia" w:ascii="Times New Roman" w:hAnsi="Times New Roman" w:cs="黑体"/>
          <w:sz w:val="32"/>
          <w:szCs w:val="32"/>
          <w:lang w:val="en-US" w:eastAsia="zh-CN"/>
        </w:rPr>
        <w:t>8</w:t>
      </w:r>
      <w:r>
        <w:rPr>
          <w:rFonts w:hint="eastAsia" w:ascii="Times New Roman" w:cs="黑体" w:hAnsiTheme="minorEastAsia"/>
          <w:sz w:val="32"/>
          <w:szCs w:val="32"/>
        </w:rPr>
        <w:t>年</w:t>
      </w:r>
      <w:r>
        <w:rPr>
          <w:rFonts w:hint="eastAsia" w:ascii="Times New Roman" w:cs="黑体" w:hAnsiTheme="minorEastAsia"/>
          <w:sz w:val="32"/>
          <w:szCs w:val="32"/>
          <w:lang w:val="en-US" w:eastAsia="zh-CN"/>
        </w:rPr>
        <w:t>02</w:t>
      </w:r>
      <w:r>
        <w:rPr>
          <w:rFonts w:hint="eastAsia" w:ascii="Times New Roman" w:cs="黑体" w:hAnsiTheme="minorEastAsia"/>
          <w:sz w:val="32"/>
          <w:szCs w:val="32"/>
        </w:rPr>
        <w:t>月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黑体" w:eastAsia="黑体" w:cs="Times New Roman"/>
          <w:sz w:val="32"/>
          <w:szCs w:val="32"/>
        </w:rPr>
      </w:pPr>
    </w:p>
    <w:p>
      <w:pPr>
        <w:spacing w:line="360" w:lineRule="auto"/>
        <w:rPr>
          <w:rFonts w:ascii="黑体" w:eastAsia="黑体" w:cs="Times New Roman"/>
          <w:sz w:val="32"/>
          <w:szCs w:val="32"/>
        </w:rPr>
      </w:pPr>
    </w:p>
    <w:p>
      <w:pPr>
        <w:spacing w:line="360" w:lineRule="auto"/>
        <w:rPr>
          <w:rFonts w:ascii="黑体" w:eastAsia="黑体" w:cs="Times New Roman"/>
          <w:sz w:val="32"/>
          <w:szCs w:val="32"/>
        </w:rPr>
      </w:pPr>
    </w:p>
    <w:p>
      <w:pPr>
        <w:spacing w:line="360" w:lineRule="auto"/>
        <w:rPr>
          <w:rFonts w:ascii="黑体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1,2-双二苯基膦乙烷氯化钯化学分析法  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第1部分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：</w:t>
      </w:r>
      <w:r>
        <w:rPr>
          <w:rFonts w:hint="eastAsia" w:ascii="黑体" w:hAnsi="黑体" w:eastAsia="黑体" w:cs="黑体"/>
          <w:sz w:val="36"/>
          <w:szCs w:val="36"/>
        </w:rPr>
        <w:t>钯量的测定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丁二酮肟重量法 </w:t>
      </w:r>
    </w:p>
    <w:p>
      <w:pPr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1</w:t>
      </w:r>
      <w:r>
        <w:rPr>
          <w:rFonts w:hint="eastAsia" w:cs="黑体" w:asciiTheme="minorEastAsia" w:hAnsiTheme="minorEastAsia" w:eastAsiaTheme="minorEastAsia"/>
          <w:b/>
          <w:sz w:val="24"/>
          <w:szCs w:val="24"/>
        </w:rPr>
        <w:t xml:space="preserve"> 工作简况</w:t>
      </w:r>
    </w:p>
    <w:p>
      <w:pPr>
        <w:spacing w:line="360" w:lineRule="auto"/>
        <w:rPr>
          <w:rFonts w:cs="Times New Roman" w:asciiTheme="minorEastAsia" w:hAnsiTheme="minorEastAsia" w:eastAsiaTheme="minorEastAsia"/>
          <w:b/>
        </w:rPr>
      </w:pPr>
      <w:r>
        <w:rPr>
          <w:rFonts w:hint="eastAsia" w:ascii="Times New Roman" w:hAnsi="Times New Roman" w:cs="Times New Roman" w:eastAsiaTheme="minorEastAsia"/>
          <w:b/>
        </w:rPr>
        <w:t xml:space="preserve">1.1 </w:t>
      </w:r>
      <w:r>
        <w:rPr>
          <w:rFonts w:hint="eastAsia" w:cs="黑体" w:asciiTheme="minorEastAsia" w:hAnsiTheme="minorEastAsia" w:eastAsiaTheme="minorEastAsia"/>
          <w:b/>
        </w:rPr>
        <w:t>任务来源与协作单位</w:t>
      </w:r>
    </w:p>
    <w:p>
      <w:pPr>
        <w:spacing w:line="360" w:lineRule="auto"/>
        <w:ind w:firstLine="420" w:firstLine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1,2-双二苯基膦乙烷氯化钯是重要的贵金属催化剂，催化烯烃的氢化、硝基苯的加氢还原、烯烃氧化、烯烃一氧化碳羰基化、催化格式试剂与卤代烃的偶联等反应，在医药工业有机合成工业及科研领域都有较大需求，随着我国工业长足发展1,2-双二苯基膦乙烷氯化钯的需求量也得到了较快的发展。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SimSum" w:cs="宋体"/>
        </w:rPr>
        <w:t>然而通过对国内外文献及标准进行查阅，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cs="宋体"/>
          <w:color w:val="000000"/>
        </w:rPr>
        <w:t>通常采用不同的方法进行测定，各个公司都有自己的检测方法及标准，造成检测时的各种问题</w:t>
      </w:r>
      <w:r>
        <w:rPr>
          <w:rFonts w:hint="eastAsia" w:ascii="Times New Roman" w:hAnsi="SimSum" w:cs="宋体"/>
          <w:color w:val="000000"/>
        </w:rPr>
        <w:t>。同时尚未见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cs="宋体"/>
          <w:color w:val="000000"/>
        </w:rPr>
        <w:t>相应的标准分析方法发布</w:t>
      </w:r>
      <w:r>
        <w:rPr>
          <w:rFonts w:hint="eastAsia" w:ascii="Times New Roman" w:hAnsi="SimSum" w:cs="宋体"/>
          <w:color w:val="000000"/>
        </w:rPr>
        <w:t>。为了对产品质量的更好监控，满足生产需要，使得建立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SimSum" w:cs="宋体"/>
          <w:color w:val="000000"/>
        </w:rPr>
        <w:t>中钯量的测定方法成为必要。经过长期的试验积累，</w:t>
      </w:r>
      <w:r>
        <w:rPr>
          <w:rFonts w:hint="eastAsia" w:ascii="Times New Roman" w:hAnsi="宋体" w:cs="宋体"/>
          <w:color w:val="000000"/>
        </w:rPr>
        <w:t>采用</w:t>
      </w:r>
      <w:r>
        <w:rPr>
          <w:rFonts w:hint="eastAsia" w:ascii="Times New Roman" w:hAnsi="SimSum" w:cs="宋体"/>
          <w:color w:val="000000"/>
        </w:rPr>
        <w:t>重量</w:t>
      </w:r>
      <w:r>
        <w:rPr>
          <w:rFonts w:hint="eastAsia" w:ascii="Times New Roman" w:hAnsi="宋体" w:cs="宋体"/>
          <w:color w:val="000000"/>
        </w:rPr>
        <w:t>法测定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SimSum" w:cs="宋体"/>
          <w:color w:val="000000"/>
        </w:rPr>
        <w:t>中钯量，</w:t>
      </w:r>
      <w:r>
        <w:rPr>
          <w:rFonts w:hint="eastAsia" w:ascii="Times New Roman" w:hAnsi="宋体" w:cs="宋体"/>
          <w:color w:val="000000"/>
        </w:rPr>
        <w:t>称样量小、方法准确稳定、结果偏差小、测</w:t>
      </w:r>
      <w:r>
        <w:rPr>
          <w:rFonts w:hint="eastAsia" w:ascii="Times New Roman" w:hAnsi="宋体" w:cs="宋体"/>
        </w:rPr>
        <w:t>定结果令人满意。所以在反复实验和调研的基础上编写的；标准具有实用性、可操作性；标准技术先进、结构合理、文字简练、条理清晰，能够满足生产和使用需要。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宋体"/>
        </w:rPr>
        <w:t xml:space="preserve">    </w:t>
      </w:r>
      <w:r>
        <w:rPr>
          <w:rFonts w:hint="eastAsia" w:ascii="Times New Roman" w:hAnsi="宋体" w:cs="宋体"/>
        </w:rPr>
        <w:t>江西省汉氏贵金属</w:t>
      </w:r>
      <w:r>
        <w:rPr>
          <w:rFonts w:hint="eastAsia" w:ascii="Times New Roman" w:hAnsi="宋体" w:cs="宋体"/>
          <w:lang w:eastAsia="zh-CN"/>
        </w:rPr>
        <w:t>有限公司</w:t>
      </w:r>
      <w:r>
        <w:rPr>
          <w:rFonts w:hint="eastAsia" w:ascii="Times New Roman" w:hAnsi="宋体" w:cs="宋体"/>
        </w:rPr>
        <w:t>于</w:t>
      </w:r>
      <w:r>
        <w:rPr>
          <w:rFonts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宋体" w:cs="宋体"/>
        </w:rPr>
        <w:t>年向上级主管部门提出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SimSum" w:cs="宋体"/>
        </w:rPr>
        <w:t>中</w:t>
      </w:r>
      <w:r>
        <w:rPr>
          <w:rFonts w:hint="eastAsia" w:ascii="Times New Roman" w:hAnsi="Arial" w:cs="宋体"/>
          <w:color w:val="000000"/>
          <w:shd w:val="clear" w:color="auto" w:fill="FFFFFF"/>
        </w:rPr>
        <w:t>钯分析方法</w:t>
      </w:r>
      <w:r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>
        <w:rPr>
          <w:rFonts w:hint="eastAsia" w:ascii="Times New Roman" w:hAnsi="Arial" w:cs="宋体"/>
          <w:color w:val="000000"/>
          <w:shd w:val="clear" w:color="auto" w:fill="FFFFFF"/>
        </w:rPr>
        <w:t>钯量的测定</w:t>
      </w:r>
      <w:r>
        <w:rPr>
          <w:rFonts w:hint="eastAsia" w:ascii="Times New Roman" w:hAnsi="Times New Roman" w:cs="宋体"/>
          <w:color w:val="000000"/>
          <w:shd w:val="clear" w:color="auto" w:fill="FFFFFF"/>
        </w:rPr>
        <w:t xml:space="preserve"> </w:t>
      </w:r>
      <w:r>
        <w:rPr>
          <w:rFonts w:hint="eastAsia" w:ascii="Times New Roman" w:hAnsi="Arial" w:cs="宋体"/>
          <w:color w:val="000000"/>
          <w:shd w:val="clear" w:color="auto" w:fill="FFFFFF"/>
        </w:rPr>
        <w:t>丁二酮肟重量法</w:t>
      </w:r>
      <w:r>
        <w:rPr>
          <w:rFonts w:hint="eastAsia" w:ascii="Times New Roman" w:hAnsi="宋体" w:cs="宋体"/>
          <w:color w:val="000000"/>
        </w:rPr>
        <w:t>行业标准计划书，于</w:t>
      </w:r>
      <w:r>
        <w:rPr>
          <w:rFonts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Times New Roman" w:hAnsi="宋体" w:cs="宋体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宋体" w:cs="宋体"/>
        </w:rPr>
        <w:t>月获全国有色金属标准化技术委员会批准，</w:t>
      </w:r>
      <w:r>
        <w:rPr>
          <w:rFonts w:hint="eastAsia" w:hAnsi="宋体"/>
          <w:color w:val="000000"/>
        </w:rPr>
        <w:t>项目起止时间为</w:t>
      </w:r>
      <w:r>
        <w:rPr>
          <w:rFonts w:hint="eastAsia" w:hAnsi="宋体"/>
          <w:szCs w:val="21"/>
        </w:rPr>
        <w:t>201</w:t>
      </w:r>
      <w:r>
        <w:rPr>
          <w:rFonts w:hint="eastAsia" w:hAnsi="宋体"/>
          <w:szCs w:val="21"/>
          <w:lang w:val="en-US" w:eastAsia="zh-CN"/>
        </w:rPr>
        <w:t>7</w:t>
      </w:r>
      <w:r>
        <w:rPr>
          <w:rFonts w:hint="eastAsia" w:hAnsi="宋体"/>
          <w:szCs w:val="21"/>
        </w:rPr>
        <w:t>年01月～201</w:t>
      </w:r>
      <w:r>
        <w:rPr>
          <w:rFonts w:hint="eastAsia" w:hAnsi="宋体"/>
          <w:szCs w:val="21"/>
          <w:lang w:val="en-US" w:eastAsia="zh-CN"/>
        </w:rPr>
        <w:t>8</w:t>
      </w:r>
      <w:r>
        <w:rPr>
          <w:rFonts w:hint="eastAsia" w:hAnsi="宋体"/>
          <w:szCs w:val="21"/>
        </w:rPr>
        <w:t>年12月</w:t>
      </w:r>
      <w:r>
        <w:rPr>
          <w:rFonts w:hint="eastAsia" w:hAnsi="宋体"/>
          <w:color w:val="000000"/>
        </w:rPr>
        <w:t>，</w:t>
      </w:r>
      <w:r>
        <w:rPr>
          <w:rFonts w:hint="eastAsia" w:hAnsi="宋体"/>
          <w:color w:val="000000"/>
          <w:lang w:eastAsia="zh-CN"/>
        </w:rPr>
        <w:t>计划文工信厅科</w:t>
      </w:r>
      <w:r>
        <w:rPr>
          <w:rFonts w:hint="eastAsia" w:hAnsi="宋体"/>
          <w:szCs w:val="21"/>
        </w:rPr>
        <w:t>〔201</w:t>
      </w:r>
      <w:r>
        <w:rPr>
          <w:rFonts w:hint="eastAsia" w:hAnsi="宋体"/>
          <w:szCs w:val="21"/>
          <w:lang w:val="en-US" w:eastAsia="zh-CN"/>
        </w:rPr>
        <w:t>6</w:t>
      </w:r>
      <w:r>
        <w:rPr>
          <w:rFonts w:hint="eastAsia" w:hAnsi="宋体"/>
          <w:szCs w:val="21"/>
        </w:rPr>
        <w:t>〕</w:t>
      </w:r>
      <w:r>
        <w:rPr>
          <w:rFonts w:hint="eastAsia" w:hAnsi="宋体"/>
          <w:szCs w:val="21"/>
          <w:lang w:val="en-US" w:eastAsia="zh-CN"/>
        </w:rPr>
        <w:t>58</w:t>
      </w:r>
      <w:r>
        <w:rPr>
          <w:rFonts w:hint="eastAsia" w:hAnsi="宋体"/>
          <w:color w:val="000000"/>
          <w:lang w:eastAsia="zh-CN"/>
        </w:rPr>
        <w:t>号，</w:t>
      </w:r>
      <w:r>
        <w:rPr>
          <w:rFonts w:hint="eastAsia" w:ascii="Times New Roman" w:hAnsi="宋体" w:cs="宋体"/>
        </w:rPr>
        <w:t>计划编号为</w:t>
      </w:r>
      <w:r>
        <w:rPr>
          <w:rFonts w:hint="eastAsia"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  <w:lang w:val="en-US" w:eastAsia="zh-CN"/>
        </w:rPr>
        <w:t>0210</w:t>
      </w:r>
      <w:r>
        <w:rPr>
          <w:rFonts w:hint="eastAsia" w:ascii="Times New Roman" w:hAnsi="Times New Roman" w:cs="Times New Roman"/>
        </w:rPr>
        <w:t>T-YS</w:t>
      </w:r>
      <w:r>
        <w:rPr>
          <w:rFonts w:hint="eastAsia" w:ascii="Times New Roman" w:hAnsi="宋体" w:cs="宋体"/>
          <w:color w:val="000000"/>
        </w:rPr>
        <w:t>，</w:t>
      </w:r>
      <w:r>
        <w:rPr>
          <w:rFonts w:hint="eastAsia" w:ascii="Times New Roman" w:hAnsi="宋体" w:cs="宋体"/>
        </w:rPr>
        <w:t>技术归口单位为全国有色金属标准化技术委员会，标准起草单位为</w:t>
      </w:r>
      <w:r>
        <w:rPr>
          <w:rFonts w:ascii="Times New Roman" w:hAnsi="宋体" w:cs="Times New Roman"/>
          <w:spacing w:val="2"/>
        </w:rPr>
        <w:t>江西</w:t>
      </w:r>
      <w:r>
        <w:rPr>
          <w:rFonts w:hint="eastAsia" w:ascii="Times New Roman" w:hAnsi="宋体" w:cs="Times New Roman"/>
          <w:spacing w:val="2"/>
        </w:rPr>
        <w:t>省</w:t>
      </w:r>
      <w:r>
        <w:rPr>
          <w:rFonts w:ascii="Times New Roman" w:hAnsi="宋体" w:cs="Times New Roman"/>
          <w:spacing w:val="2"/>
        </w:rPr>
        <w:t>汉氏</w:t>
      </w:r>
      <w:r>
        <w:rPr>
          <w:rFonts w:hint="eastAsia" w:ascii="Times New Roman" w:hAnsi="宋体" w:cs="Times New Roman"/>
          <w:spacing w:val="2"/>
        </w:rPr>
        <w:t>贵金属</w:t>
      </w:r>
      <w:r>
        <w:rPr>
          <w:rFonts w:ascii="Times New Roman" w:hAnsi="宋体" w:cs="Times New Roman"/>
          <w:spacing w:val="2"/>
        </w:rPr>
        <w:t>有限公司</w:t>
      </w:r>
      <w:r>
        <w:rPr>
          <w:rFonts w:hint="eastAsia" w:ascii="Times New Roman" w:hAnsi="宋体" w:cs="Times New Roman"/>
          <w:spacing w:val="2"/>
        </w:rPr>
        <w:t>、有色金属技术经济研究院</w:t>
      </w:r>
      <w:r>
        <w:rPr>
          <w:rFonts w:hint="eastAsia" w:ascii="Times New Roman" w:hAnsi="宋体" w:cs="Times New Roman"/>
          <w:spacing w:val="2"/>
          <w:lang w:val="en-US" w:eastAsia="zh-CN"/>
        </w:rPr>
        <w:t>、</w:t>
      </w:r>
      <w:r>
        <w:rPr>
          <w:rFonts w:hint="eastAsia" w:hAnsi="宋体" w:cs="宋体"/>
          <w:szCs w:val="21"/>
        </w:rPr>
        <w:t>贵研资源（易门）有限公司</w:t>
      </w:r>
      <w:r>
        <w:rPr>
          <w:rFonts w:hint="eastAsia" w:hAnsi="宋体" w:cs="宋体"/>
          <w:szCs w:val="21"/>
          <w:lang w:eastAsia="zh-CN"/>
        </w:rPr>
        <w:t>、</w:t>
      </w:r>
      <w:r>
        <w:rPr>
          <w:rFonts w:hint="eastAsia" w:hAnsi="宋体" w:cs="宋体"/>
          <w:szCs w:val="21"/>
        </w:rPr>
        <w:t>北京有色金属研究院</w:t>
      </w:r>
      <w:r>
        <w:rPr>
          <w:rFonts w:hint="eastAsia" w:hAnsi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江苏北矿金属循环利用科技有限公司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</w:t>
      </w:r>
      <w:r>
        <w:rPr>
          <w:rFonts w:hint="eastAsia" w:cs="宋体"/>
          <w:szCs w:val="21"/>
        </w:rPr>
        <w:t>浙江</w:t>
      </w:r>
      <w:r>
        <w:rPr>
          <w:rFonts w:hint="eastAsia" w:cs="宋体"/>
          <w:szCs w:val="21"/>
          <w:lang w:val="en-US" w:eastAsia="zh-CN"/>
        </w:rPr>
        <w:t>省</w:t>
      </w:r>
      <w:r>
        <w:rPr>
          <w:rFonts w:hint="eastAsia" w:cs="宋体"/>
          <w:szCs w:val="21"/>
        </w:rPr>
        <w:t>冶金研究院有限公司</w:t>
      </w:r>
      <w:r>
        <w:rPr>
          <w:rFonts w:hint="eastAsia" w:cs="宋体"/>
          <w:szCs w:val="21"/>
          <w:lang w:eastAsia="zh-CN"/>
        </w:rPr>
        <w:t>、</w:t>
      </w:r>
      <w:r>
        <w:rPr>
          <w:rFonts w:hint="eastAsia" w:cs="宋体"/>
          <w:szCs w:val="21"/>
        </w:rPr>
        <w:t>西安凯立新材料</w:t>
      </w:r>
      <w:r>
        <w:rPr>
          <w:rFonts w:hint="eastAsia"/>
          <w:szCs w:val="21"/>
        </w:rPr>
        <w:t>股份</w:t>
      </w:r>
      <w:r>
        <w:rPr>
          <w:rFonts w:hint="eastAsia" w:cs="宋体"/>
          <w:szCs w:val="21"/>
        </w:rPr>
        <w:t>有限公司、</w:t>
      </w:r>
      <w:r>
        <w:rPr>
          <w:rFonts w:hint="eastAsia" w:ascii="宋体" w:hAnsi="宋体" w:eastAsia="宋体" w:cs="宋体"/>
          <w:kern w:val="0"/>
          <w:szCs w:val="21"/>
        </w:rPr>
        <w:t>广州有色金属研究院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、江西悦诚科技有限公司、</w:t>
      </w:r>
      <w:r>
        <w:rPr>
          <w:rFonts w:hint="eastAsia" w:cs="宋体"/>
          <w:szCs w:val="21"/>
          <w:lang w:eastAsia="zh-CN"/>
        </w:rPr>
        <w:t>福建紫金矿冶测试技术有限公司</w:t>
      </w:r>
      <w:r>
        <w:rPr>
          <w:rFonts w:hint="eastAsia" w:ascii="Times New Roman" w:hAnsi="宋体" w:cs="宋体"/>
        </w:rPr>
        <w:t>。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宋体" w:cs="宋体"/>
          <w:sz w:val="21"/>
          <w:szCs w:val="21"/>
        </w:rPr>
        <w:t>本标准主要起草人为：</w:t>
      </w:r>
      <w:r>
        <w:rPr>
          <w:rFonts w:hint="eastAsia" w:ascii="Times New Roman" w:hAnsi="宋体" w:cs="Times New Roman"/>
          <w:spacing w:val="2"/>
          <w:lang w:val="en-US" w:eastAsia="zh-CN"/>
        </w:rPr>
        <w:t>xxxx、xxxxx、xxx、xxxx、xxxxx、xxx</w:t>
      </w:r>
      <w:r>
        <w:rPr>
          <w:rFonts w:hint="eastAsia" w:ascii="Times New Roman" w:hAnsi="宋体" w:cs="宋体"/>
          <w:sz w:val="21"/>
          <w:szCs w:val="21"/>
        </w:rPr>
        <w:t>。</w:t>
      </w:r>
    </w:p>
    <w:p>
      <w:pPr>
        <w:spacing w:line="360" w:lineRule="auto"/>
        <w:ind w:firstLine="420"/>
        <w:rPr>
          <w:rFonts w:ascii="Times New Roman" w:hAnsi="Times New Roman" w:cs="Times New Roman"/>
          <w:color w:val="00B0F0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1.2 </w:t>
      </w:r>
      <w:r>
        <w:rPr>
          <w:rFonts w:hint="eastAsia" w:ascii="Times New Roman" w:hAnsi="Times New Roman" w:cs="Times New Roman" w:eastAsiaTheme="minorEastAsia"/>
          <w:b/>
        </w:rPr>
        <w:t>主要工作过程、标准主要起草人</w:t>
      </w:r>
      <w:r>
        <w:rPr>
          <w:rFonts w:hint="eastAsia" w:ascii="Times New Roman" w:hAnsi="Times New Roman" w:cs="Times New Roman" w:eastAsiaTheme="minorEastAsia"/>
          <w:b/>
          <w:lang w:eastAsia="zh-CN"/>
        </w:rPr>
        <w:t>做作的工作</w:t>
      </w:r>
    </w:p>
    <w:p>
      <w:pPr>
        <w:spacing w:line="360" w:lineRule="auto"/>
        <w:ind w:firstLine="315" w:firstLineChars="150"/>
        <w:rPr>
          <w:rFonts w:ascii="Times New Roman" w:hAnsi="Times New Roman" w:cs="宋体"/>
        </w:rPr>
      </w:pPr>
      <w:r>
        <w:rPr>
          <w:rFonts w:hint="eastAsia" w:ascii="Times New Roman" w:hAnsi="宋体" w:cs="宋体"/>
        </w:rPr>
        <w:t>接到标准制定任务后，根据标委会要求，我们于</w:t>
      </w:r>
      <w:r>
        <w:rPr>
          <w:rFonts w:hint="eastAsia"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Times New Roman" w:hAnsi="宋体" w:cs="宋体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Times New Roman" w:hAnsi="宋体" w:cs="宋体"/>
        </w:rPr>
        <w:t>月组建了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宋体" w:cs="宋体"/>
        </w:rPr>
        <w:t>行业标准编制小组，由品控部主责，其他相关部门全力配合共同确定了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宋体" w:cs="宋体"/>
        </w:rPr>
        <w:t>行业标准的原则。</w:t>
      </w:r>
    </w:p>
    <w:p>
      <w:pPr>
        <w:spacing w:line="360" w:lineRule="auto"/>
        <w:ind w:firstLine="420" w:firstLineChars="200"/>
        <w:rPr>
          <w:rFonts w:ascii="Times New Roman" w:hAnsi="Times New Roman" w:cs="宋体"/>
        </w:rPr>
      </w:pPr>
      <w:r>
        <w:rPr>
          <w:rFonts w:hint="eastAsia" w:ascii="Times New Roman" w:hAnsi="宋体" w:cs="宋体"/>
        </w:rPr>
        <w:t>江西省汉氏贵金属有限公司明确了标准的进度安排、任务分工、确定了编制标准的工作计划及技术路线。为确保制定标准的质量和水平，江西省汉氏贵金属有限公司主持召开了该标准的内部预审会。同时，根据全国有色金属标准化技术委员会的要求，我们于</w:t>
      </w:r>
      <w:r>
        <w:rPr>
          <w:rFonts w:ascii="Times New Roman" w:hAnsi="Times New Roman" w:cs="宋体"/>
        </w:rPr>
        <w:t>201</w:t>
      </w:r>
      <w:r>
        <w:rPr>
          <w:rFonts w:hint="eastAsia" w:ascii="Times New Roman" w:hAnsi="Times New Roman" w:cs="宋体"/>
          <w:lang w:val="en-US" w:eastAsia="zh-CN"/>
        </w:rPr>
        <w:t>7</w:t>
      </w:r>
      <w:r>
        <w:rPr>
          <w:rFonts w:hint="eastAsia" w:ascii="Times New Roman" w:hAnsi="宋体" w:cs="宋体"/>
        </w:rPr>
        <w:t>年</w:t>
      </w:r>
      <w:r>
        <w:rPr>
          <w:rFonts w:hint="eastAsia" w:ascii="Times New Roman" w:hAnsi="Times New Roman" w:cs="宋体"/>
        </w:rPr>
        <w:t>1</w:t>
      </w:r>
      <w:r>
        <w:rPr>
          <w:rFonts w:hint="eastAsia" w:ascii="Times New Roman" w:hAnsi="Times New Roman" w:cs="宋体"/>
          <w:lang w:val="en-US" w:eastAsia="zh-CN"/>
        </w:rPr>
        <w:t>0</w:t>
      </w:r>
      <w:r>
        <w:rPr>
          <w:rFonts w:hint="eastAsia" w:ascii="Times New Roman" w:hAnsi="宋体" w:cs="宋体"/>
        </w:rPr>
        <w:t>月开展样品分析验证工作，并将标准分析方法讨论稿、编制说明和样品提交验证单位，以进行标准分析方法主要技术条件和样品分析结果准确度、精密度的验证实验。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宋体"/>
          <w:szCs w:val="21"/>
          <w:lang w:val="en-US" w:eastAsia="zh-CN"/>
        </w:rPr>
      </w:pPr>
      <w:bookmarkStart w:id="0" w:name="OLE_LINK8"/>
      <w:r>
        <w:rPr>
          <w:rFonts w:hint="eastAsia" w:hAnsi="宋体"/>
          <w:szCs w:val="21"/>
        </w:rPr>
        <w:t>201</w:t>
      </w:r>
      <w:r>
        <w:rPr>
          <w:rFonts w:hint="eastAsia" w:hAnsi="宋体"/>
          <w:szCs w:val="21"/>
          <w:lang w:val="en-US" w:eastAsia="zh-CN"/>
        </w:rPr>
        <w:t>6</w:t>
      </w:r>
      <w:r>
        <w:rPr>
          <w:rFonts w:hint="eastAsia" w:hAnsi="宋体"/>
          <w:szCs w:val="21"/>
        </w:rPr>
        <w:t>年11月</w:t>
      </w:r>
      <w:r>
        <w:rPr>
          <w:rFonts w:hint="eastAsia" w:hAnsi="宋体"/>
          <w:szCs w:val="21"/>
          <w:lang w:val="en-US" w:eastAsia="zh-CN"/>
        </w:rPr>
        <w:t>01</w:t>
      </w:r>
      <w:r>
        <w:rPr>
          <w:rFonts w:hint="eastAsia" w:hAnsi="宋体"/>
          <w:szCs w:val="21"/>
        </w:rPr>
        <w:t>日～11月</w:t>
      </w:r>
      <w:r>
        <w:rPr>
          <w:rFonts w:hint="eastAsia" w:hAnsi="宋体"/>
          <w:szCs w:val="21"/>
          <w:lang w:val="en-US" w:eastAsia="zh-CN"/>
        </w:rPr>
        <w:t>04</w:t>
      </w:r>
      <w:r>
        <w:rPr>
          <w:rFonts w:hint="eastAsia" w:hAnsi="宋体"/>
          <w:szCs w:val="21"/>
        </w:rPr>
        <w:t>日在</w:t>
      </w:r>
      <w:r>
        <w:rPr>
          <w:rFonts w:hint="eastAsia" w:hAnsi="宋体"/>
          <w:szCs w:val="21"/>
          <w:lang w:val="en-US" w:eastAsia="zh-CN"/>
        </w:rPr>
        <w:t>江西省南昌市</w:t>
      </w:r>
      <w:r>
        <w:rPr>
          <w:rFonts w:hint="eastAsia" w:hAnsi="宋体"/>
          <w:szCs w:val="21"/>
          <w:lang w:eastAsia="zh-CN"/>
        </w:rPr>
        <w:t>召开有色金属标准工作会议，会上</w:t>
      </w:r>
      <w:r>
        <w:rPr>
          <w:rFonts w:hint="eastAsia" w:hAnsi="宋体"/>
          <w:szCs w:val="21"/>
          <w:lang w:val="en-US" w:eastAsia="zh-CN"/>
        </w:rPr>
        <w:t>确定了该标准的完成时间节点和验证单位名单。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宋体"/>
          <w:szCs w:val="21"/>
          <w:lang w:val="en-US" w:eastAsia="zh-CN"/>
        </w:rPr>
      </w:pPr>
      <w:bookmarkStart w:id="6" w:name="_GoBack"/>
      <w:bookmarkEnd w:id="6"/>
    </w:p>
    <w:bookmarkEnd w:id="0"/>
    <w:p>
      <w:pPr>
        <w:spacing w:line="360" w:lineRule="auto"/>
        <w:rPr>
          <w:rFonts w:cs="黑体" w:asciiTheme="minorEastAsia" w:hAnsiTheme="minorEastAsia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2</w:t>
      </w:r>
      <w:r>
        <w:rPr>
          <w:rFonts w:hint="eastAsia" w:cs="黑体" w:asciiTheme="minorEastAsia" w:hAnsiTheme="minorEastAsia" w:eastAsiaTheme="minorEastAsia"/>
          <w:b/>
          <w:sz w:val="24"/>
          <w:szCs w:val="24"/>
        </w:rPr>
        <w:t xml:space="preserve"> 标准编制原则和标准主要内容的确定</w:t>
      </w:r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2.1 </w:t>
      </w:r>
      <w:r>
        <w:rPr>
          <w:rFonts w:hint="eastAsia" w:ascii="Times New Roman" w:hAnsi="Times New Roman" w:cs="Times New Roman" w:eastAsiaTheme="minorEastAsia"/>
          <w:b/>
        </w:rPr>
        <w:t>编制原则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</w:rPr>
      </w:pPr>
      <w:r>
        <w:rPr>
          <w:rFonts w:hint="eastAsia" w:ascii="Times New Roman" w:hAnsi="宋体" w:cs="宋体"/>
          <w:color w:val="000000"/>
        </w:rPr>
        <w:t>对国内外相关方面文献及标准进行了详细的查新检索，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cs="宋体"/>
          <w:color w:val="000000"/>
        </w:rPr>
        <w:t>通常采用仪器进行测定，测定结果偏差较大，</w:t>
      </w:r>
      <w:r>
        <w:rPr>
          <w:rFonts w:hint="eastAsia" w:ascii="Times New Roman" w:hAnsi="SimSum" w:cs="宋体"/>
          <w:color w:val="000000"/>
        </w:rPr>
        <w:t>检测方法不适用于实际生产需要。同时尚未见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cs="宋体"/>
          <w:color w:val="000000"/>
        </w:rPr>
        <w:t>相应的标准分析方法发布</w:t>
      </w:r>
      <w:r>
        <w:rPr>
          <w:rFonts w:hint="eastAsia" w:ascii="Times New Roman" w:hAnsi="SimSum" w:cs="宋体"/>
          <w:color w:val="000000"/>
        </w:rPr>
        <w:t>。经过长期的试验积累，</w:t>
      </w:r>
      <w:r>
        <w:rPr>
          <w:rFonts w:hint="eastAsia" w:ascii="Times New Roman" w:hAnsi="宋体" w:cs="宋体"/>
          <w:color w:val="000000"/>
        </w:rPr>
        <w:t>采用丁二酮肟重量法测定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SimSum" w:cs="宋体"/>
          <w:color w:val="000000"/>
        </w:rPr>
        <w:t>中钯量，</w:t>
      </w:r>
      <w:r>
        <w:rPr>
          <w:rFonts w:hint="eastAsia" w:ascii="Times New Roman" w:hAnsi="宋体" w:cs="宋体"/>
          <w:color w:val="000000"/>
        </w:rPr>
        <w:t>称样量小、方法准确稳定、结果偏差小、周期短、测定结果令人满意</w:t>
      </w:r>
      <w:r>
        <w:rPr>
          <w:rFonts w:hint="eastAsia" w:ascii="Times New Roman" w:hAnsi="Arial" w:cs="宋体"/>
          <w:color w:val="000000"/>
          <w:shd w:val="clear" w:color="auto" w:fill="FFFFFF"/>
        </w:rPr>
        <w:t>，</w:t>
      </w:r>
      <w:r>
        <w:rPr>
          <w:rFonts w:hint="eastAsia" w:ascii="Times New Roman" w:hAnsi="Times New Roman" w:cs="Times New Roman"/>
        </w:rPr>
        <w:t>本标准在制定时，提出以下编制原则。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宋体" w:cs="宋体"/>
        </w:rPr>
        <w:t>本标准所涉及的试料加酸量，应能满足试料的分解及溶解要求。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宋体" w:cs="宋体"/>
        </w:rPr>
        <w:t>本标准所涉及的测定酸度，应满足试料分析结果准确、可靠的测定要求。</w:t>
      </w:r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2.2 </w:t>
      </w:r>
      <w:r>
        <w:rPr>
          <w:rFonts w:hint="eastAsia" w:ascii="Times New Roman" w:hAnsi="Times New Roman" w:cs="Times New Roman" w:eastAsiaTheme="minorEastAsia"/>
          <w:b/>
        </w:rPr>
        <w:t>确定标准主要内容的依据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2.2.1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宋体" w:cs="宋体"/>
        </w:rPr>
        <w:t>中盐酸，硝酸及高氯酸的加入量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宋体" w:cs="宋体"/>
        </w:rPr>
        <w:t xml:space="preserve">    由于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宋体" w:cs="宋体"/>
        </w:rPr>
        <w:t>需要处理掉有机物再进行溶解，采用盐酸，硝酸，高氯酸的溶解方法，加</w:t>
      </w:r>
      <w:r>
        <w:rPr>
          <w:rFonts w:hint="eastAsia" w:ascii="Times New Roman" w:hAnsi="宋体" w:cs="宋体"/>
          <w:lang w:val="en-US" w:eastAsia="zh-CN"/>
        </w:rPr>
        <w:t>1</w:t>
      </w:r>
      <w:r>
        <w:rPr>
          <w:rFonts w:hint="eastAsia"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宋体" w:cs="宋体"/>
        </w:rPr>
        <w:t>盐酸、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宋体" w:cs="宋体"/>
        </w:rPr>
        <w:t>硝酸、</w:t>
      </w:r>
      <w:r>
        <w:rPr>
          <w:rFonts w:hint="eastAsia" w:ascii="Times New Roman" w:hAnsi="Times New Roman" w:cs="Times New Roman"/>
        </w:rPr>
        <w:t xml:space="preserve"> 10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宋体" w:cs="宋体"/>
        </w:rPr>
        <w:t>高氯酸，</w:t>
      </w:r>
      <w:r>
        <w:rPr>
          <w:rFonts w:hint="eastAsia" w:ascii="Times New Roman" w:hAnsi="宋体" w:cs="宋体"/>
          <w:lang w:eastAsia="zh-CN"/>
        </w:rPr>
        <w:t>即可</w:t>
      </w:r>
      <w:r>
        <w:rPr>
          <w:rFonts w:hint="eastAsia" w:ascii="Times New Roman" w:hAnsi="宋体" w:cs="宋体"/>
        </w:rPr>
        <w:t>满足测定要求。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2.2.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 w:cs="宋体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宋体" w:cs="宋体"/>
        </w:rPr>
        <w:t>中丁二酮肟的加入量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hAnsi="宋体" w:cs="宋体"/>
        </w:rPr>
        <w:t xml:space="preserve">    由于溶液中钯的离子与丁二酮肟络合成丁二酮肟钯，所以试选了丁二酮肟加入量为</w:t>
      </w:r>
      <w:r>
        <w:rPr>
          <w:rFonts w:hint="eastAsia"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Times New Roman" w:cs="Times New Roman"/>
        </w:rPr>
        <w:t xml:space="preserve">、40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Times New Roman" w:cs="Times New Roman"/>
        </w:rPr>
        <w:t xml:space="preserve">、50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宋体" w:cs="宋体"/>
        </w:rPr>
        <w:t>、</w:t>
      </w:r>
      <w:r>
        <w:rPr>
          <w:rFonts w:hint="eastAsia"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Times New Roman" w:cs="Times New Roman"/>
        </w:rPr>
        <w:t xml:space="preserve">、70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cs="宋体"/>
        </w:rPr>
        <w:t>分别进行实验，结果表明，所测数据表明加入</w:t>
      </w:r>
      <w:r>
        <w:rPr>
          <w:rFonts w:hint="eastAsia" w:ascii="Times New Roman" w:hAnsi="Times New Roman" w:cs="宋体"/>
        </w:rPr>
        <w:t xml:space="preserve">50 </w:t>
      </w:r>
      <w:r>
        <w:rPr>
          <w:rFonts w:ascii="Times New Roman" w:hAnsi="Times New Roman" w:cs="宋体"/>
        </w:rPr>
        <w:t>mL</w:t>
      </w:r>
      <w:r>
        <w:rPr>
          <w:rFonts w:hint="eastAsia" w:ascii="Times New Roman" w:hAnsi="宋体" w:cs="宋体"/>
        </w:rPr>
        <w:t>得到结果比较准确。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2.2.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 w:eastAsia="黑体" w:cs="黑体"/>
        </w:rPr>
        <w:t xml:space="preserve"> </w:t>
      </w:r>
      <w:r>
        <w:rPr>
          <w:rFonts w:hint="eastAsia" w:ascii="Times New Roman" w:hAnsi="宋体" w:cs="宋体"/>
        </w:rPr>
        <w:t>关于测定酸度的确定</w:t>
      </w:r>
    </w:p>
    <w:p>
      <w:pPr>
        <w:spacing w:line="360" w:lineRule="auto"/>
        <w:rPr>
          <w:rFonts w:ascii="Times New Roman" w:hAnsi="Times New Roman" w:cs="宋体"/>
        </w:rPr>
      </w:pPr>
      <w:r>
        <w:rPr>
          <w:rFonts w:hint="eastAsia" w:ascii="Times New Roman" w:cs="宋体"/>
        </w:rPr>
        <w:t xml:space="preserve">    </w:t>
      </w:r>
      <w:bookmarkStart w:id="1" w:name="OLE_LINK3"/>
      <w:r>
        <w:rPr>
          <w:rFonts w:hint="eastAsia" w:ascii="Times New Roman" w:cs="宋体"/>
        </w:rPr>
        <w:t>盐酸加入量为</w:t>
      </w:r>
      <w:r>
        <w:rPr>
          <w:rFonts w:hint="eastAsia" w:ascii="Times New Roman" w:hAnsi="Times New Roman" w:eastAsiaTheme="minorEastAsia"/>
          <w:szCs w:val="21"/>
          <w:lang w:val="en-US" w:eastAsia="zh-CN"/>
        </w:rPr>
        <w:t>0.</w:t>
      </w:r>
      <w:r>
        <w:rPr>
          <w:rFonts w:ascii="Times New Roman" w:hAnsi="Times New Roman" w:eastAsiaTheme="minorEastAsia"/>
          <w:szCs w:val="21"/>
        </w:rPr>
        <w:t>5 mL</w: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ascii="Times New Roman" w:hAnsi="Times New Roman" w:eastAsiaTheme="minorEastAsia"/>
          <w:szCs w:val="21"/>
        </w:rPr>
        <w:t>1 mL</w:t>
      </w:r>
      <w:r>
        <w:rPr>
          <w:rFonts w:hint="eastAsia" w:ascii="Times New Roman" w:hAnsi="Times New Roman" w:eastAsiaTheme="minorEastAsia"/>
          <w:szCs w:val="21"/>
        </w:rPr>
        <w:t>、</w:t>
      </w:r>
      <w:r>
        <w:rPr>
          <w:rFonts w:hint="eastAsia" w:ascii="Times New Roman" w:hAnsi="Times New Roman" w:eastAsiaTheme="minorEastAsia"/>
          <w:szCs w:val="21"/>
          <w:lang w:val="en-US" w:eastAsia="zh-CN"/>
        </w:rPr>
        <w:t>2</w:t>
      </w:r>
      <w:r>
        <w:rPr>
          <w:rFonts w:ascii="Times New Roman" w:hAnsi="Times New Roman" w:eastAsiaTheme="minorEastAsia"/>
          <w:szCs w:val="21"/>
        </w:rPr>
        <w:t xml:space="preserve"> mL</w:t>
      </w:r>
      <w:r>
        <w:rPr>
          <w:rFonts w:hint="eastAsia" w:ascii="Times New Roman" w:hAnsi="Times New Roman" w:eastAsiaTheme="minorEastAsia"/>
          <w:szCs w:val="21"/>
          <w:lang w:eastAsia="zh-CN"/>
        </w:rPr>
        <w:t>和</w:t>
      </w:r>
      <w:r>
        <w:rPr>
          <w:rFonts w:hint="eastAsia" w:ascii="Times New Roman" w:hAnsi="Times New Roman" w:eastAsiaTheme="minorEastAsia"/>
          <w:szCs w:val="21"/>
          <w:lang w:val="en-US" w:eastAsia="zh-CN"/>
        </w:rPr>
        <w:t>3</w:t>
      </w:r>
      <w:r>
        <w:rPr>
          <w:rFonts w:ascii="Times New Roman" w:hAnsi="Times New Roman" w:eastAsiaTheme="minorEastAsia"/>
          <w:szCs w:val="21"/>
        </w:rPr>
        <w:t>mL</w:t>
      </w:r>
      <w:r>
        <w:rPr>
          <w:rFonts w:hint="eastAsia" w:ascii="Times New Roman" w:hAnsi="Times New Roman" w:cs="宋体"/>
        </w:rPr>
        <w:t>，结果表明，本次试验选择加入量为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mL</w:t>
      </w:r>
      <w:r>
        <w:rPr>
          <w:rFonts w:hint="eastAsia" w:ascii="Times New Roman" w:hAnsi="Times New Roman" w:cs="宋体"/>
        </w:rPr>
        <w:t>。</w:t>
      </w:r>
      <w:bookmarkEnd w:id="1"/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 w:cs="宋体"/>
        </w:rPr>
        <w:t xml:space="preserve"> 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ascii="Times New Roman" w:hAnsi="Times New Roman"/>
        </w:rPr>
        <w:t>沉淀时间的确定</w:t>
      </w:r>
      <w:r>
        <w:rPr>
          <w:rFonts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cs="宋体"/>
        </w:rPr>
        <w:t xml:space="preserve">    </w:t>
      </w:r>
      <w:bookmarkStart w:id="2" w:name="OLE_LINK4"/>
      <w:r>
        <w:rPr>
          <w:rFonts w:hint="eastAsia" w:ascii="Times New Roman" w:hAnsi="Times New Roman" w:cs="宋体"/>
        </w:rPr>
        <w:t>丁二酮肟与钯反应产生沉淀后静置时间也会对含量的检测产生影响，只有静置完全结果才准确，静置的时间分别为1 h、2 h、4 h、5 h、7 h和过夜，当静置时间小于</w:t>
      </w:r>
      <w:r>
        <w:rPr>
          <w:rFonts w:hint="eastAsia" w:ascii="Times New Roman" w:hAnsi="Times New Roman" w:cs="宋体"/>
          <w:lang w:val="en-US" w:eastAsia="zh-CN"/>
        </w:rPr>
        <w:t>5</w:t>
      </w:r>
      <w:r>
        <w:rPr>
          <w:rFonts w:hint="eastAsia" w:ascii="Times New Roman" w:hAnsi="Times New Roman" w:cs="宋体"/>
        </w:rPr>
        <w:t xml:space="preserve"> h沉淀</w:t>
      </w:r>
      <w:r>
        <w:rPr>
          <w:rFonts w:hint="eastAsia" w:ascii="Times New Roman" w:hAnsi="Times New Roman" w:cs="宋体"/>
          <w:lang w:eastAsia="zh-CN"/>
        </w:rPr>
        <w:t>以上时其质量分数几乎不变，在实际检测中操作者可以根据时间安排进行</w:t>
      </w:r>
      <w:r>
        <w:rPr>
          <w:rFonts w:hint="eastAsia" w:ascii="Times New Roman" w:hAnsi="Times New Roman" w:cs="宋体"/>
        </w:rPr>
        <w:t>。</w:t>
      </w:r>
      <w:bookmarkEnd w:id="2"/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2.</w:t>
      </w:r>
      <w:r>
        <w:rPr>
          <w:rFonts w:hint="eastAsia" w:ascii="Times New Roman" w:hAnsi="Times New Roman" w:cs="Times New Roman" w:eastAsiaTheme="minorEastAsia"/>
          <w:b/>
        </w:rPr>
        <w:t>3 本标准的适用范围：</w:t>
      </w:r>
    </w:p>
    <w:p>
      <w:pPr>
        <w:spacing w:line="360" w:lineRule="auto"/>
        <w:rPr>
          <w:rFonts w:cs="Times New Roman"/>
        </w:rPr>
      </w:pPr>
      <w:r>
        <w:t xml:space="preserve">    </w:t>
      </w:r>
      <w:r>
        <w:rPr>
          <w:rFonts w:hint="eastAsia" w:cs="宋体"/>
        </w:rPr>
        <w:t>本标准适用于</w:t>
      </w:r>
      <w:r>
        <w:rPr>
          <w:rFonts w:hint="eastAsia" w:hAnsi="宋体"/>
          <w:szCs w:val="21"/>
        </w:rPr>
        <w:t>1,2-双二苯基膦乙烷氯化钯</w:t>
      </w:r>
      <w:r>
        <w:rPr>
          <w:rFonts w:hint="eastAsia" w:cs="宋体"/>
        </w:rPr>
        <w:t>中钯</w:t>
      </w:r>
      <w:r>
        <w:rPr>
          <w:rFonts w:hint="eastAsia" w:cs="宋体"/>
          <w:lang w:eastAsia="zh-CN"/>
        </w:rPr>
        <w:t>含</w:t>
      </w:r>
      <w:r>
        <w:rPr>
          <w:rFonts w:hint="eastAsia" w:cs="宋体"/>
        </w:rPr>
        <w:t>量的测定。</w:t>
      </w:r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2.4 </w:t>
      </w:r>
      <w:r>
        <w:rPr>
          <w:rFonts w:hint="eastAsia" w:ascii="Times New Roman" w:hAnsi="Times New Roman" w:cs="Times New Roman" w:eastAsiaTheme="minorEastAsia"/>
          <w:b/>
          <w:lang w:val="en-US" w:eastAsia="zh-CN"/>
        </w:rPr>
        <w:t>钯量</w:t>
      </w:r>
      <w:r>
        <w:rPr>
          <w:rFonts w:hint="eastAsia" w:ascii="Times New Roman" w:hAnsi="Times New Roman" w:cs="Times New Roman" w:eastAsiaTheme="minorEastAsia"/>
          <w:b/>
        </w:rPr>
        <w:t>的测定范围：</w:t>
      </w:r>
    </w:p>
    <w:p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hint="eastAsia" w:ascii="宋体" w:hAnsi="宋体" w:cs="宋体"/>
        </w:rPr>
        <w:t>钯含量为：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  <w:lang w:val="en-US" w:eastAsia="zh-CN"/>
        </w:rPr>
        <w:t>7.00</w:t>
      </w:r>
      <w:r>
        <w:rPr>
          <w:rFonts w:hint="eastAsia"/>
          <w:kern w:val="0"/>
          <w:szCs w:val="21"/>
        </w:rPr>
        <w:t>%~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  <w:lang w:val="en-US" w:eastAsia="zh-CN"/>
        </w:rPr>
        <w:t>9.00</w:t>
      </w:r>
      <w:r>
        <w:rPr>
          <w:rFonts w:hint="eastAsia"/>
          <w:color w:val="000000"/>
          <w:szCs w:val="21"/>
        </w:rPr>
        <w:t>%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spacing w:line="360" w:lineRule="auto"/>
        <w:ind w:firstLine="42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3 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>验证试验结果</w:t>
      </w:r>
    </w:p>
    <w:p>
      <w:pPr>
        <w:spacing w:line="360" w:lineRule="auto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3.1 </w:t>
      </w:r>
      <w:r>
        <w:rPr>
          <w:rFonts w:hint="eastAsia" w:ascii="Times New Roman" w:hAnsi="Times New Roman" w:cs="Times New Roman" w:eastAsiaTheme="minorEastAsia"/>
          <w:b/>
        </w:rPr>
        <w:t>重复性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在重复性条件下获得的两次独立测试结果的测定值，在以下给出的平均值范围内，这两个测试结果的绝对差值不大于重复性限（</w:t>
      </w:r>
      <w:r>
        <w:rPr>
          <w:rFonts w:ascii="Times New Roman" w:hAnsi="Times New Roman"/>
        </w:rPr>
        <w:t>r</w:t>
      </w:r>
      <w:r>
        <w:rPr>
          <w:rFonts w:hint="eastAsia" w:ascii="Times New Roman" w:hAnsi="Times New Roman" w:cs="宋体"/>
        </w:rPr>
        <w:t>），以大于重复性限（</w:t>
      </w:r>
      <w:r>
        <w:rPr>
          <w:rFonts w:ascii="Times New Roman" w:hAnsi="Times New Roman"/>
        </w:rPr>
        <w:t>r</w:t>
      </w:r>
      <w:r>
        <w:rPr>
          <w:rFonts w:hint="eastAsia" w:ascii="Times New Roman" w:hAnsi="Times New Roman" w:cs="宋体"/>
        </w:rPr>
        <w:t>）的情况不超过</w:t>
      </w:r>
      <w:r>
        <w:rPr>
          <w:rFonts w:ascii="Times New Roman" w:hAnsi="Times New Roman"/>
        </w:rPr>
        <w:t>5%</w:t>
      </w:r>
      <w:r>
        <w:rPr>
          <w:rFonts w:hint="eastAsia" w:ascii="Times New Roman" w:hAnsi="Times New Roman" w:cs="宋体"/>
        </w:rPr>
        <w:t>为前提。重复性限（</w:t>
      </w:r>
      <w:r>
        <w:rPr>
          <w:rFonts w:ascii="Times New Roman" w:hAnsi="Times New Roman"/>
        </w:rPr>
        <w:t>r</w:t>
      </w:r>
      <w:r>
        <w:rPr>
          <w:rFonts w:hint="eastAsia" w:ascii="Times New Roman" w:hAnsi="Times New Roman" w:cs="宋体"/>
        </w:rPr>
        <w:t>）按表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 w:cs="宋体"/>
        </w:rPr>
        <w:t>采用线性内插法</w:t>
      </w:r>
      <w:r>
        <w:rPr>
          <w:rFonts w:hint="eastAsia" w:ascii="Times New Roman" w:hAnsi="Times New Roman" w:cs="宋体"/>
          <w:lang w:eastAsia="zh-CN"/>
        </w:rPr>
        <w:t>或外延法</w:t>
      </w:r>
      <w:r>
        <w:rPr>
          <w:rFonts w:hint="eastAsia" w:ascii="Times New Roman" w:hAnsi="Times New Roman" w:cs="宋体"/>
        </w:rPr>
        <w:t>求得。</w:t>
      </w:r>
    </w:p>
    <w:p>
      <w:pPr>
        <w:spacing w:beforeLines="50" w:afterLines="50"/>
        <w:jc w:val="center"/>
        <w:rPr>
          <w:rFonts w:hint="eastAsia"/>
          <w:b/>
          <w:szCs w:val="21"/>
        </w:rPr>
      </w:pPr>
      <w:r>
        <w:rPr>
          <w:rFonts w:hint="eastAsia" w:ascii="Times New Roman" w:hAnsi="Times New Roman" w:cs="宋体"/>
          <w:szCs w:val="18"/>
        </w:rPr>
        <w:t xml:space="preserve">       </w:t>
      </w:r>
      <w:bookmarkStart w:id="3" w:name="OLE_LINK6"/>
      <w:r>
        <w:rPr>
          <w:rFonts w:hint="eastAsia"/>
          <w:b/>
          <w:szCs w:val="21"/>
        </w:rPr>
        <w:t>表1重复性限</w:t>
      </w:r>
    </w:p>
    <w:tbl>
      <w:tblPr>
        <w:tblStyle w:val="11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钯的质量分数</w:t>
            </w:r>
            <w:r>
              <w:rPr>
                <w:rFonts w:ascii="Times New Roman" w:hAnsi="Times New Roman" w:cs="Times New Roman"/>
                <w:i w:val="0"/>
                <w:iCs/>
                <w:szCs w:val="21"/>
              </w:rPr>
              <w:t>/%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17.32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17.61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重复性限（</w:t>
            </w:r>
            <w:r>
              <w:rPr>
                <w:rFonts w:ascii="Times New Roman" w:hAnsi="Times New Roman" w:cs="Times New Roman"/>
                <w:i w:val="0"/>
                <w:iCs/>
                <w:szCs w:val="21"/>
              </w:rPr>
              <w:t>r</w:t>
            </w: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i w:val="0"/>
                <w:iCs/>
                <w:szCs w:val="21"/>
              </w:rPr>
              <w:t>/%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0.05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0.08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0.13</w:t>
            </w:r>
          </w:p>
        </w:tc>
      </w:tr>
      <w:bookmarkEnd w:id="3"/>
    </w:tbl>
    <w:p>
      <w:pPr>
        <w:spacing w:line="360" w:lineRule="auto"/>
        <w:rPr>
          <w:color w:val="000000"/>
          <w:szCs w:val="21"/>
        </w:rPr>
      </w:pPr>
      <w:bookmarkStart w:id="4" w:name="OLE_LINK5"/>
      <w:r>
        <w:rPr>
          <w:rFonts w:ascii="Times New Roman" w:hAnsi="Times New Roman" w:cs="Times New Roman" w:eastAsiaTheme="minorEastAsia"/>
          <w:b/>
        </w:rPr>
        <w:t xml:space="preserve">3.2 </w:t>
      </w:r>
      <w:r>
        <w:rPr>
          <w:rFonts w:hint="eastAsia"/>
          <w:color w:val="000000"/>
          <w:szCs w:val="21"/>
        </w:rPr>
        <w:t>再现性</w:t>
      </w:r>
    </w:p>
    <w:p>
      <w:pPr>
        <w:pStyle w:val="20"/>
        <w:tabs>
          <w:tab w:val="left" w:pos="7155"/>
        </w:tabs>
        <w:spacing w:before="0" w:line="360" w:lineRule="auto"/>
        <w:jc w:val="both"/>
        <w:rPr>
          <w:rFonts w:hint="eastAsia"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在再现性条件下获得的两次独立测试结果的测定值，在以下给出的平均值范围内，这两个测试结果的绝对差值不超过再现性限（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），超过再现性限（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）的情况不超过</w:t>
      </w:r>
      <w:r>
        <w:rPr>
          <w:sz w:val="21"/>
          <w:szCs w:val="21"/>
        </w:rPr>
        <w:t>5%</w:t>
      </w:r>
      <w:r>
        <w:rPr>
          <w:rFonts w:hint="eastAsia" w:cs="宋体"/>
          <w:sz w:val="21"/>
          <w:szCs w:val="21"/>
        </w:rPr>
        <w:t>，再现性限（</w:t>
      </w:r>
      <w:r>
        <w:rPr>
          <w:sz w:val="21"/>
          <w:szCs w:val="21"/>
        </w:rPr>
        <w:t>R</w:t>
      </w:r>
      <w:r>
        <w:rPr>
          <w:rFonts w:hint="eastAsia" w:cs="宋体"/>
          <w:sz w:val="21"/>
          <w:szCs w:val="21"/>
        </w:rPr>
        <w:t>）按表</w:t>
      </w:r>
      <w:r>
        <w:rPr>
          <w:sz w:val="21"/>
          <w:szCs w:val="21"/>
        </w:rPr>
        <w:t>2</w:t>
      </w:r>
      <w:r>
        <w:rPr>
          <w:rFonts w:hint="eastAsia" w:cs="宋体"/>
          <w:sz w:val="21"/>
          <w:szCs w:val="21"/>
        </w:rPr>
        <w:t>数据采用线性内插法</w:t>
      </w:r>
      <w:r>
        <w:rPr>
          <w:rFonts w:hint="eastAsia" w:cs="宋体"/>
          <w:sz w:val="21"/>
          <w:szCs w:val="21"/>
          <w:lang w:eastAsia="zh-CN"/>
        </w:rPr>
        <w:t>或外延法</w:t>
      </w:r>
      <w:r>
        <w:rPr>
          <w:rFonts w:hint="eastAsia" w:cs="宋体"/>
          <w:sz w:val="21"/>
          <w:szCs w:val="21"/>
        </w:rPr>
        <w:t>求得。</w:t>
      </w:r>
    </w:p>
    <w:bookmarkEnd w:id="4"/>
    <w:p>
      <w:pPr>
        <w:spacing w:beforeLines="50" w:afterLines="50"/>
        <w:jc w:val="center"/>
        <w:rPr>
          <w:b/>
          <w:szCs w:val="21"/>
        </w:rPr>
      </w:pPr>
      <w:bookmarkStart w:id="5" w:name="OLE_LINK7"/>
      <w:r>
        <w:rPr>
          <w:rFonts w:hint="eastAsia"/>
          <w:b/>
          <w:szCs w:val="21"/>
        </w:rPr>
        <w:t>表2 再现性限</w:t>
      </w:r>
    </w:p>
    <w:bookmarkEnd w:id="5"/>
    <w:tbl>
      <w:tblPr>
        <w:tblStyle w:val="11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钯的质量分数</w:t>
            </w:r>
            <w:r>
              <w:rPr>
                <w:rFonts w:hint="eastAsia" w:ascii="Times New Roman" w:hAnsi="Times New Roman" w:cs="Times New Roman"/>
                <w:i w:val="0"/>
                <w:iCs/>
                <w:szCs w:val="21"/>
              </w:rPr>
              <w:t>/%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17.32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17.61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再现性限（</w:t>
            </w:r>
            <w:r>
              <w:rPr>
                <w:rFonts w:hint="eastAsia" w:ascii="Times New Roman" w:hAnsi="Times New Roman" w:cs="Times New Roman"/>
                <w:i w:val="0"/>
                <w:iCs/>
                <w:szCs w:val="21"/>
              </w:rPr>
              <w:t>R</w:t>
            </w:r>
            <w:r>
              <w:rPr>
                <w:rFonts w:hint="eastAsia" w:ascii="Times New Roman" w:hAnsi="Times New Roman" w:cs="Times New Roman"/>
                <w:i w:val="0"/>
                <w:iCs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i w:val="0"/>
                <w:iCs/>
                <w:szCs w:val="21"/>
              </w:rPr>
              <w:t>/%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0.09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0.13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0.17</w:t>
            </w:r>
          </w:p>
        </w:tc>
      </w:tr>
    </w:tbl>
    <w:p>
      <w:pPr>
        <w:spacing w:line="360" w:lineRule="auto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>4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 与国内外同类标准对比</w:t>
      </w:r>
    </w:p>
    <w:p>
      <w:pPr>
        <w:spacing w:line="360" w:lineRule="auto"/>
        <w:ind w:left="105" w:hanging="105" w:hangingChars="50"/>
        <w:rPr>
          <w:rFonts w:hint="eastAsia" w:ascii="Times New Roman" w:hAnsi="Times New Roman" w:cs="宋体"/>
        </w:rPr>
      </w:pPr>
      <w:r>
        <w:rPr>
          <w:rFonts w:hint="eastAsia" w:ascii="Times New Roman" w:hAnsi="宋体" w:cs="宋体"/>
        </w:rPr>
        <w:t xml:space="preserve"> </w:t>
      </w:r>
      <w:r>
        <w:rPr>
          <w:rFonts w:hint="eastAsia" w:ascii="Times New Roman" w:hAnsi="Times New Roman" w:cs="宋体"/>
        </w:rPr>
        <w:t xml:space="preserve">   检索ISO、ASTM、EN、JIS、DIN及我国国家和行业标准，均无与</w:t>
      </w:r>
      <w:r>
        <w:rPr>
          <w:rFonts w:hint="eastAsia" w:ascii="Times New Roman" w:hAnsi="Times New Roman"/>
        </w:rPr>
        <w:t xml:space="preserve">1,2-双二苯基膦乙烷氯化钯 钯量的测定 </w:t>
      </w:r>
      <w:r>
        <w:rPr>
          <w:rFonts w:hint="eastAsia" w:ascii="Times New Roman" w:hAnsi="Times New Roman" w:cs="宋体"/>
        </w:rPr>
        <w:t>检测的相关的产品标准；本标准是首次制订，填补了国际、国内</w:t>
      </w:r>
      <w:r>
        <w:rPr>
          <w:rFonts w:hint="eastAsia" w:ascii="Times New Roman" w:hAnsi="Times New Roman"/>
        </w:rPr>
        <w:t>1,2-双二苯基膦乙烷氯化钯</w:t>
      </w:r>
      <w:r>
        <w:rPr>
          <w:rFonts w:hint="eastAsia" w:ascii="Times New Roman" w:hAnsi="Times New Roman" w:cs="宋体"/>
        </w:rPr>
        <w:t>产品</w:t>
      </w:r>
      <w:r>
        <w:rPr>
          <w:rFonts w:hint="eastAsia" w:ascii="Times New Roman" w:hAnsi="Times New Roman" w:cs="宋体"/>
          <w:lang w:eastAsia="zh-CN"/>
        </w:rPr>
        <w:t>中钯质量分数</w:t>
      </w:r>
      <w:r>
        <w:rPr>
          <w:rFonts w:hint="eastAsia" w:ascii="Times New Roman" w:hAnsi="Times New Roman" w:cs="宋体"/>
        </w:rPr>
        <w:t>检测方法标准的空白。</w:t>
      </w:r>
    </w:p>
    <w:p>
      <w:pPr>
        <w:spacing w:line="360" w:lineRule="auto"/>
        <w:ind w:left="105" w:hanging="105" w:hangingChars="50"/>
        <w:rPr>
          <w:rFonts w:ascii="Times New Roman" w:hAnsi="Times New Roman" w:cs="宋体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</w:rPr>
        <w:t xml:space="preserve">5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标准实施的建议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/>
          <w:color w:val="000000"/>
          <w:sz w:val="24"/>
        </w:rPr>
        <w:t>建议该标准</w:t>
      </w:r>
      <w:r>
        <w:rPr>
          <w:rFonts w:hint="eastAsia" w:ascii="宋体" w:hAnsi="宋体"/>
          <w:color w:val="000000"/>
          <w:sz w:val="24"/>
        </w:rPr>
        <w:t>作</w:t>
      </w:r>
      <w:r>
        <w:rPr>
          <w:rFonts w:ascii="宋体" w:hAnsi="宋体"/>
          <w:color w:val="000000"/>
          <w:sz w:val="24"/>
        </w:rPr>
        <w:t>为推荐性</w:t>
      </w:r>
      <w:r>
        <w:rPr>
          <w:rFonts w:hint="eastAsia" w:ascii="宋体" w:hAnsi="宋体"/>
          <w:color w:val="000000"/>
          <w:sz w:val="24"/>
        </w:rPr>
        <w:t>行业</w:t>
      </w:r>
      <w:r>
        <w:rPr>
          <w:rFonts w:ascii="宋体" w:hAnsi="宋体"/>
          <w:color w:val="000000"/>
          <w:sz w:val="24"/>
        </w:rPr>
        <w:t>标准。</w:t>
      </w:r>
      <w:r>
        <w:rPr>
          <w:rFonts w:ascii="宋体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9A05"/>
    <w:multiLevelType w:val="singleLevel"/>
    <w:tmpl w:val="57C39A0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D1C1EFB"/>
    <w:multiLevelType w:val="multilevel"/>
    <w:tmpl w:val="6D1C1EFB"/>
    <w:lvl w:ilvl="0" w:tentative="0">
      <w:start w:val="0"/>
      <w:numFmt w:val="bullet"/>
      <w:lvlText w:val="—"/>
      <w:lvlJc w:val="left"/>
      <w:pPr>
        <w:ind w:left="465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pStyle w:val="18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BC8"/>
    <w:rsid w:val="000243C4"/>
    <w:rsid w:val="000270F2"/>
    <w:rsid w:val="00030C4C"/>
    <w:rsid w:val="000567B5"/>
    <w:rsid w:val="00072CBE"/>
    <w:rsid w:val="00072D8F"/>
    <w:rsid w:val="000A7FE5"/>
    <w:rsid w:val="000B63B5"/>
    <w:rsid w:val="000B6B80"/>
    <w:rsid w:val="000C1BC6"/>
    <w:rsid w:val="000C357D"/>
    <w:rsid w:val="000C4273"/>
    <w:rsid w:val="000C5A67"/>
    <w:rsid w:val="000D2C02"/>
    <w:rsid w:val="00104EE3"/>
    <w:rsid w:val="001054D8"/>
    <w:rsid w:val="001120F0"/>
    <w:rsid w:val="00113CDC"/>
    <w:rsid w:val="00114F66"/>
    <w:rsid w:val="00140EC1"/>
    <w:rsid w:val="00172711"/>
    <w:rsid w:val="001847B9"/>
    <w:rsid w:val="001B344A"/>
    <w:rsid w:val="001C76BB"/>
    <w:rsid w:val="00206DCB"/>
    <w:rsid w:val="00207343"/>
    <w:rsid w:val="00235576"/>
    <w:rsid w:val="002624F0"/>
    <w:rsid w:val="00264EEF"/>
    <w:rsid w:val="00267A99"/>
    <w:rsid w:val="00277045"/>
    <w:rsid w:val="00283AB6"/>
    <w:rsid w:val="00292E35"/>
    <w:rsid w:val="0029645F"/>
    <w:rsid w:val="002B7567"/>
    <w:rsid w:val="002E595B"/>
    <w:rsid w:val="00302D29"/>
    <w:rsid w:val="00335310"/>
    <w:rsid w:val="00340EB3"/>
    <w:rsid w:val="00354C5B"/>
    <w:rsid w:val="003655BD"/>
    <w:rsid w:val="0036713A"/>
    <w:rsid w:val="00395F17"/>
    <w:rsid w:val="00396BFA"/>
    <w:rsid w:val="003976C3"/>
    <w:rsid w:val="003A6D03"/>
    <w:rsid w:val="003B055C"/>
    <w:rsid w:val="003B3DEC"/>
    <w:rsid w:val="003B56E2"/>
    <w:rsid w:val="003C09FA"/>
    <w:rsid w:val="003E462C"/>
    <w:rsid w:val="00412BE7"/>
    <w:rsid w:val="0043255B"/>
    <w:rsid w:val="00434DC0"/>
    <w:rsid w:val="004374BB"/>
    <w:rsid w:val="00440E01"/>
    <w:rsid w:val="00442284"/>
    <w:rsid w:val="00445C0D"/>
    <w:rsid w:val="00470BC8"/>
    <w:rsid w:val="00471DF6"/>
    <w:rsid w:val="00472889"/>
    <w:rsid w:val="0048789E"/>
    <w:rsid w:val="004A15DE"/>
    <w:rsid w:val="004A4D0A"/>
    <w:rsid w:val="004C04CC"/>
    <w:rsid w:val="004E33AA"/>
    <w:rsid w:val="004E344F"/>
    <w:rsid w:val="004F438F"/>
    <w:rsid w:val="00512295"/>
    <w:rsid w:val="0051538C"/>
    <w:rsid w:val="00516B79"/>
    <w:rsid w:val="00522820"/>
    <w:rsid w:val="00531EDB"/>
    <w:rsid w:val="0053272A"/>
    <w:rsid w:val="00547D95"/>
    <w:rsid w:val="00563EFC"/>
    <w:rsid w:val="00566455"/>
    <w:rsid w:val="00566B03"/>
    <w:rsid w:val="00566FFB"/>
    <w:rsid w:val="00572280"/>
    <w:rsid w:val="005757E0"/>
    <w:rsid w:val="005A1D91"/>
    <w:rsid w:val="005A74A7"/>
    <w:rsid w:val="005B0CD2"/>
    <w:rsid w:val="005B2758"/>
    <w:rsid w:val="005B54FC"/>
    <w:rsid w:val="005C4683"/>
    <w:rsid w:val="005C496C"/>
    <w:rsid w:val="005D2EB2"/>
    <w:rsid w:val="005E1D9D"/>
    <w:rsid w:val="005E585D"/>
    <w:rsid w:val="005F2AA3"/>
    <w:rsid w:val="005F36A1"/>
    <w:rsid w:val="00632318"/>
    <w:rsid w:val="0063349F"/>
    <w:rsid w:val="006476AA"/>
    <w:rsid w:val="00651BFB"/>
    <w:rsid w:val="00652A4A"/>
    <w:rsid w:val="006816AE"/>
    <w:rsid w:val="006A06C3"/>
    <w:rsid w:val="006A22EE"/>
    <w:rsid w:val="006B2C89"/>
    <w:rsid w:val="006B634C"/>
    <w:rsid w:val="006C12FA"/>
    <w:rsid w:val="006C3B6F"/>
    <w:rsid w:val="006D7179"/>
    <w:rsid w:val="006E135B"/>
    <w:rsid w:val="006E672F"/>
    <w:rsid w:val="006F1998"/>
    <w:rsid w:val="006F2493"/>
    <w:rsid w:val="00753867"/>
    <w:rsid w:val="00760471"/>
    <w:rsid w:val="00773211"/>
    <w:rsid w:val="00782447"/>
    <w:rsid w:val="007B2309"/>
    <w:rsid w:val="007C16DE"/>
    <w:rsid w:val="007C2E8B"/>
    <w:rsid w:val="007E36CF"/>
    <w:rsid w:val="007F3613"/>
    <w:rsid w:val="008132F1"/>
    <w:rsid w:val="008202E0"/>
    <w:rsid w:val="00827252"/>
    <w:rsid w:val="00831926"/>
    <w:rsid w:val="00842CBD"/>
    <w:rsid w:val="00850A5D"/>
    <w:rsid w:val="008519A9"/>
    <w:rsid w:val="0087122D"/>
    <w:rsid w:val="00881842"/>
    <w:rsid w:val="00883772"/>
    <w:rsid w:val="008876FC"/>
    <w:rsid w:val="008A58E8"/>
    <w:rsid w:val="008E695C"/>
    <w:rsid w:val="008F6F29"/>
    <w:rsid w:val="00906205"/>
    <w:rsid w:val="00913177"/>
    <w:rsid w:val="0092072B"/>
    <w:rsid w:val="00925190"/>
    <w:rsid w:val="009341CE"/>
    <w:rsid w:val="00951FDA"/>
    <w:rsid w:val="009558B0"/>
    <w:rsid w:val="00977A88"/>
    <w:rsid w:val="00985446"/>
    <w:rsid w:val="00994267"/>
    <w:rsid w:val="009A13B1"/>
    <w:rsid w:val="009A5B5C"/>
    <w:rsid w:val="009B36E6"/>
    <w:rsid w:val="009C67D5"/>
    <w:rsid w:val="009D19A0"/>
    <w:rsid w:val="009E57B1"/>
    <w:rsid w:val="009E7DEA"/>
    <w:rsid w:val="009F5EFB"/>
    <w:rsid w:val="00A21ABC"/>
    <w:rsid w:val="00A45A90"/>
    <w:rsid w:val="00A60FB9"/>
    <w:rsid w:val="00A64D55"/>
    <w:rsid w:val="00A84E96"/>
    <w:rsid w:val="00A92A1E"/>
    <w:rsid w:val="00AA203E"/>
    <w:rsid w:val="00AB514A"/>
    <w:rsid w:val="00AB60F1"/>
    <w:rsid w:val="00AC1C56"/>
    <w:rsid w:val="00AF7CBD"/>
    <w:rsid w:val="00B16761"/>
    <w:rsid w:val="00B22F02"/>
    <w:rsid w:val="00B31257"/>
    <w:rsid w:val="00B3575B"/>
    <w:rsid w:val="00B46A6E"/>
    <w:rsid w:val="00B972A4"/>
    <w:rsid w:val="00BC0672"/>
    <w:rsid w:val="00BE4B6F"/>
    <w:rsid w:val="00BF25CF"/>
    <w:rsid w:val="00C014C6"/>
    <w:rsid w:val="00C079D7"/>
    <w:rsid w:val="00C25753"/>
    <w:rsid w:val="00C330C6"/>
    <w:rsid w:val="00C3544C"/>
    <w:rsid w:val="00C449E9"/>
    <w:rsid w:val="00C54E2D"/>
    <w:rsid w:val="00C90DEE"/>
    <w:rsid w:val="00CC45D7"/>
    <w:rsid w:val="00D04B04"/>
    <w:rsid w:val="00D12AF3"/>
    <w:rsid w:val="00D40B74"/>
    <w:rsid w:val="00D44DC4"/>
    <w:rsid w:val="00D45774"/>
    <w:rsid w:val="00D749C1"/>
    <w:rsid w:val="00DA4727"/>
    <w:rsid w:val="00DA6DF8"/>
    <w:rsid w:val="00DB42BF"/>
    <w:rsid w:val="00DB514C"/>
    <w:rsid w:val="00E0317F"/>
    <w:rsid w:val="00E156FC"/>
    <w:rsid w:val="00E232DA"/>
    <w:rsid w:val="00E251AD"/>
    <w:rsid w:val="00E26596"/>
    <w:rsid w:val="00E3161A"/>
    <w:rsid w:val="00E37F0E"/>
    <w:rsid w:val="00E45FE2"/>
    <w:rsid w:val="00E528D0"/>
    <w:rsid w:val="00E610BC"/>
    <w:rsid w:val="00E71657"/>
    <w:rsid w:val="00E8364B"/>
    <w:rsid w:val="00E93621"/>
    <w:rsid w:val="00E952D3"/>
    <w:rsid w:val="00EC5079"/>
    <w:rsid w:val="00ED5E23"/>
    <w:rsid w:val="00EE6BE3"/>
    <w:rsid w:val="00F0018A"/>
    <w:rsid w:val="00F1714A"/>
    <w:rsid w:val="00F36FD7"/>
    <w:rsid w:val="00F43704"/>
    <w:rsid w:val="00F5160B"/>
    <w:rsid w:val="00F55D81"/>
    <w:rsid w:val="00F60C67"/>
    <w:rsid w:val="00F63232"/>
    <w:rsid w:val="00F64310"/>
    <w:rsid w:val="00F66F0D"/>
    <w:rsid w:val="00F74A68"/>
    <w:rsid w:val="00F95DC7"/>
    <w:rsid w:val="00FA25FC"/>
    <w:rsid w:val="00FB1293"/>
    <w:rsid w:val="00FB1D26"/>
    <w:rsid w:val="00FB4C4E"/>
    <w:rsid w:val="00FD52F1"/>
    <w:rsid w:val="00FE1649"/>
    <w:rsid w:val="00FF1F71"/>
    <w:rsid w:val="00FF7E0E"/>
    <w:rsid w:val="0112671D"/>
    <w:rsid w:val="01AE0636"/>
    <w:rsid w:val="01D10E9C"/>
    <w:rsid w:val="02243DF2"/>
    <w:rsid w:val="04C837E3"/>
    <w:rsid w:val="0572128A"/>
    <w:rsid w:val="06974E14"/>
    <w:rsid w:val="07FD7102"/>
    <w:rsid w:val="090257DB"/>
    <w:rsid w:val="0DBA2892"/>
    <w:rsid w:val="0DBD58FA"/>
    <w:rsid w:val="0DC20DF1"/>
    <w:rsid w:val="0E1129FF"/>
    <w:rsid w:val="0E2C1D38"/>
    <w:rsid w:val="0E67038F"/>
    <w:rsid w:val="0ECA72AA"/>
    <w:rsid w:val="0EE31441"/>
    <w:rsid w:val="10046777"/>
    <w:rsid w:val="10A06807"/>
    <w:rsid w:val="12840903"/>
    <w:rsid w:val="12F140FA"/>
    <w:rsid w:val="15F516C2"/>
    <w:rsid w:val="1A2365A3"/>
    <w:rsid w:val="1A674BDF"/>
    <w:rsid w:val="1A69358D"/>
    <w:rsid w:val="1B0919A7"/>
    <w:rsid w:val="1D54218B"/>
    <w:rsid w:val="1DE12DC1"/>
    <w:rsid w:val="23925A91"/>
    <w:rsid w:val="2411343C"/>
    <w:rsid w:val="26DA682F"/>
    <w:rsid w:val="2A36462A"/>
    <w:rsid w:val="2B096DBF"/>
    <w:rsid w:val="32806F21"/>
    <w:rsid w:val="3441570C"/>
    <w:rsid w:val="34750101"/>
    <w:rsid w:val="358F6840"/>
    <w:rsid w:val="36947D75"/>
    <w:rsid w:val="375F6F9A"/>
    <w:rsid w:val="381C7C3B"/>
    <w:rsid w:val="42B2353E"/>
    <w:rsid w:val="43ED280D"/>
    <w:rsid w:val="46C63F9A"/>
    <w:rsid w:val="47A652B8"/>
    <w:rsid w:val="49AF000A"/>
    <w:rsid w:val="4D365DBB"/>
    <w:rsid w:val="4DC16943"/>
    <w:rsid w:val="51657162"/>
    <w:rsid w:val="53A33309"/>
    <w:rsid w:val="54FA2CF9"/>
    <w:rsid w:val="55AD51B1"/>
    <w:rsid w:val="581F4B3C"/>
    <w:rsid w:val="5CBF1635"/>
    <w:rsid w:val="5D340550"/>
    <w:rsid w:val="5D46622E"/>
    <w:rsid w:val="61365EE9"/>
    <w:rsid w:val="61F8244A"/>
    <w:rsid w:val="622C3362"/>
    <w:rsid w:val="62890046"/>
    <w:rsid w:val="643F11E3"/>
    <w:rsid w:val="6B8D0D02"/>
    <w:rsid w:val="6BB9631F"/>
    <w:rsid w:val="6D4C7472"/>
    <w:rsid w:val="704B683E"/>
    <w:rsid w:val="7069024B"/>
    <w:rsid w:val="70731EFB"/>
    <w:rsid w:val="71753E39"/>
    <w:rsid w:val="721F4DAE"/>
    <w:rsid w:val="74CD48AA"/>
    <w:rsid w:val="769355D9"/>
    <w:rsid w:val="7B9F71FB"/>
    <w:rsid w:val="7C162A66"/>
    <w:rsid w:val="7F615B84"/>
    <w:rsid w:val="7FBE1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locked/>
    <w:uiPriority w:val="99"/>
    <w:rPr>
      <w:b/>
      <w:bCs/>
    </w:rPr>
  </w:style>
  <w:style w:type="paragraph" w:styleId="3">
    <w:name w:val="annotation text"/>
    <w:basedOn w:val="1"/>
    <w:link w:val="16"/>
    <w:semiHidden/>
    <w:qFormat/>
    <w:locked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qFormat/>
    <w:locked/>
    <w:uiPriority w:val="99"/>
    <w:rPr>
      <w:sz w:val="21"/>
      <w:szCs w:val="21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占位符文本1"/>
    <w:basedOn w:val="7"/>
    <w:semiHidden/>
    <w:qFormat/>
    <w:uiPriority w:val="99"/>
    <w:rPr>
      <w:color w:val="808080"/>
    </w:rPr>
  </w:style>
  <w:style w:type="character" w:customStyle="1" w:styleId="16">
    <w:name w:val="批注文字 Char"/>
    <w:basedOn w:val="7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批注主题 Char"/>
    <w:basedOn w:val="16"/>
    <w:link w:val="2"/>
    <w:semiHidden/>
    <w:qFormat/>
    <w:locked/>
    <w:uiPriority w:val="99"/>
    <w:rPr>
      <w:b/>
      <w:bCs/>
    </w:rPr>
  </w:style>
  <w:style w:type="paragraph" w:customStyle="1" w:styleId="18">
    <w:name w:val="章标题"/>
    <w:next w:val="1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0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391</Words>
  <Characters>2229</Characters>
  <Lines>18</Lines>
  <Paragraphs>5</Paragraphs>
  <TotalTime>1</TotalTime>
  <ScaleCrop>false</ScaleCrop>
  <LinksUpToDate>false</LinksUpToDate>
  <CharactersWithSpaces>2615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2015-04-08T13:20:00Z</dcterms:created>
  <dc:creator>ThinkCentre</dc:creator>
  <cp:lastModifiedBy>Administrator</cp:lastModifiedBy>
  <cp:lastPrinted>2016-09-22T03:30:00Z</cp:lastPrinted>
  <dcterms:modified xsi:type="dcterms:W3CDTF">2018-05-12T08:16:54Z</dcterms:modified>
  <dc:title>金锡合金分析方法 第一部分：金量的测定 火试金重量法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