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20"/>
        </w:tabs>
        <w:spacing w:line="970" w:lineRule="exact"/>
        <w:ind w:left="113" w:right="-20"/>
        <w:rPr>
          <w:rFonts w:eastAsia="Times New Roman"/>
          <w:sz w:val="96"/>
        </w:rPr>
      </w:pPr>
      <w:r>
        <w:pict>
          <v:shape id="文本框 10" o:spid="_x0000_s2050" o:spt="202" type="#_x0000_t202" style="position:absolute;left:0pt;margin-left:0.75pt;margin-top:-11.35pt;height:51.8pt;width:200pt;mso-position-horizontal-relative:margin;mso-position-vertical-relative:margin;z-index:251664384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1"/>
                    <w:rPr>
                      <w:rFonts w:ascii="黑体" w:hAnsi="黑体" w:cs="黑体"/>
                    </w:rPr>
                  </w:pPr>
                  <w:r>
                    <w:rPr>
                      <w:rFonts w:hint="eastAsia" w:ascii="黑体" w:hAnsi="黑体" w:cs="黑体"/>
                    </w:rPr>
                    <w:t>ICS 77.120.99</w:t>
                  </w:r>
                </w:p>
                <w:p>
                  <w:pPr>
                    <w:pStyle w:val="21"/>
                    <w:rPr>
                      <w:rFonts w:ascii="黑体" w:hAnsi="黑体" w:cs="黑体"/>
                    </w:rPr>
                  </w:pPr>
                  <w:r>
                    <w:rPr>
                      <w:rFonts w:hint="eastAsia" w:ascii="黑体" w:hAnsi="黑体" w:cs="黑体"/>
                    </w:rPr>
                    <w:t>H  68</w:t>
                  </w:r>
                </w:p>
              </w:txbxContent>
            </v:textbox>
            <w10:anchorlock/>
          </v:shape>
        </w:pict>
      </w:r>
      <w:r>
        <w:rPr>
          <w:rFonts w:eastAsia="Times New Roman"/>
          <w:position w:val="51"/>
        </w:rPr>
        <w:tab/>
      </w:r>
      <w:r>
        <w:pict>
          <v:shape id="文本框 9" o:spid="_x0000_s2051" o:spt="202" type="#_x0000_t202" style="position:absolute;left:0pt;margin-left:200.75pt;margin-top:8.45pt;height:56.7pt;width:250pt;mso-position-horizontal-relative:margin;mso-position-vertical-relative:margin;z-index:251665408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3"/>
                  </w:pPr>
                  <w:r>
                    <w:t>YS</w:t>
                  </w:r>
                </w:p>
              </w:txbxContent>
            </v:textbox>
            <w10:anchorlock/>
          </v:shape>
        </w:pict>
      </w:r>
    </w:p>
    <w:p>
      <w:pPr>
        <w:spacing w:before="1" w:line="160" w:lineRule="exact"/>
        <w:rPr>
          <w:rFonts w:eastAsia="Times New Roman"/>
          <w:sz w:val="16"/>
        </w:rPr>
      </w:pPr>
    </w:p>
    <w:p>
      <w:pPr>
        <w:spacing w:line="200" w:lineRule="exact"/>
        <w:rPr>
          <w:rFonts w:eastAsia="Times New Roman"/>
          <w:sz w:val="20"/>
        </w:rPr>
      </w:pPr>
    </w:p>
    <w:p>
      <w:pPr>
        <w:spacing w:line="581" w:lineRule="exact"/>
        <w:rPr>
          <w:rFonts w:ascii="宋体" w:hAnsi="宋体"/>
          <w:sz w:val="52"/>
        </w:rPr>
      </w:pPr>
      <w:r>
        <w:pict>
          <v:shape id="文本框 8" o:spid="_x0000_s2052" o:spt="202" type="#_x0000_t202" style="position:absolute;left:0pt;margin-left:-18.8pt;margin-top:79.6pt;height:30.8pt;width:481.9pt;mso-position-horizontal-relative:margin;mso-position-vertical-relative:margin;z-index:251666432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0"/>
                  </w:pPr>
                  <w:r>
                    <w:rPr>
                      <w:rFonts w:hint="eastAsia"/>
                    </w:rPr>
                    <w:t>中华人民共和国有色金属行业标准</w:t>
                  </w:r>
                </w:p>
              </w:txbxContent>
            </v:textbox>
            <w10:anchorlock/>
          </v:shape>
        </w:pict>
      </w:r>
    </w:p>
    <w:p>
      <w:pPr>
        <w:spacing w:beforeLines="50" w:afterLines="50"/>
        <w:ind w:right="594"/>
        <w:rPr>
          <w:rFonts w:ascii="宋体" w:hAnsi="宋体"/>
        </w:rPr>
      </w:pPr>
      <w:r>
        <w:pict>
          <v:shape id="文本框 7" o:spid="_x0000_s2053" o:spt="202" type="#_x0000_t202" style="position:absolute;left:0pt;margin-left:0.75pt;margin-top:115.9pt;height:25.1pt;width:456.9pt;mso-position-horizontal-relative:margin;mso-position-vertical-relative:margin;z-index:251667456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jc w:val="right"/>
                    <w:rPr>
                      <w:rFonts w:ascii="黑体" w:hAnsi="黑体" w:eastAsia="黑体" w:cs="黑体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黑体" w:hAnsi="黑体" w:eastAsia="黑体" w:cs="黑体"/>
                      <w:kern w:val="0"/>
                      <w:sz w:val="28"/>
                      <w:szCs w:val="28"/>
                    </w:rPr>
                    <w:t>YS/T xxx.x－xxxx</w:t>
                  </w:r>
                </w:p>
              </w:txbxContent>
            </v:textbox>
            <w10:anchorlock/>
          </v:shape>
        </w:pict>
      </w:r>
    </w:p>
    <w:p>
      <w:pPr>
        <w:spacing w:before="8" w:line="170" w:lineRule="exact"/>
        <w:rPr>
          <w:rFonts w:ascii="宋体" w:hAnsi="宋体"/>
          <w:sz w:val="17"/>
        </w:rPr>
      </w:pPr>
    </w:p>
    <w:p>
      <w:pPr>
        <w:spacing w:line="200" w:lineRule="exact"/>
        <w:rPr>
          <w:rFonts w:ascii="宋体" w:hAnsi="宋体"/>
          <w:sz w:val="20"/>
        </w:rPr>
      </w:pPr>
      <w:r>
        <w:rPr>
          <w:rFonts w:ascii="宋体" w:hAnsi="宋体"/>
          <w:sz w:val="20"/>
        </w:rPr>
        <w:pict>
          <v:shape id="直接箭头连接符 6" o:spid="_x0000_s2054" o:spt="32" type="#_x0000_t32" style="position:absolute;left:0pt;margin-left:0.75pt;margin-top:5.7pt;height:0pt;width:456.9pt;z-index:25166848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">
            <v:path arrowok="t"/>
            <v:fill on="f" focussize="0,0"/>
            <v:stroke/>
            <v:imagedata o:title=""/>
            <o:lock v:ext="edit"/>
          </v:shape>
        </w:pict>
      </w:r>
    </w:p>
    <w:p>
      <w:pPr>
        <w:spacing w:line="200" w:lineRule="exact"/>
        <w:rPr>
          <w:rFonts w:ascii="宋体" w:hAnsi="宋体"/>
          <w:sz w:val="20"/>
        </w:rPr>
      </w:pPr>
    </w:p>
    <w:p>
      <w:pPr>
        <w:spacing w:line="200" w:lineRule="exact"/>
        <w:rPr>
          <w:rFonts w:ascii="宋体" w:hAnsi="宋体"/>
          <w:sz w:val="20"/>
        </w:rPr>
      </w:pPr>
    </w:p>
    <w:p>
      <w:pPr>
        <w:spacing w:line="200" w:lineRule="exact"/>
        <w:rPr>
          <w:rFonts w:eastAsia="Times New Roman"/>
          <w:sz w:val="20"/>
        </w:rPr>
      </w:pPr>
    </w:p>
    <w:p>
      <w:pPr>
        <w:spacing w:line="200" w:lineRule="exact"/>
        <w:rPr>
          <w:rFonts w:eastAsia="Times New Roman"/>
          <w:sz w:val="20"/>
        </w:rPr>
      </w:pPr>
    </w:p>
    <w:p>
      <w:pPr>
        <w:spacing w:line="200" w:lineRule="exact"/>
        <w:rPr>
          <w:rFonts w:eastAsia="Times New Roman"/>
          <w:sz w:val="20"/>
        </w:rPr>
      </w:pPr>
    </w:p>
    <w:p>
      <w:pPr>
        <w:spacing w:line="200" w:lineRule="exact"/>
        <w:rPr>
          <w:rFonts w:eastAsia="Times New Roman"/>
          <w:sz w:val="20"/>
        </w:rPr>
      </w:pPr>
    </w:p>
    <w:p>
      <w:pPr>
        <w:spacing w:line="200" w:lineRule="exact"/>
        <w:rPr>
          <w:rFonts w:eastAsia="Times New Roman"/>
          <w:sz w:val="20"/>
        </w:rPr>
      </w:pPr>
    </w:p>
    <w:p>
      <w:pPr>
        <w:spacing w:line="200" w:lineRule="exact"/>
        <w:rPr>
          <w:rFonts w:eastAsia="Times New Roman"/>
          <w:sz w:val="20"/>
        </w:rPr>
      </w:pPr>
      <w:r>
        <w:rPr>
          <w:sz w:val="20"/>
        </w:rPr>
        <w:pict>
          <v:shape id="文本框 5" o:spid="_x0000_s2055" o:spt="202" type="#_x0000_t202" style="position:absolute;left:0pt;margin-left:-13.15pt;margin-top:6.35pt;height:288.8pt;width:489.5pt;z-index:251669504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">
            <v:path/>
            <v:fill focussize="0,0"/>
            <v:stroke on="f" joinstyle="miter"/>
            <v:imagedata o:title=""/>
            <o:lock v:ext="edit"/>
            <v:textbox inset="7.19992125984252pt,1.27mm,7.19992125984252pt,1.27mm">
              <w:txbxContent>
                <w:p>
                  <w:pPr>
                    <w:spacing w:line="360" w:lineRule="auto"/>
                    <w:jc w:val="center"/>
                    <w:rPr>
                      <w:rFonts w:ascii="黑体" w:hAnsi="黑体" w:eastAsia="黑体" w:cs="黑体"/>
                      <w:sz w:val="36"/>
                      <w:szCs w:val="36"/>
                    </w:rPr>
                  </w:pPr>
                  <w:r>
                    <w:rPr>
                      <w:rFonts w:hint="eastAsia" w:ascii="黑体" w:hAnsi="黑体" w:eastAsia="黑体" w:cs="黑体"/>
                      <w:sz w:val="36"/>
                      <w:szCs w:val="36"/>
                      <w:lang w:val="en-US" w:eastAsia="zh-CN"/>
                    </w:rPr>
                    <w:t>1,2-</w:t>
                  </w:r>
                  <w:r>
                    <w:rPr>
                      <w:rFonts w:hint="eastAsia" w:ascii="黑体" w:hAnsi="黑体" w:eastAsia="黑体" w:cs="黑体"/>
                      <w:sz w:val="36"/>
                      <w:szCs w:val="36"/>
                    </w:rPr>
                    <w:t>双</w:t>
                  </w:r>
                  <w:r>
                    <w:rPr>
                      <w:rFonts w:hint="eastAsia" w:ascii="黑体" w:hAnsi="黑体" w:eastAsia="黑体" w:cs="黑体"/>
                      <w:sz w:val="36"/>
                      <w:szCs w:val="36"/>
                      <w:lang w:val="en-US" w:eastAsia="zh-CN"/>
                    </w:rPr>
                    <w:t>二苯基膦乙烷</w:t>
                  </w:r>
                  <w:r>
                    <w:rPr>
                      <w:rFonts w:hint="eastAsia" w:ascii="黑体" w:hAnsi="黑体" w:eastAsia="黑体" w:cs="黑体"/>
                      <w:sz w:val="36"/>
                      <w:szCs w:val="36"/>
                    </w:rPr>
                    <w:t xml:space="preserve">氯化钯化学分析方法  </w:t>
                  </w:r>
                </w:p>
                <w:p>
                  <w:pPr>
                    <w:pStyle w:val="14"/>
                    <w:spacing w:line="360" w:lineRule="auto"/>
                    <w:ind w:firstLine="0" w:firstLineChars="0"/>
                    <w:rPr>
                      <w:rFonts w:ascii="黑体" w:hAnsi="黑体" w:eastAsia="黑体" w:cs="黑体"/>
                      <w:sz w:val="36"/>
                      <w:szCs w:val="36"/>
                    </w:rPr>
                  </w:pPr>
                  <w:r>
                    <w:rPr>
                      <w:rFonts w:hint="eastAsia" w:ascii="黑体" w:hAnsi="黑体" w:eastAsia="黑体" w:cs="黑体"/>
                      <w:sz w:val="36"/>
                      <w:szCs w:val="36"/>
                    </w:rPr>
                    <w:t xml:space="preserve">                 第1部分：钯量的测定</w:t>
                  </w:r>
                </w:p>
                <w:p>
                  <w:pPr>
                    <w:spacing w:line="360" w:lineRule="auto"/>
                    <w:jc w:val="center"/>
                    <w:rPr>
                      <w:rFonts w:ascii="黑体" w:hAnsi="黑体" w:eastAsia="黑体" w:cs="黑体"/>
                      <w:sz w:val="36"/>
                      <w:szCs w:val="36"/>
                    </w:rPr>
                  </w:pPr>
                  <w:r>
                    <w:rPr>
                      <w:rFonts w:hint="eastAsia" w:ascii="黑体" w:hAnsi="黑体" w:eastAsia="黑体" w:cs="黑体"/>
                      <w:sz w:val="36"/>
                      <w:szCs w:val="36"/>
                    </w:rPr>
                    <w:t>丁二酮肟重量法</w:t>
                  </w:r>
                </w:p>
                <w:p>
                  <w:pPr>
                    <w:spacing w:line="360" w:lineRule="auto"/>
                    <w:jc w:val="center"/>
                    <w:rPr>
                      <w:rFonts w:ascii="Times New Roman" w:hAnsi="Times New Roman" w:eastAsia="黑体" w:cs="Times New Roman"/>
                      <w:b/>
                      <w:sz w:val="24"/>
                    </w:rPr>
                  </w:pPr>
                  <w:r>
                    <w:rPr>
                      <w:rFonts w:hint="eastAsia" w:ascii="Times New Roman" w:hAnsi="Times New Roman" w:eastAsia="黑体" w:cs="Times New Roman"/>
                      <w:b/>
                      <w:sz w:val="24"/>
                    </w:rPr>
                    <w:t xml:space="preserve"> Method for chemical analysis Bis(diphenylphosphino)ethane]dichloropalladium(II)</w:t>
                  </w:r>
                </w:p>
                <w:p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eastAsia="黑体" w:cs="Times New Roman"/>
                      <w:b/>
                      <w:sz w:val="24"/>
                    </w:rPr>
                    <w:t>Part 1</w:t>
                  </w:r>
                  <w:r>
                    <w:rPr>
                      <w:rFonts w:hint="eastAsia" w:ascii="Times New Roman" w:hAnsi="Times New Roman" w:eastAsia="黑体" w:cs="Times New Roman"/>
                      <w:b/>
                      <w:sz w:val="24"/>
                      <w:lang w:eastAsia="zh-CN"/>
                    </w:rPr>
                    <w:t>：</w:t>
                  </w:r>
                  <w:r>
                    <w:rPr>
                      <w:rFonts w:ascii="Times New Roman" w:hAnsi="Times New Roman" w:eastAsia="黑体" w:cs="Times New Roman"/>
                      <w:b/>
                      <w:sz w:val="24"/>
                    </w:rPr>
                    <w:t>Determination of p</w:t>
                  </w:r>
                  <w:r>
                    <w:rPr>
                      <w:rFonts w:hint="eastAsia" w:ascii="Times New Roman" w:hAnsi="Times New Roman" w:eastAsia="黑体" w:cs="Times New Roman"/>
                      <w:b/>
                      <w:sz w:val="24"/>
                    </w:rPr>
                    <w:t>a</w:t>
                  </w:r>
                  <w:r>
                    <w:rPr>
                      <w:rFonts w:ascii="Times New Roman" w:hAnsi="Times New Roman" w:eastAsia="黑体" w:cs="Times New Roman"/>
                      <w:b/>
                      <w:sz w:val="24"/>
                    </w:rPr>
                    <w:t>l</w:t>
                  </w:r>
                  <w:r>
                    <w:rPr>
                      <w:rFonts w:hint="eastAsia" w:ascii="Times New Roman" w:hAnsi="Times New Roman" w:eastAsia="黑体" w:cs="Times New Roman"/>
                      <w:b/>
                      <w:sz w:val="24"/>
                    </w:rPr>
                    <w:t>l</w:t>
                  </w:r>
                  <w:r>
                    <w:rPr>
                      <w:rFonts w:ascii="Times New Roman" w:hAnsi="Times New Roman" w:eastAsia="黑体" w:cs="Times New Roman"/>
                      <w:b/>
                      <w:sz w:val="24"/>
                    </w:rPr>
                    <w:t>a</w:t>
                  </w:r>
                  <w:r>
                    <w:rPr>
                      <w:rFonts w:hint="eastAsia" w:ascii="Times New Roman" w:hAnsi="Times New Roman" w:eastAsia="黑体" w:cs="Times New Roman"/>
                      <w:b/>
                      <w:sz w:val="24"/>
                    </w:rPr>
                    <w:t>dium</w:t>
                  </w:r>
                  <w:r>
                    <w:rPr>
                      <w:rFonts w:ascii="Times New Roman" w:hAnsi="Times New Roman" w:eastAsia="黑体" w:cs="Times New Roman"/>
                      <w:b/>
                      <w:sz w:val="24"/>
                    </w:rPr>
                    <w:t xml:space="preserve"> content-</w:t>
                  </w:r>
                </w:p>
                <w:p>
                  <w:pPr>
                    <w:spacing w:line="360" w:lineRule="auto"/>
                    <w:jc w:val="center"/>
                    <w:rPr>
                      <w:rFonts w:ascii="Times New Roman" w:hAnsi="Times New Roman" w:eastAsia="黑体" w:cs="Times New Roman"/>
                      <w:b/>
                      <w:sz w:val="24"/>
                    </w:rPr>
                  </w:pPr>
                  <w:r>
                    <w:rPr>
                      <w:rFonts w:hint="eastAsia" w:ascii="Times New Roman" w:hAnsi="Times New Roman" w:eastAsia="黑体" w:cs="Times New Roman"/>
                      <w:b/>
                      <w:sz w:val="24"/>
                    </w:rPr>
                    <w:t xml:space="preserve">Dimethylglyoxime </w:t>
                  </w:r>
                  <w:r>
                    <w:rPr>
                      <w:rFonts w:ascii="Times New Roman" w:hAnsi="Times New Roman" w:eastAsia="黑体" w:cs="Times New Roman"/>
                      <w:b/>
                      <w:sz w:val="24"/>
                    </w:rPr>
                    <w:t>gravimetry</w:t>
                  </w:r>
                </w:p>
                <w:p>
                  <w:pPr>
                    <w:spacing w:line="360" w:lineRule="auto"/>
                    <w:jc w:val="center"/>
                    <w:rPr>
                      <w:rFonts w:ascii="黑体" w:hAnsi="黑体" w:eastAsia="黑体" w:cs="黑体"/>
                      <w:sz w:val="32"/>
                      <w:szCs w:val="32"/>
                    </w:rPr>
                  </w:pPr>
                  <w:r>
                    <w:rPr>
                      <w:rFonts w:hint="eastAsia" w:ascii="黑体" w:hAnsi="黑体" w:eastAsia="黑体" w:cs="黑体"/>
                      <w:sz w:val="32"/>
                      <w:szCs w:val="32"/>
                    </w:rPr>
                    <w:t>（</w:t>
                  </w:r>
                  <w:r>
                    <w:rPr>
                      <w:rFonts w:hint="eastAsia" w:ascii="黑体" w:hAnsi="黑体" w:eastAsia="黑体" w:cs="黑体"/>
                      <w:sz w:val="32"/>
                      <w:szCs w:val="32"/>
                      <w:lang w:val="en-US" w:eastAsia="zh-CN"/>
                    </w:rPr>
                    <w:t>征求意见</w:t>
                  </w:r>
                  <w:r>
                    <w:rPr>
                      <w:rFonts w:hint="eastAsia" w:ascii="黑体" w:hAnsi="黑体" w:eastAsia="黑体" w:cs="黑体"/>
                      <w:sz w:val="32"/>
                      <w:szCs w:val="32"/>
                    </w:rPr>
                    <w:t>稿）</w:t>
                  </w:r>
                </w:p>
                <w:p>
                  <w:pPr>
                    <w:spacing w:line="200" w:lineRule="exact"/>
                    <w:jc w:val="left"/>
                    <w:rPr>
                      <w:rFonts w:eastAsia="Times New Roman"/>
                      <w:sz w:val="20"/>
                    </w:rPr>
                  </w:pPr>
                </w:p>
                <w:p/>
              </w:txbxContent>
            </v:textbox>
          </v:shape>
        </w:pict>
      </w:r>
    </w:p>
    <w:p>
      <w:pPr>
        <w:spacing w:line="200" w:lineRule="exact"/>
        <w:rPr>
          <w:rFonts w:eastAsia="Times New Roman"/>
          <w:sz w:val="20"/>
        </w:rPr>
      </w:pPr>
    </w:p>
    <w:p>
      <w:pPr>
        <w:spacing w:line="200" w:lineRule="exact"/>
        <w:rPr>
          <w:rFonts w:eastAsia="Times New Roman"/>
          <w:sz w:val="20"/>
        </w:rPr>
      </w:pPr>
    </w:p>
    <w:p>
      <w:pPr>
        <w:spacing w:line="200" w:lineRule="exact"/>
        <w:rPr>
          <w:rFonts w:eastAsia="Times New Roman"/>
          <w:sz w:val="20"/>
        </w:rPr>
      </w:pPr>
    </w:p>
    <w:p>
      <w:pPr>
        <w:spacing w:line="200" w:lineRule="exact"/>
        <w:rPr>
          <w:rFonts w:eastAsia="Times New Roman"/>
          <w:sz w:val="20"/>
        </w:rPr>
      </w:pPr>
    </w:p>
    <w:p>
      <w:pPr>
        <w:spacing w:line="200" w:lineRule="exact"/>
        <w:rPr>
          <w:rFonts w:eastAsia="Times New Roman"/>
          <w:sz w:val="20"/>
        </w:rPr>
      </w:pPr>
    </w:p>
    <w:p>
      <w:pPr>
        <w:spacing w:line="200" w:lineRule="exact"/>
        <w:rPr>
          <w:rFonts w:eastAsia="Times New Roman"/>
          <w:sz w:val="20"/>
        </w:rPr>
      </w:pPr>
    </w:p>
    <w:p>
      <w:pPr>
        <w:spacing w:line="200" w:lineRule="exact"/>
        <w:rPr>
          <w:rFonts w:eastAsia="Times New Roman"/>
          <w:sz w:val="20"/>
        </w:rPr>
      </w:pPr>
    </w:p>
    <w:p>
      <w:pPr>
        <w:spacing w:line="200" w:lineRule="exact"/>
        <w:rPr>
          <w:rFonts w:eastAsia="Times New Roman"/>
          <w:sz w:val="20"/>
        </w:rPr>
      </w:pPr>
    </w:p>
    <w:p>
      <w:pPr>
        <w:spacing w:line="200" w:lineRule="exact"/>
        <w:rPr>
          <w:rFonts w:eastAsia="Times New Roman"/>
          <w:sz w:val="20"/>
        </w:rPr>
      </w:pPr>
    </w:p>
    <w:p>
      <w:pPr>
        <w:spacing w:line="200" w:lineRule="exact"/>
        <w:rPr>
          <w:rFonts w:eastAsia="Times New Roman"/>
          <w:sz w:val="20"/>
        </w:rPr>
      </w:pPr>
    </w:p>
    <w:p>
      <w:pPr>
        <w:spacing w:line="200" w:lineRule="exact"/>
        <w:rPr>
          <w:rFonts w:eastAsia="Times New Roman"/>
          <w:sz w:val="20"/>
        </w:rPr>
      </w:pPr>
    </w:p>
    <w:p>
      <w:pPr>
        <w:spacing w:line="200" w:lineRule="exact"/>
        <w:rPr>
          <w:rFonts w:eastAsia="Times New Roman"/>
          <w:sz w:val="20"/>
        </w:rPr>
      </w:pPr>
    </w:p>
    <w:p>
      <w:pPr>
        <w:spacing w:line="200" w:lineRule="exact"/>
        <w:rPr>
          <w:rFonts w:eastAsia="Times New Roman"/>
          <w:sz w:val="20"/>
        </w:rPr>
      </w:pPr>
    </w:p>
    <w:p>
      <w:pPr>
        <w:spacing w:line="200" w:lineRule="exact"/>
        <w:rPr>
          <w:rFonts w:eastAsia="Times New Roman"/>
          <w:sz w:val="20"/>
        </w:rPr>
      </w:pPr>
    </w:p>
    <w:p>
      <w:pPr>
        <w:spacing w:line="200" w:lineRule="exact"/>
        <w:rPr>
          <w:rFonts w:eastAsia="Times New Roman"/>
          <w:sz w:val="20"/>
        </w:rPr>
      </w:pPr>
    </w:p>
    <w:p>
      <w:pPr>
        <w:spacing w:line="200" w:lineRule="exact"/>
        <w:rPr>
          <w:rFonts w:eastAsia="Times New Roman"/>
          <w:sz w:val="20"/>
        </w:rPr>
      </w:pPr>
    </w:p>
    <w:p>
      <w:pPr>
        <w:spacing w:line="200" w:lineRule="exact"/>
        <w:rPr>
          <w:rFonts w:eastAsia="Times New Roman"/>
          <w:sz w:val="20"/>
        </w:rPr>
      </w:pPr>
    </w:p>
    <w:p>
      <w:pPr>
        <w:spacing w:line="200" w:lineRule="exact"/>
        <w:rPr>
          <w:rFonts w:eastAsia="Times New Roman"/>
          <w:sz w:val="20"/>
        </w:rPr>
      </w:pPr>
    </w:p>
    <w:p>
      <w:pPr>
        <w:spacing w:line="200" w:lineRule="exact"/>
        <w:rPr>
          <w:rFonts w:eastAsia="Times New Roman"/>
          <w:sz w:val="20"/>
        </w:rPr>
      </w:pPr>
    </w:p>
    <w:p>
      <w:pPr>
        <w:spacing w:line="200" w:lineRule="exact"/>
        <w:rPr>
          <w:rFonts w:eastAsia="Times New Roman"/>
          <w:sz w:val="20"/>
        </w:rPr>
      </w:pPr>
    </w:p>
    <w:p>
      <w:pPr>
        <w:spacing w:line="200" w:lineRule="exact"/>
        <w:rPr>
          <w:rFonts w:eastAsia="Times New Roman"/>
          <w:sz w:val="20"/>
        </w:rPr>
      </w:pPr>
    </w:p>
    <w:p>
      <w:pPr>
        <w:spacing w:line="200" w:lineRule="exact"/>
        <w:rPr>
          <w:rFonts w:eastAsia="Times New Roman"/>
          <w:sz w:val="20"/>
        </w:rPr>
      </w:pPr>
    </w:p>
    <w:p>
      <w:pPr>
        <w:spacing w:line="200" w:lineRule="exact"/>
        <w:rPr>
          <w:rFonts w:eastAsia="Times New Roman"/>
          <w:sz w:val="28"/>
          <w:szCs w:val="28"/>
        </w:rPr>
      </w:pPr>
    </w:p>
    <w:p>
      <w:pPr>
        <w:ind w:left="5" w:hanging="5"/>
        <w:rPr>
          <w:rFonts w:ascii="宋体" w:hAnsi="宋体"/>
          <w:sz w:val="28"/>
          <w:szCs w:val="28"/>
        </w:rPr>
      </w:pPr>
    </w:p>
    <w:p>
      <w:pPr>
        <w:ind w:left="5" w:hanging="5"/>
        <w:rPr>
          <w:rFonts w:ascii="宋体" w:hAnsi="宋体"/>
          <w:sz w:val="28"/>
          <w:szCs w:val="28"/>
        </w:rPr>
      </w:pPr>
    </w:p>
    <w:p>
      <w:pPr>
        <w:spacing w:before="6" w:line="120" w:lineRule="exact"/>
        <w:rPr>
          <w:rFonts w:ascii="宋体" w:hAnsi="宋体"/>
          <w:sz w:val="12"/>
        </w:rPr>
      </w:pPr>
    </w:p>
    <w:p>
      <w:pPr>
        <w:tabs>
          <w:tab w:val="left" w:pos="6700"/>
        </w:tabs>
        <w:ind w:left="146" w:right="36"/>
        <w:rPr>
          <w:rFonts w:ascii="宋体" w:hAnsi="宋体"/>
          <w:sz w:val="28"/>
        </w:rPr>
      </w:pPr>
    </w:p>
    <w:p>
      <w:pPr>
        <w:tabs>
          <w:tab w:val="left" w:pos="6700"/>
        </w:tabs>
        <w:ind w:left="146" w:right="36"/>
        <w:rPr>
          <w:rFonts w:ascii="宋体" w:hAnsi="宋体"/>
          <w:sz w:val="28"/>
        </w:rPr>
      </w:pPr>
    </w:p>
    <w:p>
      <w:pPr>
        <w:tabs>
          <w:tab w:val="left" w:pos="6700"/>
        </w:tabs>
        <w:ind w:right="36"/>
        <w:rPr>
          <w:rFonts w:ascii="宋体" w:hAnsi="宋体"/>
          <w:sz w:val="28"/>
        </w:rPr>
      </w:pPr>
    </w:p>
    <w:p>
      <w:pPr>
        <w:tabs>
          <w:tab w:val="left" w:pos="6700"/>
        </w:tabs>
        <w:ind w:left="146" w:right="36"/>
        <w:rPr>
          <w:rFonts w:ascii="黑体" w:hAnsi="宋体" w:eastAsia="黑体"/>
          <w:sz w:val="32"/>
          <w:szCs w:val="32"/>
        </w:rPr>
      </w:pPr>
      <w:r>
        <w:pict>
          <v:shape id="文本框 11" o:spid="_x0000_s2056" o:spt="202" type="#_x0000_t202" style="position:absolute;left:0pt;margin-left:1.05pt;margin-top:620.2pt;height:26.25pt;width:159pt;mso-position-horizontal-relative:margin;mso-position-vertical-relative:margin;z-index:251672576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5"/>
                    <w:ind w:firstLine="420"/>
                    <w:rPr>
                      <w:rFonts w:ascii="黑体" w:hAnsi="黑体" w:cs="黑体"/>
                    </w:rPr>
                  </w:pPr>
                  <w:r>
                    <w:rPr>
                      <w:rFonts w:hint="eastAsia" w:ascii="黑体" w:hAnsi="黑体" w:cs="黑体"/>
                    </w:rPr>
                    <w:t>××××-××-××发布</w:t>
                  </w:r>
                </w:p>
              </w:txbxContent>
            </v:textbox>
            <w10:anchorlock/>
          </v:shape>
        </w:pict>
      </w:r>
      <w:r>
        <w:pict>
          <v:shape id="文本框 12" o:spid="_x0000_s2057" o:spt="202" type="#_x0000_t202" style="position:absolute;left:0pt;margin-left:325.65pt;margin-top:623.8pt;height:24.25pt;width:159pt;mso-position-horizontal-relative:margin;mso-position-vertical-relative:margin;z-index:251673600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4"/>
                    <w:rPr>
                      <w:rFonts w:ascii="黑体" w:hAnsi="黑体" w:cs="黑体"/>
                    </w:rPr>
                  </w:pPr>
                  <w:r>
                    <w:rPr>
                      <w:rFonts w:hint="eastAsia" w:ascii="黑体" w:hAnsi="黑体" w:cs="黑体"/>
                    </w:rPr>
                    <w:t>××××-××-××实施</w:t>
                  </w:r>
                </w:p>
              </w:txbxContent>
            </v:textbox>
            <w10:anchorlock/>
          </v:shape>
        </w:pict>
      </w:r>
    </w:p>
    <w:p>
      <w:pPr>
        <w:spacing w:line="360" w:lineRule="auto"/>
        <w:rPr>
          <w:rFonts w:ascii="黑体" w:hAnsi="宋体" w:eastAsia="黑体"/>
          <w:sz w:val="32"/>
          <w:szCs w:val="32"/>
        </w:rPr>
      </w:pPr>
      <w:r>
        <w:rPr>
          <w:rFonts w:ascii="宋体" w:hAnsi="宋体"/>
          <w:sz w:val="20"/>
        </w:rPr>
        <w:pict>
          <v:shape id="任意多边形 13" o:spid="_x0000_s2058" style="position:absolute;left:0pt;margin-left:86.95pt;margin-top:0.7pt;height:1.5pt;width:485.7pt;mso-position-horizontal-relative:page;z-index:-251644928;mso-width-relative:page;mso-height-relative:page;" fillcolor="#000000" filled="t" stroked="f" coordsize="971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" path="m0,30l9713,15,9712,0,0,15,0,30xe">
            <v:path arrowok="t" o:connecttype="custom" o:connectlocs="0,19050;6167755,9525;6167120,0;0,9525;0,19050" o:connectangles="0,0,0,0,0"/>
            <v:fill on="t" focussize="0,0"/>
            <v:stroke on="f"/>
            <v:imagedata o:title=""/>
            <o:lock v:ext="edit"/>
          </v:shape>
        </w:pict>
      </w:r>
      <w:r>
        <w:rPr>
          <w:rFonts w:ascii="黑体" w:hAnsi="宋体" w:eastAsia="黑体"/>
          <w:sz w:val="32"/>
          <w:szCs w:val="32"/>
        </w:rPr>
        <w:pict>
          <v:shape id="文本框 14" o:spid="_x0000_s2059" o:spt="202" type="#_x0000_t202" style="position:absolute;left:0pt;margin-left:3.75pt;margin-top:654pt;height:54.9pt;width:481.9pt;mso-position-horizontal-relative:margin;mso-position-vertical-relative:margin;z-index:251670528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2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中华人民共和国工业和信息化部</w:t>
                  </w:r>
                  <w:r>
                    <w:rPr>
                      <w:rFonts w:hint="eastAsia"/>
                      <w:sz w:val="32"/>
                      <w:lang w:val="en-US" w:eastAsia="zh-CN"/>
                    </w:rPr>
                    <w:t xml:space="preserve">  </w:t>
                  </w:r>
                  <w:r>
                    <w:rPr>
                      <w:rStyle w:val="19"/>
                      <w:rFonts w:hint="eastAsia"/>
                      <w:szCs w:val="28"/>
                    </w:rPr>
                    <w:t>发布</w:t>
                  </w:r>
                </w:p>
              </w:txbxContent>
            </v:textbox>
            <w10:anchorlock/>
          </v:shape>
        </w:pict>
      </w:r>
    </w:p>
    <w:p>
      <w:pPr>
        <w:spacing w:line="360" w:lineRule="auto"/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前</w:t>
      </w:r>
      <w:r>
        <w:rPr>
          <w:rFonts w:hint="eastAsia" w:ascii="黑体" w:hAnsi="宋体" w:eastAsia="黑体"/>
          <w:sz w:val="32"/>
          <w:szCs w:val="32"/>
        </w:rPr>
        <w:tab/>
      </w:r>
      <w:r>
        <w:rPr>
          <w:rFonts w:hint="eastAsia" w:ascii="黑体" w:hAnsi="宋体" w:eastAsia="黑体"/>
          <w:sz w:val="32"/>
          <w:szCs w:val="32"/>
        </w:rPr>
        <w:t>言</w:t>
      </w:r>
    </w:p>
    <w:p>
      <w:pPr>
        <w:spacing w:line="360" w:lineRule="auto"/>
        <w:jc w:val="center"/>
        <w:rPr>
          <w:rFonts w:ascii="黑体" w:hAnsi="宋体" w:eastAsia="黑体"/>
          <w:sz w:val="32"/>
          <w:szCs w:val="32"/>
        </w:rPr>
      </w:pPr>
    </w:p>
    <w:p>
      <w:pPr>
        <w:spacing w:line="360" w:lineRule="auto"/>
        <w:ind w:firstLine="424" w:firstLineChars="202"/>
        <w:jc w:val="left"/>
        <w:rPr>
          <w:rFonts w:ascii="Times New Roman" w:hAnsi="Times New Roman" w:cs="Times New Roman"/>
        </w:rPr>
      </w:pPr>
      <w:r>
        <w:rPr>
          <w:rFonts w:hint="eastAsia" w:ascii="Times New Roman" w:hAnsi="宋体" w:cs="Times New Roman"/>
        </w:rPr>
        <w:t xml:space="preserve">YS/T XXXX </w:t>
      </w:r>
      <w:r>
        <w:rPr>
          <w:rFonts w:ascii="Times New Roman" w:hAnsi="宋体" w:cs="Times New Roman"/>
        </w:rPr>
        <w:t>《</w:t>
      </w:r>
      <w:r>
        <w:rPr>
          <w:rFonts w:hint="eastAsia" w:ascii="Times New Roman" w:hAnsi="Times New Roman" w:cs="Times New Roman"/>
          <w:color w:val="000000"/>
          <w:szCs w:val="21"/>
        </w:rPr>
        <w:t>1,2-双二苯基膦乙烷氯化钯</w:t>
      </w:r>
      <w:r>
        <w:rPr>
          <w:rFonts w:ascii="Times New Roman" w:hAnsi="宋体" w:cs="Times New Roman"/>
        </w:rPr>
        <w:t>化学分析方法》分为</w:t>
      </w:r>
      <w:r>
        <w:rPr>
          <w:rFonts w:hint="eastAsia" w:ascii="Times New Roman" w:hAnsi="宋体" w:cs="Times New Roman"/>
        </w:rPr>
        <w:t>两个</w:t>
      </w:r>
      <w:r>
        <w:rPr>
          <w:rFonts w:ascii="Times New Roman" w:hAnsi="宋体" w:cs="Times New Roman"/>
        </w:rPr>
        <w:t>部分：</w:t>
      </w:r>
    </w:p>
    <w:p>
      <w:pPr>
        <w:tabs>
          <w:tab w:val="left" w:pos="540"/>
        </w:tabs>
        <w:spacing w:line="360" w:lineRule="auto"/>
        <w:ind w:firstLine="424" w:firstLineChars="202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——</w:t>
      </w:r>
      <w:r>
        <w:rPr>
          <w:rFonts w:ascii="Times New Roman" w:hAnsi="宋体" w:cs="Times New Roman"/>
        </w:rPr>
        <w:t>第</w:t>
      </w:r>
      <w:r>
        <w:rPr>
          <w:rFonts w:ascii="Times New Roman" w:hAnsi="Times New Roman" w:cs="Times New Roman"/>
        </w:rPr>
        <w:t>1</w:t>
      </w:r>
      <w:r>
        <w:rPr>
          <w:rFonts w:ascii="Times New Roman" w:hAnsi="宋体" w:cs="Times New Roman"/>
        </w:rPr>
        <w:t>部分：钯量的测定</w:t>
      </w:r>
      <w:r>
        <w:rPr>
          <w:rFonts w:hint="eastAsia" w:ascii="Times New Roman" w:hAnsi="宋体" w:cs="Times New Roman"/>
          <w:lang w:val="en-US" w:eastAsia="zh-CN"/>
        </w:rPr>
        <w:t xml:space="preserve"> </w:t>
      </w:r>
      <w:r>
        <w:rPr>
          <w:rFonts w:ascii="Times New Roman" w:hAnsi="宋体" w:cs="Times New Roman"/>
        </w:rPr>
        <w:t>丁二酮肟重量法</w:t>
      </w:r>
    </w:p>
    <w:p>
      <w:pPr>
        <w:tabs>
          <w:tab w:val="left" w:pos="540"/>
        </w:tabs>
        <w:spacing w:line="360" w:lineRule="auto"/>
        <w:ind w:left="850" w:leftChars="203" w:hanging="424" w:hangingChars="202"/>
        <w:jc w:val="left"/>
        <w:rPr>
          <w:color w:val="000000"/>
          <w:szCs w:val="21"/>
        </w:rPr>
      </w:pPr>
      <w:r>
        <w:rPr>
          <w:rFonts w:hint="eastAsia" w:ascii="Times New Roman" w:hAnsi="Times New Roman" w:cs="Times New Roman"/>
        </w:rPr>
        <w:t>——</w:t>
      </w:r>
      <w:r>
        <w:rPr>
          <w:rFonts w:ascii="Times New Roman" w:hAnsi="宋体" w:cs="Times New Roman"/>
        </w:rPr>
        <w:t>第</w:t>
      </w:r>
      <w:r>
        <w:rPr>
          <w:rFonts w:ascii="Times New Roman" w:hAnsi="Times New Roman" w:cs="Times New Roman"/>
        </w:rPr>
        <w:t>2</w:t>
      </w:r>
      <w:r>
        <w:rPr>
          <w:rFonts w:ascii="Times New Roman" w:hAnsi="宋体" w:cs="Times New Roman"/>
        </w:rPr>
        <w:t>部分：</w:t>
      </w:r>
      <w:r>
        <w:rPr>
          <w:rFonts w:hint="eastAsia"/>
          <w:color w:val="000000"/>
          <w:szCs w:val="21"/>
        </w:rPr>
        <w:t>铜、铅、镍、镉、铁、金、铝量的测定 电感耦合等离子体原子发射光谱法</w:t>
      </w:r>
    </w:p>
    <w:p>
      <w:pPr>
        <w:tabs>
          <w:tab w:val="left" w:pos="540"/>
        </w:tabs>
        <w:spacing w:line="360" w:lineRule="auto"/>
        <w:ind w:firstLine="424" w:firstLineChars="202"/>
        <w:jc w:val="left"/>
        <w:rPr>
          <w:rFonts w:ascii="Times New Roman" w:hAnsi="Times New Roman" w:cs="Times New Roman"/>
        </w:rPr>
      </w:pPr>
      <w:r>
        <w:rPr>
          <w:rFonts w:hint="eastAsia"/>
          <w:color w:val="000000"/>
          <w:szCs w:val="21"/>
        </w:rPr>
        <w:t>本部分为</w:t>
      </w:r>
      <w:r>
        <w:rPr>
          <w:rFonts w:hint="eastAsia" w:ascii="Times New Roman" w:hAnsi="宋体" w:cs="Times New Roman"/>
        </w:rPr>
        <w:t>YS/T XXXX</w:t>
      </w:r>
      <w:r>
        <w:rPr>
          <w:rFonts w:hint="eastAsia"/>
          <w:color w:val="000000"/>
          <w:szCs w:val="21"/>
        </w:rPr>
        <w:t>的第1部分。</w:t>
      </w:r>
    </w:p>
    <w:p>
      <w:pPr>
        <w:tabs>
          <w:tab w:val="left" w:pos="540"/>
        </w:tabs>
        <w:spacing w:line="360" w:lineRule="auto"/>
        <w:ind w:firstLine="424" w:firstLineChars="202"/>
        <w:jc w:val="left"/>
        <w:rPr>
          <w:rFonts w:ascii="Times New Roman" w:hAnsi="Times New Roman" w:cs="Times New Roman"/>
        </w:rPr>
      </w:pPr>
      <w:r>
        <w:rPr>
          <w:rFonts w:ascii="Times New Roman" w:hAnsi="宋体" w:cs="Times New Roman"/>
        </w:rPr>
        <w:t>本</w:t>
      </w:r>
      <w:r>
        <w:rPr>
          <w:rFonts w:hint="eastAsia" w:ascii="Times New Roman" w:hAnsi="宋体" w:cs="Times New Roman"/>
        </w:rPr>
        <w:t>部分</w:t>
      </w:r>
      <w:r>
        <w:rPr>
          <w:rFonts w:ascii="Times New Roman" w:hAnsi="宋体" w:cs="Times New Roman"/>
        </w:rPr>
        <w:t>按照</w:t>
      </w:r>
      <w:r>
        <w:rPr>
          <w:rFonts w:ascii="Times New Roman" w:hAnsi="Times New Roman" w:cs="Times New Roman"/>
        </w:rPr>
        <w:t xml:space="preserve"> GB/T1.1-2009 </w:t>
      </w:r>
      <w:r>
        <w:rPr>
          <w:rFonts w:ascii="Times New Roman" w:hAnsi="宋体" w:cs="Times New Roman"/>
        </w:rPr>
        <w:t>给出的规则起草。</w:t>
      </w:r>
    </w:p>
    <w:p>
      <w:pPr>
        <w:spacing w:line="360" w:lineRule="auto"/>
        <w:ind w:firstLine="424" w:firstLineChars="202"/>
        <w:rPr>
          <w:rFonts w:ascii="Times New Roman" w:hAnsi="Times New Roman" w:cs="Times New Roman"/>
        </w:rPr>
      </w:pPr>
      <w:r>
        <w:rPr>
          <w:rFonts w:ascii="Times New Roman" w:hAnsi="宋体" w:cs="Times New Roman"/>
        </w:rPr>
        <w:t>本</w:t>
      </w:r>
      <w:r>
        <w:rPr>
          <w:rFonts w:hint="eastAsia" w:ascii="Times New Roman" w:hAnsi="宋体" w:cs="Times New Roman"/>
          <w:spacing w:val="2"/>
        </w:rPr>
        <w:t>部分</w:t>
      </w:r>
      <w:r>
        <w:rPr>
          <w:rFonts w:ascii="Times New Roman" w:hAnsi="宋体" w:cs="Times New Roman"/>
          <w:spacing w:val="2"/>
        </w:rPr>
        <w:t>由全国有色金属标准化技术委员会（</w:t>
      </w:r>
      <w:r>
        <w:rPr>
          <w:rFonts w:ascii="Times New Roman" w:hAnsi="Times New Roman" w:cs="Times New Roman"/>
          <w:spacing w:val="2"/>
        </w:rPr>
        <w:t>SAC/TC243</w:t>
      </w:r>
      <w:r>
        <w:rPr>
          <w:rFonts w:ascii="Times New Roman" w:hAnsi="宋体" w:cs="Times New Roman"/>
          <w:spacing w:val="2"/>
        </w:rPr>
        <w:t>）</w:t>
      </w:r>
      <w:r>
        <w:rPr>
          <w:rFonts w:hint="eastAsia" w:ascii="Times New Roman" w:hAnsi="宋体" w:cs="Times New Roman"/>
          <w:spacing w:val="2"/>
          <w:lang w:eastAsia="zh-CN"/>
        </w:rPr>
        <w:t>提出并</w:t>
      </w:r>
      <w:r>
        <w:rPr>
          <w:rFonts w:ascii="Times New Roman" w:hAnsi="宋体" w:cs="Times New Roman"/>
          <w:spacing w:val="2"/>
        </w:rPr>
        <w:t>归口。</w:t>
      </w:r>
    </w:p>
    <w:p>
      <w:pPr>
        <w:spacing w:line="360" w:lineRule="auto"/>
        <w:ind w:firstLine="432" w:firstLineChars="202"/>
        <w:jc w:val="left"/>
        <w:rPr>
          <w:rFonts w:ascii="Times New Roman" w:hAnsi="Times New Roman" w:cs="Times New Roman"/>
        </w:rPr>
      </w:pPr>
      <w:r>
        <w:rPr>
          <w:rFonts w:ascii="Times New Roman" w:hAnsi="宋体" w:cs="Times New Roman"/>
          <w:spacing w:val="2"/>
        </w:rPr>
        <w:t>本</w:t>
      </w:r>
      <w:r>
        <w:rPr>
          <w:rFonts w:hint="eastAsia" w:ascii="Times New Roman" w:hAnsi="宋体" w:cs="Times New Roman"/>
        </w:rPr>
        <w:t>部分</w:t>
      </w:r>
      <w:r>
        <w:rPr>
          <w:rFonts w:ascii="Times New Roman" w:hAnsi="宋体" w:cs="Times New Roman"/>
        </w:rPr>
        <w:t>起</w:t>
      </w:r>
      <w:r>
        <w:rPr>
          <w:rFonts w:ascii="Times New Roman" w:hAnsi="宋体" w:cs="Times New Roman"/>
          <w:spacing w:val="2"/>
        </w:rPr>
        <w:t>草</w:t>
      </w:r>
      <w:r>
        <w:rPr>
          <w:rFonts w:ascii="Times New Roman" w:hAnsi="宋体" w:cs="Times New Roman"/>
        </w:rPr>
        <w:t>单位：</w:t>
      </w:r>
      <w:r>
        <w:rPr>
          <w:rFonts w:ascii="Times New Roman" w:hAnsi="宋体" w:cs="Times New Roman"/>
          <w:spacing w:val="2"/>
        </w:rPr>
        <w:t>江西</w:t>
      </w:r>
      <w:r>
        <w:rPr>
          <w:rFonts w:hint="eastAsia" w:ascii="Times New Roman" w:hAnsi="宋体" w:cs="Times New Roman"/>
          <w:spacing w:val="2"/>
        </w:rPr>
        <w:t>省</w:t>
      </w:r>
      <w:r>
        <w:rPr>
          <w:rFonts w:ascii="Times New Roman" w:hAnsi="宋体" w:cs="Times New Roman"/>
          <w:spacing w:val="2"/>
        </w:rPr>
        <w:t>汉氏</w:t>
      </w:r>
      <w:r>
        <w:rPr>
          <w:rFonts w:hint="eastAsia" w:ascii="Times New Roman" w:hAnsi="宋体" w:cs="Times New Roman"/>
          <w:spacing w:val="2"/>
        </w:rPr>
        <w:t>贵金属</w:t>
      </w:r>
      <w:r>
        <w:rPr>
          <w:rFonts w:ascii="Times New Roman" w:hAnsi="宋体" w:cs="Times New Roman"/>
          <w:spacing w:val="2"/>
        </w:rPr>
        <w:t>有限公司</w:t>
      </w:r>
      <w:r>
        <w:rPr>
          <w:rFonts w:hint="eastAsia" w:ascii="Times New Roman" w:hAnsi="宋体" w:cs="Times New Roman"/>
          <w:spacing w:val="2"/>
        </w:rPr>
        <w:t>、</w:t>
      </w:r>
      <w:bookmarkStart w:id="0" w:name="OLE_LINK5"/>
      <w:r>
        <w:rPr>
          <w:rFonts w:hint="eastAsia" w:ascii="Times New Roman" w:hAnsi="宋体" w:cs="Times New Roman"/>
          <w:spacing w:val="2"/>
        </w:rPr>
        <w:t>有色金属技术经济研究院</w:t>
      </w:r>
      <w:bookmarkEnd w:id="0"/>
      <w:r>
        <w:rPr>
          <w:rFonts w:hint="eastAsia" w:ascii="Times New Roman" w:hAnsi="宋体" w:cs="Times New Roman"/>
          <w:spacing w:val="2"/>
          <w:lang w:val="en-US" w:eastAsia="zh-CN"/>
        </w:rPr>
        <w:t>、</w:t>
      </w:r>
      <w:r>
        <w:rPr>
          <w:rFonts w:hint="eastAsia" w:hAnsi="宋体" w:cs="宋体"/>
          <w:szCs w:val="21"/>
        </w:rPr>
        <w:t>贵研资源（易门）有限公司</w:t>
      </w:r>
      <w:r>
        <w:rPr>
          <w:rFonts w:hint="eastAsia" w:hAnsi="宋体" w:cs="宋体"/>
          <w:szCs w:val="21"/>
          <w:lang w:eastAsia="zh-CN"/>
        </w:rPr>
        <w:t>、</w:t>
      </w:r>
      <w:r>
        <w:rPr>
          <w:rFonts w:hint="eastAsia" w:hAnsi="宋体" w:cs="宋体"/>
          <w:szCs w:val="21"/>
        </w:rPr>
        <w:t>北京有色金属研究院</w:t>
      </w:r>
      <w:r>
        <w:rPr>
          <w:rFonts w:hint="eastAsia" w:hAnsi="宋体" w:cs="宋体"/>
          <w:szCs w:val="21"/>
          <w:lang w:eastAsia="zh-CN"/>
        </w:rPr>
        <w:t>、</w:t>
      </w:r>
      <w:r>
        <w:rPr>
          <w:rFonts w:hint="eastAsia" w:ascii="宋体" w:hAnsi="宋体" w:eastAsia="宋体" w:cs="宋体"/>
          <w:kern w:val="0"/>
          <w:szCs w:val="21"/>
        </w:rPr>
        <w:t>江苏北矿金属循环利用科技有限公司</w:t>
      </w:r>
      <w:bookmarkStart w:id="21" w:name="_GoBack"/>
      <w:bookmarkEnd w:id="21"/>
      <w:r>
        <w:rPr>
          <w:rFonts w:hint="eastAsia" w:ascii="宋体" w:hAnsi="宋体" w:eastAsia="宋体" w:cs="宋体"/>
          <w:kern w:val="0"/>
          <w:szCs w:val="21"/>
          <w:lang w:eastAsia="zh-CN"/>
        </w:rPr>
        <w:t>、</w:t>
      </w:r>
      <w:r>
        <w:rPr>
          <w:rFonts w:hint="eastAsia" w:cs="宋体"/>
          <w:szCs w:val="21"/>
        </w:rPr>
        <w:t>浙江</w:t>
      </w:r>
      <w:r>
        <w:rPr>
          <w:rFonts w:hint="eastAsia" w:cs="宋体"/>
          <w:szCs w:val="21"/>
          <w:lang w:eastAsia="zh-CN"/>
        </w:rPr>
        <w:t>省</w:t>
      </w:r>
      <w:r>
        <w:rPr>
          <w:rFonts w:hint="eastAsia" w:cs="宋体"/>
          <w:szCs w:val="21"/>
        </w:rPr>
        <w:t>冶金研究院有限公司</w:t>
      </w:r>
      <w:r>
        <w:rPr>
          <w:rFonts w:hint="eastAsia" w:cs="宋体"/>
          <w:szCs w:val="21"/>
          <w:lang w:eastAsia="zh-CN"/>
        </w:rPr>
        <w:t>、</w:t>
      </w:r>
      <w:r>
        <w:rPr>
          <w:rFonts w:hint="eastAsia" w:cs="宋体"/>
          <w:szCs w:val="21"/>
        </w:rPr>
        <w:t>西安凯立新材料</w:t>
      </w:r>
      <w:r>
        <w:rPr>
          <w:rFonts w:hint="eastAsia"/>
          <w:szCs w:val="21"/>
        </w:rPr>
        <w:t>股份</w:t>
      </w:r>
      <w:r>
        <w:rPr>
          <w:rFonts w:hint="eastAsia" w:cs="宋体"/>
          <w:szCs w:val="21"/>
        </w:rPr>
        <w:t>有限公司、</w:t>
      </w:r>
      <w:r>
        <w:rPr>
          <w:rFonts w:hint="eastAsia" w:ascii="宋体" w:hAnsi="宋体" w:eastAsia="宋体" w:cs="宋体"/>
          <w:kern w:val="0"/>
          <w:szCs w:val="21"/>
        </w:rPr>
        <w:t>广州有色金属研究院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、江西悦诚科技有限公司、</w:t>
      </w:r>
      <w:r>
        <w:rPr>
          <w:rFonts w:hint="eastAsia" w:cs="宋体"/>
          <w:szCs w:val="21"/>
          <w:lang w:eastAsia="zh-CN"/>
        </w:rPr>
        <w:t>福建紫金矿冶测试技术有限公司</w:t>
      </w:r>
      <w:r>
        <w:rPr>
          <w:rFonts w:hint="eastAsia" w:ascii="Times New Roman" w:hAnsi="宋体" w:cs="Times New Roman"/>
          <w:spacing w:val="2"/>
        </w:rPr>
        <w:t>。</w:t>
      </w:r>
    </w:p>
    <w:p>
      <w:pPr>
        <w:spacing w:line="360" w:lineRule="auto"/>
        <w:ind w:firstLine="424" w:firstLineChars="202"/>
        <w:jc w:val="left"/>
        <w:rPr>
          <w:rFonts w:ascii="Times New Roman" w:hAnsi="Times New Roman" w:cs="Times New Roman"/>
        </w:rPr>
      </w:pPr>
      <w:r>
        <w:rPr>
          <w:rFonts w:ascii="Times New Roman" w:hAnsi="宋体" w:cs="Times New Roman"/>
        </w:rPr>
        <w:t>本</w:t>
      </w:r>
      <w:r>
        <w:rPr>
          <w:rFonts w:hint="eastAsia" w:ascii="Times New Roman" w:hAnsi="宋体" w:cs="Times New Roman"/>
        </w:rPr>
        <w:t>部分</w:t>
      </w:r>
      <w:r>
        <w:rPr>
          <w:rFonts w:ascii="Times New Roman" w:hAnsi="宋体" w:cs="Times New Roman"/>
          <w:spacing w:val="2"/>
        </w:rPr>
        <w:t>主</w:t>
      </w:r>
      <w:r>
        <w:rPr>
          <w:rFonts w:ascii="Times New Roman" w:hAnsi="宋体" w:cs="Times New Roman"/>
        </w:rPr>
        <w:t>要</w:t>
      </w:r>
      <w:r>
        <w:rPr>
          <w:rFonts w:ascii="Times New Roman" w:hAnsi="宋体" w:cs="Times New Roman"/>
          <w:spacing w:val="2"/>
        </w:rPr>
        <w:t>起</w:t>
      </w:r>
      <w:r>
        <w:rPr>
          <w:rFonts w:ascii="Times New Roman" w:hAnsi="宋体" w:cs="Times New Roman"/>
        </w:rPr>
        <w:t>草</w:t>
      </w:r>
      <w:r>
        <w:rPr>
          <w:rFonts w:ascii="Times New Roman" w:hAnsi="宋体" w:cs="Times New Roman"/>
          <w:spacing w:val="2"/>
        </w:rPr>
        <w:t>人</w:t>
      </w:r>
      <w:r>
        <w:rPr>
          <w:rFonts w:ascii="Times New Roman" w:hAnsi="宋体" w:cs="Times New Roman"/>
        </w:rPr>
        <w:t>：</w:t>
      </w:r>
      <w:r>
        <w:rPr>
          <w:rFonts w:hint="eastAsia" w:ascii="Times New Roman" w:hAnsi="宋体" w:cs="Times New Roman"/>
          <w:spacing w:val="2"/>
          <w:lang w:val="en-US" w:eastAsia="zh-CN"/>
        </w:rPr>
        <w:t>xxxxx、xxxxx、xxxxx、xxxxx、xxxxx、xxxxx、xxxxx、xxxxx</w:t>
      </w:r>
      <w:r>
        <w:rPr>
          <w:rFonts w:hint="eastAsia" w:ascii="Times New Roman" w:hAnsi="宋体" w:cs="宋体"/>
          <w:szCs w:val="21"/>
        </w:rPr>
        <w:t>。</w:t>
      </w:r>
    </w:p>
    <w:p>
      <w:pPr>
        <w:spacing w:line="360" w:lineRule="auto"/>
        <w:jc w:val="center"/>
        <w:rPr>
          <w:rFonts w:ascii="Times New Roman" w:cs="Times New Roman"/>
          <w:szCs w:val="21"/>
        </w:rPr>
      </w:pPr>
    </w:p>
    <w:p>
      <w:pPr>
        <w:spacing w:line="360" w:lineRule="auto"/>
        <w:rPr>
          <w:rFonts w:ascii="Times New Roman" w:cs="Times New Roman"/>
          <w:szCs w:val="21"/>
        </w:rPr>
      </w:pPr>
    </w:p>
    <w:p>
      <w:pPr>
        <w:widowControl/>
        <w:jc w:val="left"/>
        <w:rPr>
          <w:rFonts w:ascii="Times New Roman" w:hAnsi="Times New Roman" w:eastAsia="宋体" w:cs="宋体"/>
          <w:b/>
          <w:sz w:val="28"/>
          <w:szCs w:val="28"/>
        </w:rPr>
      </w:pPr>
      <w:r>
        <w:rPr>
          <w:rFonts w:ascii="Times New Roman" w:hAnsi="Times New Roman" w:eastAsia="宋体" w:cs="宋体"/>
          <w:b/>
          <w:sz w:val="28"/>
          <w:szCs w:val="28"/>
        </w:rPr>
        <w:br w:type="page"/>
      </w:r>
    </w:p>
    <w:p>
      <w:pPr>
        <w:spacing w:line="360" w:lineRule="auto"/>
        <w:jc w:val="center"/>
        <w:rPr>
          <w:rFonts w:ascii="黑体" w:hAnsi="黑体" w:eastAsia="黑体" w:cs="宋体"/>
          <w:b w:val="0"/>
          <w:sz w:val="44"/>
          <w:szCs w:val="44"/>
        </w:rPr>
      </w:pPr>
      <w:r>
        <w:rPr>
          <w:rFonts w:hint="eastAsia" w:ascii="黑体" w:hAnsi="黑体" w:eastAsia="黑体" w:cs="宋体"/>
          <w:sz w:val="44"/>
          <w:szCs w:val="44"/>
        </w:rPr>
        <w:t>1,2-双二苯基膦乙烷氯化钯</w:t>
      </w:r>
      <w:r>
        <w:rPr>
          <w:rFonts w:hint="eastAsia" w:ascii="黑体" w:hAnsi="黑体" w:eastAsia="黑体" w:cs="宋体"/>
          <w:b w:val="0"/>
          <w:sz w:val="44"/>
          <w:szCs w:val="44"/>
        </w:rPr>
        <w:t>化学分析方法</w:t>
      </w:r>
    </w:p>
    <w:p>
      <w:pPr>
        <w:spacing w:line="360" w:lineRule="auto"/>
        <w:jc w:val="center"/>
        <w:rPr>
          <w:rFonts w:ascii="黑体" w:hAnsi="黑体" w:eastAsia="黑体" w:cs="宋体"/>
          <w:b w:val="0"/>
          <w:sz w:val="44"/>
          <w:szCs w:val="44"/>
        </w:rPr>
      </w:pPr>
      <w:r>
        <w:rPr>
          <w:rFonts w:hint="eastAsia" w:ascii="黑体" w:hAnsi="黑体" w:eastAsia="黑体" w:cs="宋体"/>
          <w:b w:val="0"/>
          <w:sz w:val="44"/>
          <w:szCs w:val="44"/>
        </w:rPr>
        <w:t>第</w:t>
      </w:r>
      <w:r>
        <w:rPr>
          <w:rFonts w:ascii="黑体" w:hAnsi="黑体" w:eastAsia="黑体" w:cs="宋体"/>
          <w:b w:val="0"/>
          <w:sz w:val="44"/>
          <w:szCs w:val="44"/>
        </w:rPr>
        <w:t>1</w:t>
      </w:r>
      <w:r>
        <w:rPr>
          <w:rFonts w:hint="eastAsia" w:ascii="黑体" w:hAnsi="黑体" w:eastAsia="黑体" w:cs="宋体"/>
          <w:b w:val="0"/>
          <w:sz w:val="44"/>
          <w:szCs w:val="44"/>
        </w:rPr>
        <w:t>部分：钯量的测定</w:t>
      </w:r>
    </w:p>
    <w:p>
      <w:pPr>
        <w:spacing w:line="360" w:lineRule="auto"/>
        <w:jc w:val="center"/>
        <w:rPr>
          <w:rFonts w:ascii="黑体" w:hAnsi="黑体" w:eastAsia="黑体" w:cs="宋体"/>
          <w:b w:val="0"/>
          <w:sz w:val="44"/>
          <w:szCs w:val="44"/>
        </w:rPr>
      </w:pPr>
      <w:r>
        <w:rPr>
          <w:rFonts w:hint="eastAsia" w:ascii="黑体" w:hAnsi="黑体" w:eastAsia="黑体" w:cs="宋体"/>
          <w:b w:val="0"/>
          <w:sz w:val="44"/>
          <w:szCs w:val="44"/>
        </w:rPr>
        <w:t>丁二酮肟重量法</w:t>
      </w:r>
    </w:p>
    <w:p>
      <w:pPr>
        <w:pStyle w:val="27"/>
        <w:numPr>
          <w:ilvl w:val="1"/>
          <w:numId w:val="0"/>
        </w:numPr>
        <w:spacing w:before="156" w:after="156"/>
        <w:rPr>
          <w:rFonts w:hint="eastAsia" w:hAnsi="宋体"/>
          <w:szCs w:val="21"/>
        </w:rPr>
      </w:pPr>
    </w:p>
    <w:p>
      <w:pPr>
        <w:pStyle w:val="27"/>
        <w:numPr>
          <w:ilvl w:val="1"/>
          <w:numId w:val="0"/>
        </w:numPr>
        <w:spacing w:before="156" w:after="156"/>
        <w:rPr>
          <w:rFonts w:hAnsi="宋体"/>
          <w:szCs w:val="21"/>
        </w:rPr>
      </w:pPr>
      <w:r>
        <w:rPr>
          <w:rFonts w:hint="eastAsia" w:hAnsi="宋体"/>
          <w:szCs w:val="21"/>
        </w:rPr>
        <w:t>1  范围</w:t>
      </w:r>
    </w:p>
    <w:p>
      <w:pPr>
        <w:pStyle w:val="15"/>
        <w:tabs>
          <w:tab w:val="left" w:pos="7155"/>
        </w:tabs>
        <w:spacing w:before="0" w:line="240" w:lineRule="auto"/>
        <w:ind w:firstLine="420" w:firstLineChars="200"/>
        <w:jc w:val="both"/>
        <w:rPr>
          <w:rFonts w:eastAsiaTheme="minorEastAsia"/>
          <w:sz w:val="21"/>
          <w:szCs w:val="21"/>
        </w:rPr>
      </w:pPr>
      <w:r>
        <w:rPr>
          <w:rFonts w:hint="eastAsia" w:hAnsiTheme="minorEastAsia" w:eastAsiaTheme="minorEastAsia"/>
          <w:sz w:val="21"/>
          <w:szCs w:val="21"/>
          <w:lang w:val="en-US" w:eastAsia="zh-CN"/>
        </w:rPr>
        <w:t>YS/T xxxx的</w:t>
      </w:r>
      <w:r>
        <w:rPr>
          <w:rFonts w:hint="eastAsia" w:hAnsiTheme="minorEastAsia" w:eastAsiaTheme="minorEastAsia"/>
          <w:sz w:val="21"/>
          <w:szCs w:val="21"/>
        </w:rPr>
        <w:t>本部分规定了1,2-双二苯基膦乙烷氯化钯中钯含量的测定方法。</w:t>
      </w:r>
    </w:p>
    <w:p>
      <w:pPr>
        <w:pStyle w:val="15"/>
        <w:tabs>
          <w:tab w:val="left" w:pos="7155"/>
        </w:tabs>
        <w:spacing w:before="0" w:line="240" w:lineRule="auto"/>
        <w:ind w:firstLine="420" w:firstLineChars="200"/>
        <w:jc w:val="both"/>
        <w:rPr>
          <w:rFonts w:eastAsiaTheme="minorEastAsia"/>
          <w:sz w:val="21"/>
          <w:szCs w:val="21"/>
        </w:rPr>
      </w:pPr>
      <w:r>
        <w:rPr>
          <w:rFonts w:hint="eastAsia" w:hAnsiTheme="minorEastAsia" w:eastAsiaTheme="minorEastAsia"/>
          <w:sz w:val="21"/>
          <w:szCs w:val="21"/>
        </w:rPr>
        <w:t>本部分适用于1,2-双二苯基膦乙烷氯化钯中钯含量的测定。测定范围</w:t>
      </w:r>
      <w:r>
        <w:rPr>
          <w:rFonts w:hint="eastAsia" w:eastAsiaTheme="minorEastAsia"/>
          <w:sz w:val="21"/>
          <w:szCs w:val="21"/>
        </w:rPr>
        <w:t>：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17</w:t>
      </w:r>
      <w:r>
        <w:rPr>
          <w:rFonts w:hint="eastAsia" w:ascii="宋体" w:hAnsi="宋体" w:cs="宋体"/>
          <w:sz w:val="21"/>
          <w:szCs w:val="21"/>
        </w:rPr>
        <w:t>.0</w:t>
      </w:r>
      <w:r>
        <w:rPr>
          <w:rFonts w:hint="eastAsia" w:ascii="宋体" w:hAnsi="宋体" w:cs="宋体"/>
          <w:sz w:val="21"/>
          <w:szCs w:val="21"/>
          <w:lang w:val="en-US" w:eastAsia="zh-CN"/>
        </w:rPr>
        <w:t>0</w:t>
      </w:r>
      <w:r>
        <w:rPr>
          <w:rFonts w:hint="eastAsia" w:ascii="宋体" w:hAnsi="宋体" w:cs="宋体"/>
          <w:sz w:val="21"/>
          <w:szCs w:val="21"/>
        </w:rPr>
        <w:t>%</w:t>
      </w:r>
      <w:r>
        <w:rPr>
          <w:rFonts w:hint="eastAsia" w:ascii="宋体" w:hAnsi="宋体"/>
          <w:b/>
          <w:sz w:val="21"/>
          <w:szCs w:val="21"/>
        </w:rPr>
        <w:t>～</w:t>
      </w:r>
      <w:r>
        <w:rPr>
          <w:rFonts w:hint="eastAsia" w:ascii="宋体" w:hAnsi="宋体" w:cs="宋体"/>
          <w:bCs/>
          <w:sz w:val="21"/>
          <w:szCs w:val="21"/>
          <w:lang w:val="en-US" w:eastAsia="zh-CN"/>
        </w:rPr>
        <w:t>19.00</w:t>
      </w:r>
      <w:r>
        <w:rPr>
          <w:rFonts w:hint="eastAsia" w:ascii="宋体" w:hAnsi="宋体" w:cs="宋体"/>
          <w:bCs/>
          <w:sz w:val="21"/>
          <w:szCs w:val="21"/>
        </w:rPr>
        <w:t>%</w:t>
      </w:r>
      <w:r>
        <w:rPr>
          <w:rFonts w:hint="eastAsia" w:hAnsiTheme="minorEastAsia" w:eastAsiaTheme="minorEastAsia"/>
          <w:sz w:val="21"/>
          <w:szCs w:val="21"/>
        </w:rPr>
        <w:t>。</w:t>
      </w:r>
    </w:p>
    <w:p>
      <w:pPr>
        <w:pStyle w:val="27"/>
        <w:numPr>
          <w:ilvl w:val="1"/>
          <w:numId w:val="0"/>
        </w:numPr>
        <w:spacing w:before="156" w:after="156"/>
        <w:rPr>
          <w:rFonts w:hAnsi="宋体"/>
          <w:szCs w:val="21"/>
        </w:rPr>
      </w:pPr>
      <w:r>
        <w:rPr>
          <w:rFonts w:hint="eastAsia" w:hAnsi="宋体"/>
          <w:szCs w:val="21"/>
        </w:rPr>
        <w:t>2  方法提要</w:t>
      </w:r>
    </w:p>
    <w:p>
      <w:pPr>
        <w:pStyle w:val="15"/>
        <w:tabs>
          <w:tab w:val="left" w:pos="7155"/>
        </w:tabs>
        <w:spacing w:before="0" w:line="240" w:lineRule="auto"/>
        <w:ind w:firstLine="420" w:firstLineChars="200"/>
        <w:jc w:val="both"/>
        <w:rPr>
          <w:sz w:val="21"/>
          <w:szCs w:val="21"/>
        </w:rPr>
      </w:pPr>
      <w:bookmarkStart w:id="1" w:name="OLE_LINK18"/>
      <w:r>
        <w:rPr>
          <w:rFonts w:hint="eastAsia"/>
          <w:sz w:val="21"/>
          <w:szCs w:val="21"/>
        </w:rPr>
        <w:t>试料经硝酸、盐酸和高氯酸溶解，破坏有机物。在稀盐酸介质中，丁二酮肟沉淀钯</w:t>
      </w:r>
      <w:r>
        <w:rPr>
          <w:rFonts w:hint="eastAsia"/>
          <w:sz w:val="21"/>
          <w:szCs w:val="21"/>
          <w:lang w:eastAsia="zh-CN"/>
        </w:rPr>
        <w:t>与共存离子分离</w:t>
      </w:r>
      <w:r>
        <w:rPr>
          <w:rFonts w:hint="eastAsia"/>
          <w:sz w:val="21"/>
          <w:szCs w:val="21"/>
        </w:rPr>
        <w:t>，</w:t>
      </w:r>
      <w:r>
        <w:rPr>
          <w:rFonts w:hint="eastAsia"/>
          <w:sz w:val="21"/>
          <w:szCs w:val="21"/>
          <w:lang w:eastAsia="zh-CN"/>
        </w:rPr>
        <w:t>重量法测定钯的质量分数</w:t>
      </w:r>
      <w:bookmarkEnd w:id="1"/>
      <w:r>
        <w:rPr>
          <w:rFonts w:hint="eastAsia"/>
          <w:sz w:val="21"/>
          <w:szCs w:val="21"/>
        </w:rPr>
        <w:t>。</w:t>
      </w:r>
    </w:p>
    <w:p>
      <w:pPr>
        <w:pStyle w:val="27"/>
        <w:numPr>
          <w:ilvl w:val="1"/>
          <w:numId w:val="0"/>
        </w:numPr>
        <w:spacing w:before="156" w:after="156"/>
        <w:rPr>
          <w:rFonts w:hAnsi="宋体"/>
          <w:szCs w:val="21"/>
        </w:rPr>
      </w:pPr>
      <w:r>
        <w:rPr>
          <w:rFonts w:hint="eastAsia" w:hAnsi="宋体"/>
          <w:szCs w:val="21"/>
        </w:rPr>
        <w:t>3  试剂和材料</w:t>
      </w:r>
    </w:p>
    <w:p>
      <w:pPr>
        <w:ind w:firstLine="420" w:firstLineChars="200"/>
        <w:rPr>
          <w:szCs w:val="21"/>
        </w:rPr>
      </w:pPr>
      <w:r>
        <w:rPr>
          <w:rFonts w:hint="eastAsia"/>
        </w:rPr>
        <w:t>除非另有说明，</w:t>
      </w:r>
      <w:r>
        <w:rPr>
          <w:rFonts w:hint="eastAsia"/>
          <w:lang w:eastAsia="zh-CN"/>
        </w:rPr>
        <w:t>在</w:t>
      </w:r>
      <w:r>
        <w:rPr>
          <w:rFonts w:hint="eastAsia"/>
        </w:rPr>
        <w:t>分析中仅</w:t>
      </w:r>
      <w:r>
        <w:rPr>
          <w:rFonts w:hint="eastAsia"/>
          <w:lang w:eastAsia="zh-CN"/>
        </w:rPr>
        <w:t>适用</w:t>
      </w:r>
      <w:r>
        <w:rPr>
          <w:rFonts w:hint="eastAsia"/>
        </w:rPr>
        <w:t>确认为分析纯的试剂和蒸馏水或去离子水或相当纯度的水</w:t>
      </w:r>
      <w:r>
        <w:rPr>
          <w:szCs w:val="21"/>
        </w:rPr>
        <w:t>。</w:t>
      </w:r>
    </w:p>
    <w:p>
      <w:pPr>
        <w:pStyle w:val="15"/>
        <w:tabs>
          <w:tab w:val="left" w:pos="7155"/>
        </w:tabs>
        <w:spacing w:before="0" w:line="240" w:lineRule="auto"/>
        <w:jc w:val="both"/>
        <w:rPr>
          <w:sz w:val="21"/>
          <w:szCs w:val="21"/>
        </w:rPr>
      </w:pPr>
      <w:bookmarkStart w:id="2" w:name="OLE_LINK19"/>
      <w:r>
        <w:rPr>
          <w:rFonts w:hint="eastAsia" w:ascii="黑体" w:hAnsi="黑体" w:eastAsia="黑体"/>
          <w:bCs/>
          <w:kern w:val="2"/>
          <w:sz w:val="21"/>
          <w:szCs w:val="21"/>
        </w:rPr>
        <w:t xml:space="preserve">3.1 </w:t>
      </w:r>
      <w:r>
        <w:rPr>
          <w:sz w:val="21"/>
          <w:szCs w:val="21"/>
        </w:rPr>
        <w:t>盐酸（ρ1.19g/mL</w:t>
      </w:r>
      <w:r>
        <w:rPr>
          <w:rFonts w:hint="eastAsia"/>
          <w:sz w:val="21"/>
          <w:szCs w:val="21"/>
        </w:rPr>
        <w:t>）。</w:t>
      </w:r>
    </w:p>
    <w:p>
      <w:pPr>
        <w:pStyle w:val="15"/>
        <w:tabs>
          <w:tab w:val="left" w:pos="7155"/>
        </w:tabs>
        <w:spacing w:before="0" w:line="240" w:lineRule="auto"/>
        <w:jc w:val="both"/>
        <w:rPr>
          <w:sz w:val="21"/>
          <w:szCs w:val="21"/>
        </w:rPr>
      </w:pPr>
      <w:r>
        <w:rPr>
          <w:rFonts w:hint="eastAsia" w:ascii="黑体" w:hAnsi="黑体" w:eastAsia="黑体"/>
          <w:bCs/>
          <w:kern w:val="2"/>
          <w:sz w:val="21"/>
          <w:szCs w:val="21"/>
        </w:rPr>
        <w:t xml:space="preserve">3.2 </w:t>
      </w:r>
      <w:r>
        <w:rPr>
          <w:rFonts w:hint="eastAsia"/>
          <w:sz w:val="21"/>
          <w:szCs w:val="21"/>
        </w:rPr>
        <w:t>硝酸（</w:t>
      </w:r>
      <w:r>
        <w:rPr>
          <w:sz w:val="21"/>
          <w:szCs w:val="21"/>
        </w:rPr>
        <w:t>ρ1.42g</w:t>
      </w:r>
      <w:r>
        <w:rPr>
          <w:rFonts w:hint="eastAsia"/>
          <w:sz w:val="21"/>
          <w:szCs w:val="21"/>
        </w:rPr>
        <w:t>/mL）。</w:t>
      </w:r>
    </w:p>
    <w:p>
      <w:pPr>
        <w:pStyle w:val="15"/>
        <w:tabs>
          <w:tab w:val="left" w:pos="7155"/>
        </w:tabs>
        <w:spacing w:before="0" w:line="240" w:lineRule="auto"/>
        <w:jc w:val="both"/>
        <w:rPr>
          <w:sz w:val="21"/>
          <w:szCs w:val="21"/>
        </w:rPr>
      </w:pPr>
      <w:r>
        <w:rPr>
          <w:rFonts w:hint="eastAsia" w:ascii="黑体" w:hAnsi="黑体" w:eastAsia="黑体"/>
          <w:bCs/>
          <w:kern w:val="2"/>
          <w:sz w:val="21"/>
          <w:szCs w:val="21"/>
        </w:rPr>
        <w:t xml:space="preserve">3.3 </w:t>
      </w:r>
      <w:r>
        <w:rPr>
          <w:rFonts w:hint="eastAsia"/>
          <w:sz w:val="21"/>
          <w:szCs w:val="21"/>
        </w:rPr>
        <w:t>高氯酸</w:t>
      </w:r>
      <w:r>
        <w:rPr>
          <w:sz w:val="21"/>
          <w:szCs w:val="21"/>
        </w:rPr>
        <w:t>（ρ1.7</w:t>
      </w:r>
      <w:r>
        <w:rPr>
          <w:rFonts w:hint="eastAsia"/>
          <w:sz w:val="21"/>
          <w:szCs w:val="21"/>
        </w:rPr>
        <w:t>6 g/mL）。</w:t>
      </w:r>
    </w:p>
    <w:p>
      <w:pPr>
        <w:pStyle w:val="15"/>
        <w:tabs>
          <w:tab w:val="left" w:pos="7155"/>
        </w:tabs>
        <w:spacing w:before="0" w:line="240" w:lineRule="auto"/>
        <w:jc w:val="both"/>
        <w:rPr>
          <w:sz w:val="21"/>
          <w:szCs w:val="21"/>
        </w:rPr>
      </w:pPr>
      <w:r>
        <w:rPr>
          <w:rFonts w:hint="eastAsia" w:ascii="黑体" w:eastAsia="黑体"/>
          <w:color w:val="000000"/>
          <w:sz w:val="21"/>
          <w:szCs w:val="21"/>
        </w:rPr>
        <w:t>3.4</w:t>
      </w:r>
      <w:r>
        <w:rPr>
          <w:rFonts w:hint="eastAsia"/>
          <w:sz w:val="21"/>
          <w:szCs w:val="21"/>
        </w:rPr>
        <w:t xml:space="preserve"> 无水乙醇（</w:t>
      </w:r>
      <w:r>
        <w:rPr>
          <w:sz w:val="21"/>
          <w:szCs w:val="21"/>
        </w:rPr>
        <w:t>ρ</w:t>
      </w:r>
      <w:r>
        <w:rPr>
          <w:rFonts w:hint="eastAsia"/>
          <w:sz w:val="21"/>
          <w:szCs w:val="21"/>
        </w:rPr>
        <w:t>0.79 g/mL）。</w:t>
      </w:r>
    </w:p>
    <w:p>
      <w:pPr>
        <w:pStyle w:val="15"/>
        <w:tabs>
          <w:tab w:val="left" w:pos="7155"/>
        </w:tabs>
        <w:spacing w:before="0" w:line="240" w:lineRule="auto"/>
        <w:jc w:val="both"/>
        <w:rPr>
          <w:rFonts w:hAnsiTheme="minorEastAsia" w:eastAsiaTheme="minorEastAsia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 xml:space="preserve">3.5 </w:t>
      </w:r>
      <w:r>
        <w:rPr>
          <w:rFonts w:hAnsiTheme="minorEastAsia" w:eastAsiaTheme="minorEastAsia"/>
          <w:sz w:val="21"/>
          <w:szCs w:val="21"/>
        </w:rPr>
        <w:t>盐酸（</w:t>
      </w:r>
      <w:r>
        <w:rPr>
          <w:rFonts w:hint="eastAsia" w:eastAsiaTheme="minorEastAsia"/>
          <w:sz w:val="21"/>
          <w:szCs w:val="21"/>
        </w:rPr>
        <w:t>1</w:t>
      </w:r>
      <w:r>
        <w:rPr>
          <w:rFonts w:eastAsiaTheme="minorEastAsia"/>
          <w:sz w:val="21"/>
          <w:szCs w:val="21"/>
        </w:rPr>
        <w:t>+9</w:t>
      </w:r>
      <w:r>
        <w:rPr>
          <w:rFonts w:hint="eastAsia" w:eastAsiaTheme="minorEastAsia"/>
          <w:sz w:val="21"/>
          <w:szCs w:val="21"/>
        </w:rPr>
        <w:t>9</w:t>
      </w:r>
      <w:r>
        <w:rPr>
          <w:rFonts w:hAnsiTheme="minorEastAsia" w:eastAsiaTheme="minorEastAsia"/>
          <w:sz w:val="21"/>
          <w:szCs w:val="21"/>
        </w:rPr>
        <w:t>）。</w:t>
      </w:r>
    </w:p>
    <w:p>
      <w:pPr>
        <w:pStyle w:val="15"/>
        <w:tabs>
          <w:tab w:val="left" w:pos="7155"/>
        </w:tabs>
        <w:spacing w:before="0" w:line="240" w:lineRule="auto"/>
        <w:jc w:val="both"/>
        <w:rPr>
          <w:sz w:val="21"/>
          <w:szCs w:val="21"/>
        </w:rPr>
      </w:pPr>
      <w:r>
        <w:rPr>
          <w:rFonts w:hint="eastAsia" w:ascii="黑体" w:hAnsi="黑体" w:eastAsia="黑体"/>
          <w:bCs/>
          <w:kern w:val="2"/>
          <w:sz w:val="21"/>
          <w:szCs w:val="21"/>
        </w:rPr>
        <w:t xml:space="preserve">3.6 </w:t>
      </w:r>
      <w:r>
        <w:rPr>
          <w:rFonts w:hint="eastAsia"/>
          <w:sz w:val="21"/>
          <w:szCs w:val="21"/>
        </w:rPr>
        <w:t>丁二酮肟乙醇溶液（10 g/L）称取10 g丁二酮肟，于1000 mL无水乙醇溶液中溶解，混匀。</w:t>
      </w:r>
    </w:p>
    <w:p>
      <w:pPr>
        <w:pStyle w:val="15"/>
        <w:tabs>
          <w:tab w:val="left" w:pos="7155"/>
        </w:tabs>
        <w:spacing w:before="0" w:line="240" w:lineRule="auto"/>
        <w:jc w:val="both"/>
        <w:rPr>
          <w:sz w:val="21"/>
          <w:szCs w:val="21"/>
        </w:rPr>
      </w:pPr>
      <w:r>
        <w:rPr>
          <w:rFonts w:hint="eastAsia" w:ascii="黑体" w:hAnsi="黑体" w:eastAsia="黑体"/>
          <w:bCs/>
          <w:kern w:val="2"/>
          <w:sz w:val="21"/>
          <w:szCs w:val="21"/>
        </w:rPr>
        <w:t xml:space="preserve">3.7 </w:t>
      </w:r>
      <w:r>
        <w:rPr>
          <w:rFonts w:hint="eastAsia"/>
          <w:sz w:val="21"/>
          <w:szCs w:val="21"/>
        </w:rPr>
        <w:t>G4玻璃砂芯坩埚。</w:t>
      </w:r>
      <w:bookmarkStart w:id="3" w:name="OLE_LINK7"/>
    </w:p>
    <w:p>
      <w:pPr>
        <w:pStyle w:val="27"/>
        <w:numPr>
          <w:ilvl w:val="1"/>
          <w:numId w:val="0"/>
        </w:numPr>
        <w:spacing w:before="156" w:after="156"/>
        <w:rPr>
          <w:rFonts w:hAnsi="宋体"/>
          <w:szCs w:val="21"/>
        </w:rPr>
      </w:pPr>
      <w:r>
        <w:rPr>
          <w:rFonts w:hint="eastAsia" w:hAnsi="宋体"/>
          <w:szCs w:val="21"/>
        </w:rPr>
        <w:t>4  试样</w:t>
      </w:r>
    </w:p>
    <w:p>
      <w:pPr>
        <w:pStyle w:val="15"/>
        <w:tabs>
          <w:tab w:val="left" w:pos="7155"/>
        </w:tabs>
        <w:spacing w:before="0" w:line="240" w:lineRule="auto"/>
        <w:ind w:firstLine="424" w:firstLineChars="202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样品储存于密闭容器内，用时现称。</w:t>
      </w:r>
    </w:p>
    <w:bookmarkEnd w:id="2"/>
    <w:bookmarkEnd w:id="3"/>
    <w:p>
      <w:pPr>
        <w:pStyle w:val="27"/>
        <w:numPr>
          <w:ilvl w:val="1"/>
          <w:numId w:val="0"/>
        </w:numPr>
        <w:spacing w:before="156" w:after="156"/>
        <w:rPr>
          <w:rFonts w:hAnsi="宋体"/>
          <w:szCs w:val="21"/>
        </w:rPr>
      </w:pPr>
      <w:r>
        <w:rPr>
          <w:rFonts w:hint="eastAsia" w:hAnsi="宋体"/>
          <w:szCs w:val="21"/>
        </w:rPr>
        <w:t>5  分析步骤</w:t>
      </w:r>
    </w:p>
    <w:p>
      <w:pPr>
        <w:pStyle w:val="27"/>
        <w:numPr>
          <w:ilvl w:val="1"/>
          <w:numId w:val="0"/>
        </w:numPr>
        <w:spacing w:beforeLines="0" w:afterLines="0"/>
        <w:rPr>
          <w:color w:val="000000"/>
          <w:szCs w:val="21"/>
        </w:rPr>
      </w:pPr>
      <w:bookmarkStart w:id="4" w:name="OLE_LINK20"/>
      <w:r>
        <w:rPr>
          <w:rFonts w:hint="eastAsia"/>
          <w:color w:val="000000"/>
          <w:szCs w:val="21"/>
        </w:rPr>
        <w:t>5.1试料</w:t>
      </w:r>
    </w:p>
    <w:p>
      <w:pPr>
        <w:pStyle w:val="15"/>
        <w:tabs>
          <w:tab w:val="left" w:pos="7155"/>
        </w:tabs>
        <w:spacing w:before="0" w:line="240" w:lineRule="auto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称取0.</w:t>
      </w:r>
      <w:r>
        <w:rPr>
          <w:rFonts w:hint="eastAsia"/>
          <w:sz w:val="21"/>
          <w:szCs w:val="21"/>
          <w:lang w:val="en-US" w:eastAsia="zh-CN"/>
        </w:rPr>
        <w:t>30</w:t>
      </w:r>
      <w:r>
        <w:rPr>
          <w:rFonts w:hint="eastAsia"/>
          <w:sz w:val="21"/>
          <w:szCs w:val="21"/>
        </w:rPr>
        <w:t>g试样，精确至0.0001 g。</w:t>
      </w:r>
    </w:p>
    <w:p>
      <w:pPr>
        <w:pStyle w:val="27"/>
        <w:numPr>
          <w:ilvl w:val="1"/>
          <w:numId w:val="0"/>
        </w:numPr>
        <w:spacing w:beforeLines="0" w:afterLines="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5.2</w:t>
      </w:r>
      <w:r>
        <w:rPr>
          <w:rFonts w:hint="eastAsia"/>
          <w:color w:val="000000"/>
          <w:szCs w:val="21"/>
          <w:lang w:val="en-US" w:eastAsia="zh-CN"/>
        </w:rPr>
        <w:t xml:space="preserve"> 平行试验</w:t>
      </w:r>
    </w:p>
    <w:p>
      <w:pPr>
        <w:pStyle w:val="15"/>
        <w:tabs>
          <w:tab w:val="left" w:pos="7155"/>
        </w:tabs>
        <w:spacing w:before="0" w:line="240" w:lineRule="auto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独立地进行两次测定，取其平均值。</w:t>
      </w:r>
    </w:p>
    <w:p>
      <w:pPr>
        <w:pStyle w:val="27"/>
        <w:numPr>
          <w:ilvl w:val="1"/>
          <w:numId w:val="0"/>
        </w:numPr>
        <w:spacing w:beforeLines="0" w:afterLines="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5.3</w:t>
      </w:r>
      <w:r>
        <w:rPr>
          <w:rFonts w:hint="eastAsia"/>
          <w:color w:val="000000"/>
          <w:szCs w:val="21"/>
          <w:lang w:val="en-US" w:eastAsia="zh-CN"/>
        </w:rPr>
        <w:t xml:space="preserve"> </w:t>
      </w:r>
      <w:r>
        <w:rPr>
          <w:color w:val="000000"/>
          <w:szCs w:val="21"/>
        </w:rPr>
        <w:t>测定</w:t>
      </w:r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黑体" w:hAnsi="黑体" w:eastAsia="黑体" w:cs="Times New Roman"/>
          <w:szCs w:val="21"/>
        </w:rPr>
        <w:t>5</w:t>
      </w:r>
      <w:r>
        <w:rPr>
          <w:rFonts w:ascii="黑体" w:hAnsi="黑体" w:eastAsia="黑体" w:cs="Times New Roman"/>
          <w:szCs w:val="21"/>
        </w:rPr>
        <w:t xml:space="preserve">.3.1 </w:t>
      </w:r>
      <w:r>
        <w:rPr>
          <w:rFonts w:cs="Times New Roman" w:asciiTheme="minorEastAsia" w:hAnsiTheme="minorEastAsia"/>
          <w:bCs/>
          <w:szCs w:val="21"/>
        </w:rPr>
        <w:t>将</w:t>
      </w:r>
      <w:r>
        <w:rPr>
          <w:rFonts w:ascii="Times New Roman" w:cs="Times New Roman" w:hAnsiTheme="minorEastAsia"/>
          <w:bCs/>
          <w:szCs w:val="21"/>
        </w:rPr>
        <w:t>试料</w:t>
      </w:r>
      <w:r>
        <w:rPr>
          <w:rFonts w:ascii="Times New Roman" w:hAnsi="Times New Roman" w:cs="Times New Roman"/>
          <w:bCs/>
          <w:szCs w:val="21"/>
        </w:rPr>
        <w:t>(</w:t>
      </w:r>
      <w:r>
        <w:rPr>
          <w:rFonts w:hint="eastAsia" w:ascii="Times New Roman" w:hAnsi="Times New Roman" w:cs="Times New Roman"/>
          <w:bCs/>
          <w:szCs w:val="21"/>
        </w:rPr>
        <w:t>5</w:t>
      </w:r>
      <w:r>
        <w:rPr>
          <w:rFonts w:ascii="Times New Roman" w:hAnsi="Times New Roman" w:cs="Times New Roman"/>
          <w:bCs/>
          <w:szCs w:val="21"/>
        </w:rPr>
        <w:t>.1)</w:t>
      </w:r>
      <w:r>
        <w:rPr>
          <w:rFonts w:ascii="Times New Roman" w:cs="Times New Roman" w:hAnsiTheme="minorEastAsia"/>
          <w:bCs/>
          <w:szCs w:val="21"/>
        </w:rPr>
        <w:t>置于</w:t>
      </w:r>
      <w:r>
        <w:rPr>
          <w:rFonts w:hint="eastAsia" w:ascii="Times New Roman" w:hAnsi="Times New Roman" w:cs="Times New Roman"/>
          <w:bCs/>
          <w:szCs w:val="21"/>
        </w:rPr>
        <w:t>5</w:t>
      </w:r>
      <w:r>
        <w:rPr>
          <w:rFonts w:ascii="Times New Roman" w:hAnsi="Times New Roman" w:cs="Times New Roman"/>
          <w:bCs/>
          <w:szCs w:val="21"/>
        </w:rPr>
        <w:t>00 mL</w:t>
      </w:r>
      <w:r>
        <w:rPr>
          <w:rFonts w:ascii="Times New Roman" w:cs="Times New Roman" w:hAnsiTheme="minorEastAsia"/>
          <w:bCs/>
          <w:szCs w:val="21"/>
        </w:rPr>
        <w:t>烧杯中，</w:t>
      </w:r>
      <w:r>
        <w:rPr>
          <w:rFonts w:hint="eastAsia" w:ascii="Times New Roman" w:cs="Times New Roman" w:hAnsiTheme="minorEastAsia"/>
          <w:bCs/>
          <w:szCs w:val="21"/>
        </w:rPr>
        <w:t>加入15 mL盐酸（3.1）和10 mL硝酸（3.2），盖上表面皿，低温加热溶解</w:t>
      </w:r>
      <w:r>
        <w:rPr>
          <w:rFonts w:hint="eastAsia" w:ascii="Times New Roman" w:cs="Times New Roman" w:hAnsiTheme="minorEastAsia"/>
          <w:bCs/>
          <w:szCs w:val="21"/>
          <w:lang w:eastAsia="zh-CN"/>
        </w:rPr>
        <w:t>。取下，冷却，</w:t>
      </w:r>
      <w:r>
        <w:rPr>
          <w:rFonts w:hint="eastAsia" w:ascii="Times New Roman" w:cs="Times New Roman" w:hAnsiTheme="minorEastAsia"/>
          <w:bCs/>
          <w:szCs w:val="21"/>
        </w:rPr>
        <w:t>加入10 mL高氯酸（3.3），</w:t>
      </w:r>
      <w:bookmarkStart w:id="5" w:name="OLE_LINK16"/>
      <w:r>
        <w:rPr>
          <w:rFonts w:hint="eastAsia" w:ascii="Times New Roman" w:cs="Times New Roman" w:hAnsiTheme="minorEastAsia"/>
          <w:bCs/>
          <w:szCs w:val="21"/>
        </w:rPr>
        <w:t>盖上表面皿，</w:t>
      </w:r>
      <w:r>
        <w:rPr>
          <w:rFonts w:hint="eastAsia" w:hAnsi="宋体"/>
          <w:bCs/>
          <w:szCs w:val="21"/>
        </w:rPr>
        <w:t>分解有机物至</w:t>
      </w:r>
      <w:r>
        <w:rPr>
          <w:rFonts w:hint="eastAsia" w:ascii="宋体" w:hAnsi="宋体"/>
          <w:bCs/>
          <w:szCs w:val="21"/>
        </w:rPr>
        <w:t>烧杯底部冒大量白烟。取下，</w:t>
      </w:r>
      <w:bookmarkEnd w:id="5"/>
      <w:r>
        <w:rPr>
          <w:rFonts w:hint="eastAsia" w:ascii="Times New Roman" w:cs="Times New Roman" w:hAnsiTheme="minorEastAsia"/>
          <w:bCs/>
          <w:szCs w:val="21"/>
        </w:rPr>
        <w:t>冷却，</w:t>
      </w:r>
      <w:r>
        <w:rPr>
          <w:rFonts w:hint="eastAsia" w:ascii="Times New Roman" w:cs="Times New Roman" w:hAnsiTheme="minorEastAsia"/>
          <w:bCs/>
          <w:szCs w:val="21"/>
          <w:lang w:eastAsia="zh-CN"/>
        </w:rPr>
        <w:t>用少量水</w:t>
      </w:r>
      <w:r>
        <w:rPr>
          <w:rFonts w:hint="eastAsia" w:ascii="Times New Roman" w:cs="Times New Roman" w:hAnsiTheme="minorEastAsia"/>
          <w:bCs/>
          <w:szCs w:val="21"/>
        </w:rPr>
        <w:t>冲洗表面皿及杯壁，加入2 mL盐酸（3.1）和300mL水，加热至约80℃</w:t>
      </w:r>
      <w:r>
        <w:rPr>
          <w:rFonts w:hint="eastAsia" w:ascii="Times New Roman" w:cs="Times New Roman" w:hAnsiTheme="minorEastAsia"/>
          <w:bCs/>
          <w:szCs w:val="21"/>
          <w:lang w:eastAsia="zh-CN"/>
        </w:rPr>
        <w:t>。</w:t>
      </w:r>
      <w:r>
        <w:rPr>
          <w:rFonts w:hint="eastAsia" w:ascii="Times New Roman" w:cs="Times New Roman" w:hAnsiTheme="minorEastAsia"/>
          <w:bCs/>
          <w:szCs w:val="21"/>
        </w:rPr>
        <w:t>取下，于搅拌下加入50 mL</w:t>
      </w:r>
      <w:r>
        <w:rPr>
          <w:rFonts w:hint="eastAsia"/>
          <w:szCs w:val="21"/>
        </w:rPr>
        <w:t>丁二酮肟乙醇</w:t>
      </w:r>
      <w:r>
        <w:rPr>
          <w:rFonts w:hint="eastAsia" w:ascii="Times New Roman" w:cs="Times New Roman" w:hAnsiTheme="minorEastAsia"/>
          <w:bCs/>
          <w:szCs w:val="21"/>
        </w:rPr>
        <w:t>溶液（3.6），在出现沉淀后继续搅拌3min，静置5h。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黑体" w:hAnsi="黑体" w:eastAsia="黑体" w:cs="Times New Roman"/>
          <w:bCs/>
          <w:szCs w:val="21"/>
        </w:rPr>
        <w:t>5</w:t>
      </w:r>
      <w:r>
        <w:rPr>
          <w:rFonts w:ascii="黑体" w:hAnsi="黑体" w:eastAsia="黑体" w:cs="Times New Roman"/>
          <w:bCs/>
          <w:szCs w:val="21"/>
        </w:rPr>
        <w:t xml:space="preserve">.3.2 </w:t>
      </w:r>
      <w:r>
        <w:rPr>
          <w:rFonts w:hint="eastAsia" w:ascii="宋体" w:hAnsi="宋体" w:eastAsia="宋体" w:cs="Times New Roman"/>
          <w:kern w:val="0"/>
          <w:szCs w:val="21"/>
        </w:rPr>
        <w:t>用</w:t>
      </w:r>
      <w:r>
        <w:rPr>
          <w:rFonts w:ascii="Times New Roman" w:hAnsi="宋体" w:eastAsia="宋体" w:cs="Times New Roman"/>
          <w:kern w:val="0"/>
          <w:szCs w:val="21"/>
        </w:rPr>
        <w:t>已恒重的</w:t>
      </w:r>
      <w:bookmarkStart w:id="6" w:name="OLE_LINK9"/>
      <w:r>
        <w:rPr>
          <w:rFonts w:hint="eastAsia" w:ascii="Times New Roman" w:hAnsi="宋体" w:eastAsia="宋体" w:cs="Times New Roman"/>
          <w:kern w:val="0"/>
          <w:szCs w:val="21"/>
        </w:rPr>
        <w:t>G4</w:t>
      </w:r>
      <w:r>
        <w:rPr>
          <w:rFonts w:ascii="Times New Roman" w:hAnsi="宋体" w:eastAsia="宋体" w:cs="Times New Roman"/>
          <w:kern w:val="0"/>
          <w:szCs w:val="21"/>
        </w:rPr>
        <w:t>玻璃</w:t>
      </w:r>
      <w:r>
        <w:rPr>
          <w:rFonts w:hint="eastAsia"/>
          <w:szCs w:val="21"/>
        </w:rPr>
        <w:t>砂芯</w:t>
      </w:r>
      <w:r>
        <w:rPr>
          <w:rFonts w:ascii="Times New Roman" w:hAnsi="宋体" w:eastAsia="宋体" w:cs="Times New Roman"/>
          <w:kern w:val="0"/>
          <w:szCs w:val="21"/>
        </w:rPr>
        <w:t>坩埚</w:t>
      </w:r>
      <w:bookmarkEnd w:id="6"/>
      <w:r>
        <w:rPr>
          <w:rFonts w:ascii="Times New Roman" w:hAnsi="宋体" w:eastAsia="宋体" w:cs="Times New Roman"/>
          <w:kern w:val="0"/>
          <w:szCs w:val="21"/>
        </w:rPr>
        <w:t>（</w:t>
      </w:r>
      <w:r>
        <w:rPr>
          <w:rFonts w:hint="eastAsia" w:ascii="Times New Roman" w:hAnsi="Times New Roman" w:eastAsia="宋体" w:cs="Times New Roman"/>
          <w:kern w:val="0"/>
          <w:szCs w:val="21"/>
        </w:rPr>
        <w:t>3.7</w:t>
      </w:r>
      <w:r>
        <w:rPr>
          <w:rFonts w:ascii="Times New Roman" w:hAnsi="宋体" w:eastAsia="宋体" w:cs="Times New Roman"/>
          <w:kern w:val="0"/>
          <w:szCs w:val="21"/>
        </w:rPr>
        <w:t>）</w:t>
      </w:r>
      <w:r>
        <w:rPr>
          <w:rFonts w:hint="eastAsia" w:ascii="Times New Roman" w:hAnsi="宋体" w:eastAsia="宋体" w:cs="Times New Roman"/>
          <w:kern w:val="0"/>
          <w:szCs w:val="21"/>
        </w:rPr>
        <w:t>抽滤</w:t>
      </w:r>
      <w:r>
        <w:rPr>
          <w:rFonts w:hint="eastAsia"/>
          <w:szCs w:val="21"/>
        </w:rPr>
        <w:t>丁二酮肟</w:t>
      </w:r>
      <w:r>
        <w:rPr>
          <w:rFonts w:hint="eastAsia" w:ascii="宋体" w:hAnsi="宋体" w:eastAsia="宋体" w:cs="Times New Roman"/>
          <w:kern w:val="0"/>
          <w:szCs w:val="21"/>
        </w:rPr>
        <w:t>钯沉淀</w:t>
      </w:r>
      <w:r>
        <w:rPr>
          <w:rFonts w:ascii="Times New Roman" w:hAnsi="宋体" w:eastAsia="宋体" w:cs="Times New Roman"/>
          <w:kern w:val="0"/>
          <w:szCs w:val="21"/>
        </w:rPr>
        <w:t>，用盐酸（</w:t>
      </w:r>
      <w:r>
        <w:rPr>
          <w:rFonts w:hint="eastAsia" w:ascii="Times New Roman" w:hAnsi="Times New Roman" w:eastAsia="宋体" w:cs="Times New Roman"/>
          <w:kern w:val="0"/>
          <w:szCs w:val="21"/>
        </w:rPr>
        <w:t>3.5</w:t>
      </w:r>
      <w:r>
        <w:rPr>
          <w:rFonts w:ascii="Times New Roman" w:hAnsi="宋体" w:eastAsia="宋体" w:cs="Times New Roman"/>
          <w:kern w:val="0"/>
          <w:szCs w:val="21"/>
        </w:rPr>
        <w:t>）洗涤烧杯</w:t>
      </w:r>
      <w:r>
        <w:rPr>
          <w:rFonts w:hint="eastAsia" w:ascii="Times New Roman" w:hAnsi="宋体"/>
          <w:kern w:val="0"/>
          <w:szCs w:val="21"/>
        </w:rPr>
        <w:t>（并用带橡皮头的玻璃棒擦烧杯边沿）</w:t>
      </w:r>
      <w:r>
        <w:rPr>
          <w:rFonts w:ascii="Times New Roman" w:hAnsi="宋体" w:eastAsia="宋体" w:cs="Times New Roman"/>
          <w:kern w:val="0"/>
          <w:szCs w:val="21"/>
        </w:rPr>
        <w:t>及沉淀各</w:t>
      </w:r>
      <w:r>
        <w:rPr>
          <w:rFonts w:ascii="Times New Roman" w:hAnsi="Times New Roman" w:eastAsia="宋体" w:cs="Times New Roman"/>
          <w:kern w:val="0"/>
          <w:szCs w:val="21"/>
        </w:rPr>
        <w:t>10</w:t>
      </w:r>
      <w:r>
        <w:rPr>
          <w:rFonts w:ascii="Times New Roman" w:hAnsi="宋体" w:eastAsia="宋体" w:cs="Times New Roman"/>
          <w:kern w:val="0"/>
          <w:szCs w:val="21"/>
        </w:rPr>
        <w:t>次，</w:t>
      </w:r>
      <w:r>
        <w:rPr>
          <w:rFonts w:ascii="Times New Roman"/>
          <w:color w:val="auto"/>
          <w:szCs w:val="21"/>
        </w:rPr>
        <w:t>每次约</w:t>
      </w:r>
      <w:r>
        <w:rPr>
          <w:rFonts w:ascii="Times New Roman" w:hAnsi="Times New Roman"/>
          <w:color w:val="auto"/>
          <w:szCs w:val="21"/>
        </w:rPr>
        <w:t>10 mL</w:t>
      </w:r>
      <w:r>
        <w:rPr>
          <w:rFonts w:ascii="Times New Roman" w:hAnsi="宋体" w:eastAsia="宋体" w:cs="Times New Roman"/>
          <w:kern w:val="0"/>
          <w:szCs w:val="21"/>
        </w:rPr>
        <w:t>，用约</w:t>
      </w:r>
      <w:r>
        <w:rPr>
          <w:rFonts w:hint="eastAsia" w:ascii="Times New Roman" w:hAnsi="宋体" w:eastAsia="宋体" w:cs="Times New Roman"/>
          <w:kern w:val="0"/>
          <w:szCs w:val="21"/>
        </w:rPr>
        <w:t>60</w:t>
      </w:r>
      <w:r>
        <w:rPr>
          <w:rFonts w:ascii="Times New Roman" w:hAnsi="宋体" w:eastAsia="宋体" w:cs="Times New Roman"/>
          <w:kern w:val="0"/>
          <w:szCs w:val="21"/>
        </w:rPr>
        <w:t>℃</w:t>
      </w:r>
      <w:r>
        <w:rPr>
          <w:rFonts w:hint="eastAsia" w:ascii="宋体" w:hAnsi="宋体" w:eastAsia="宋体"/>
          <w:b/>
          <w:szCs w:val="21"/>
        </w:rPr>
        <w:t>～</w:t>
      </w: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>70</w:t>
      </w:r>
      <w:r>
        <w:rPr>
          <w:rFonts w:ascii="Times New Roman" w:hAnsi="宋体" w:eastAsia="宋体" w:cs="Times New Roman"/>
          <w:kern w:val="0"/>
          <w:szCs w:val="21"/>
        </w:rPr>
        <w:t>℃的热水洗涤烧杯及沉淀各</w:t>
      </w:r>
      <w:r>
        <w:rPr>
          <w:rFonts w:ascii="Times New Roman" w:hAnsi="Times New Roman" w:eastAsia="宋体" w:cs="Times New Roman"/>
          <w:kern w:val="0"/>
          <w:szCs w:val="21"/>
        </w:rPr>
        <w:t>5</w:t>
      </w:r>
      <w:r>
        <w:rPr>
          <w:rFonts w:ascii="Times New Roman" w:hAnsi="宋体" w:eastAsia="宋体" w:cs="Times New Roman"/>
          <w:kern w:val="0"/>
          <w:szCs w:val="21"/>
        </w:rPr>
        <w:t>次。</w:t>
      </w:r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黑体" w:hAnsi="黑体" w:eastAsia="黑体" w:cs="Times New Roman"/>
          <w:bCs/>
          <w:szCs w:val="21"/>
        </w:rPr>
        <w:t>5.3.3</w:t>
      </w:r>
      <w:r>
        <w:rPr>
          <w:rFonts w:hint="eastAsia" w:ascii="Times New Roman" w:hAnsi="Times New Roman" w:eastAsia="宋体" w:cs="Times New Roman"/>
          <w:kern w:val="0"/>
          <w:szCs w:val="21"/>
        </w:rPr>
        <w:t>将</w:t>
      </w:r>
      <w:r>
        <w:rPr>
          <w:rFonts w:ascii="Times New Roman" w:hAnsi="宋体" w:eastAsia="宋体" w:cs="Times New Roman"/>
          <w:kern w:val="0"/>
          <w:szCs w:val="21"/>
        </w:rPr>
        <w:t>玻璃</w:t>
      </w:r>
      <w:r>
        <w:rPr>
          <w:rFonts w:hint="eastAsia"/>
          <w:szCs w:val="21"/>
        </w:rPr>
        <w:t>砂芯</w:t>
      </w:r>
      <w:r>
        <w:rPr>
          <w:rFonts w:ascii="Times New Roman" w:hAnsi="宋体" w:eastAsia="宋体" w:cs="Times New Roman"/>
          <w:kern w:val="0"/>
          <w:szCs w:val="21"/>
        </w:rPr>
        <w:t>坩埚</w:t>
      </w:r>
      <w:r>
        <w:rPr>
          <w:rFonts w:hint="eastAsia" w:ascii="Times New Roman" w:hAnsi="Times New Roman" w:eastAsia="宋体" w:cs="Times New Roman"/>
          <w:kern w:val="0"/>
          <w:szCs w:val="21"/>
        </w:rPr>
        <w:t>于已恒温110℃的干燥箱中烘干2h取出，置于干燥器中冷却30 min后称取质量，直至恒重。</w:t>
      </w:r>
    </w:p>
    <w:bookmarkEnd w:id="4"/>
    <w:p>
      <w:pPr>
        <w:pStyle w:val="27"/>
        <w:numPr>
          <w:ilvl w:val="1"/>
          <w:numId w:val="0"/>
        </w:numPr>
        <w:spacing w:before="156" w:after="156"/>
        <w:rPr>
          <w:rFonts w:hAnsi="宋体"/>
          <w:szCs w:val="21"/>
        </w:rPr>
      </w:pPr>
      <w:r>
        <w:rPr>
          <w:rFonts w:hint="eastAsia" w:hAnsi="宋体"/>
          <w:szCs w:val="21"/>
        </w:rPr>
        <w:t>6 分析结果的计算</w:t>
      </w:r>
    </w:p>
    <w:p>
      <w:pPr>
        <w:pStyle w:val="15"/>
        <w:tabs>
          <w:tab w:val="left" w:pos="7155"/>
        </w:tabs>
        <w:spacing w:before="0" w:line="240" w:lineRule="auto"/>
        <w:jc w:val="both"/>
        <w:rPr>
          <w:sz w:val="21"/>
          <w:szCs w:val="21"/>
        </w:rPr>
      </w:pPr>
      <w:r>
        <w:rPr>
          <w:rFonts w:hint="eastAsia" w:ascii="宋体" w:hAnsi="宋体"/>
          <w:sz w:val="21"/>
          <w:szCs w:val="21"/>
          <w:lang w:eastAsia="zh-CN"/>
        </w:rPr>
        <w:t>钯含量以钯的质量分数</w:t>
      </w:r>
      <w:r>
        <w:rPr>
          <w:rFonts w:hint="eastAsia"/>
          <w:i/>
          <w:sz w:val="21"/>
          <w:szCs w:val="21"/>
        </w:rPr>
        <w:t>w</w:t>
      </w:r>
      <w:r>
        <w:rPr>
          <w:rFonts w:hint="eastAsia" w:ascii="宋体" w:hAnsi="宋体"/>
          <w:sz w:val="21"/>
          <w:szCs w:val="21"/>
          <w:vertAlign w:val="subscript"/>
        </w:rPr>
        <w:t>Pd</w:t>
      </w:r>
      <w:r>
        <w:rPr>
          <w:rFonts w:hint="eastAsia" w:ascii="宋体" w:hAnsi="宋体"/>
          <w:sz w:val="21"/>
          <w:szCs w:val="21"/>
          <w:vertAlign w:val="baseline"/>
          <w:lang w:eastAsia="zh-CN"/>
        </w:rPr>
        <w:t>计</w:t>
      </w:r>
      <w:r>
        <w:rPr>
          <w:rFonts w:hAnsi="宋体"/>
        </w:rPr>
        <w:t>，</w:t>
      </w:r>
      <w:r>
        <w:rPr>
          <w:rFonts w:hint="eastAsia" w:ascii="宋体" w:hAnsi="宋体"/>
          <w:sz w:val="21"/>
          <w:szCs w:val="21"/>
          <w:lang w:eastAsia="zh-CN"/>
        </w:rPr>
        <w:t>按公式（</w:t>
      </w:r>
      <w:r>
        <w:rPr>
          <w:rFonts w:hint="eastAsia" w:ascii="宋体" w:hAnsi="宋体"/>
          <w:sz w:val="21"/>
          <w:szCs w:val="21"/>
          <w:lang w:val="en-US" w:eastAsia="zh-CN"/>
        </w:rPr>
        <w:t>1</w:t>
      </w:r>
      <w:r>
        <w:rPr>
          <w:rFonts w:hint="eastAsia" w:ascii="宋体" w:hAnsi="宋体"/>
          <w:sz w:val="21"/>
          <w:szCs w:val="21"/>
          <w:lang w:eastAsia="zh-CN"/>
        </w:rPr>
        <w:t>）计算</w:t>
      </w:r>
      <w:r>
        <w:rPr>
          <w:rFonts w:hint="eastAsia"/>
          <w:sz w:val="21"/>
          <w:szCs w:val="21"/>
        </w:rPr>
        <w:t>：</w:t>
      </w:r>
    </w:p>
    <w:p>
      <w:pPr>
        <w:pStyle w:val="15"/>
        <w:tabs>
          <w:tab w:val="left" w:pos="7155"/>
        </w:tabs>
        <w:spacing w:before="0" w:line="240" w:lineRule="auto"/>
        <w:jc w:val="right"/>
        <w:rPr>
          <w:sz w:val="21"/>
          <w:szCs w:val="21"/>
        </w:rPr>
      </w:pPr>
      <w:bookmarkStart w:id="7" w:name="OLE_LINK24"/>
      <w:r>
        <w:rPr>
          <w:position w:val="-30"/>
        </w:rPr>
        <w:object>
          <v:shape id="_x0000_i1025" o:spt="75" type="#_x0000_t75" style="height:34.25pt;width:157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5">
            <o:LockedField>false</o:LockedField>
          </o:OLEObject>
        </w:object>
      </w:r>
      <w:r>
        <w:rPr>
          <w:rFonts w:hint="eastAsia"/>
          <w:sz w:val="21"/>
          <w:szCs w:val="21"/>
        </w:rPr>
        <w:t>……………………………（1）</w:t>
      </w:r>
    </w:p>
    <w:bookmarkEnd w:id="7"/>
    <w:p>
      <w:pPr>
        <w:ind w:firstLine="424" w:firstLineChars="202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式中：</w:t>
      </w:r>
    </w:p>
    <w:p>
      <w:pPr>
        <w:spacing w:beforeLines="50" w:afterLines="50"/>
        <w:ind w:firstLine="424" w:firstLineChars="202"/>
        <w:jc w:val="left"/>
        <w:rPr>
          <w:rFonts w:cs="宋体"/>
          <w:szCs w:val="21"/>
        </w:rPr>
      </w:pPr>
      <w:bookmarkStart w:id="8" w:name="OLE_LINK13"/>
      <w:bookmarkStart w:id="9" w:name="OLE_LINK12"/>
      <w:bookmarkStart w:id="10" w:name="OLE_LINK25"/>
      <w:r>
        <w:rPr>
          <w:rFonts w:ascii="Times New Roman" w:hAnsi="Times New Roman" w:eastAsia="宋体" w:cs="Times New Roman"/>
          <w:i/>
          <w:iCs/>
          <w:szCs w:val="21"/>
        </w:rPr>
        <w:t>m</w:t>
      </w:r>
      <w:r>
        <w:rPr>
          <w:rFonts w:ascii="宋体" w:hAnsi="宋体" w:eastAsia="宋体" w:cs="宋体"/>
          <w:iCs/>
          <w:szCs w:val="21"/>
          <w:vertAlign w:val="subscript"/>
        </w:rPr>
        <w:t>2</w:t>
      </w:r>
      <w:bookmarkEnd w:id="8"/>
      <w:bookmarkStart w:id="11" w:name="OLE_LINK17"/>
      <w:r>
        <w:rPr>
          <w:rFonts w:hint="eastAsia" w:cs="宋体"/>
          <w:szCs w:val="21"/>
        </w:rPr>
        <w:t>—</w:t>
      </w:r>
      <w:bookmarkStart w:id="12" w:name="OLE_LINK11"/>
      <w:r>
        <w:rPr>
          <w:rFonts w:hint="eastAsia" w:cs="宋体"/>
          <w:szCs w:val="21"/>
        </w:rPr>
        <w:t>—</w:t>
      </w:r>
      <w:bookmarkEnd w:id="11"/>
      <w:r>
        <w:rPr>
          <w:rFonts w:hint="eastAsia" w:cs="宋体"/>
          <w:szCs w:val="21"/>
        </w:rPr>
        <w:t>丁二酮肟钯和玻璃砂芯坩埚的质量，单位为克（g）；</w:t>
      </w:r>
      <w:bookmarkEnd w:id="12"/>
    </w:p>
    <w:p>
      <w:pPr>
        <w:spacing w:beforeLines="50" w:afterLines="50"/>
        <w:ind w:firstLine="424" w:firstLineChars="202"/>
        <w:jc w:val="left"/>
        <w:rPr>
          <w:rFonts w:cs="宋体"/>
          <w:szCs w:val="21"/>
        </w:rPr>
      </w:pPr>
      <w:bookmarkStart w:id="13" w:name="OLE_LINK10"/>
      <w:bookmarkStart w:id="14" w:name="OLE_LINK8"/>
      <w:r>
        <w:rPr>
          <w:rFonts w:ascii="Times New Roman" w:hAnsi="Times New Roman" w:eastAsia="宋体" w:cs="Times New Roman"/>
          <w:i/>
          <w:iCs/>
          <w:szCs w:val="21"/>
        </w:rPr>
        <w:t>m</w:t>
      </w:r>
      <w:r>
        <w:rPr>
          <w:rFonts w:ascii="宋体" w:hAnsi="宋体" w:eastAsia="宋体" w:cs="宋体"/>
          <w:iCs/>
          <w:szCs w:val="21"/>
          <w:vertAlign w:val="subscript"/>
        </w:rPr>
        <w:t>1</w:t>
      </w:r>
      <w:bookmarkEnd w:id="13"/>
      <w:bookmarkStart w:id="15" w:name="OLE_LINK14"/>
      <w:r>
        <w:rPr>
          <w:rFonts w:hint="eastAsia" w:cs="宋体"/>
          <w:szCs w:val="21"/>
        </w:rPr>
        <w:t>——</w:t>
      </w:r>
      <w:bookmarkEnd w:id="15"/>
      <w:r>
        <w:rPr>
          <w:rFonts w:hint="eastAsia" w:cs="宋体"/>
          <w:szCs w:val="21"/>
        </w:rPr>
        <w:t>玻璃砂芯坩埚的质量，单位为克（g）；</w:t>
      </w:r>
    </w:p>
    <w:bookmarkEnd w:id="9"/>
    <w:bookmarkEnd w:id="14"/>
    <w:p>
      <w:pPr>
        <w:spacing w:beforeLines="50" w:afterLines="50"/>
        <w:ind w:firstLine="424" w:firstLineChars="202"/>
        <w:jc w:val="left"/>
        <w:rPr>
          <w:rFonts w:cs="宋体"/>
          <w:szCs w:val="21"/>
        </w:rPr>
      </w:pPr>
      <w:r>
        <w:rPr>
          <w:rFonts w:ascii="Times New Roman" w:hAnsi="Times New Roman" w:cs="Times New Roman"/>
          <w:i/>
          <w:iCs/>
          <w:szCs w:val="21"/>
        </w:rPr>
        <w:t>m</w:t>
      </w:r>
      <w:r>
        <w:rPr>
          <w:rFonts w:cs="宋体"/>
          <w:iCs/>
          <w:szCs w:val="21"/>
          <w:vertAlign w:val="subscript"/>
        </w:rPr>
        <w:t>0</w:t>
      </w:r>
      <w:bookmarkStart w:id="16" w:name="OLE_LINK15"/>
      <w:r>
        <w:rPr>
          <w:rFonts w:hint="eastAsia" w:cs="宋体"/>
          <w:szCs w:val="21"/>
        </w:rPr>
        <w:t>——试料的质量</w:t>
      </w:r>
      <w:bookmarkEnd w:id="16"/>
      <w:r>
        <w:rPr>
          <w:rFonts w:hint="eastAsia" w:cs="宋体"/>
          <w:szCs w:val="21"/>
        </w:rPr>
        <w:t>，单位为克（g）；</w:t>
      </w:r>
    </w:p>
    <w:p>
      <w:pPr>
        <w:spacing w:beforeLines="50" w:afterLines="50"/>
        <w:ind w:firstLine="424" w:firstLineChars="202"/>
        <w:jc w:val="left"/>
        <w:rPr>
          <w:rFonts w:cs="宋体"/>
          <w:szCs w:val="21"/>
        </w:rPr>
      </w:pPr>
      <w:r>
        <w:rPr>
          <w:rFonts w:cs="宋体"/>
          <w:iCs/>
          <w:szCs w:val="21"/>
        </w:rPr>
        <w:t>0.3161</w:t>
      </w:r>
      <w:r>
        <w:rPr>
          <w:rFonts w:hint="eastAsia" w:cs="宋体"/>
          <w:szCs w:val="21"/>
        </w:rPr>
        <w:t>——丁二酮肟钯对钯的质量换算系数。</w:t>
      </w:r>
    </w:p>
    <w:p>
      <w:pPr>
        <w:spacing w:beforeLines="50" w:afterLines="50"/>
        <w:ind w:firstLine="424" w:firstLineChars="202"/>
        <w:jc w:val="left"/>
        <w:rPr>
          <w:rFonts w:cs="宋体"/>
          <w:szCs w:val="21"/>
        </w:rPr>
      </w:pPr>
      <w:r>
        <w:rPr>
          <w:rFonts w:hint="eastAsia" w:cs="宋体"/>
          <w:szCs w:val="21"/>
        </w:rPr>
        <w:t>分析结果保留至小数点后两位。</w:t>
      </w:r>
    </w:p>
    <w:bookmarkEnd w:id="10"/>
    <w:p>
      <w:pPr>
        <w:pStyle w:val="27"/>
        <w:numPr>
          <w:ilvl w:val="1"/>
          <w:numId w:val="0"/>
        </w:numPr>
        <w:spacing w:before="156" w:after="156"/>
        <w:rPr>
          <w:rFonts w:hAnsi="宋体"/>
          <w:szCs w:val="21"/>
        </w:rPr>
      </w:pPr>
      <w:r>
        <w:rPr>
          <w:rFonts w:hint="eastAsia" w:hAnsi="宋体"/>
          <w:szCs w:val="21"/>
        </w:rPr>
        <w:t>7  精密度</w:t>
      </w:r>
    </w:p>
    <w:p>
      <w:pPr>
        <w:pStyle w:val="27"/>
        <w:numPr>
          <w:ilvl w:val="1"/>
          <w:numId w:val="0"/>
        </w:numPr>
        <w:spacing w:beforeLines="0" w:afterLines="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7</w:t>
      </w:r>
      <w:r>
        <w:rPr>
          <w:color w:val="000000"/>
          <w:szCs w:val="21"/>
        </w:rPr>
        <w:t xml:space="preserve">.1 </w:t>
      </w:r>
      <w:r>
        <w:rPr>
          <w:rFonts w:hint="eastAsia"/>
          <w:color w:val="000000"/>
          <w:szCs w:val="21"/>
        </w:rPr>
        <w:t>重复性</w:t>
      </w:r>
    </w:p>
    <w:p>
      <w:pPr>
        <w:spacing w:beforeLines="50" w:afterLines="50"/>
        <w:ind w:firstLine="424" w:firstLineChars="202"/>
        <w:jc w:val="left"/>
        <w:rPr>
          <w:rFonts w:cs="宋体"/>
          <w:szCs w:val="21"/>
        </w:rPr>
      </w:pPr>
      <w:r>
        <w:rPr>
          <w:rFonts w:hint="eastAsia" w:cs="宋体"/>
          <w:szCs w:val="21"/>
        </w:rPr>
        <w:t>在重复性条件下获得的两次独立测试结果的测定值，在以下给出的平均值范围内，这两个测试结果的绝对差值不超过重复性限</w:t>
      </w:r>
      <w:r>
        <w:rPr>
          <w:szCs w:val="21"/>
        </w:rPr>
        <w:t>(r)</w:t>
      </w:r>
      <w:r>
        <w:rPr>
          <w:rFonts w:hint="eastAsia" w:cs="宋体"/>
          <w:szCs w:val="21"/>
        </w:rPr>
        <w:t>，以大于重复性限</w:t>
      </w:r>
      <w:r>
        <w:rPr>
          <w:szCs w:val="21"/>
        </w:rPr>
        <w:t>(r)</w:t>
      </w:r>
      <w:r>
        <w:rPr>
          <w:rFonts w:hint="eastAsia" w:cs="宋体"/>
          <w:szCs w:val="21"/>
        </w:rPr>
        <w:t>的情况不超过</w:t>
      </w:r>
      <w:r>
        <w:rPr>
          <w:szCs w:val="21"/>
        </w:rPr>
        <w:t>5%</w:t>
      </w:r>
      <w:r>
        <w:rPr>
          <w:rFonts w:hint="eastAsia" w:cs="宋体"/>
          <w:szCs w:val="21"/>
        </w:rPr>
        <w:t>。重复性限（</w:t>
      </w:r>
      <w:r>
        <w:rPr>
          <w:szCs w:val="21"/>
        </w:rPr>
        <w:t>r</w:t>
      </w:r>
      <w:r>
        <w:rPr>
          <w:rFonts w:hint="eastAsia" w:cs="宋体"/>
          <w:szCs w:val="21"/>
        </w:rPr>
        <w:t>）按表</w:t>
      </w:r>
      <w:r>
        <w:rPr>
          <w:szCs w:val="21"/>
        </w:rPr>
        <w:t>1</w:t>
      </w:r>
      <w:r>
        <w:rPr>
          <w:rFonts w:hint="eastAsia" w:cs="宋体"/>
          <w:szCs w:val="21"/>
        </w:rPr>
        <w:t>采用线性内插法或外延法求得。</w:t>
      </w:r>
    </w:p>
    <w:p>
      <w:pPr>
        <w:spacing w:beforeLines="50" w:afterLines="50"/>
        <w:jc w:val="center"/>
        <w:rPr>
          <w:rFonts w:ascii="黑体" w:hAnsi="黑体" w:eastAsia="黑体"/>
          <w:b w:val="0"/>
          <w:szCs w:val="21"/>
        </w:rPr>
      </w:pPr>
      <w:bookmarkStart w:id="17" w:name="OLE_LINK22"/>
      <w:r>
        <w:rPr>
          <w:rFonts w:hint="eastAsia" w:ascii="黑体" w:hAnsi="黑体" w:eastAsia="黑体"/>
          <w:b w:val="0"/>
          <w:szCs w:val="21"/>
        </w:rPr>
        <w:t>表</w:t>
      </w:r>
      <w:r>
        <w:rPr>
          <w:rFonts w:ascii="黑体" w:hAnsi="黑体" w:eastAsia="黑体"/>
          <w:b w:val="0"/>
          <w:szCs w:val="21"/>
        </w:rPr>
        <w:t>1</w:t>
      </w:r>
      <w:r>
        <w:rPr>
          <w:rFonts w:hint="eastAsia" w:ascii="黑体" w:hAnsi="黑体" w:eastAsia="黑体"/>
          <w:b w:val="0"/>
          <w:szCs w:val="21"/>
        </w:rPr>
        <w:t>重复性限</w:t>
      </w:r>
    </w:p>
    <w:tbl>
      <w:tblPr>
        <w:tblStyle w:val="11"/>
        <w:tblW w:w="852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0"/>
        <w:gridCol w:w="21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iCs/>
                <w:sz w:val="18"/>
                <w:szCs w:val="18"/>
              </w:rPr>
              <w:t>钯的质量分数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/%</w:t>
            </w:r>
          </w:p>
        </w:tc>
        <w:tc>
          <w:tcPr>
            <w:tcW w:w="213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17.32</w:t>
            </w:r>
          </w:p>
        </w:tc>
        <w:tc>
          <w:tcPr>
            <w:tcW w:w="213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17.61</w:t>
            </w:r>
          </w:p>
        </w:tc>
        <w:tc>
          <w:tcPr>
            <w:tcW w:w="213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18.24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iCs/>
                <w:sz w:val="18"/>
                <w:szCs w:val="18"/>
              </w:rPr>
              <w:t>重复性限（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r</w:t>
            </w:r>
            <w:r>
              <w:rPr>
                <w:rFonts w:hint="eastAsia" w:ascii="Times New Roman" w:hAnsi="Times New Roman" w:cs="Times New Roman"/>
                <w:iCs/>
                <w:sz w:val="18"/>
                <w:szCs w:val="18"/>
              </w:rPr>
              <w:t>）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/%</w:t>
            </w:r>
          </w:p>
        </w:tc>
        <w:tc>
          <w:tcPr>
            <w:tcW w:w="213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0.05</w:t>
            </w:r>
          </w:p>
        </w:tc>
        <w:tc>
          <w:tcPr>
            <w:tcW w:w="213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0.08</w:t>
            </w:r>
          </w:p>
        </w:tc>
        <w:tc>
          <w:tcPr>
            <w:tcW w:w="213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0.13</w:t>
            </w:r>
          </w:p>
        </w:tc>
      </w:tr>
      <w:bookmarkEnd w:id="17"/>
    </w:tbl>
    <w:p>
      <w:pPr>
        <w:pStyle w:val="27"/>
        <w:numPr>
          <w:ilvl w:val="1"/>
          <w:numId w:val="0"/>
        </w:numPr>
        <w:spacing w:beforeLines="0" w:afterLines="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7</w:t>
      </w:r>
      <w:r>
        <w:rPr>
          <w:color w:val="000000"/>
          <w:szCs w:val="21"/>
        </w:rPr>
        <w:t>.2</w:t>
      </w:r>
      <w:bookmarkStart w:id="18" w:name="OLE_LINK21"/>
      <w:r>
        <w:rPr>
          <w:rFonts w:hint="eastAsia"/>
          <w:color w:val="000000"/>
          <w:szCs w:val="21"/>
        </w:rPr>
        <w:t>再现性</w:t>
      </w:r>
    </w:p>
    <w:p>
      <w:pPr>
        <w:pStyle w:val="15"/>
        <w:tabs>
          <w:tab w:val="left" w:pos="7155"/>
        </w:tabs>
        <w:spacing w:before="0" w:line="240" w:lineRule="auto"/>
        <w:ind w:firstLine="424" w:firstLineChars="202"/>
        <w:jc w:val="both"/>
        <w:rPr>
          <w:sz w:val="21"/>
          <w:szCs w:val="21"/>
        </w:rPr>
      </w:pPr>
      <w:r>
        <w:rPr>
          <w:rFonts w:hint="eastAsia" w:cs="宋体"/>
          <w:sz w:val="21"/>
          <w:szCs w:val="21"/>
        </w:rPr>
        <w:t>在再现性条件下获得的两次独立测试结果的测定值，在以下给出的平均值范围内，这两个测试结果的绝对差值不超过再现性限（</w:t>
      </w:r>
      <w:r>
        <w:rPr>
          <w:sz w:val="21"/>
          <w:szCs w:val="21"/>
        </w:rPr>
        <w:t>R</w:t>
      </w:r>
      <w:r>
        <w:rPr>
          <w:rFonts w:hint="eastAsia" w:cs="宋体"/>
          <w:sz w:val="21"/>
          <w:szCs w:val="21"/>
        </w:rPr>
        <w:t>），超过再现性限（</w:t>
      </w:r>
      <w:r>
        <w:rPr>
          <w:sz w:val="21"/>
          <w:szCs w:val="21"/>
        </w:rPr>
        <w:t>R</w:t>
      </w:r>
      <w:r>
        <w:rPr>
          <w:rFonts w:hint="eastAsia" w:cs="宋体"/>
          <w:sz w:val="21"/>
          <w:szCs w:val="21"/>
        </w:rPr>
        <w:t>）的情况不超过</w:t>
      </w:r>
      <w:r>
        <w:rPr>
          <w:sz w:val="21"/>
          <w:szCs w:val="21"/>
        </w:rPr>
        <w:t>5%</w:t>
      </w:r>
      <w:r>
        <w:rPr>
          <w:rFonts w:hint="eastAsia" w:cs="宋体"/>
          <w:sz w:val="21"/>
          <w:szCs w:val="21"/>
        </w:rPr>
        <w:t>，再现性限（</w:t>
      </w:r>
      <w:r>
        <w:rPr>
          <w:sz w:val="21"/>
          <w:szCs w:val="21"/>
        </w:rPr>
        <w:t>R</w:t>
      </w:r>
      <w:r>
        <w:rPr>
          <w:rFonts w:hint="eastAsia" w:cs="宋体"/>
          <w:sz w:val="21"/>
          <w:szCs w:val="21"/>
        </w:rPr>
        <w:t>）按表</w:t>
      </w:r>
      <w:r>
        <w:rPr>
          <w:sz w:val="21"/>
          <w:szCs w:val="21"/>
        </w:rPr>
        <w:t>2</w:t>
      </w:r>
      <w:r>
        <w:rPr>
          <w:rFonts w:hint="eastAsia" w:cs="宋体"/>
          <w:sz w:val="21"/>
          <w:szCs w:val="21"/>
        </w:rPr>
        <w:t>数据采用线性内插法或外延法求得。</w:t>
      </w:r>
    </w:p>
    <w:p>
      <w:pPr>
        <w:spacing w:beforeLines="50" w:afterLines="50"/>
        <w:jc w:val="center"/>
        <w:rPr>
          <w:rFonts w:ascii="黑体" w:hAnsi="黑体" w:eastAsia="黑体"/>
          <w:b w:val="0"/>
          <w:szCs w:val="21"/>
        </w:rPr>
      </w:pPr>
      <w:bookmarkStart w:id="19" w:name="OLE_LINK23"/>
      <w:r>
        <w:rPr>
          <w:rFonts w:hint="eastAsia" w:ascii="黑体" w:hAnsi="黑体" w:eastAsia="黑体"/>
          <w:b w:val="0"/>
          <w:szCs w:val="21"/>
        </w:rPr>
        <w:t>表</w:t>
      </w:r>
      <w:r>
        <w:rPr>
          <w:rFonts w:ascii="黑体" w:hAnsi="黑体" w:eastAsia="黑体"/>
          <w:b w:val="0"/>
          <w:szCs w:val="21"/>
        </w:rPr>
        <w:t xml:space="preserve">2 </w:t>
      </w:r>
      <w:r>
        <w:rPr>
          <w:rFonts w:hint="eastAsia" w:ascii="黑体" w:hAnsi="黑体" w:eastAsia="黑体"/>
          <w:b w:val="0"/>
          <w:szCs w:val="21"/>
        </w:rPr>
        <w:t>再现性限</w:t>
      </w:r>
    </w:p>
    <w:tbl>
      <w:tblPr>
        <w:tblStyle w:val="11"/>
        <w:tblW w:w="852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0"/>
        <w:gridCol w:w="21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iCs/>
                <w:sz w:val="18"/>
                <w:szCs w:val="18"/>
              </w:rPr>
              <w:t>钯的质量分数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/%</w:t>
            </w:r>
          </w:p>
        </w:tc>
        <w:tc>
          <w:tcPr>
            <w:tcW w:w="213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17.32</w:t>
            </w:r>
          </w:p>
        </w:tc>
        <w:tc>
          <w:tcPr>
            <w:tcW w:w="213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17.61</w:t>
            </w:r>
          </w:p>
        </w:tc>
        <w:tc>
          <w:tcPr>
            <w:tcW w:w="213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18.24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8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iCs/>
                <w:sz w:val="18"/>
                <w:szCs w:val="18"/>
              </w:rPr>
              <w:t>再现性限（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R</w:t>
            </w:r>
            <w:r>
              <w:rPr>
                <w:rFonts w:hint="eastAsia" w:ascii="Times New Roman" w:hAnsi="Times New Roman" w:cs="Times New Roman"/>
                <w:iCs/>
                <w:sz w:val="18"/>
                <w:szCs w:val="18"/>
              </w:rPr>
              <w:t>）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/%</w:t>
            </w:r>
          </w:p>
        </w:tc>
        <w:tc>
          <w:tcPr>
            <w:tcW w:w="2130" w:type="dxa"/>
            <w:tcBorders>
              <w:top w:val="single" w:color="auto" w:sz="8" w:space="0"/>
            </w:tcBorders>
          </w:tcPr>
          <w:p>
            <w:pPr>
              <w:jc w:val="center"/>
              <w:rPr>
                <w:rFonts w:hint="eastAsia" w:ascii="Times New Roman" w:hAnsi="Times New Roman" w:eastAsiaTheme="minor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0.09</w:t>
            </w:r>
          </w:p>
        </w:tc>
        <w:tc>
          <w:tcPr>
            <w:tcW w:w="2130" w:type="dxa"/>
            <w:tcBorders>
              <w:top w:val="single" w:color="auto" w:sz="8" w:space="0"/>
            </w:tcBorders>
          </w:tcPr>
          <w:p>
            <w:pPr>
              <w:jc w:val="center"/>
              <w:rPr>
                <w:rFonts w:hint="eastAsia" w:ascii="Times New Roman" w:hAnsi="Times New Roman" w:eastAsiaTheme="minor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0.13</w:t>
            </w:r>
          </w:p>
        </w:tc>
        <w:tc>
          <w:tcPr>
            <w:tcW w:w="2130" w:type="dxa"/>
            <w:tcBorders>
              <w:top w:val="single" w:color="auto" w:sz="8" w:space="0"/>
            </w:tcBorders>
          </w:tcPr>
          <w:p>
            <w:pPr>
              <w:jc w:val="center"/>
              <w:rPr>
                <w:rFonts w:hint="eastAsia" w:ascii="Times New Roman" w:hAnsi="Times New Roman" w:eastAsiaTheme="minor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0.17</w:t>
            </w:r>
          </w:p>
        </w:tc>
      </w:tr>
      <w:bookmarkEnd w:id="18"/>
      <w:bookmarkEnd w:id="19"/>
    </w:tbl>
    <w:p>
      <w:pPr>
        <w:pStyle w:val="27"/>
        <w:numPr>
          <w:ilvl w:val="1"/>
          <w:numId w:val="0"/>
        </w:numPr>
        <w:spacing w:before="156" w:after="156"/>
        <w:rPr>
          <w:rFonts w:hAnsi="宋体"/>
          <w:szCs w:val="21"/>
        </w:rPr>
      </w:pPr>
      <w:r>
        <w:rPr>
          <w:rFonts w:hint="eastAsia" w:hAnsi="宋体"/>
          <w:szCs w:val="21"/>
        </w:rPr>
        <w:t>8  试验报告</w:t>
      </w:r>
    </w:p>
    <w:p>
      <w:pPr>
        <w:pStyle w:val="15"/>
        <w:tabs>
          <w:tab w:val="left" w:pos="7155"/>
        </w:tabs>
        <w:spacing w:before="0" w:line="240" w:lineRule="auto"/>
        <w:ind w:firstLine="424" w:firstLineChars="202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本章规定试验报告所包括的内容。至少应给出以下几个方面的内容：</w:t>
      </w:r>
    </w:p>
    <w:p>
      <w:pPr>
        <w:pStyle w:val="15"/>
        <w:tabs>
          <w:tab w:val="left" w:pos="7155"/>
        </w:tabs>
        <w:spacing w:before="0" w:line="240" w:lineRule="auto"/>
        <w:ind w:firstLine="424" w:firstLineChars="20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—— </w:t>
      </w:r>
      <w:r>
        <w:rPr>
          <w:rFonts w:hint="eastAsia"/>
          <w:sz w:val="21"/>
          <w:szCs w:val="21"/>
        </w:rPr>
        <w:t>试样；</w:t>
      </w:r>
    </w:p>
    <w:p>
      <w:pPr>
        <w:pStyle w:val="15"/>
        <w:tabs>
          <w:tab w:val="left" w:pos="7155"/>
        </w:tabs>
        <w:spacing w:before="0" w:line="240" w:lineRule="auto"/>
        <w:ind w:firstLine="424" w:firstLineChars="20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—— </w:t>
      </w:r>
      <w:r>
        <w:rPr>
          <w:rFonts w:hint="eastAsia"/>
          <w:sz w:val="21"/>
          <w:szCs w:val="21"/>
        </w:rPr>
        <w:t>使用的标准</w:t>
      </w:r>
      <w:r>
        <w:rPr>
          <w:sz w:val="21"/>
          <w:szCs w:val="21"/>
        </w:rPr>
        <w:t>YS/T XX-XX</w:t>
      </w:r>
      <w:r>
        <w:rPr>
          <w:rFonts w:hint="eastAsia"/>
          <w:sz w:val="21"/>
          <w:szCs w:val="21"/>
        </w:rPr>
        <w:t>；</w:t>
      </w:r>
    </w:p>
    <w:p>
      <w:pPr>
        <w:pStyle w:val="15"/>
        <w:tabs>
          <w:tab w:val="left" w:pos="7155"/>
        </w:tabs>
        <w:spacing w:before="0" w:line="240" w:lineRule="auto"/>
        <w:ind w:firstLine="424" w:firstLineChars="20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—— </w:t>
      </w:r>
      <w:r>
        <w:rPr>
          <w:rFonts w:hint="eastAsia"/>
          <w:sz w:val="21"/>
          <w:szCs w:val="21"/>
        </w:rPr>
        <w:t>使用的方法</w:t>
      </w:r>
      <w:bookmarkStart w:id="20" w:name="OLE_LINK26"/>
      <w:r>
        <w:rPr>
          <w:rFonts w:hint="eastAsia" w:cs="楷体_GB2312" w:asciiTheme="minorEastAsia" w:hAnsiTheme="minorEastAsia"/>
          <w:sz w:val="21"/>
          <w:szCs w:val="21"/>
        </w:rPr>
        <w:t>（如果标准中包括几个方法）</w:t>
      </w:r>
      <w:bookmarkEnd w:id="20"/>
      <w:r>
        <w:rPr>
          <w:rFonts w:hint="eastAsia"/>
          <w:sz w:val="21"/>
          <w:szCs w:val="21"/>
        </w:rPr>
        <w:t>；</w:t>
      </w:r>
    </w:p>
    <w:p>
      <w:pPr>
        <w:pStyle w:val="15"/>
        <w:tabs>
          <w:tab w:val="left" w:pos="7155"/>
        </w:tabs>
        <w:spacing w:before="0" w:line="240" w:lineRule="auto"/>
        <w:ind w:firstLine="424" w:firstLineChars="20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—— </w:t>
      </w:r>
      <w:r>
        <w:rPr>
          <w:rFonts w:hint="eastAsia"/>
          <w:sz w:val="21"/>
          <w:szCs w:val="21"/>
        </w:rPr>
        <w:t>分析结果及其表示；</w:t>
      </w:r>
    </w:p>
    <w:p>
      <w:pPr>
        <w:pStyle w:val="15"/>
        <w:tabs>
          <w:tab w:val="left" w:pos="7155"/>
        </w:tabs>
        <w:spacing w:before="0" w:line="240" w:lineRule="auto"/>
        <w:ind w:firstLine="424" w:firstLineChars="20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—— </w:t>
      </w:r>
      <w:r>
        <w:rPr>
          <w:rFonts w:hint="eastAsia"/>
          <w:sz w:val="21"/>
          <w:szCs w:val="21"/>
        </w:rPr>
        <w:t>与基本分析步骤的差异；</w:t>
      </w:r>
    </w:p>
    <w:p>
      <w:pPr>
        <w:pStyle w:val="15"/>
        <w:tabs>
          <w:tab w:val="left" w:pos="7155"/>
        </w:tabs>
        <w:spacing w:before="0" w:line="240" w:lineRule="auto"/>
        <w:ind w:firstLine="424" w:firstLineChars="20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—— </w:t>
      </w:r>
      <w:r>
        <w:rPr>
          <w:rFonts w:hint="eastAsia"/>
          <w:sz w:val="21"/>
          <w:szCs w:val="21"/>
        </w:rPr>
        <w:t>测定中观察的异常现象；</w:t>
      </w:r>
    </w:p>
    <w:p>
      <w:pPr>
        <w:pStyle w:val="15"/>
        <w:tabs>
          <w:tab w:val="left" w:pos="7155"/>
        </w:tabs>
        <w:spacing w:before="0" w:line="240" w:lineRule="auto"/>
        <w:ind w:firstLine="424" w:firstLineChars="202"/>
        <w:jc w:val="both"/>
      </w:pPr>
      <w:r>
        <w:rPr>
          <w:sz w:val="21"/>
          <w:szCs w:val="21"/>
        </w:rPr>
        <w:t xml:space="preserve">—— </w:t>
      </w:r>
      <w:r>
        <w:rPr>
          <w:rFonts w:hint="eastAsia"/>
          <w:sz w:val="21"/>
          <w:szCs w:val="21"/>
        </w:rPr>
        <w:t>实验日期。</w:t>
      </w:r>
    </w:p>
    <w:p>
      <w:pPr>
        <w:pStyle w:val="27"/>
        <w:widowControl w:val="0"/>
        <w:numPr>
          <w:ilvl w:val="0"/>
          <w:numId w:val="0"/>
        </w:numPr>
        <w:spacing w:beforeLines="0" w:afterLines="0"/>
        <w:outlineLvl w:val="9"/>
        <w:rPr>
          <w:szCs w:val="21"/>
        </w:rPr>
      </w:pPr>
      <w:r>
        <w:rPr>
          <w:rFonts w:ascii="Times New Roman" w:eastAsia="宋体"/>
          <w:kern w:val="2"/>
          <w:sz w:val="20"/>
          <w:szCs w:val="24"/>
        </w:rPr>
        <w:pict>
          <v:line id="_x0000_s2063" o:spid="_x0000_s2063" o:spt="20" style="position:absolute;left:0pt;margin-left:80.25pt;margin-top:15.15pt;height:0pt;width:207pt;z-index:251687936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="Times New Roman" w:hAnsi="Times New Roman" w:eastAsia="黑体" w:cs="Times New Roman"/>
        <w:kern w:val="0"/>
        <w:szCs w:val="21"/>
      </w:rPr>
    </w:pPr>
    <w:r>
      <w:rPr>
        <w:rFonts w:ascii="Times New Roman" w:hAnsi="Times New Roman" w:eastAsia="黑体" w:cs="Times New Roman"/>
        <w:kern w:val="0"/>
        <w:szCs w:val="21"/>
      </w:rPr>
      <w:t>YS/T xxx.x</w:t>
    </w:r>
    <w:r>
      <w:rPr>
        <w:rFonts w:ascii="Times New Roman" w:hAnsi="黑体" w:eastAsia="黑体" w:cs="Times New Roman"/>
        <w:kern w:val="0"/>
        <w:szCs w:val="21"/>
      </w:rPr>
      <w:t>－</w:t>
    </w:r>
    <w:r>
      <w:rPr>
        <w:rFonts w:ascii="Times New Roman" w:hAnsi="Times New Roman" w:eastAsia="黑体" w:cs="Times New Roman"/>
        <w:kern w:val="0"/>
        <w:szCs w:val="21"/>
      </w:rPr>
      <w:t>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C1EFB"/>
    <w:multiLevelType w:val="multilevel"/>
    <w:tmpl w:val="6D1C1EFB"/>
    <w:lvl w:ilvl="0" w:tentative="0">
      <w:start w:val="0"/>
      <w:numFmt w:val="bullet"/>
      <w:lvlText w:val="—"/>
      <w:lvlJc w:val="left"/>
      <w:pPr>
        <w:ind w:left="465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pStyle w:val="27"/>
      <w:lvlText w:val=""/>
      <w:lvlJc w:val="left"/>
      <w:pPr>
        <w:ind w:left="94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6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8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0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2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4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46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885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703E"/>
    <w:rsid w:val="0000791E"/>
    <w:rsid w:val="00007E3D"/>
    <w:rsid w:val="00021D79"/>
    <w:rsid w:val="0002390D"/>
    <w:rsid w:val="000370B0"/>
    <w:rsid w:val="0007581A"/>
    <w:rsid w:val="00075C92"/>
    <w:rsid w:val="00080C9F"/>
    <w:rsid w:val="000C2094"/>
    <w:rsid w:val="000C5D87"/>
    <w:rsid w:val="00110EFF"/>
    <w:rsid w:val="001158CA"/>
    <w:rsid w:val="001824C3"/>
    <w:rsid w:val="001877DE"/>
    <w:rsid w:val="001B405F"/>
    <w:rsid w:val="001B7820"/>
    <w:rsid w:val="001F583A"/>
    <w:rsid w:val="0022004A"/>
    <w:rsid w:val="0025471E"/>
    <w:rsid w:val="002750C4"/>
    <w:rsid w:val="002A39E5"/>
    <w:rsid w:val="002A7201"/>
    <w:rsid w:val="002E72E6"/>
    <w:rsid w:val="00371AEB"/>
    <w:rsid w:val="00392EB0"/>
    <w:rsid w:val="003B18C1"/>
    <w:rsid w:val="003C3F85"/>
    <w:rsid w:val="003C53CB"/>
    <w:rsid w:val="003E703E"/>
    <w:rsid w:val="004028F8"/>
    <w:rsid w:val="00403833"/>
    <w:rsid w:val="00485EC7"/>
    <w:rsid w:val="004948E7"/>
    <w:rsid w:val="004B603B"/>
    <w:rsid w:val="004C112B"/>
    <w:rsid w:val="005123F1"/>
    <w:rsid w:val="0052475C"/>
    <w:rsid w:val="00577013"/>
    <w:rsid w:val="005B03A7"/>
    <w:rsid w:val="005E687C"/>
    <w:rsid w:val="00601675"/>
    <w:rsid w:val="00621D9D"/>
    <w:rsid w:val="006233DA"/>
    <w:rsid w:val="00653D53"/>
    <w:rsid w:val="006A472F"/>
    <w:rsid w:val="006D0515"/>
    <w:rsid w:val="006F721C"/>
    <w:rsid w:val="007436C4"/>
    <w:rsid w:val="007469EC"/>
    <w:rsid w:val="00781556"/>
    <w:rsid w:val="00796BB1"/>
    <w:rsid w:val="007F65D8"/>
    <w:rsid w:val="00863BBE"/>
    <w:rsid w:val="0087653F"/>
    <w:rsid w:val="008A207B"/>
    <w:rsid w:val="008A24BA"/>
    <w:rsid w:val="008C280D"/>
    <w:rsid w:val="008F0B35"/>
    <w:rsid w:val="00912236"/>
    <w:rsid w:val="00935CEE"/>
    <w:rsid w:val="0096000F"/>
    <w:rsid w:val="00962EB0"/>
    <w:rsid w:val="009A38BD"/>
    <w:rsid w:val="009C5E96"/>
    <w:rsid w:val="00A34CB5"/>
    <w:rsid w:val="00A81C9D"/>
    <w:rsid w:val="00A92C03"/>
    <w:rsid w:val="00AC2084"/>
    <w:rsid w:val="00AE5C9B"/>
    <w:rsid w:val="00B47760"/>
    <w:rsid w:val="00BA72A9"/>
    <w:rsid w:val="00BE34DC"/>
    <w:rsid w:val="00BF64FA"/>
    <w:rsid w:val="00C329BE"/>
    <w:rsid w:val="00C539F5"/>
    <w:rsid w:val="00CE76F8"/>
    <w:rsid w:val="00D12520"/>
    <w:rsid w:val="00D2723B"/>
    <w:rsid w:val="00D40354"/>
    <w:rsid w:val="00D55B8F"/>
    <w:rsid w:val="00D64538"/>
    <w:rsid w:val="00D647AD"/>
    <w:rsid w:val="00D649C7"/>
    <w:rsid w:val="00DB03B0"/>
    <w:rsid w:val="00E51D56"/>
    <w:rsid w:val="00E564C3"/>
    <w:rsid w:val="00E878D8"/>
    <w:rsid w:val="00E922AE"/>
    <w:rsid w:val="00ED213F"/>
    <w:rsid w:val="00ED5261"/>
    <w:rsid w:val="00EE4499"/>
    <w:rsid w:val="00EF411D"/>
    <w:rsid w:val="00F55411"/>
    <w:rsid w:val="00F626CC"/>
    <w:rsid w:val="00F71F30"/>
    <w:rsid w:val="00FD4CDD"/>
    <w:rsid w:val="00FE6AC5"/>
    <w:rsid w:val="0324159A"/>
    <w:rsid w:val="04F049A8"/>
    <w:rsid w:val="0557461B"/>
    <w:rsid w:val="0609715F"/>
    <w:rsid w:val="076E19C7"/>
    <w:rsid w:val="084A6CA8"/>
    <w:rsid w:val="08C87576"/>
    <w:rsid w:val="09B05D17"/>
    <w:rsid w:val="0B2659FD"/>
    <w:rsid w:val="0B9D2B23"/>
    <w:rsid w:val="0C523F0E"/>
    <w:rsid w:val="0D33049E"/>
    <w:rsid w:val="0D890BF6"/>
    <w:rsid w:val="0DF626F7"/>
    <w:rsid w:val="0F1E59DC"/>
    <w:rsid w:val="0F557533"/>
    <w:rsid w:val="0FCA035B"/>
    <w:rsid w:val="110B7FA8"/>
    <w:rsid w:val="117910B7"/>
    <w:rsid w:val="11851AE3"/>
    <w:rsid w:val="11880816"/>
    <w:rsid w:val="118F66DA"/>
    <w:rsid w:val="11C0636C"/>
    <w:rsid w:val="1281582D"/>
    <w:rsid w:val="12D638B1"/>
    <w:rsid w:val="14522B33"/>
    <w:rsid w:val="146A5FAA"/>
    <w:rsid w:val="14B64D09"/>
    <w:rsid w:val="15570783"/>
    <w:rsid w:val="17567DEB"/>
    <w:rsid w:val="18AB2C8A"/>
    <w:rsid w:val="1C4514ED"/>
    <w:rsid w:val="1C744CBF"/>
    <w:rsid w:val="1D8C691C"/>
    <w:rsid w:val="1E351EFC"/>
    <w:rsid w:val="1F3A2EC9"/>
    <w:rsid w:val="202D591F"/>
    <w:rsid w:val="20B758B9"/>
    <w:rsid w:val="210F75CC"/>
    <w:rsid w:val="2182233B"/>
    <w:rsid w:val="21AC2CCE"/>
    <w:rsid w:val="22752C80"/>
    <w:rsid w:val="23A97E0B"/>
    <w:rsid w:val="242B3FE6"/>
    <w:rsid w:val="256E2074"/>
    <w:rsid w:val="273E3FB3"/>
    <w:rsid w:val="27E1790B"/>
    <w:rsid w:val="28E83F62"/>
    <w:rsid w:val="29656406"/>
    <w:rsid w:val="29D12C8E"/>
    <w:rsid w:val="2AA47ED4"/>
    <w:rsid w:val="2B096DBF"/>
    <w:rsid w:val="2B875325"/>
    <w:rsid w:val="2C895ACD"/>
    <w:rsid w:val="2CAD6CAD"/>
    <w:rsid w:val="2D233D67"/>
    <w:rsid w:val="2D552794"/>
    <w:rsid w:val="2E2E4F0C"/>
    <w:rsid w:val="2E3A2B81"/>
    <w:rsid w:val="2F193487"/>
    <w:rsid w:val="2F517C71"/>
    <w:rsid w:val="305C44FC"/>
    <w:rsid w:val="3093747E"/>
    <w:rsid w:val="30DD163C"/>
    <w:rsid w:val="323F703F"/>
    <w:rsid w:val="326E0750"/>
    <w:rsid w:val="34B36604"/>
    <w:rsid w:val="3687439B"/>
    <w:rsid w:val="36EA1AA7"/>
    <w:rsid w:val="3A216CEA"/>
    <w:rsid w:val="3AAD5ADB"/>
    <w:rsid w:val="3B7A4C00"/>
    <w:rsid w:val="3CBC4D46"/>
    <w:rsid w:val="3CE20E0F"/>
    <w:rsid w:val="3FFB7D85"/>
    <w:rsid w:val="400735CB"/>
    <w:rsid w:val="406011F4"/>
    <w:rsid w:val="40B4767A"/>
    <w:rsid w:val="421B19AE"/>
    <w:rsid w:val="42804B6F"/>
    <w:rsid w:val="42E511D7"/>
    <w:rsid w:val="44AA549F"/>
    <w:rsid w:val="46A86BFA"/>
    <w:rsid w:val="46F6536D"/>
    <w:rsid w:val="483C34CC"/>
    <w:rsid w:val="483F3BD3"/>
    <w:rsid w:val="488372E4"/>
    <w:rsid w:val="48DF429B"/>
    <w:rsid w:val="4A154AFA"/>
    <w:rsid w:val="4D272CCC"/>
    <w:rsid w:val="4D383F6B"/>
    <w:rsid w:val="4D3B69FB"/>
    <w:rsid w:val="4D88035D"/>
    <w:rsid w:val="4DC679EA"/>
    <w:rsid w:val="4E6558AB"/>
    <w:rsid w:val="50522309"/>
    <w:rsid w:val="516F18D5"/>
    <w:rsid w:val="530D6A69"/>
    <w:rsid w:val="53AD7B01"/>
    <w:rsid w:val="54F017A9"/>
    <w:rsid w:val="55FE1C4A"/>
    <w:rsid w:val="575625C1"/>
    <w:rsid w:val="58AA705B"/>
    <w:rsid w:val="58E169DF"/>
    <w:rsid w:val="591D225D"/>
    <w:rsid w:val="5B087D07"/>
    <w:rsid w:val="5B097E72"/>
    <w:rsid w:val="5B4D3615"/>
    <w:rsid w:val="5B5F4313"/>
    <w:rsid w:val="5B86761F"/>
    <w:rsid w:val="5C974777"/>
    <w:rsid w:val="5F6536F5"/>
    <w:rsid w:val="60B707B9"/>
    <w:rsid w:val="616D5B16"/>
    <w:rsid w:val="61DD066B"/>
    <w:rsid w:val="628B743B"/>
    <w:rsid w:val="628D72F5"/>
    <w:rsid w:val="630E4D58"/>
    <w:rsid w:val="6349526F"/>
    <w:rsid w:val="6623381B"/>
    <w:rsid w:val="66D04BBC"/>
    <w:rsid w:val="67517BD3"/>
    <w:rsid w:val="682A65C5"/>
    <w:rsid w:val="686A10DA"/>
    <w:rsid w:val="69DF44BF"/>
    <w:rsid w:val="6AC33838"/>
    <w:rsid w:val="6B992596"/>
    <w:rsid w:val="6C9A70D7"/>
    <w:rsid w:val="6DEB4425"/>
    <w:rsid w:val="6DF47508"/>
    <w:rsid w:val="6FFB59D8"/>
    <w:rsid w:val="718C34D9"/>
    <w:rsid w:val="71AA64C2"/>
    <w:rsid w:val="71E22761"/>
    <w:rsid w:val="72A97E2B"/>
    <w:rsid w:val="732D2602"/>
    <w:rsid w:val="757A140D"/>
    <w:rsid w:val="76947D0F"/>
    <w:rsid w:val="77850B2A"/>
    <w:rsid w:val="78071D81"/>
    <w:rsid w:val="785213A0"/>
    <w:rsid w:val="791065BC"/>
    <w:rsid w:val="7A5223BA"/>
    <w:rsid w:val="7BA81F32"/>
    <w:rsid w:val="7BB707FF"/>
    <w:rsid w:val="7C532E05"/>
    <w:rsid w:val="7C620D51"/>
    <w:rsid w:val="7E8A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直接箭头连接符 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nhideWhenUsed="0" w:uiPriority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link w:val="26"/>
    <w:unhideWhenUsed/>
    <w:qFormat/>
    <w:uiPriority w:val="9"/>
    <w:pPr>
      <w:keepNext/>
      <w:keepLines/>
      <w:spacing w:before="280" w:after="290" w:line="376" w:lineRule="auto"/>
      <w:outlineLvl w:val="4"/>
    </w:pPr>
    <w:rPr>
      <w:rFonts w:ascii="Times New Roman" w:hAnsi="Times New Roman" w:eastAsia="宋体" w:cs="Times New Roman"/>
      <w:b/>
      <w:bCs/>
      <w:sz w:val="28"/>
      <w:szCs w:val="28"/>
    </w:rPr>
  </w:style>
  <w:style w:type="character" w:default="1" w:styleId="9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adjustRightInd w:val="0"/>
      <w:spacing w:line="360" w:lineRule="atLeast"/>
      <w:ind w:firstLine="420"/>
      <w:jc w:val="left"/>
      <w:textAlignment w:val="baseline"/>
    </w:pPr>
    <w:rPr>
      <w:rFonts w:ascii="Times New Roman" w:hAnsi="Times New Roman" w:eastAsia="宋体" w:cs="Times New Roman"/>
      <w:kern w:val="0"/>
      <w:sz w:val="24"/>
      <w:szCs w:val="20"/>
    </w:rPr>
  </w:style>
  <w:style w:type="paragraph" w:styleId="4">
    <w:name w:val="annotation text"/>
    <w:basedOn w:val="1"/>
    <w:semiHidden/>
    <w:qFormat/>
    <w:uiPriority w:val="0"/>
    <w:pPr>
      <w:jc w:val="left"/>
    </w:pPr>
  </w:style>
  <w:style w:type="paragraph" w:styleId="5">
    <w:name w:val="Date"/>
    <w:basedOn w:val="1"/>
    <w:next w:val="1"/>
    <w:link w:val="18"/>
    <w:qFormat/>
    <w:uiPriority w:val="0"/>
    <w:pPr>
      <w:ind w:left="100" w:leftChars="2500"/>
    </w:pPr>
    <w:rPr>
      <w:rFonts w:ascii="Times New Roman" w:hAnsi="Times New Roman" w:eastAsia="宋体" w:cs="Times New Roman"/>
      <w:szCs w:val="24"/>
    </w:rPr>
  </w:style>
  <w:style w:type="paragraph" w:styleId="6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9"/>
    <w:link w:val="8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7"/>
    <w:qFormat/>
    <w:uiPriority w:val="99"/>
    <w:rPr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paragraph" w:customStyle="1" w:styleId="15">
    <w:name w:val="封面标准英文名称"/>
    <w:qFormat/>
    <w:uiPriority w:val="99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16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7">
    <w:name w:val="批注框文本 Char"/>
    <w:basedOn w:val="9"/>
    <w:link w:val="6"/>
    <w:semiHidden/>
    <w:qFormat/>
    <w:uiPriority w:val="99"/>
    <w:rPr>
      <w:sz w:val="18"/>
      <w:szCs w:val="18"/>
    </w:rPr>
  </w:style>
  <w:style w:type="character" w:customStyle="1" w:styleId="18">
    <w:name w:val="日期 Char"/>
    <w:basedOn w:val="9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9">
    <w:name w:val="发布"/>
    <w:qFormat/>
    <w:uiPriority w:val="0"/>
    <w:rPr>
      <w:rFonts w:ascii="黑体" w:eastAsia="黑体"/>
      <w:spacing w:val="22"/>
      <w:w w:val="100"/>
      <w:position w:val="3"/>
      <w:sz w:val="28"/>
    </w:rPr>
  </w:style>
  <w:style w:type="paragraph" w:customStyle="1" w:styleId="20">
    <w:name w:val="其他标准称谓"/>
    <w:qFormat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21">
    <w:name w:val="文献分类号"/>
    <w:qFormat/>
    <w:uiPriority w:val="0"/>
    <w:pPr>
      <w:framePr w:hSpace="180" w:vSpace="180" w:wrap="around" w:vAnchor="margin" w:hAnchor="margin" w:y="2" w:anchorLock="1"/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22">
    <w:name w:val="发布部门"/>
    <w:next w:val="1"/>
    <w:qFormat/>
    <w:uiPriority w:val="0"/>
    <w:pPr>
      <w:framePr w:w="7433" w:h="585" w:hRule="exact" w:hSpace="180" w:vSpace="180" w:wrap="around" w:vAnchor="margin" w:hAnchor="margin" w:xAlign="center" w:y="14402" w:anchorLock="1"/>
      <w:jc w:val="center"/>
    </w:pPr>
    <w:rPr>
      <w:rFonts w:ascii="宋体" w:hAnsi="Times New Roman" w:eastAsia="宋体" w:cs="Times New Roman"/>
      <w:b/>
      <w:spacing w:val="20"/>
      <w:w w:val="135"/>
      <w:sz w:val="36"/>
      <w:lang w:val="en-US" w:eastAsia="zh-CN" w:bidi="ar-SA"/>
    </w:rPr>
  </w:style>
  <w:style w:type="paragraph" w:customStyle="1" w:styleId="23">
    <w:name w:val="标准标志"/>
    <w:next w:val="1"/>
    <w:qFormat/>
    <w:uiPriority w:val="0"/>
    <w:pPr>
      <w:framePr w:w="2268" w:h="1392" w:hRule="exact" w:wrap="around" w:vAnchor="margin" w:hAnchor="margin" w:x="6749" w:y="172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30"/>
      <w:sz w:val="96"/>
      <w:lang w:val="en-US" w:eastAsia="zh-CN" w:bidi="ar-SA"/>
    </w:rPr>
  </w:style>
  <w:style w:type="paragraph" w:customStyle="1" w:styleId="24">
    <w:name w:val="实施日期"/>
    <w:basedOn w:val="25"/>
    <w:qFormat/>
    <w:uiPriority w:val="0"/>
    <w:pPr>
      <w:framePr w:hSpace="0" w:xAlign="right"/>
      <w:jc w:val="right"/>
    </w:pPr>
  </w:style>
  <w:style w:type="paragraph" w:customStyle="1" w:styleId="25">
    <w:name w:val="发布日期"/>
    <w:qFormat/>
    <w:uiPriority w:val="0"/>
    <w:pPr>
      <w:framePr w:w="4000" w:h="473" w:hRule="exact" w:hSpace="180" w:vSpace="180" w:wrap="around" w:vAnchor="margin" w:hAnchor="margin" w:y="13512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character" w:customStyle="1" w:styleId="26">
    <w:name w:val="标题 5 Char"/>
    <w:basedOn w:val="9"/>
    <w:link w:val="2"/>
    <w:qFormat/>
    <w:uiPriority w:val="9"/>
    <w:rPr>
      <w:rFonts w:ascii="Times New Roman" w:hAnsi="Times New Roman" w:eastAsia="宋体" w:cs="Times New Roman"/>
      <w:b/>
      <w:bCs/>
      <w:sz w:val="28"/>
      <w:szCs w:val="28"/>
    </w:rPr>
  </w:style>
  <w:style w:type="paragraph" w:customStyle="1" w:styleId="27">
    <w:name w:val="章标题"/>
    <w:next w:val="16"/>
    <w:qFormat/>
    <w:uiPriority w:val="0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305</Words>
  <Characters>1743</Characters>
  <Lines>14</Lines>
  <Paragraphs>4</Paragraphs>
  <TotalTime>11</TotalTime>
  <ScaleCrop>false</ScaleCrop>
  <LinksUpToDate>false</LinksUpToDate>
  <CharactersWithSpaces>2044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2016-10-25T01:06:00Z</dcterms:created>
  <dc:creator>dp</dc:creator>
  <cp:lastModifiedBy>Administrator</cp:lastModifiedBy>
  <cp:lastPrinted>2016-11-17T11:05:00Z</cp:lastPrinted>
  <dcterms:modified xsi:type="dcterms:W3CDTF">2018-05-12T07:03:02Z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