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52"/>
          <w:szCs w:val="52"/>
        </w:rPr>
      </w:pPr>
      <w:bookmarkStart w:id="0" w:name="_Toc261354909"/>
    </w:p>
    <w:p>
      <w:pPr>
        <w:jc w:val="center"/>
        <w:rPr>
          <w:rFonts w:ascii="黑体" w:eastAsia="黑体"/>
          <w:b/>
          <w:sz w:val="52"/>
          <w:szCs w:val="52"/>
        </w:rPr>
      </w:pP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GB/T XXXX-201X《铂锭》标准</w:t>
      </w:r>
    </w:p>
    <w:bookmarkEnd w:id="0"/>
    <w:p>
      <w:pPr>
        <w:spacing w:line="360" w:lineRule="auto"/>
        <w:jc w:val="center"/>
        <w:rPr>
          <w:rFonts w:eastAsia="黑体"/>
          <w:sz w:val="32"/>
          <w:szCs w:val="32"/>
        </w:rPr>
      </w:pPr>
    </w:p>
    <w:p>
      <w:pPr>
        <w:spacing w:line="360" w:lineRule="auto"/>
        <w:jc w:val="center"/>
        <w:rPr>
          <w:rFonts w:eastAsia="黑体"/>
          <w:sz w:val="32"/>
          <w:szCs w:val="32"/>
        </w:rPr>
      </w:pPr>
    </w:p>
    <w:p>
      <w:pPr>
        <w:jc w:val="center"/>
        <w:rPr>
          <w:rFonts w:ascii="黑体" w:eastAsia="黑体"/>
          <w:b/>
          <w:sz w:val="44"/>
          <w:szCs w:val="44"/>
        </w:rPr>
      </w:pPr>
      <w:r>
        <w:rPr>
          <w:rFonts w:hint="eastAsia" w:ascii="黑体" w:eastAsia="黑体"/>
          <w:b/>
          <w:sz w:val="44"/>
          <w:szCs w:val="44"/>
        </w:rPr>
        <w:t>编制说明</w:t>
      </w:r>
    </w:p>
    <w:p>
      <w:pPr>
        <w:spacing w:line="360" w:lineRule="auto"/>
        <w:jc w:val="center"/>
        <w:rPr>
          <w:rFonts w:eastAsia="黑体"/>
          <w:sz w:val="32"/>
          <w:szCs w:val="32"/>
        </w:rPr>
      </w:pPr>
      <w:r>
        <w:rPr>
          <w:rFonts w:hint="eastAsia" w:eastAsia="黑体"/>
          <w:sz w:val="32"/>
          <w:szCs w:val="32"/>
        </w:rPr>
        <w:t>（报批稿）</w:t>
      </w: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pStyle w:val="44"/>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jc w:val="center"/>
        <w:rPr>
          <w:rFonts w:ascii="宋体" w:hAnsi="宋体"/>
          <w:sz w:val="32"/>
          <w:szCs w:val="32"/>
        </w:rPr>
      </w:pPr>
      <w:r>
        <w:rPr>
          <w:rFonts w:hint="eastAsia" w:ascii="宋体" w:hAnsi="宋体"/>
          <w:sz w:val="32"/>
          <w:szCs w:val="32"/>
        </w:rPr>
        <w:t>二〇一八年四月</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sectPr>
          <w:footerReference r:id="rId6" w:type="first"/>
          <w:headerReference r:id="rId3" w:type="default"/>
          <w:headerReference r:id="rId4" w:type="even"/>
          <w:footerReference r:id="rId5" w:type="even"/>
          <w:pgSz w:w="11906" w:h="16838"/>
          <w:pgMar w:top="1440" w:right="1800" w:bottom="1440" w:left="1800"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docGrid w:linePitch="312" w:charSpace="0"/>
        </w:sectPr>
      </w:pPr>
    </w:p>
    <w:p>
      <w:pPr>
        <w:spacing w:line="360" w:lineRule="auto"/>
        <w:jc w:val="center"/>
        <w:rPr>
          <w:rFonts w:eastAsia="黑体"/>
          <w:sz w:val="32"/>
          <w:szCs w:val="32"/>
        </w:rPr>
      </w:pPr>
      <w:r>
        <w:rPr>
          <w:rFonts w:hint="eastAsia" w:eastAsia="黑体"/>
          <w:sz w:val="32"/>
          <w:szCs w:val="32"/>
        </w:rPr>
        <w:t>目  录</w:t>
      </w:r>
    </w:p>
    <w:p>
      <w:pPr>
        <w:pStyle w:val="13"/>
        <w:jc w:val="left"/>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fldChar w:fldCharType="begin"/>
      </w:r>
      <w:r>
        <w:instrText xml:space="preserve"> HYPERLINK \l "_Toc277663930" </w:instrText>
      </w:r>
      <w:r>
        <w:fldChar w:fldCharType="separate"/>
      </w:r>
      <w:r>
        <w:rPr>
          <w:rStyle w:val="21"/>
          <w:rFonts w:hint="eastAsia" w:ascii="黑体" w:eastAsia="黑体"/>
          <w:b/>
          <w:kern w:val="0"/>
        </w:rPr>
        <w:t>一、</w:t>
      </w:r>
      <w:r>
        <w:rPr>
          <w:rStyle w:val="21"/>
          <w:rFonts w:ascii="黑体" w:eastAsia="黑体"/>
          <w:b/>
          <w:kern w:val="0"/>
        </w:rPr>
        <w:t xml:space="preserve"> </w:t>
      </w:r>
      <w:r>
        <w:rPr>
          <w:rStyle w:val="21"/>
          <w:rFonts w:hint="eastAsia" w:ascii="黑体" w:eastAsia="黑体"/>
          <w:b/>
          <w:kern w:val="0"/>
        </w:rPr>
        <w:t>任务来源及必要性</w:t>
      </w:r>
      <w:r>
        <w:tab/>
      </w:r>
      <w:r>
        <w:rPr>
          <w:rFonts w:hint="eastAsia"/>
        </w:rPr>
        <w:t>1</w:t>
      </w:r>
      <w:r>
        <w:rPr>
          <w:rFonts w:hint="eastAsia"/>
        </w:rPr>
        <w:fldChar w:fldCharType="end"/>
      </w:r>
    </w:p>
    <w:p>
      <w:pPr>
        <w:pStyle w:val="15"/>
        <w:spacing w:line="360" w:lineRule="auto"/>
        <w:ind w:left="0" w:leftChars="0"/>
      </w:pPr>
      <w:r>
        <w:fldChar w:fldCharType="begin"/>
      </w:r>
      <w:r>
        <w:instrText xml:space="preserve"> HYPERLINK \l "_Toc277663931" </w:instrText>
      </w:r>
      <w:r>
        <w:fldChar w:fldCharType="separate"/>
      </w:r>
      <w:r>
        <w:rPr>
          <w:rStyle w:val="21"/>
          <w:rFonts w:hint="eastAsia" w:cs="宋体"/>
          <w:kern w:val="0"/>
        </w:rPr>
        <w:t>（一）</w:t>
      </w:r>
      <w:r>
        <w:rPr>
          <w:rStyle w:val="21"/>
          <w:rFonts w:cs="宋体"/>
          <w:kern w:val="0"/>
        </w:rPr>
        <w:t xml:space="preserve"> </w:t>
      </w:r>
      <w:r>
        <w:rPr>
          <w:rStyle w:val="21"/>
          <w:rFonts w:hint="eastAsia" w:cs="宋体"/>
          <w:kern w:val="0"/>
        </w:rPr>
        <w:t>任务来源</w:t>
      </w:r>
      <w:r>
        <w:tab/>
      </w:r>
      <w:r>
        <w:rPr>
          <w:rFonts w:hint="eastAsia"/>
        </w:rPr>
        <w:t>1</w:t>
      </w:r>
      <w:r>
        <w:rPr>
          <w:rFonts w:hint="eastAsia"/>
        </w:rPr>
        <w:fldChar w:fldCharType="end"/>
      </w:r>
    </w:p>
    <w:p>
      <w:pPr>
        <w:pStyle w:val="15"/>
        <w:spacing w:line="360" w:lineRule="auto"/>
        <w:ind w:left="0" w:leftChars="0"/>
      </w:pPr>
      <w:r>
        <w:fldChar w:fldCharType="begin"/>
      </w:r>
      <w:r>
        <w:instrText xml:space="preserve"> HYPERLINK \l "_Toc277663932" </w:instrText>
      </w:r>
      <w:r>
        <w:fldChar w:fldCharType="separate"/>
      </w:r>
      <w:r>
        <w:rPr>
          <w:rStyle w:val="21"/>
          <w:rFonts w:hint="eastAsia" w:cs="宋体"/>
          <w:kern w:val="0"/>
        </w:rPr>
        <w:t>（二）</w:t>
      </w:r>
      <w:r>
        <w:rPr>
          <w:rStyle w:val="21"/>
          <w:rFonts w:cs="宋体"/>
          <w:kern w:val="0"/>
        </w:rPr>
        <w:t xml:space="preserve"> </w:t>
      </w:r>
      <w:r>
        <w:rPr>
          <w:rStyle w:val="21"/>
          <w:rFonts w:hint="eastAsia" w:cs="宋体"/>
          <w:kern w:val="0"/>
        </w:rPr>
        <w:t>标准编制的必要性</w:t>
      </w:r>
      <w:r>
        <w:tab/>
      </w:r>
      <w:r>
        <w:fldChar w:fldCharType="end"/>
      </w:r>
      <w:r>
        <w:rPr>
          <w:rFonts w:hint="eastAsia"/>
        </w:rPr>
        <w:t>1</w:t>
      </w:r>
    </w:p>
    <w:p>
      <w:pPr>
        <w:pStyle w:val="15"/>
        <w:spacing w:line="360" w:lineRule="auto"/>
        <w:ind w:left="0" w:leftChars="0"/>
        <w:rPr>
          <w:rFonts w:ascii="Times New Roman" w:eastAsia="宋体"/>
        </w:rPr>
      </w:pPr>
      <w:r>
        <w:fldChar w:fldCharType="begin"/>
      </w:r>
      <w:r>
        <w:instrText xml:space="preserve"> HYPERLINK \l "_Toc277663933" </w:instrText>
      </w:r>
      <w:r>
        <w:fldChar w:fldCharType="separate"/>
      </w:r>
      <w:r>
        <w:rPr>
          <w:rStyle w:val="21"/>
          <w:rFonts w:hint="eastAsia" w:cs="宋体"/>
          <w:kern w:val="0"/>
        </w:rPr>
        <w:t>（三）</w:t>
      </w:r>
      <w:r>
        <w:rPr>
          <w:rStyle w:val="21"/>
          <w:rFonts w:cs="宋体"/>
          <w:kern w:val="0"/>
        </w:rPr>
        <w:t xml:space="preserve"> </w:t>
      </w:r>
      <w:r>
        <w:rPr>
          <w:rStyle w:val="21"/>
          <w:rFonts w:hint="eastAsia" w:cs="宋体"/>
          <w:kern w:val="0"/>
        </w:rPr>
        <w:t>标准编制的意义和目的</w:t>
      </w:r>
      <w:r>
        <w:tab/>
      </w:r>
      <w:r>
        <w:fldChar w:fldCharType="end"/>
      </w:r>
      <w:r>
        <w:rPr>
          <w:rFonts w:hint="eastAsia" w:ascii="Times New Roman" w:eastAsia="宋体"/>
        </w:rPr>
        <w:t>1</w:t>
      </w:r>
    </w:p>
    <w:p>
      <w:pPr>
        <w:pStyle w:val="13"/>
        <w:jc w:val="left"/>
      </w:pPr>
      <w:r>
        <w:fldChar w:fldCharType="begin"/>
      </w:r>
      <w:r>
        <w:instrText xml:space="preserve"> HYPERLINK \l "_Toc277663934" </w:instrText>
      </w:r>
      <w:r>
        <w:fldChar w:fldCharType="separate"/>
      </w:r>
      <w:r>
        <w:rPr>
          <w:rStyle w:val="21"/>
          <w:rFonts w:hint="eastAsia" w:ascii="黑体" w:eastAsia="黑体"/>
          <w:b/>
          <w:kern w:val="0"/>
        </w:rPr>
        <w:t>二、标准编制的原则、方法和技术依据</w:t>
      </w:r>
      <w:r>
        <w:tab/>
      </w:r>
      <w:r>
        <w:rPr>
          <w:rFonts w:hint="eastAsia"/>
        </w:rPr>
        <w:t>2</w:t>
      </w:r>
      <w:r>
        <w:rPr>
          <w:rFonts w:hint="eastAsia"/>
        </w:rPr>
        <w:fldChar w:fldCharType="end"/>
      </w:r>
    </w:p>
    <w:p>
      <w:pPr>
        <w:pStyle w:val="15"/>
        <w:spacing w:line="360" w:lineRule="auto"/>
        <w:ind w:left="0" w:leftChars="0"/>
      </w:pPr>
      <w:r>
        <w:fldChar w:fldCharType="begin"/>
      </w:r>
      <w:r>
        <w:instrText xml:space="preserve"> HYPERLINK \l "_Toc277663935" </w:instrText>
      </w:r>
      <w:r>
        <w:fldChar w:fldCharType="separate"/>
      </w:r>
      <w:r>
        <w:rPr>
          <w:rStyle w:val="21"/>
          <w:rFonts w:hint="eastAsia" w:cs="宋体"/>
          <w:kern w:val="0"/>
        </w:rPr>
        <w:t>（一）</w:t>
      </w:r>
      <w:r>
        <w:rPr>
          <w:rStyle w:val="21"/>
          <w:rFonts w:cs="宋体"/>
          <w:kern w:val="0"/>
        </w:rPr>
        <w:t xml:space="preserve"> </w:t>
      </w:r>
      <w:r>
        <w:rPr>
          <w:rStyle w:val="21"/>
          <w:rFonts w:hint="eastAsia" w:cs="宋体"/>
          <w:kern w:val="0"/>
        </w:rPr>
        <w:t>编制原则</w:t>
      </w:r>
      <w:r>
        <w:tab/>
      </w:r>
      <w:r>
        <w:rPr>
          <w:rFonts w:hint="eastAsia"/>
        </w:rPr>
        <w:t>2</w:t>
      </w:r>
      <w:r>
        <w:rPr>
          <w:rFonts w:hint="eastAsia"/>
        </w:rPr>
        <w:fldChar w:fldCharType="end"/>
      </w:r>
    </w:p>
    <w:p>
      <w:pPr>
        <w:pStyle w:val="15"/>
        <w:spacing w:line="360" w:lineRule="auto"/>
        <w:ind w:left="0" w:leftChars="0"/>
      </w:pPr>
      <w:r>
        <w:fldChar w:fldCharType="begin"/>
      </w:r>
      <w:r>
        <w:instrText xml:space="preserve"> HYPERLINK \l "_Toc277663936" </w:instrText>
      </w:r>
      <w:r>
        <w:fldChar w:fldCharType="separate"/>
      </w:r>
      <w:r>
        <w:rPr>
          <w:rStyle w:val="21"/>
          <w:rFonts w:hint="eastAsia" w:cs="宋体"/>
          <w:kern w:val="0"/>
        </w:rPr>
        <w:t>（二）</w:t>
      </w:r>
      <w:r>
        <w:rPr>
          <w:rStyle w:val="21"/>
          <w:rFonts w:cs="宋体"/>
          <w:kern w:val="0"/>
        </w:rPr>
        <w:t xml:space="preserve"> </w:t>
      </w:r>
      <w:r>
        <w:rPr>
          <w:rStyle w:val="21"/>
          <w:rFonts w:hint="eastAsia" w:cs="宋体"/>
          <w:kern w:val="0"/>
        </w:rPr>
        <w:t>编制依据</w:t>
      </w:r>
      <w:r>
        <w:tab/>
      </w:r>
      <w:r>
        <w:fldChar w:fldCharType="end"/>
      </w:r>
      <w:r>
        <w:rPr>
          <w:rFonts w:hint="eastAsia"/>
        </w:rPr>
        <w:t>2</w:t>
      </w:r>
    </w:p>
    <w:p>
      <w:pPr>
        <w:pStyle w:val="15"/>
        <w:spacing w:line="360" w:lineRule="auto"/>
        <w:ind w:left="0" w:leftChars="0"/>
      </w:pPr>
      <w:r>
        <w:rPr>
          <w:rStyle w:val="21"/>
          <w:rFonts w:hint="eastAsia"/>
          <w:u w:val="none"/>
        </w:rPr>
        <w:t>（</w:t>
      </w:r>
      <w:r>
        <w:fldChar w:fldCharType="begin"/>
      </w:r>
      <w:r>
        <w:instrText xml:space="preserve"> HYPERLINK \l "_Toc277663937" </w:instrText>
      </w:r>
      <w:r>
        <w:fldChar w:fldCharType="separate"/>
      </w:r>
      <w:r>
        <w:rPr>
          <w:rStyle w:val="21"/>
          <w:rFonts w:hint="eastAsia" w:cs="宋体"/>
          <w:kern w:val="0"/>
        </w:rPr>
        <w:t>三）技术路线和工作步骤</w:t>
      </w:r>
      <w:r>
        <w:tab/>
      </w:r>
      <w:r>
        <w:fldChar w:fldCharType="end"/>
      </w:r>
      <w:r>
        <w:rPr>
          <w:rFonts w:hint="eastAsia"/>
        </w:rPr>
        <w:t>2</w:t>
      </w:r>
    </w:p>
    <w:p>
      <w:pPr>
        <w:pStyle w:val="13"/>
        <w:jc w:val="left"/>
      </w:pPr>
      <w:r>
        <w:fldChar w:fldCharType="begin"/>
      </w:r>
      <w:r>
        <w:instrText xml:space="preserve"> HYPERLINK \l "_Toc277663940" </w:instrText>
      </w:r>
      <w:r>
        <w:fldChar w:fldCharType="separate"/>
      </w:r>
      <w:r>
        <w:rPr>
          <w:rStyle w:val="21"/>
          <w:rFonts w:hint="eastAsia" w:ascii="黑体" w:eastAsia="黑体"/>
          <w:b/>
          <w:kern w:val="0"/>
        </w:rPr>
        <w:t>三、编制过程及主要工作内容</w:t>
      </w:r>
      <w:r>
        <w:tab/>
      </w:r>
      <w:r>
        <w:fldChar w:fldCharType="end"/>
      </w:r>
      <w:r>
        <w:rPr>
          <w:rFonts w:hint="eastAsia" w:ascii="黑体" w:eastAsia="黑体"/>
        </w:rPr>
        <w:t>4</w:t>
      </w:r>
    </w:p>
    <w:p>
      <w:pPr>
        <w:pStyle w:val="15"/>
        <w:spacing w:line="360" w:lineRule="auto"/>
        <w:ind w:left="0" w:leftChars="0"/>
      </w:pPr>
      <w:r>
        <w:fldChar w:fldCharType="begin"/>
      </w:r>
      <w:r>
        <w:instrText xml:space="preserve"> HYPERLINK \l "_Toc277663941" </w:instrText>
      </w:r>
      <w:r>
        <w:fldChar w:fldCharType="separate"/>
      </w:r>
      <w:r>
        <w:rPr>
          <w:rStyle w:val="21"/>
          <w:rFonts w:hint="eastAsia" w:cs="宋体"/>
          <w:kern w:val="0"/>
        </w:rPr>
        <w:t>（一）</w:t>
      </w:r>
      <w:r>
        <w:rPr>
          <w:rStyle w:val="21"/>
          <w:rFonts w:cs="宋体"/>
          <w:kern w:val="0"/>
        </w:rPr>
        <w:t xml:space="preserve"> </w:t>
      </w:r>
      <w:r>
        <w:rPr>
          <w:rStyle w:val="21"/>
          <w:rFonts w:hint="eastAsia" w:cs="宋体"/>
          <w:kern w:val="0"/>
        </w:rPr>
        <w:t>编制过程</w:t>
      </w:r>
      <w:r>
        <w:tab/>
      </w:r>
      <w:r>
        <w:fldChar w:fldCharType="end"/>
      </w:r>
      <w:r>
        <w:rPr>
          <w:rFonts w:hint="eastAsia"/>
        </w:rPr>
        <w:t>4</w:t>
      </w:r>
    </w:p>
    <w:p>
      <w:pPr>
        <w:pStyle w:val="15"/>
        <w:spacing w:line="360" w:lineRule="auto"/>
        <w:ind w:left="0" w:leftChars="0"/>
      </w:pPr>
      <w:r>
        <w:fldChar w:fldCharType="begin"/>
      </w:r>
      <w:r>
        <w:instrText xml:space="preserve"> HYPERLINK \l "_Toc277663942" </w:instrText>
      </w:r>
      <w:r>
        <w:fldChar w:fldCharType="separate"/>
      </w:r>
      <w:r>
        <w:rPr>
          <w:rStyle w:val="21"/>
          <w:rFonts w:hint="eastAsia" w:cs="宋体"/>
          <w:kern w:val="0"/>
        </w:rPr>
        <w:t>（二）</w:t>
      </w:r>
      <w:r>
        <w:rPr>
          <w:rStyle w:val="21"/>
          <w:rFonts w:cs="宋体"/>
          <w:kern w:val="0"/>
        </w:rPr>
        <w:t xml:space="preserve"> </w:t>
      </w:r>
      <w:r>
        <w:rPr>
          <w:rStyle w:val="21"/>
          <w:rFonts w:hint="eastAsia" w:cs="宋体"/>
          <w:kern w:val="0"/>
        </w:rPr>
        <w:t>主要工作内容</w:t>
      </w:r>
      <w:r>
        <w:tab/>
      </w:r>
      <w:r>
        <w:fldChar w:fldCharType="end"/>
      </w:r>
      <w:r>
        <w:rPr>
          <w:rFonts w:hint="eastAsia"/>
        </w:rPr>
        <w:t>4</w:t>
      </w:r>
    </w:p>
    <w:p>
      <w:pPr>
        <w:pStyle w:val="13"/>
        <w:jc w:val="left"/>
      </w:pPr>
      <w:r>
        <w:fldChar w:fldCharType="begin"/>
      </w:r>
      <w:r>
        <w:instrText xml:space="preserve"> HYPERLINK \l "_Toc277663945" </w:instrText>
      </w:r>
      <w:r>
        <w:fldChar w:fldCharType="separate"/>
      </w:r>
      <w:r>
        <w:rPr>
          <w:rStyle w:val="21"/>
          <w:rFonts w:hint="eastAsia" w:ascii="黑体" w:eastAsia="黑体"/>
          <w:b/>
          <w:kern w:val="0"/>
        </w:rPr>
        <w:t>四、标准修订的主要内容</w:t>
      </w:r>
      <w:r>
        <w:tab/>
      </w:r>
      <w:r>
        <w:fldChar w:fldCharType="end"/>
      </w:r>
      <w:r>
        <w:rPr>
          <w:rFonts w:hint="eastAsia" w:ascii="黑体" w:eastAsia="黑体"/>
        </w:rPr>
        <w:t>5</w:t>
      </w:r>
    </w:p>
    <w:p>
      <w:pPr>
        <w:pStyle w:val="15"/>
        <w:spacing w:line="360" w:lineRule="auto"/>
        <w:ind w:left="0" w:leftChars="0"/>
      </w:pPr>
      <w:r>
        <w:rPr>
          <w:rFonts w:hint="eastAsia"/>
        </w:rPr>
        <w:t>（一） 范围</w:t>
      </w:r>
      <w:r>
        <w:tab/>
      </w:r>
      <w:r>
        <w:rPr>
          <w:rFonts w:hint="eastAsia"/>
        </w:rPr>
        <w:t>5</w:t>
      </w:r>
    </w:p>
    <w:p>
      <w:pPr>
        <w:pStyle w:val="15"/>
        <w:spacing w:line="360" w:lineRule="auto"/>
        <w:ind w:left="0" w:leftChars="0"/>
      </w:pPr>
      <w:r>
        <w:fldChar w:fldCharType="begin"/>
      </w:r>
      <w:r>
        <w:instrText xml:space="preserve"> HYPERLINK \l "_Toc277663946" </w:instrText>
      </w:r>
      <w:r>
        <w:fldChar w:fldCharType="separate"/>
      </w:r>
      <w:r>
        <w:rPr>
          <w:rStyle w:val="21"/>
          <w:rFonts w:hint="eastAsia" w:cs="宋体"/>
          <w:color w:val="auto"/>
          <w:kern w:val="0"/>
        </w:rPr>
        <w:t>（二）</w:t>
      </w:r>
      <w:r>
        <w:rPr>
          <w:rStyle w:val="21"/>
          <w:rFonts w:cs="宋体"/>
          <w:color w:val="auto"/>
          <w:kern w:val="0"/>
        </w:rPr>
        <w:t xml:space="preserve"> </w:t>
      </w:r>
      <w:r>
        <w:rPr>
          <w:rStyle w:val="21"/>
          <w:rFonts w:hint="eastAsia" w:cs="宋体"/>
          <w:color w:val="auto"/>
          <w:kern w:val="0"/>
        </w:rPr>
        <w:t>规范性引用文件</w:t>
      </w:r>
      <w:r>
        <w:tab/>
      </w:r>
      <w:r>
        <w:fldChar w:fldCharType="end"/>
      </w:r>
      <w:r>
        <w:rPr>
          <w:rStyle w:val="21"/>
          <w:rFonts w:hint="eastAsia"/>
          <w:color w:val="auto"/>
        </w:rPr>
        <w:t>6</w:t>
      </w:r>
    </w:p>
    <w:p>
      <w:pPr>
        <w:pStyle w:val="15"/>
        <w:spacing w:line="360" w:lineRule="auto"/>
        <w:ind w:left="0" w:leftChars="0"/>
      </w:pPr>
      <w:r>
        <w:fldChar w:fldCharType="begin"/>
      </w:r>
      <w:r>
        <w:instrText xml:space="preserve"> HYPERLINK \l "_Toc277663948" </w:instrText>
      </w:r>
      <w:r>
        <w:fldChar w:fldCharType="separate"/>
      </w:r>
      <w:r>
        <w:rPr>
          <w:rStyle w:val="21"/>
          <w:rFonts w:hint="eastAsia" w:cs="宋体"/>
          <w:color w:val="auto"/>
          <w:kern w:val="0"/>
        </w:rPr>
        <w:t>（三）</w:t>
      </w:r>
      <w:r>
        <w:rPr>
          <w:rStyle w:val="21"/>
          <w:rFonts w:cs="宋体"/>
          <w:color w:val="auto"/>
          <w:kern w:val="0"/>
        </w:rPr>
        <w:t xml:space="preserve"> </w:t>
      </w:r>
      <w:r>
        <w:rPr>
          <w:rStyle w:val="21"/>
          <w:rFonts w:hint="eastAsia" w:cs="宋体"/>
          <w:color w:val="auto"/>
          <w:kern w:val="0"/>
        </w:rPr>
        <w:t>要求</w:t>
      </w:r>
      <w:r>
        <w:tab/>
      </w:r>
      <w:r>
        <w:fldChar w:fldCharType="end"/>
      </w:r>
      <w:r>
        <w:rPr>
          <w:rFonts w:hint="eastAsia"/>
        </w:rPr>
        <w:t>6</w:t>
      </w:r>
    </w:p>
    <w:p>
      <w:pPr>
        <w:pStyle w:val="15"/>
        <w:spacing w:line="360" w:lineRule="auto"/>
        <w:ind w:left="0" w:leftChars="0"/>
        <w:rPr>
          <w:rStyle w:val="21"/>
          <w:color w:val="auto"/>
        </w:rPr>
      </w:pPr>
      <w:r>
        <w:fldChar w:fldCharType="begin"/>
      </w:r>
      <w:r>
        <w:instrText xml:space="preserve"> HYPERLINK \l "_Toc277663952" </w:instrText>
      </w:r>
      <w:r>
        <w:fldChar w:fldCharType="separate"/>
      </w:r>
      <w:r>
        <w:rPr>
          <w:rStyle w:val="21"/>
          <w:rFonts w:hint="eastAsia" w:cs="宋体"/>
          <w:color w:val="auto"/>
          <w:kern w:val="0"/>
        </w:rPr>
        <w:t>（四）</w:t>
      </w:r>
      <w:r>
        <w:rPr>
          <w:rStyle w:val="21"/>
          <w:rFonts w:cs="宋体"/>
          <w:color w:val="auto"/>
          <w:kern w:val="0"/>
        </w:rPr>
        <w:t xml:space="preserve"> </w:t>
      </w:r>
      <w:r>
        <w:rPr>
          <w:rStyle w:val="21"/>
          <w:rFonts w:hint="eastAsia" w:cs="宋体"/>
          <w:color w:val="auto"/>
          <w:kern w:val="0"/>
        </w:rPr>
        <w:t>试验方法</w:t>
      </w:r>
      <w:r>
        <w:tab/>
      </w:r>
      <w:r>
        <w:fldChar w:fldCharType="end"/>
      </w:r>
      <w:r>
        <w:rPr>
          <w:rFonts w:hint="eastAsia"/>
        </w:rPr>
        <w:t>8</w:t>
      </w:r>
    </w:p>
    <w:p>
      <w:pPr>
        <w:pStyle w:val="15"/>
        <w:spacing w:line="360" w:lineRule="auto"/>
        <w:ind w:left="0" w:leftChars="0"/>
        <w:rPr>
          <w:rStyle w:val="21"/>
          <w:color w:val="auto"/>
        </w:rPr>
      </w:pPr>
      <w:r>
        <w:fldChar w:fldCharType="begin"/>
      </w:r>
      <w:r>
        <w:instrText xml:space="preserve"> HYPERLINK \l "_Toc277663952" </w:instrText>
      </w:r>
      <w:r>
        <w:fldChar w:fldCharType="separate"/>
      </w:r>
      <w:r>
        <w:rPr>
          <w:rStyle w:val="21"/>
          <w:rFonts w:hint="eastAsia" w:cs="宋体"/>
          <w:color w:val="auto"/>
          <w:kern w:val="0"/>
        </w:rPr>
        <w:t>（五）</w:t>
      </w:r>
      <w:r>
        <w:rPr>
          <w:rStyle w:val="21"/>
          <w:rFonts w:cs="宋体"/>
          <w:color w:val="auto"/>
          <w:kern w:val="0"/>
        </w:rPr>
        <w:t xml:space="preserve"> </w:t>
      </w:r>
      <w:r>
        <w:rPr>
          <w:rStyle w:val="21"/>
          <w:rFonts w:hint="eastAsia" w:cs="宋体"/>
          <w:color w:val="auto"/>
          <w:kern w:val="0"/>
        </w:rPr>
        <w:t>检验规则</w:t>
      </w:r>
      <w:r>
        <w:tab/>
      </w:r>
      <w:r>
        <w:fldChar w:fldCharType="end"/>
      </w:r>
      <w:r>
        <w:rPr>
          <w:rStyle w:val="21"/>
          <w:rFonts w:hint="eastAsia"/>
          <w:color w:val="auto"/>
        </w:rPr>
        <w:t>8</w:t>
      </w:r>
    </w:p>
    <w:p>
      <w:pPr>
        <w:pStyle w:val="15"/>
        <w:spacing w:line="360" w:lineRule="auto"/>
        <w:ind w:left="0" w:leftChars="0"/>
        <w:rPr>
          <w:rStyle w:val="21"/>
          <w:color w:val="auto"/>
        </w:rPr>
      </w:pPr>
      <w:r>
        <w:rPr>
          <w:rStyle w:val="21"/>
          <w:rFonts w:hint="eastAsia"/>
          <w:color w:val="auto"/>
          <w:u w:val="none"/>
        </w:rPr>
        <w:t>（六）</w:t>
      </w:r>
      <w:r>
        <w:fldChar w:fldCharType="begin"/>
      </w:r>
      <w:r>
        <w:instrText xml:space="preserve"> HYPERLINK \l "_Toc277663952" </w:instrText>
      </w:r>
      <w:r>
        <w:fldChar w:fldCharType="separate"/>
      </w:r>
      <w:r>
        <w:rPr>
          <w:rStyle w:val="21"/>
          <w:rFonts w:cs="宋体"/>
          <w:color w:val="auto"/>
          <w:kern w:val="0"/>
        </w:rPr>
        <w:t xml:space="preserve"> </w:t>
      </w:r>
      <w:r>
        <w:rPr>
          <w:rStyle w:val="21"/>
          <w:rFonts w:hint="eastAsia" w:cs="宋体"/>
          <w:color w:val="auto"/>
          <w:kern w:val="0"/>
        </w:rPr>
        <w:t>标志、包装、运输、贮存和质量证明书　</w:t>
      </w:r>
      <w:r>
        <w:tab/>
      </w:r>
      <w:r>
        <w:fldChar w:fldCharType="end"/>
      </w:r>
      <w:r>
        <w:rPr>
          <w:rFonts w:hint="eastAsia"/>
        </w:rPr>
        <w:t>9</w:t>
      </w:r>
    </w:p>
    <w:p>
      <w:pPr>
        <w:pStyle w:val="13"/>
        <w:jc w:val="left"/>
        <w:rPr>
          <w:color w:val="0000FF"/>
          <w:u w:val="single"/>
        </w:rPr>
      </w:pPr>
      <w:r>
        <w:fldChar w:fldCharType="begin"/>
      </w:r>
      <w:r>
        <w:instrText xml:space="preserve"> HYPERLINK \l "_Toc277663962" </w:instrText>
      </w:r>
      <w:r>
        <w:fldChar w:fldCharType="separate"/>
      </w:r>
      <w:r>
        <w:rPr>
          <w:rStyle w:val="21"/>
          <w:rFonts w:hint="eastAsia" w:ascii="黑体" w:eastAsia="黑体"/>
          <w:b/>
          <w:kern w:val="0"/>
        </w:rPr>
        <w:t>五、 标准水平分析</w:t>
      </w:r>
      <w:r>
        <w:tab/>
      </w:r>
      <w:r>
        <w:fldChar w:fldCharType="end"/>
      </w:r>
      <w:r>
        <w:rPr>
          <w:rFonts w:hint="eastAsia"/>
        </w:rPr>
        <w:t>9</w:t>
      </w:r>
    </w:p>
    <w:p>
      <w:pPr>
        <w:pStyle w:val="13"/>
        <w:jc w:val="left"/>
        <w:rPr>
          <w:rStyle w:val="21"/>
          <w:rFonts w:ascii="黑体" w:eastAsia="黑体"/>
          <w:b/>
          <w:kern w:val="0"/>
        </w:rPr>
      </w:pPr>
      <w:r>
        <w:fldChar w:fldCharType="begin"/>
      </w:r>
      <w:r>
        <w:instrText xml:space="preserve"> HYPERLINK \l "_Toc277663930" </w:instrText>
      </w:r>
      <w:r>
        <w:fldChar w:fldCharType="separate"/>
      </w:r>
      <w:r>
        <w:rPr>
          <w:rStyle w:val="21"/>
          <w:rFonts w:hint="eastAsia" w:ascii="黑体" w:eastAsia="黑体"/>
          <w:b/>
          <w:kern w:val="0"/>
        </w:rPr>
        <w:t>六、与有关的现行法律、法规和强制性国家标准的关系</w:t>
      </w:r>
      <w:r>
        <w:rPr>
          <w:rStyle w:val="21"/>
          <w:rFonts w:ascii="黑体" w:eastAsia="黑体"/>
          <w:b/>
          <w:kern w:val="0"/>
        </w:rPr>
        <w:tab/>
      </w:r>
      <w:r>
        <w:rPr>
          <w:rStyle w:val="21"/>
          <w:rFonts w:ascii="黑体" w:eastAsia="黑体"/>
          <w:b/>
          <w:kern w:val="0"/>
        </w:rPr>
        <w:fldChar w:fldCharType="end"/>
      </w:r>
      <w:r>
        <w:rPr>
          <w:rFonts w:hint="eastAsia"/>
        </w:rPr>
        <w:t>9</w:t>
      </w:r>
    </w:p>
    <w:p>
      <w:pPr>
        <w:pStyle w:val="13"/>
        <w:jc w:val="left"/>
        <w:rPr>
          <w:rStyle w:val="21"/>
          <w:rFonts w:ascii="黑体" w:eastAsia="黑体"/>
          <w:b/>
          <w:kern w:val="0"/>
        </w:rPr>
      </w:pPr>
      <w:r>
        <w:fldChar w:fldCharType="begin"/>
      </w:r>
      <w:r>
        <w:instrText xml:space="preserve"> HYPERLINK \l "_Toc277663934" </w:instrText>
      </w:r>
      <w:r>
        <w:fldChar w:fldCharType="separate"/>
      </w:r>
      <w:r>
        <w:rPr>
          <w:rStyle w:val="21"/>
          <w:rFonts w:hint="eastAsia" w:ascii="黑体" w:eastAsia="黑体"/>
          <w:b/>
          <w:kern w:val="0"/>
        </w:rPr>
        <w:t>七、重大分歧意见的处理过程和依据</w:t>
      </w:r>
      <w:r>
        <w:rPr>
          <w:rStyle w:val="21"/>
          <w:rFonts w:ascii="黑体" w:eastAsia="黑体"/>
          <w:b/>
          <w:kern w:val="0"/>
        </w:rPr>
        <w:tab/>
      </w:r>
      <w:r>
        <w:rPr>
          <w:rStyle w:val="21"/>
          <w:rFonts w:ascii="黑体" w:eastAsia="黑体"/>
          <w:b/>
          <w:kern w:val="0"/>
        </w:rPr>
        <w:fldChar w:fldCharType="end"/>
      </w:r>
      <w:r>
        <w:rPr>
          <w:rFonts w:hint="eastAsia"/>
        </w:rPr>
        <w:t>9</w:t>
      </w:r>
    </w:p>
    <w:p>
      <w:pPr>
        <w:pStyle w:val="13"/>
        <w:jc w:val="left"/>
        <w:rPr>
          <w:rStyle w:val="21"/>
          <w:rFonts w:ascii="黑体" w:eastAsia="黑体"/>
          <w:b/>
          <w:kern w:val="0"/>
        </w:rPr>
      </w:pPr>
      <w:r>
        <w:fldChar w:fldCharType="begin"/>
      </w:r>
      <w:r>
        <w:instrText xml:space="preserve"> HYPERLINK \l "_Toc277663940" </w:instrText>
      </w:r>
      <w:r>
        <w:fldChar w:fldCharType="separate"/>
      </w:r>
      <w:r>
        <w:rPr>
          <w:rStyle w:val="21"/>
          <w:rFonts w:hint="eastAsia" w:ascii="黑体" w:eastAsia="黑体"/>
          <w:b/>
          <w:kern w:val="0"/>
        </w:rPr>
        <w:t>八、标准作为强制性或推荐性标准的建议</w:t>
      </w:r>
      <w:r>
        <w:rPr>
          <w:rStyle w:val="21"/>
          <w:rFonts w:ascii="黑体" w:eastAsia="黑体"/>
          <w:b/>
          <w:kern w:val="0"/>
        </w:rPr>
        <w:tab/>
      </w:r>
      <w:r>
        <w:rPr>
          <w:rStyle w:val="21"/>
          <w:rFonts w:ascii="黑体" w:eastAsia="黑体"/>
          <w:b/>
          <w:kern w:val="0"/>
        </w:rPr>
        <w:fldChar w:fldCharType="end"/>
      </w:r>
      <w:r>
        <w:rPr>
          <w:rFonts w:hint="eastAsia"/>
        </w:rPr>
        <w:t>9</w:t>
      </w:r>
    </w:p>
    <w:p>
      <w:pPr>
        <w:pStyle w:val="13"/>
        <w:jc w:val="left"/>
        <w:rPr>
          <w:rStyle w:val="21"/>
          <w:rFonts w:ascii="黑体" w:eastAsia="黑体"/>
          <w:b/>
          <w:kern w:val="0"/>
        </w:rPr>
      </w:pPr>
      <w:r>
        <w:fldChar w:fldCharType="begin"/>
      </w:r>
      <w:r>
        <w:instrText xml:space="preserve"> HYPERLINK \l "_Toc277663945" </w:instrText>
      </w:r>
      <w:r>
        <w:fldChar w:fldCharType="separate"/>
      </w:r>
      <w:r>
        <w:rPr>
          <w:rStyle w:val="21"/>
          <w:rFonts w:hint="eastAsia" w:ascii="黑体" w:eastAsia="黑体"/>
          <w:b/>
          <w:kern w:val="0"/>
        </w:rPr>
        <w:t>九、贯彻标准的要求和措施建议，包括（组织措施、技术措施、过渡办法）</w:t>
      </w:r>
      <w:r>
        <w:rPr>
          <w:rStyle w:val="21"/>
          <w:rFonts w:ascii="黑体" w:eastAsia="黑体"/>
          <w:b/>
          <w:kern w:val="0"/>
        </w:rPr>
        <w:tab/>
      </w:r>
      <w:r>
        <w:rPr>
          <w:rStyle w:val="21"/>
          <w:rFonts w:ascii="黑体" w:eastAsia="黑体"/>
          <w:b/>
          <w:kern w:val="0"/>
        </w:rPr>
        <w:fldChar w:fldCharType="end"/>
      </w:r>
      <w:r>
        <w:rPr>
          <w:rFonts w:hint="eastAsia"/>
        </w:rPr>
        <w:t>9</w:t>
      </w:r>
    </w:p>
    <w:p>
      <w:pPr>
        <w:pStyle w:val="13"/>
        <w:jc w:val="left"/>
        <w:rPr>
          <w:rStyle w:val="21"/>
          <w:rFonts w:ascii="黑体" w:eastAsia="黑体"/>
          <w:b/>
          <w:kern w:val="0"/>
        </w:rPr>
      </w:pPr>
      <w:r>
        <w:fldChar w:fldCharType="begin"/>
      </w:r>
      <w:r>
        <w:instrText xml:space="preserve"> HYPERLINK \l "_Toc277663930" </w:instrText>
      </w:r>
      <w:r>
        <w:fldChar w:fldCharType="separate"/>
      </w:r>
      <w:r>
        <w:rPr>
          <w:rStyle w:val="21"/>
          <w:rFonts w:hint="eastAsia" w:ascii="黑体" w:eastAsia="黑体"/>
          <w:b/>
          <w:kern w:val="0"/>
        </w:rPr>
        <w:t>十、废止现有有关标准的建议</w:t>
      </w:r>
      <w:r>
        <w:rPr>
          <w:rStyle w:val="21"/>
          <w:rFonts w:ascii="黑体" w:eastAsia="黑体"/>
          <w:b/>
          <w:kern w:val="0"/>
        </w:rPr>
        <w:tab/>
      </w:r>
      <w:r>
        <w:rPr>
          <w:rStyle w:val="21"/>
          <w:rFonts w:ascii="黑体" w:eastAsia="黑体"/>
          <w:b/>
          <w:kern w:val="0"/>
        </w:rPr>
        <w:fldChar w:fldCharType="end"/>
      </w:r>
      <w:r>
        <w:rPr>
          <w:rFonts w:hint="eastAsia"/>
        </w:rPr>
        <w:t>9</w:t>
      </w:r>
    </w:p>
    <w:p>
      <w:pPr>
        <w:pStyle w:val="13"/>
        <w:jc w:val="left"/>
      </w:pPr>
      <w:r>
        <w:fldChar w:fldCharType="begin"/>
      </w:r>
      <w:r>
        <w:instrText xml:space="preserve"> HYPERLINK \l "_Toc277663934" </w:instrText>
      </w:r>
      <w:r>
        <w:fldChar w:fldCharType="separate"/>
      </w:r>
      <w:r>
        <w:rPr>
          <w:rStyle w:val="21"/>
          <w:rFonts w:hint="eastAsia" w:ascii="黑体" w:eastAsia="黑体"/>
          <w:b/>
          <w:kern w:val="0"/>
        </w:rPr>
        <w:t>十一其他应予说明的事项</w:t>
      </w:r>
      <w:r>
        <w:rPr>
          <w:rStyle w:val="21"/>
          <w:rFonts w:ascii="黑体" w:eastAsia="黑体"/>
          <w:b/>
          <w:kern w:val="0"/>
        </w:rPr>
        <w:tab/>
      </w:r>
      <w:r>
        <w:rPr>
          <w:rStyle w:val="21"/>
          <w:rFonts w:ascii="黑体" w:eastAsia="黑体"/>
          <w:b/>
          <w:kern w:val="0"/>
        </w:rPr>
        <w:fldChar w:fldCharType="end"/>
      </w:r>
      <w:r>
        <w:rPr>
          <w:rFonts w:hint="eastAsia"/>
        </w:rPr>
        <w:t>10</w:t>
      </w:r>
    </w:p>
    <w:p>
      <w:pPr>
        <w:pStyle w:val="13"/>
        <w:jc w:val="left"/>
        <w:rPr>
          <w:rStyle w:val="21"/>
          <w:rFonts w:ascii="黑体" w:eastAsia="黑体"/>
          <w:b/>
          <w:kern w:val="0"/>
        </w:rPr>
      </w:pPr>
      <w:r>
        <w:fldChar w:fldCharType="begin"/>
      </w:r>
      <w:r>
        <w:instrText xml:space="preserve"> HYPERLINK \l "_Toc277663930" </w:instrText>
      </w:r>
      <w:r>
        <w:fldChar w:fldCharType="separate"/>
      </w:r>
      <w:r>
        <w:rPr>
          <w:rStyle w:val="21"/>
          <w:rFonts w:hint="eastAsia" w:ascii="黑体" w:eastAsia="黑体"/>
          <w:b/>
          <w:kern w:val="0"/>
        </w:rPr>
        <w:t>十二、致谢</w:t>
      </w:r>
      <w:r>
        <w:rPr>
          <w:rStyle w:val="21"/>
          <w:rFonts w:ascii="黑体" w:eastAsia="黑体"/>
          <w:b/>
          <w:kern w:val="0"/>
        </w:rPr>
        <w:tab/>
      </w:r>
      <w:r>
        <w:rPr>
          <w:rStyle w:val="21"/>
          <w:rFonts w:ascii="黑体" w:eastAsia="黑体"/>
          <w:b/>
          <w:kern w:val="0"/>
        </w:rPr>
        <w:fldChar w:fldCharType="end"/>
      </w:r>
      <w:r>
        <w:rPr>
          <w:rFonts w:hint="eastAsia"/>
        </w:rPr>
        <w:t>10</w:t>
      </w:r>
    </w:p>
    <w:p>
      <w:pPr>
        <w:pStyle w:val="13"/>
        <w:jc w:val="left"/>
        <w:sectPr>
          <w:footerReference r:id="rId7" w:type="default"/>
          <w:footerReference r:id="rId8" w:type="even"/>
          <w:endnotePr>
            <w:numFmt w:val="decimal"/>
          </w:endnotePr>
          <w:pgSz w:w="11906" w:h="16838"/>
          <w:pgMar w:top="1361" w:right="1361" w:bottom="1361" w:left="1361" w:header="851" w:footer="992" w:gutter="0"/>
          <w:pgNumType w:fmt="upperRoman" w:start="1"/>
          <w:cols w:space="425" w:num="1"/>
          <w:docGrid w:linePitch="312" w:charSpace="0"/>
        </w:sectPr>
      </w:pPr>
      <w:r>
        <w:rPr>
          <w:szCs w:val="21"/>
        </w:rPr>
        <w:fldChar w:fldCharType="end"/>
      </w:r>
    </w:p>
    <w:p>
      <w:pPr>
        <w:spacing w:beforeLines="50" w:afterLines="50" w:line="480" w:lineRule="auto"/>
        <w:rPr>
          <w:rFonts w:ascii="黑体" w:eastAsia="黑体"/>
          <w:b/>
          <w:sz w:val="32"/>
          <w:szCs w:val="32"/>
        </w:rPr>
      </w:pPr>
      <w:bookmarkStart w:id="1" w:name="_Toc261354913"/>
    </w:p>
    <w:p>
      <w:pPr>
        <w:spacing w:beforeLines="50" w:afterLines="50" w:line="480" w:lineRule="auto"/>
        <w:jc w:val="center"/>
        <w:rPr>
          <w:rFonts w:ascii="黑体" w:eastAsia="黑体"/>
          <w:b/>
          <w:sz w:val="32"/>
          <w:szCs w:val="32"/>
        </w:rPr>
      </w:pPr>
    </w:p>
    <w:p>
      <w:pPr>
        <w:spacing w:beforeLines="50" w:afterLines="50" w:line="480" w:lineRule="auto"/>
        <w:jc w:val="center"/>
        <w:rPr>
          <w:rFonts w:ascii="黑体" w:eastAsia="黑体"/>
          <w:b/>
          <w:sz w:val="32"/>
          <w:szCs w:val="32"/>
        </w:rPr>
      </w:pPr>
    </w:p>
    <w:p>
      <w:pPr>
        <w:spacing w:beforeLines="50" w:afterLines="50" w:line="480" w:lineRule="auto"/>
        <w:jc w:val="center"/>
        <w:rPr>
          <w:rFonts w:ascii="黑体" w:eastAsia="黑体"/>
          <w:b/>
          <w:sz w:val="32"/>
          <w:szCs w:val="32"/>
        </w:rPr>
      </w:pPr>
      <w:r>
        <w:rPr>
          <w:rFonts w:hint="eastAsia" w:ascii="黑体" w:eastAsia="黑体"/>
          <w:b/>
          <w:sz w:val="32"/>
          <w:szCs w:val="32"/>
        </w:rPr>
        <w:t>《铂锭》编制说明</w:t>
      </w:r>
    </w:p>
    <w:bookmarkEnd w:id="1"/>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一、</w:t>
      </w:r>
      <w:r>
        <w:rPr>
          <w:rFonts w:ascii="黑体" w:eastAsia="黑体"/>
          <w:b/>
          <w:kern w:val="0"/>
          <w:sz w:val="28"/>
          <w:szCs w:val="28"/>
        </w:rPr>
        <w:t xml:space="preserve"> </w:t>
      </w:r>
      <w:r>
        <w:rPr>
          <w:rFonts w:hint="eastAsia" w:ascii="黑体" w:eastAsia="黑体"/>
          <w:b/>
          <w:kern w:val="0"/>
          <w:sz w:val="28"/>
          <w:szCs w:val="28"/>
        </w:rPr>
        <w:t>任务来源及必要性</w:t>
      </w:r>
    </w:p>
    <w:p>
      <w:pPr>
        <w:pStyle w:val="3"/>
        <w:spacing w:after="0" w:line="360" w:lineRule="auto"/>
        <w:rPr>
          <w:b w:val="0"/>
          <w:kern w:val="0"/>
          <w:sz w:val="24"/>
          <w:szCs w:val="24"/>
        </w:rPr>
      </w:pPr>
      <w:bookmarkStart w:id="2" w:name="_Toc277663931"/>
      <w:bookmarkStart w:id="3" w:name="_Toc251857554"/>
      <w:r>
        <w:rPr>
          <w:rFonts w:hint="eastAsia"/>
          <w:b w:val="0"/>
          <w:kern w:val="0"/>
          <w:sz w:val="24"/>
          <w:szCs w:val="24"/>
        </w:rPr>
        <w:t>（一） 任务来源</w:t>
      </w:r>
      <w:bookmarkEnd w:id="2"/>
    </w:p>
    <w:p>
      <w:pPr>
        <w:spacing w:line="360" w:lineRule="auto"/>
        <w:ind w:firstLine="420" w:firstLineChars="200"/>
        <w:rPr>
          <w:rFonts w:ascii="宋体" w:hAnsi="宋体" w:cs="宋体"/>
          <w:kern w:val="0"/>
          <w:szCs w:val="21"/>
        </w:rPr>
      </w:pPr>
      <w:bookmarkStart w:id="4" w:name="_Toc277663932"/>
      <w:r>
        <w:rPr>
          <w:rFonts w:ascii="宋体" w:hAnsi="宋体" w:cs="宋体"/>
          <w:kern w:val="0"/>
          <w:szCs w:val="21"/>
        </w:rPr>
        <w:t>根据国家标准化管理委员会国标委综合[201</w:t>
      </w:r>
      <w:r>
        <w:rPr>
          <w:rFonts w:hint="eastAsia" w:ascii="宋体" w:hAnsi="宋体" w:cs="宋体"/>
          <w:kern w:val="0"/>
          <w:szCs w:val="21"/>
        </w:rPr>
        <w:t>6</w:t>
      </w:r>
      <w:r>
        <w:rPr>
          <w:rFonts w:ascii="宋体" w:hAnsi="宋体" w:cs="宋体"/>
          <w:kern w:val="0"/>
          <w:szCs w:val="21"/>
        </w:rPr>
        <w:t>]</w:t>
      </w:r>
      <w:r>
        <w:rPr>
          <w:rFonts w:hint="eastAsia" w:ascii="宋体" w:hAnsi="宋体" w:cs="宋体"/>
          <w:kern w:val="0"/>
          <w:szCs w:val="21"/>
        </w:rPr>
        <w:t>39</w:t>
      </w:r>
      <w:r>
        <w:rPr>
          <w:rFonts w:ascii="宋体" w:hAnsi="宋体" w:cs="宋体"/>
          <w:kern w:val="0"/>
          <w:szCs w:val="21"/>
        </w:rPr>
        <w:t>号文《关于下达201</w:t>
      </w:r>
      <w:r>
        <w:rPr>
          <w:rFonts w:hint="eastAsia" w:ascii="宋体" w:hAnsi="宋体" w:cs="宋体"/>
          <w:kern w:val="0"/>
          <w:szCs w:val="21"/>
        </w:rPr>
        <w:t>6</w:t>
      </w:r>
      <w:r>
        <w:rPr>
          <w:rFonts w:ascii="宋体" w:hAnsi="宋体" w:cs="宋体"/>
          <w:kern w:val="0"/>
          <w:szCs w:val="21"/>
        </w:rPr>
        <w:t>年第</w:t>
      </w:r>
      <w:r>
        <w:rPr>
          <w:rFonts w:hint="eastAsia" w:ascii="宋体" w:hAnsi="宋体" w:cs="宋体"/>
          <w:kern w:val="0"/>
          <w:szCs w:val="21"/>
        </w:rPr>
        <w:t>二</w:t>
      </w:r>
      <w:r>
        <w:rPr>
          <w:rFonts w:ascii="宋体" w:hAnsi="宋体" w:cs="宋体"/>
          <w:kern w:val="0"/>
          <w:szCs w:val="21"/>
        </w:rPr>
        <w:t>批国家标准制修订计划的通知》</w:t>
      </w:r>
      <w:r>
        <w:rPr>
          <w:rFonts w:hint="eastAsia" w:ascii="宋体" w:hAnsi="宋体" w:cs="宋体"/>
          <w:kern w:val="0"/>
          <w:szCs w:val="21"/>
        </w:rPr>
        <w:t>和全国有色金属标准化技术委员会有色标字</w:t>
      </w:r>
      <w:r>
        <w:rPr>
          <w:rFonts w:ascii="宋体" w:hAnsi="宋体" w:cs="宋体"/>
          <w:kern w:val="0"/>
          <w:szCs w:val="21"/>
        </w:rPr>
        <w:t>[</w:t>
      </w:r>
      <w:r>
        <w:rPr>
          <w:rFonts w:hint="eastAsia" w:ascii="宋体" w:hAnsi="宋体" w:cs="宋体"/>
          <w:kern w:val="0"/>
          <w:szCs w:val="21"/>
        </w:rPr>
        <w:t>2016</w:t>
      </w:r>
      <w:r>
        <w:rPr>
          <w:rFonts w:ascii="宋体" w:hAnsi="宋体" w:cs="宋体"/>
          <w:kern w:val="0"/>
          <w:szCs w:val="21"/>
        </w:rPr>
        <w:t>]</w:t>
      </w:r>
      <w:r>
        <w:rPr>
          <w:rFonts w:hint="eastAsia" w:ascii="宋体" w:hAnsi="宋体" w:cs="宋体"/>
          <w:kern w:val="0"/>
          <w:szCs w:val="21"/>
        </w:rPr>
        <w:t>31号文《关于转发2016年第二批有色金属国家标准、行业标准制（修）订项目计划的通知》的</w:t>
      </w:r>
      <w:r>
        <w:rPr>
          <w:rFonts w:ascii="宋体" w:hAnsi="宋体" w:cs="宋体"/>
          <w:kern w:val="0"/>
          <w:szCs w:val="21"/>
        </w:rPr>
        <w:t>要求，徐州北矿金属循环利用研究院</w:t>
      </w:r>
      <w:r>
        <w:rPr>
          <w:rFonts w:hint="eastAsia" w:ascii="宋体" w:hAnsi="宋体" w:cs="宋体"/>
          <w:kern w:val="0"/>
          <w:szCs w:val="21"/>
        </w:rPr>
        <w:t>（现已更名为“江苏北矿金属循环利用科技有限公司”，下文简称“江苏北科”）和</w:t>
      </w:r>
      <w:r>
        <w:rPr>
          <w:rFonts w:ascii="宋体" w:hAnsi="宋体" w:cs="宋体"/>
          <w:kern w:val="0"/>
          <w:szCs w:val="21"/>
        </w:rPr>
        <w:t>有色</w:t>
      </w:r>
      <w:r>
        <w:rPr>
          <w:rFonts w:hint="eastAsia" w:ascii="宋体" w:hAnsi="宋体" w:cs="宋体"/>
          <w:kern w:val="0"/>
          <w:szCs w:val="21"/>
        </w:rPr>
        <w:t>金属</w:t>
      </w:r>
      <w:r>
        <w:rPr>
          <w:rFonts w:ascii="宋体" w:hAnsi="宋体" w:cs="宋体"/>
          <w:kern w:val="0"/>
          <w:szCs w:val="21"/>
        </w:rPr>
        <w:t xml:space="preserve">技术经济研究院负责GB/T </w:t>
      </w:r>
      <w:r>
        <w:rPr>
          <w:rFonts w:hint="eastAsia" w:ascii="宋体" w:hAnsi="宋体" w:cs="宋体"/>
          <w:kern w:val="0"/>
          <w:szCs w:val="21"/>
        </w:rPr>
        <w:t>XXXX</w:t>
      </w:r>
      <w:r>
        <w:rPr>
          <w:rFonts w:ascii="宋体" w:hAnsi="宋体" w:cs="宋体"/>
          <w:kern w:val="0"/>
          <w:szCs w:val="21"/>
        </w:rPr>
        <w:t>-20</w:t>
      </w:r>
      <w:r>
        <w:rPr>
          <w:rFonts w:hint="eastAsia" w:ascii="宋体" w:hAnsi="宋体" w:cs="宋体"/>
          <w:kern w:val="0"/>
          <w:szCs w:val="21"/>
        </w:rPr>
        <w:t>XX</w:t>
      </w:r>
      <w:r>
        <w:rPr>
          <w:rFonts w:ascii="宋体" w:hAnsi="宋体" w:cs="宋体"/>
          <w:kern w:val="0"/>
          <w:szCs w:val="21"/>
        </w:rPr>
        <w:t>《</w:t>
      </w:r>
      <w:r>
        <w:rPr>
          <w:rFonts w:hint="eastAsia" w:ascii="宋体" w:hAnsi="宋体" w:cs="宋体"/>
          <w:kern w:val="0"/>
          <w:szCs w:val="21"/>
        </w:rPr>
        <w:t>铂锭</w:t>
      </w:r>
      <w:r>
        <w:rPr>
          <w:rFonts w:ascii="宋体" w:hAnsi="宋体" w:cs="宋体"/>
          <w:kern w:val="0"/>
          <w:szCs w:val="21"/>
        </w:rPr>
        <w:t>》国家标准的</w:t>
      </w:r>
      <w:r>
        <w:rPr>
          <w:rFonts w:hint="eastAsia" w:ascii="宋体" w:hAnsi="宋体" w:cs="宋体"/>
          <w:kern w:val="0"/>
          <w:szCs w:val="21"/>
        </w:rPr>
        <w:t>编制</w:t>
      </w:r>
      <w:r>
        <w:rPr>
          <w:rFonts w:ascii="宋体" w:hAnsi="宋体" w:cs="宋体"/>
          <w:kern w:val="0"/>
          <w:szCs w:val="21"/>
        </w:rPr>
        <w:t>任务</w:t>
      </w:r>
      <w:r>
        <w:rPr>
          <w:rFonts w:hint="eastAsia" w:ascii="宋体" w:hAnsi="宋体" w:cs="宋体"/>
          <w:kern w:val="0"/>
          <w:szCs w:val="21"/>
        </w:rPr>
        <w:t>，并与XXXXX等单位共同修订。标准性质为推荐性国家标准，标准计划号为</w:t>
      </w:r>
      <w:r>
        <w:rPr>
          <w:rFonts w:ascii="宋体" w:hAnsi="宋体" w:cs="宋体"/>
          <w:kern w:val="0"/>
          <w:szCs w:val="21"/>
        </w:rPr>
        <w:t>20160549-T-610</w:t>
      </w:r>
      <w:r>
        <w:rPr>
          <w:rFonts w:hint="eastAsia" w:ascii="宋体" w:hAnsi="宋体" w:cs="宋体"/>
          <w:kern w:val="0"/>
          <w:szCs w:val="21"/>
        </w:rPr>
        <w:t>，项目起止时间为2017年1月～2018年12月，技术归口单位为全国有色金属标准化技术委员会。</w:t>
      </w:r>
    </w:p>
    <w:p>
      <w:pPr>
        <w:spacing w:line="360" w:lineRule="auto"/>
        <w:ind w:firstLine="420" w:firstLineChars="200"/>
        <w:rPr>
          <w:rFonts w:ascii="宋体" w:hAnsi="宋体" w:cs="宋体"/>
          <w:kern w:val="0"/>
          <w:szCs w:val="21"/>
        </w:rPr>
      </w:pPr>
      <w:r>
        <w:rPr>
          <w:rFonts w:hint="eastAsia" w:ascii="宋体" w:hAnsi="宋体" w:cs="宋体"/>
          <w:kern w:val="0"/>
          <w:szCs w:val="21"/>
        </w:rPr>
        <w:t>江苏北矿金属循环利用科技有限公司成立于1978年，原“</w:t>
      </w:r>
      <w:r>
        <w:rPr>
          <w:rFonts w:ascii="宋体" w:hAnsi="宋体" w:cs="宋体"/>
          <w:kern w:val="0"/>
          <w:szCs w:val="21"/>
        </w:rPr>
        <w:t>徐州北矿金属循环利用研究院</w:t>
      </w:r>
      <w:r>
        <w:rPr>
          <w:rFonts w:hint="eastAsia" w:ascii="宋体" w:hAnsi="宋体" w:cs="宋体"/>
          <w:kern w:val="0"/>
          <w:szCs w:val="21"/>
        </w:rPr>
        <w:t>”、</w:t>
      </w:r>
      <w:r>
        <w:rPr>
          <w:rFonts w:ascii="宋体" w:hAnsi="宋体" w:cs="宋体"/>
          <w:kern w:val="0"/>
          <w:szCs w:val="21"/>
        </w:rPr>
        <w:t>“徐州国贸稀贵金属综合利用研究所”， 2010年4月</w:t>
      </w:r>
      <w:r>
        <w:rPr>
          <w:rFonts w:hint="eastAsia" w:ascii="宋体" w:hAnsi="宋体" w:cs="宋体"/>
          <w:kern w:val="0"/>
          <w:szCs w:val="21"/>
        </w:rPr>
        <w:t>资产整体划入北京矿冶研究总院</w:t>
      </w:r>
      <w:r>
        <w:rPr>
          <w:rFonts w:ascii="宋体" w:hAnsi="宋体" w:cs="宋体"/>
          <w:kern w:val="0"/>
          <w:szCs w:val="21"/>
        </w:rPr>
        <w:t>，成为</w:t>
      </w:r>
      <w:r>
        <w:rPr>
          <w:rFonts w:hint="eastAsia" w:ascii="宋体" w:hAnsi="宋体" w:cs="宋体"/>
          <w:kern w:val="0"/>
          <w:szCs w:val="21"/>
        </w:rPr>
        <w:t>其二级独立法人公司。2</w:t>
      </w:r>
      <w:r>
        <w:rPr>
          <w:rFonts w:ascii="宋体" w:hAnsi="宋体" w:cs="宋体"/>
          <w:kern w:val="0"/>
          <w:szCs w:val="21"/>
        </w:rPr>
        <w:t>017</w:t>
      </w:r>
      <w:r>
        <w:rPr>
          <w:rFonts w:hint="eastAsia" w:ascii="宋体" w:hAnsi="宋体" w:cs="宋体"/>
          <w:kern w:val="0"/>
          <w:szCs w:val="21"/>
        </w:rPr>
        <w:t>年1</w:t>
      </w:r>
      <w:r>
        <w:rPr>
          <w:rFonts w:ascii="宋体" w:hAnsi="宋体" w:cs="宋体"/>
          <w:kern w:val="0"/>
          <w:szCs w:val="21"/>
        </w:rPr>
        <w:t>2</w:t>
      </w:r>
      <w:r>
        <w:rPr>
          <w:rFonts w:hint="eastAsia" w:ascii="宋体" w:hAnsi="宋体" w:cs="宋体"/>
          <w:kern w:val="0"/>
          <w:szCs w:val="21"/>
        </w:rPr>
        <w:t>月2</w:t>
      </w:r>
      <w:r>
        <w:rPr>
          <w:rFonts w:ascii="宋体" w:hAnsi="宋体" w:cs="宋体"/>
          <w:kern w:val="0"/>
          <w:szCs w:val="21"/>
        </w:rPr>
        <w:t>8</w:t>
      </w:r>
      <w:r>
        <w:rPr>
          <w:rFonts w:hint="eastAsia" w:ascii="宋体" w:hAnsi="宋体" w:cs="宋体"/>
          <w:kern w:val="0"/>
          <w:szCs w:val="21"/>
        </w:rPr>
        <w:t>日，根据党中央、国务院关于中央企业公司制改制有关工作部署，公司名称变更为江苏北矿金属循环利用科技有限公司，由全民所有制企业变更为有限责任公司。江苏北科</w:t>
      </w:r>
      <w:r>
        <w:rPr>
          <w:rFonts w:ascii="宋体" w:hAnsi="宋体" w:cs="宋体"/>
          <w:kern w:val="0"/>
          <w:szCs w:val="21"/>
        </w:rPr>
        <w:t>是</w:t>
      </w:r>
      <w:r>
        <w:rPr>
          <w:rFonts w:hint="eastAsia" w:ascii="宋体" w:hAnsi="宋体" w:cs="宋体"/>
          <w:kern w:val="0"/>
          <w:szCs w:val="21"/>
        </w:rPr>
        <w:t>国内</w:t>
      </w:r>
      <w:r>
        <w:rPr>
          <w:rFonts w:ascii="宋体" w:hAnsi="宋体" w:cs="宋体"/>
          <w:kern w:val="0"/>
          <w:szCs w:val="21"/>
        </w:rPr>
        <w:t>唯一以稀贵金属和有色金属二次资源综合开发利用为核心主业、学科齐全、专业配套的科学研究机构，</w:t>
      </w:r>
      <w:r>
        <w:rPr>
          <w:rFonts w:hint="eastAsia" w:ascii="宋体" w:hAnsi="宋体" w:cs="宋体"/>
          <w:kern w:val="0"/>
          <w:szCs w:val="21"/>
        </w:rPr>
        <w:t>通过国家高新技术企业认证，</w:t>
      </w:r>
      <w:r>
        <w:rPr>
          <w:rFonts w:ascii="宋体" w:hAnsi="宋体" w:cs="宋体"/>
          <w:kern w:val="0"/>
          <w:szCs w:val="21"/>
        </w:rPr>
        <w:t>拥有一支素质高、人才结构合理的科技队伍，科技研发力量雄厚，</w:t>
      </w:r>
      <w:r>
        <w:rPr>
          <w:rFonts w:hint="eastAsia" w:ascii="宋体" w:hAnsi="宋体" w:cs="宋体"/>
          <w:kern w:val="0"/>
          <w:szCs w:val="21"/>
        </w:rPr>
        <w:t>公司现有职工</w:t>
      </w:r>
      <w:r>
        <w:rPr>
          <w:rFonts w:ascii="宋体" w:hAnsi="宋体" w:cs="宋体"/>
          <w:kern w:val="0"/>
          <w:szCs w:val="21"/>
        </w:rPr>
        <w:t>100</w:t>
      </w:r>
      <w:r>
        <w:rPr>
          <w:rFonts w:hint="eastAsia" w:ascii="宋体" w:hAnsi="宋体" w:cs="宋体"/>
          <w:kern w:val="0"/>
          <w:szCs w:val="21"/>
        </w:rPr>
        <w:t>余人，包括兼职院士</w:t>
      </w:r>
      <w:r>
        <w:rPr>
          <w:rFonts w:ascii="宋体" w:hAnsi="宋体" w:cs="宋体"/>
          <w:kern w:val="0"/>
          <w:szCs w:val="21"/>
        </w:rPr>
        <w:t>3</w:t>
      </w:r>
      <w:r>
        <w:rPr>
          <w:rFonts w:hint="eastAsia" w:ascii="宋体" w:hAnsi="宋体" w:cs="宋体"/>
          <w:kern w:val="0"/>
          <w:szCs w:val="21"/>
        </w:rPr>
        <w:t>人，客座教授</w:t>
      </w:r>
      <w:r>
        <w:rPr>
          <w:rFonts w:ascii="宋体" w:hAnsi="宋体" w:cs="宋体"/>
          <w:kern w:val="0"/>
          <w:szCs w:val="21"/>
        </w:rPr>
        <w:t>5</w:t>
      </w:r>
      <w:r>
        <w:rPr>
          <w:rFonts w:hint="eastAsia" w:ascii="宋体" w:hAnsi="宋体" w:cs="宋体"/>
          <w:kern w:val="0"/>
          <w:szCs w:val="21"/>
        </w:rPr>
        <w:t>人，各类专业技术人员</w:t>
      </w:r>
      <w:r>
        <w:rPr>
          <w:rFonts w:ascii="宋体" w:hAnsi="宋体" w:cs="宋体"/>
          <w:kern w:val="0"/>
          <w:szCs w:val="21"/>
        </w:rPr>
        <w:t>60</w:t>
      </w:r>
      <w:r>
        <w:rPr>
          <w:rFonts w:hint="eastAsia" w:ascii="宋体" w:hAnsi="宋体" w:cs="宋体"/>
          <w:kern w:val="0"/>
          <w:szCs w:val="21"/>
        </w:rPr>
        <w:t>人，其中，享受政府特殊津贴的科技专家</w:t>
      </w:r>
      <w:r>
        <w:rPr>
          <w:rFonts w:ascii="宋体" w:hAnsi="宋体" w:cs="宋体"/>
          <w:kern w:val="0"/>
          <w:szCs w:val="21"/>
        </w:rPr>
        <w:t>4</w:t>
      </w:r>
      <w:r>
        <w:rPr>
          <w:rFonts w:hint="eastAsia" w:ascii="宋体" w:hAnsi="宋体" w:cs="宋体"/>
          <w:kern w:val="0"/>
          <w:szCs w:val="21"/>
        </w:rPr>
        <w:t>人，教授级高级工程师</w:t>
      </w:r>
      <w:r>
        <w:rPr>
          <w:rFonts w:ascii="宋体" w:hAnsi="宋体" w:cs="宋体"/>
          <w:kern w:val="0"/>
          <w:szCs w:val="21"/>
        </w:rPr>
        <w:t>18</w:t>
      </w:r>
      <w:r>
        <w:rPr>
          <w:rFonts w:hint="eastAsia" w:ascii="宋体" w:hAnsi="宋体" w:cs="宋体"/>
          <w:kern w:val="0"/>
          <w:szCs w:val="21"/>
        </w:rPr>
        <w:t>人，高级工程师</w:t>
      </w:r>
      <w:r>
        <w:rPr>
          <w:rFonts w:ascii="宋体" w:hAnsi="宋体" w:cs="宋体"/>
          <w:kern w:val="0"/>
          <w:szCs w:val="21"/>
        </w:rPr>
        <w:t>24</w:t>
      </w:r>
      <w:r>
        <w:rPr>
          <w:rFonts w:hint="eastAsia" w:ascii="宋体" w:hAnsi="宋体" w:cs="宋体"/>
          <w:kern w:val="0"/>
          <w:szCs w:val="21"/>
        </w:rPr>
        <w:t>人，工程师</w:t>
      </w:r>
      <w:r>
        <w:rPr>
          <w:rFonts w:ascii="宋体" w:hAnsi="宋体" w:cs="宋体"/>
          <w:kern w:val="0"/>
          <w:szCs w:val="21"/>
        </w:rPr>
        <w:t>15</w:t>
      </w:r>
      <w:r>
        <w:rPr>
          <w:rFonts w:hint="eastAsia" w:ascii="宋体" w:hAnsi="宋体" w:cs="宋体"/>
          <w:kern w:val="0"/>
          <w:szCs w:val="21"/>
        </w:rPr>
        <w:t>人</w:t>
      </w:r>
      <w:r>
        <w:rPr>
          <w:rFonts w:ascii="宋体" w:hAnsi="宋体" w:cs="宋体"/>
          <w:kern w:val="0"/>
          <w:szCs w:val="21"/>
        </w:rPr>
        <w:t>，科技人员具备坚实的理论基础和丰富的实际工作经验。</w:t>
      </w:r>
    </w:p>
    <w:p>
      <w:pPr>
        <w:pStyle w:val="3"/>
        <w:spacing w:before="0" w:after="0" w:line="360" w:lineRule="auto"/>
        <w:rPr>
          <w:b w:val="0"/>
          <w:kern w:val="0"/>
          <w:sz w:val="24"/>
          <w:szCs w:val="24"/>
        </w:rPr>
      </w:pPr>
      <w:r>
        <w:rPr>
          <w:rFonts w:hint="eastAsia"/>
          <w:b w:val="0"/>
          <w:kern w:val="0"/>
          <w:sz w:val="24"/>
          <w:szCs w:val="24"/>
        </w:rPr>
        <w:t>（二） 标准编制的必要性、意义和目的</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我国已连续多年成为铂消费第一大国，铂的存量越来越大，再生铂量逐年增加，据权威机构测算，我国铂的回收量超过20吨/年，但目前我国没有铂锭的相关标准，使回收铂的流动性极差，虽然我国回收铂的技术已经十分成熟，回收铂的质量达到甚至优于进口铂锭，但受缺乏标准支撑，没有相应的交易规则和交易平台，回收铂不能及时交易，严重影响铂的回收、加工、贸易等行业的发展，而且很多地方套用我国铂的相关优惠税收政策，客观上造成回收企业税收优惠政策的不平衡，因此，进一步规范铂锭的要求、试验方法、检验规则、标志、包装、运输、贮存和质量证明书等，制定铂锭的相关标准，并以此标准为基础，建立相应的交易规则和交易平台，促进铂回收行业的健康发展。本标准适用于以各种含铂原料生产的铂锭。该产品主要用于首饰、石化、化工、玻纤、仪器仪表等行业。</w:t>
      </w:r>
    </w:p>
    <w:p>
      <w:pPr>
        <w:spacing w:line="360" w:lineRule="auto"/>
        <w:ind w:firstLine="420" w:firstLineChars="200"/>
        <w:rPr>
          <w:rFonts w:ascii="宋体" w:hAnsi="宋体" w:cs="宋体"/>
          <w:kern w:val="0"/>
          <w:szCs w:val="21"/>
        </w:rPr>
      </w:pPr>
      <w:r>
        <w:rPr>
          <w:rFonts w:hint="eastAsia" w:ascii="宋体" w:hAnsi="宋体" w:cs="宋体"/>
          <w:kern w:val="0"/>
          <w:szCs w:val="21"/>
        </w:rPr>
        <w:t>铂锭标准的制定，对我国国民经济的发展有非常积极的推动作用，我国的铂资源匮乏，几乎完全依赖进口，回收铂一定是非常有效的补充，但是没有标准支撑，没有相关的交易规则和交易平台，使回收铂的交易十分困难，特别是大宗回收业务，回收量大，回收周期长，资金压力非常大，承担的市场风险极大，制定铂锭标准，具有非常重要的现实意义，从根本上解决了回收铂的及时交易难题，同时我们可以进一步开发铂的金融属性，推动铂回收行业的发展。</w:t>
      </w:r>
    </w:p>
    <w:p>
      <w:pPr>
        <w:spacing w:line="360" w:lineRule="auto"/>
        <w:ind w:firstLine="420" w:firstLineChars="200"/>
        <w:rPr>
          <w:rFonts w:ascii="宋体" w:hAnsi="宋体" w:cs="宋体"/>
          <w:kern w:val="0"/>
          <w:szCs w:val="21"/>
        </w:rPr>
      </w:pPr>
    </w:p>
    <w:p>
      <w:pPr>
        <w:spacing w:line="360" w:lineRule="auto"/>
        <w:ind w:firstLine="420" w:firstLineChars="200"/>
        <w:rPr>
          <w:rFonts w:ascii="宋体" w:hAnsi="宋体" w:cs="宋体"/>
          <w:kern w:val="0"/>
          <w:szCs w:val="21"/>
        </w:rPr>
      </w:pPr>
      <w:r>
        <w:rPr>
          <w:rFonts w:hint="eastAsia" w:ascii="宋体" w:hAnsi="宋体" w:cs="宋体"/>
          <w:kern w:val="0"/>
          <w:szCs w:val="21"/>
        </w:rPr>
        <w:t>二、标准编制的原则、方法和技术依据</w:t>
      </w:r>
    </w:p>
    <w:p>
      <w:pPr>
        <w:spacing w:line="360" w:lineRule="auto"/>
        <w:ind w:firstLine="420" w:firstLineChars="200"/>
        <w:rPr>
          <w:rFonts w:ascii="宋体" w:hAnsi="宋体" w:cs="宋体"/>
          <w:kern w:val="0"/>
          <w:szCs w:val="21"/>
        </w:rPr>
      </w:pPr>
      <w:bookmarkStart w:id="5" w:name="_Toc277663935"/>
      <w:r>
        <w:rPr>
          <w:rFonts w:hint="eastAsia" w:ascii="宋体" w:hAnsi="宋体" w:cs="宋体"/>
          <w:kern w:val="0"/>
          <w:szCs w:val="21"/>
        </w:rPr>
        <w:t>（一） 编制原则</w:t>
      </w:r>
      <w:bookmarkEnd w:id="5"/>
    </w:p>
    <w:p>
      <w:pPr>
        <w:spacing w:line="360" w:lineRule="auto"/>
        <w:ind w:firstLine="420" w:firstLineChars="200"/>
        <w:rPr>
          <w:rFonts w:ascii="宋体" w:hAnsi="宋体" w:cs="宋体"/>
          <w:kern w:val="0"/>
          <w:szCs w:val="21"/>
        </w:rPr>
      </w:pPr>
      <w:r>
        <w:rPr>
          <w:rFonts w:hint="eastAsia" w:ascii="宋体" w:hAnsi="宋体" w:cs="宋体"/>
          <w:kern w:val="0"/>
          <w:szCs w:val="21"/>
        </w:rPr>
        <w:t>2.1.1　本标准格式按照GB/T 1.1-2000标准要求编写，并符合行业标准编写模板的要求。</w:t>
      </w:r>
    </w:p>
    <w:p>
      <w:pPr>
        <w:spacing w:line="360" w:lineRule="auto"/>
        <w:ind w:firstLine="420" w:firstLineChars="200"/>
        <w:rPr>
          <w:rFonts w:ascii="宋体" w:hAnsi="宋体" w:cs="宋体"/>
          <w:kern w:val="0"/>
          <w:szCs w:val="21"/>
        </w:rPr>
      </w:pPr>
      <w:r>
        <w:rPr>
          <w:rFonts w:hint="eastAsia" w:ascii="宋体" w:hAnsi="宋体" w:cs="宋体"/>
          <w:kern w:val="0"/>
          <w:szCs w:val="21"/>
        </w:rPr>
        <w:t>2.1.2　在编制的过程中，始终遵循满足市场需求、技术内容合理、分析方法可行的原则。</w:t>
      </w:r>
    </w:p>
    <w:p>
      <w:pPr>
        <w:spacing w:line="360" w:lineRule="auto"/>
        <w:ind w:firstLine="420" w:firstLineChars="200"/>
        <w:rPr>
          <w:rFonts w:ascii="宋体" w:hAnsi="宋体" w:cs="宋体"/>
          <w:kern w:val="0"/>
          <w:szCs w:val="21"/>
        </w:rPr>
      </w:pPr>
      <w:r>
        <w:rPr>
          <w:rFonts w:hint="eastAsia" w:ascii="宋体" w:hAnsi="宋体" w:cs="宋体"/>
          <w:kern w:val="0"/>
          <w:szCs w:val="21"/>
        </w:rPr>
        <w:t>2.1.3　制定的标准有利于产品的进出口，同时起到规范市场的作用。</w:t>
      </w:r>
    </w:p>
    <w:p>
      <w:pPr>
        <w:spacing w:line="360" w:lineRule="auto"/>
        <w:ind w:firstLine="420" w:firstLineChars="200"/>
        <w:rPr>
          <w:rFonts w:ascii="宋体" w:hAnsi="宋体" w:cs="宋体"/>
          <w:kern w:val="0"/>
          <w:szCs w:val="21"/>
        </w:rPr>
      </w:pPr>
      <w:r>
        <w:rPr>
          <w:rFonts w:hint="eastAsia" w:ascii="宋体" w:hAnsi="宋体" w:cs="宋体"/>
          <w:kern w:val="0"/>
          <w:szCs w:val="21"/>
        </w:rPr>
        <w:t>2.1.4　制定的标准切实可行，具有可操作性。</w:t>
      </w:r>
    </w:p>
    <w:p>
      <w:pPr>
        <w:spacing w:line="360" w:lineRule="auto"/>
        <w:ind w:firstLine="420" w:firstLineChars="200"/>
        <w:rPr>
          <w:rFonts w:ascii="宋体" w:hAnsi="宋体" w:cs="宋体"/>
          <w:kern w:val="0"/>
          <w:szCs w:val="21"/>
        </w:rPr>
      </w:pPr>
      <w:r>
        <w:rPr>
          <w:rFonts w:hint="eastAsia" w:ascii="宋体" w:hAnsi="宋体" w:cs="宋体"/>
          <w:kern w:val="0"/>
          <w:szCs w:val="21"/>
        </w:rPr>
        <w:t>5.1.5　制定标准充分考虑生产厂家、用户和贸易商的意见和建议。</w:t>
      </w:r>
    </w:p>
    <w:p>
      <w:pPr>
        <w:spacing w:line="360" w:lineRule="auto"/>
        <w:ind w:firstLine="420" w:firstLineChars="200"/>
        <w:rPr>
          <w:rFonts w:ascii="宋体" w:hAnsi="宋体" w:cs="宋体"/>
          <w:kern w:val="0"/>
          <w:szCs w:val="21"/>
        </w:rPr>
      </w:pPr>
      <w:bookmarkStart w:id="6" w:name="_Toc277663936"/>
      <w:r>
        <w:rPr>
          <w:rFonts w:hint="eastAsia" w:ascii="宋体" w:hAnsi="宋体" w:cs="宋体"/>
          <w:kern w:val="0"/>
          <w:szCs w:val="21"/>
        </w:rPr>
        <w:t>（二） 编制依据</w:t>
      </w:r>
      <w:bookmarkEnd w:id="6"/>
    </w:p>
    <w:p>
      <w:pPr>
        <w:spacing w:line="360" w:lineRule="auto"/>
        <w:ind w:firstLine="420" w:firstLineChars="200"/>
        <w:rPr>
          <w:rFonts w:ascii="宋体" w:hAnsi="宋体" w:cs="宋体"/>
          <w:kern w:val="0"/>
          <w:szCs w:val="21"/>
        </w:rPr>
      </w:pPr>
      <w:r>
        <w:rPr>
          <w:rFonts w:hint="eastAsia" w:ascii="宋体" w:hAnsi="宋体" w:cs="宋体"/>
          <w:kern w:val="0"/>
          <w:szCs w:val="21"/>
        </w:rPr>
        <w:t>2.2.1　铂含量和杂质元素指标主要依据生产工艺的实际水平及客户的技术等级要求来制定。</w:t>
      </w:r>
    </w:p>
    <w:p>
      <w:pPr>
        <w:spacing w:line="360" w:lineRule="auto"/>
        <w:ind w:firstLine="420" w:firstLineChars="200"/>
        <w:rPr>
          <w:rFonts w:ascii="宋体" w:hAnsi="宋体" w:cs="宋体"/>
          <w:kern w:val="0"/>
          <w:szCs w:val="21"/>
        </w:rPr>
      </w:pPr>
      <w:r>
        <w:rPr>
          <w:rFonts w:hint="eastAsia" w:ascii="宋体" w:hAnsi="宋体" w:cs="宋体"/>
          <w:kern w:val="0"/>
          <w:szCs w:val="21"/>
        </w:rPr>
        <w:t>2.2.2 《铂锭》国家标准制订征求意见反馈表。</w:t>
      </w:r>
    </w:p>
    <w:p>
      <w:pPr>
        <w:spacing w:line="360" w:lineRule="auto"/>
        <w:ind w:firstLine="420" w:firstLineChars="200"/>
        <w:rPr>
          <w:rFonts w:ascii="宋体" w:hAnsi="宋体" w:cs="宋体"/>
          <w:kern w:val="0"/>
          <w:szCs w:val="21"/>
        </w:rPr>
      </w:pPr>
      <w:r>
        <w:rPr>
          <w:rFonts w:hint="eastAsia" w:ascii="宋体" w:hAnsi="宋体" w:cs="宋体"/>
          <w:kern w:val="0"/>
          <w:szCs w:val="21"/>
        </w:rPr>
        <w:t>2.2.3 《铂锭》国家标准制订调研纪要。</w:t>
      </w:r>
    </w:p>
    <w:p>
      <w:pPr>
        <w:spacing w:line="360" w:lineRule="auto"/>
        <w:ind w:firstLine="420" w:firstLineChars="200"/>
        <w:rPr>
          <w:rFonts w:ascii="宋体" w:hAnsi="宋体" w:cs="宋体"/>
          <w:kern w:val="0"/>
          <w:szCs w:val="21"/>
        </w:rPr>
      </w:pPr>
      <w:r>
        <w:rPr>
          <w:rFonts w:hint="eastAsia" w:ascii="宋体" w:hAnsi="宋体" w:cs="宋体"/>
          <w:kern w:val="0"/>
          <w:szCs w:val="21"/>
        </w:rPr>
        <w:t>2.2.4 《铂锭》国家标准制订讨论会会议纪要。</w:t>
      </w:r>
    </w:p>
    <w:p>
      <w:pPr>
        <w:spacing w:line="360" w:lineRule="auto"/>
        <w:ind w:firstLine="420" w:firstLineChars="200"/>
        <w:rPr>
          <w:rFonts w:ascii="宋体" w:hAnsi="宋体" w:cs="宋体"/>
          <w:kern w:val="0"/>
          <w:szCs w:val="21"/>
        </w:rPr>
      </w:pPr>
      <w:r>
        <w:rPr>
          <w:rFonts w:hint="eastAsia" w:ascii="宋体" w:hAnsi="宋体" w:cs="宋体"/>
          <w:kern w:val="0"/>
          <w:szCs w:val="21"/>
        </w:rPr>
        <w:t>2.2.5　GB/T 8170 数值修约规则与极限数值的表示和判定。</w:t>
      </w:r>
    </w:p>
    <w:p>
      <w:pPr>
        <w:spacing w:line="360" w:lineRule="auto"/>
        <w:ind w:firstLine="420" w:firstLineChars="200"/>
        <w:rPr>
          <w:rFonts w:ascii="宋体" w:hAnsi="宋体" w:cs="宋体"/>
          <w:kern w:val="0"/>
          <w:szCs w:val="21"/>
        </w:rPr>
      </w:pPr>
      <w:r>
        <w:rPr>
          <w:rFonts w:hint="eastAsia" w:ascii="宋体" w:hAnsi="宋体" w:cs="宋体"/>
          <w:kern w:val="0"/>
          <w:szCs w:val="21"/>
        </w:rPr>
        <w:t>2.2.6　GB/T 1419 海绵铂。</w:t>
      </w:r>
    </w:p>
    <w:p>
      <w:pPr>
        <w:spacing w:line="360" w:lineRule="auto"/>
        <w:ind w:firstLine="420" w:firstLineChars="200"/>
        <w:rPr>
          <w:rFonts w:ascii="宋体" w:hAnsi="宋体" w:cs="宋体"/>
          <w:kern w:val="0"/>
          <w:szCs w:val="21"/>
        </w:rPr>
      </w:pPr>
      <w:r>
        <w:rPr>
          <w:rFonts w:hint="eastAsia" w:ascii="宋体" w:hAnsi="宋体" w:cs="宋体"/>
          <w:kern w:val="0"/>
          <w:szCs w:val="21"/>
        </w:rPr>
        <w:t xml:space="preserve">2.2.7 </w:t>
      </w:r>
      <w:r>
        <w:rPr>
          <w:rFonts w:hint="eastAsia"/>
          <w:szCs w:val="21"/>
        </w:rPr>
        <w:t xml:space="preserve"> </w:t>
      </w:r>
      <w:r>
        <w:rPr>
          <w:rFonts w:ascii="宋体" w:hAnsi="宋体" w:cs="宋体"/>
          <w:kern w:val="0"/>
          <w:szCs w:val="21"/>
        </w:rPr>
        <w:t>YS/T 361</w:t>
      </w:r>
      <w:r>
        <w:rPr>
          <w:szCs w:val="21"/>
        </w:rPr>
        <w:t>纯铂中杂质元素的发射光谱分析</w:t>
      </w:r>
      <w:r>
        <w:rPr>
          <w:rFonts w:hint="eastAsia"/>
          <w:szCs w:val="21"/>
        </w:rPr>
        <w:t>。</w:t>
      </w:r>
    </w:p>
    <w:p>
      <w:pPr>
        <w:pStyle w:val="3"/>
        <w:spacing w:before="0" w:after="0" w:line="360" w:lineRule="auto"/>
        <w:rPr>
          <w:b w:val="0"/>
          <w:kern w:val="0"/>
          <w:sz w:val="24"/>
          <w:szCs w:val="24"/>
        </w:rPr>
      </w:pPr>
      <w:bookmarkStart w:id="7" w:name="_Toc277663937"/>
      <w:r>
        <w:rPr>
          <w:rFonts w:hint="eastAsia"/>
          <w:b w:val="0"/>
          <w:kern w:val="0"/>
          <w:sz w:val="24"/>
          <w:szCs w:val="24"/>
        </w:rPr>
        <w:t>（三） 技术路线和工作步骤</w:t>
      </w:r>
      <w:bookmarkEnd w:id="7"/>
    </w:p>
    <w:p>
      <w:pPr>
        <w:spacing w:line="360" w:lineRule="auto"/>
        <w:ind w:firstLine="420" w:firstLineChars="200"/>
        <w:rPr>
          <w:rFonts w:ascii="宋体" w:hAnsi="宋体" w:cs="宋体"/>
          <w:kern w:val="0"/>
          <w:szCs w:val="21"/>
        </w:rPr>
      </w:pPr>
      <w:bookmarkStart w:id="8" w:name="_Toc277663938"/>
      <w:r>
        <w:rPr>
          <w:rFonts w:hint="eastAsia" w:ascii="宋体" w:hAnsi="宋体" w:cs="宋体"/>
          <w:kern w:val="0"/>
          <w:szCs w:val="21"/>
        </w:rPr>
        <w:t>1、 技术路线</w:t>
      </w:r>
      <w:bookmarkEnd w:id="8"/>
    </w:p>
    <w:p>
      <w:pPr>
        <w:spacing w:line="360" w:lineRule="auto"/>
        <w:ind w:firstLine="420" w:firstLineChars="200"/>
        <w:rPr>
          <w:rFonts w:ascii="宋体" w:hAnsi="宋体" w:cs="宋体"/>
          <w:kern w:val="0"/>
          <w:szCs w:val="21"/>
        </w:rPr>
      </w:pPr>
      <w:r>
        <w:rPr>
          <w:rFonts w:hint="eastAsia" w:ascii="宋体" w:hAnsi="宋体" w:cs="宋体"/>
          <w:kern w:val="0"/>
          <w:szCs w:val="21"/>
        </w:rPr>
        <w:t>本标准制定采用国际、国内资料调研，对铂锭生产、贸易、使用、检测的典型企业现场调研、研讨相结合的方式开展标准资料的收集与整理工作，其中以现场调研和各单位反馈意见为主，相关企业讨论和专家研讨为辅。在广泛调研的基础上完成标准和标准编制说明的意见稿、预审稿、初审稿和送审稿。本标准制定的技术路线见图1。</w:t>
      </w:r>
    </w:p>
    <w:p>
      <w:pPr>
        <w:rPr>
          <w:kern w:val="0"/>
        </w:rPr>
      </w:pPr>
      <w:r>
        <w:rPr>
          <w:kern w:val="0"/>
        </w:rPr>
        <w:pict>
          <v:group id="_x0000_s1138" o:spid="_x0000_s1138" o:spt="203" style="height:516.1pt;width:372.35pt;" coordorigin="1800,1558" coordsize="7447,10322" editas="canvas">
            <o:lock v:ext="edit"/>
            <v:shape id="_x0000_s1139" o:spid="_x0000_s1139" o:spt="75" type="#_x0000_t75" style="position:absolute;left:1800;top:1558;height:10322;width:7447;" filled="f" o:preferrelative="f" stroked="f" coordsize="21600,21600">
              <v:path/>
              <v:fill on="f" focussize="0,0"/>
              <v:stroke on="f" joinstyle="miter"/>
              <v:imagedata o:title=""/>
              <o:lock v:ext="edit" text="t" aspectratio="t"/>
            </v:shape>
            <v:line id="_x0000_s1140" o:spid="_x0000_s1140" o:spt="20" style="position:absolute;left:5733;top:2078;height:315;width:1;" coordsize="21600,21600">
              <v:path arrowok="t"/>
              <v:fill focussize="0,0"/>
              <v:stroke endarrow="block"/>
              <v:imagedata o:title=""/>
              <o:lock v:ext="edit"/>
            </v:line>
            <v:line id="_x0000_s1141" o:spid="_x0000_s1141" o:spt="20" style="position:absolute;left:5760;top:2945;height:313;width:4;" coordsize="21600,21600">
              <v:path arrowok="t"/>
              <v:fill focussize="0,0"/>
              <v:stroke endarrow="block"/>
              <v:imagedata o:title=""/>
              <o:lock v:ext="edit"/>
            </v:line>
            <v:line id="_x0000_s1142" o:spid="_x0000_s1142" o:spt="20" style="position:absolute;left:5775;top:3832;height:313;width:4;" coordsize="21600,21600">
              <v:path arrowok="t"/>
              <v:fill focussize="0,0"/>
              <v:stroke endarrow="block"/>
              <v:imagedata o:title=""/>
              <o:lock v:ext="edit"/>
            </v:line>
            <v:line id="_x0000_s1143" o:spid="_x0000_s1143" o:spt="20" style="position:absolute;left:5793;top:4731;height:312;width:5;" coordsize="21600,21600">
              <v:path arrowok="t"/>
              <v:fill focussize="0,0"/>
              <v:stroke endarrow="block"/>
              <v:imagedata o:title=""/>
              <o:lock v:ext="edit"/>
            </v:line>
            <v:line id="_x0000_s1144" o:spid="_x0000_s1144" o:spt="20" style="position:absolute;left:5858;top:6694;height:314;width:5;" coordsize="21600,21600">
              <v:path arrowok="t"/>
              <v:fill focussize="0,0"/>
              <v:stroke endarrow="block"/>
              <v:imagedata o:title=""/>
              <o:lock v:ext="edit"/>
            </v:line>
            <v:line id="_x0000_s1145" o:spid="_x0000_s1145" o:spt="20" style="position:absolute;left:5886;top:7546;height:314;width:5;" coordsize="21600,21600">
              <v:path arrowok="t"/>
              <v:fill focussize="0,0"/>
              <v:stroke endarrow="block"/>
              <v:imagedata o:title=""/>
              <o:lock v:ext="edit"/>
            </v:line>
            <v:line id="_x0000_s1146" o:spid="_x0000_s1146" o:spt="20" style="position:absolute;left:5915;top:9257;height:313;width:5;" coordsize="21600,21600">
              <v:path arrowok="t"/>
              <v:fill focussize="0,0"/>
              <v:stroke endarrow="block"/>
              <v:imagedata o:title=""/>
              <o:lock v:ext="edit"/>
            </v:line>
            <v:line id="_x0000_s1147" o:spid="_x0000_s1147" o:spt="20" style="position:absolute;left:5934;top:10097;height:315;width:5;" coordsize="21600,21600">
              <v:path arrowok="t"/>
              <v:fill focussize="0,0"/>
              <v:stroke endarrow="block"/>
              <v:imagedata o:title=""/>
              <o:lock v:ext="edit"/>
            </v:line>
            <v:line id="_x0000_s1148" o:spid="_x0000_s1148" o:spt="20" style="position:absolute;left:5899;top:8403;height:313;width:5;" coordsize="21600,21600">
              <v:path arrowok="t"/>
              <v:fill focussize="0,0"/>
              <v:stroke endarrow="block"/>
              <v:imagedata o:title=""/>
              <o:lock v:ext="edit"/>
            </v:line>
            <v:rect id="_x0000_s1149" o:spid="_x0000_s1149" o:spt="1" style="position:absolute;left:4244;top:1558;height:534;width:3060;" coordsize="21600,21600">
              <v:path/>
              <v:fill focussize="0,0"/>
              <v:stroke/>
              <v:imagedata o:title=""/>
              <o:lock v:ext="edit"/>
              <v:textbox>
                <w:txbxContent>
                  <w:p>
                    <w:pPr>
                      <w:spacing w:line="240" w:lineRule="atLeast"/>
                      <w:jc w:val="center"/>
                    </w:pPr>
                    <w:r>
                      <w:rPr>
                        <w:rFonts w:hint="eastAsia"/>
                      </w:rPr>
                      <w:t>资料调研</w:t>
                    </w:r>
                  </w:p>
                </w:txbxContent>
              </v:textbox>
            </v:rect>
            <v:rect id="_x0000_s1150" o:spid="_x0000_s1150" o:spt="1" style="position:absolute;left:4229;top:2398;height:535;width:3060;" coordsize="21600,21600">
              <v:path/>
              <v:fill focussize="0,0"/>
              <v:stroke/>
              <v:imagedata o:title=""/>
              <o:lock v:ext="edit"/>
              <v:textbox>
                <w:txbxContent>
                  <w:p>
                    <w:pPr>
                      <w:spacing w:line="240" w:lineRule="atLeast"/>
                      <w:jc w:val="center"/>
                    </w:pPr>
                    <w:r>
                      <w:rPr>
                        <w:rFonts w:hint="eastAsia"/>
                      </w:rPr>
                      <w:t>编制工作计划</w:t>
                    </w:r>
                  </w:p>
                  <w:p/>
                </w:txbxContent>
              </v:textbox>
            </v:rect>
            <v:rect id="_x0000_s1151" o:spid="_x0000_s1151" o:spt="1" style="position:absolute;left:4229;top:3281;height:537;width:3060;" coordsize="21600,21600">
              <v:path/>
              <v:fill focussize="0,0"/>
              <v:stroke/>
              <v:imagedata o:title=""/>
              <o:lock v:ext="edit"/>
              <v:textbox>
                <w:txbxContent>
                  <w:p>
                    <w:pPr>
                      <w:spacing w:line="240" w:lineRule="atLeast"/>
                      <w:jc w:val="center"/>
                    </w:pPr>
                    <w:r>
                      <w:rPr>
                        <w:rFonts w:hint="eastAsia"/>
                      </w:rPr>
                      <w:t>初步确定修改内容及数值范围</w:t>
                    </w:r>
                  </w:p>
                  <w:p/>
                </w:txbxContent>
              </v:textbox>
            </v:rect>
            <v:rect id="_x0000_s1152" o:spid="_x0000_s1152" o:spt="1" style="position:absolute;left:4244;top:4166;height:539;width:3060;" coordsize="21600,21600">
              <v:path/>
              <v:fill focussize="0,0"/>
              <v:stroke/>
              <v:imagedata o:title=""/>
              <o:lock v:ext="edit"/>
              <v:textbox>
                <w:txbxContent>
                  <w:p>
                    <w:pPr>
                      <w:spacing w:line="240" w:lineRule="atLeast"/>
                      <w:jc w:val="center"/>
                    </w:pPr>
                    <w:r>
                      <w:rPr>
                        <w:rFonts w:hint="eastAsia"/>
                      </w:rPr>
                      <w:t>现场调研、编制意见稿</w:t>
                    </w:r>
                  </w:p>
                  <w:p/>
                </w:txbxContent>
              </v:textbox>
            </v:rect>
            <v:rect id="_x0000_s1153" o:spid="_x0000_s1153" o:spt="1" style="position:absolute;left:4118;top:6124;height:570;width:3360;" coordsize="21600,21600">
              <v:path/>
              <v:fill focussize="0,0"/>
              <v:stroke/>
              <v:imagedata o:title=""/>
              <o:lock v:ext="edit"/>
              <v:textbox>
                <w:txbxContent>
                  <w:p>
                    <w:pPr>
                      <w:spacing w:line="240" w:lineRule="atLeast"/>
                      <w:jc w:val="center"/>
                    </w:pPr>
                    <w:r>
                      <w:rPr>
                        <w:rFonts w:hint="eastAsia"/>
                      </w:rPr>
                      <w:t>数据对比、分析、反馈意见汇总</w:t>
                    </w:r>
                  </w:p>
                </w:txbxContent>
              </v:textbox>
            </v:rect>
            <v:rect id="_x0000_s1154" o:spid="_x0000_s1154" o:spt="1" style="position:absolute;left:4358;top:7008;height:538;width:3060;" coordsize="21600,21600">
              <v:path/>
              <v:fill focussize="0,0"/>
              <v:stroke/>
              <v:imagedata o:title=""/>
              <o:lock v:ext="edit"/>
              <v:textbox>
                <w:txbxContent>
                  <w:p>
                    <w:pPr>
                      <w:spacing w:line="240" w:lineRule="atLeast"/>
                      <w:jc w:val="center"/>
                    </w:pPr>
                    <w:r>
                      <w:rPr>
                        <w:rFonts w:hint="eastAsia"/>
                      </w:rPr>
                      <w:t>开讨论会、现场调研征求意见</w:t>
                    </w:r>
                  </w:p>
                  <w:p/>
                </w:txbxContent>
              </v:textbox>
            </v:rect>
            <v:rect id="_x0000_s1155" o:spid="_x0000_s1155" o:spt="1" style="position:absolute;left:4358;top:7871;height:537;width:3060;" coordsize="21600,21600">
              <v:path/>
              <v:fill focussize="0,0"/>
              <v:stroke/>
              <v:imagedata o:title=""/>
              <o:lock v:ext="edit"/>
              <v:textbox>
                <w:txbxContent>
                  <w:p>
                    <w:pPr>
                      <w:spacing w:line="240" w:lineRule="atLeast"/>
                      <w:jc w:val="center"/>
                    </w:pPr>
                    <w:r>
                      <w:rPr>
                        <w:rFonts w:hint="eastAsia"/>
                      </w:rPr>
                      <w:t>修改并形成征求预审稿</w:t>
                    </w:r>
                  </w:p>
                  <w:p>
                    <w:pPr>
                      <w:jc w:val="center"/>
                    </w:pPr>
                  </w:p>
                </w:txbxContent>
              </v:textbox>
            </v:rect>
            <v:rect id="_x0000_s1156" o:spid="_x0000_s1156" o:spt="1" style="position:absolute;left:4104;top:8724;height:539;width:3581;" coordsize="21600,21600">
              <v:path/>
              <v:fill focussize="0,0"/>
              <v:stroke/>
              <v:imagedata o:title=""/>
              <o:lock v:ext="edit"/>
              <v:textbox>
                <w:txbxContent>
                  <w:p>
                    <w:pPr>
                      <w:spacing w:line="240" w:lineRule="atLeast"/>
                      <w:jc w:val="center"/>
                    </w:pPr>
                    <w:r>
                      <w:rPr>
                        <w:rFonts w:hint="eastAsia"/>
                      </w:rPr>
                      <w:t>预审会审查并修改，形成初审稿</w:t>
                    </w:r>
                  </w:p>
                  <w:p/>
                </w:txbxContent>
              </v:textbox>
            </v:rect>
            <v:rect id="_x0000_s1157" o:spid="_x0000_s1157" o:spt="1" style="position:absolute;left:4390;top:9579;height:539;width:3060;" coordsize="21600,21600">
              <v:path/>
              <v:fill focussize="0,0"/>
              <v:stroke/>
              <v:imagedata o:title=""/>
              <o:lock v:ext="edit"/>
              <v:textbox>
                <w:txbxContent>
                  <w:p>
                    <w:pPr>
                      <w:spacing w:line="240" w:lineRule="atLeast"/>
                      <w:jc w:val="center"/>
                    </w:pPr>
                    <w:r>
                      <w:rPr>
                        <w:rFonts w:hint="eastAsia"/>
                      </w:rPr>
                      <w:t>初审会审查、修改形成送审稿</w:t>
                    </w:r>
                  </w:p>
                  <w:p/>
                </w:txbxContent>
              </v:textbox>
            </v:rect>
            <v:rect id="_x0000_s1158" o:spid="_x0000_s1158" o:spt="1" style="position:absolute;left:4418;top:10412;height:539;width:3060;" coordsize="21600,21600">
              <v:path/>
              <v:fill focussize="0,0"/>
              <v:stroke/>
              <v:imagedata o:title=""/>
              <o:lock v:ext="edit"/>
              <v:textbox>
                <w:txbxContent>
                  <w:p>
                    <w:pPr>
                      <w:spacing w:line="240" w:lineRule="atLeast"/>
                      <w:jc w:val="center"/>
                    </w:pPr>
                    <w:r>
                      <w:rPr>
                        <w:rFonts w:hint="eastAsia"/>
                      </w:rPr>
                      <w:t>批稿、征求意见、发布</w:t>
                    </w:r>
                  </w:p>
                  <w:p/>
                </w:txbxContent>
              </v:textbox>
            </v:rect>
            <v:rect id="_x0000_s1159" o:spid="_x0000_s1159" o:spt="1" style="position:absolute;left:4418;top:11182;height:698;width:3060;" stroked="f" coordsize="21600,21600">
              <v:path/>
              <v:fill focussize="0,0"/>
              <v:stroke on="f"/>
              <v:imagedata o:title=""/>
              <o:lock v:ext="edit"/>
              <v:textbox>
                <w:txbxContent>
                  <w:p>
                    <w:pPr>
                      <w:spacing w:line="360" w:lineRule="auto"/>
                      <w:jc w:val="center"/>
                      <w:rPr>
                        <w:rFonts w:cs="宋体"/>
                        <w:kern w:val="0"/>
                        <w:szCs w:val="21"/>
                      </w:rPr>
                    </w:pPr>
                    <w:r>
                      <w:rPr>
                        <w:rFonts w:hint="eastAsia" w:cs="宋体"/>
                        <w:kern w:val="0"/>
                        <w:szCs w:val="21"/>
                      </w:rPr>
                      <w:t>图1 标准编制工作程序示意图</w:t>
                    </w:r>
                  </w:p>
                </w:txbxContent>
              </v:textbox>
            </v:rect>
            <v:rect id="_x0000_s1160" o:spid="_x0000_s1160" o:spt="1" style="position:absolute;left:4244;top:5043;height:758;width:3093;" coordsize="21600,21600">
              <v:path/>
              <v:fill focussize="0,0"/>
              <v:stroke/>
              <v:imagedata o:title=""/>
              <o:lock v:ext="edit"/>
              <v:textbox>
                <w:txbxContent>
                  <w:p>
                    <w:pPr>
                      <w:jc w:val="center"/>
                    </w:pPr>
                    <w:r>
                      <w:rPr>
                        <w:rFonts w:hint="eastAsia"/>
                      </w:rPr>
                      <w:t>意见稿公布征求意见和收集反馈意见</w:t>
                    </w:r>
                  </w:p>
                </w:txbxContent>
              </v:textbox>
            </v:rect>
            <v:line id="_x0000_s1161" o:spid="_x0000_s1161" o:spt="20" style="position:absolute;left:5798;top:5810;height:314;width:5;" coordsize="21600,21600">
              <v:path arrowok="t"/>
              <v:fill focussize="0,0"/>
              <v:stroke endarrow="block"/>
              <v:imagedata o:title=""/>
              <o:lock v:ext="edit"/>
            </v:line>
            <w10:wrap type="none"/>
            <w10:anchorlock/>
          </v:group>
        </w:pict>
      </w:r>
      <w:r>
        <w:rPr>
          <w:rFonts w:hint="eastAsia"/>
          <w:kern w:val="0"/>
        </w:rPr>
        <w:t>　　　　　　　　　　　　　　　　　　　　　　　　　　　　　　　　　　　　　　　　　　　　　　　　　　　　　　　　　　　　　　　　　　　　　　　　　　　　　　　　　　　　　　　　　　　　　　　　　　　　　　　　　　　　　　　　　　　　　　　　　　　　　　　　　　　　　　　　　　　　　　　　　　　　　　　　　　　　　　　　　　　　　　　　　　　　　　　　　　　　　　　　　　　　　　　　　　　　　　　　　　　　　　　　　　　　　　　　　　　　　　　　　　　　　　　　　　　　　　　　　　　　　　　　　　　　　　　　　　　　　　　　　　　　　　　　　　　　　　　　　　　　　　　　　　　　　　　　　　　　　　　　　　　　　　　　　　　　　　　　　　　　　　　　　　　　　　　　　　　　　　　　　　　　　　　　　　　　　　　　　　　　　　　　　　　　　　　　　　　　　　　　　　　　　　　　　　　　　　　　　　　　　　　　　　　　　　　　　　　　　　　　　　　　　　　　　　　　　　　　　　　　　　　　　　　　　　　　　　　　　　　　　　　　　　　　　　　　　　　　　　　　　　　　　　　　　　　　　　　　　　　　　　　　　　　　　　　　　　　　　　　　　　　　　　　　　　　　　　　　　　　　　　　　　　　　　　　　　　　　　　　　　　　　　　　　　　　　　　　　　　　　　　　　　　　　　　　　　　　　　　　　　　　　　　　　　　　　　　　　　　　　　　　　　　　　　　　　　　　　　　　　　　　　　　　　　　　　　　　　　　　　　　　　　　　　　　　　　　　　　　　　　　　　　　　　　　　　　　　　　　　　　　　　　　　　　　　　　　　　　　　　　　　　　　　　　　　　　　　　　　　　　　　　　　　　　　　　　　　　　　　　　　　　　　　　　　　　　　　　　　　　　　　　　　　　　　　　　　　　　　　　　　　　　　　　　　　　　　　　　　　　　　　　　　　　　　　　　　　　　　　　　　　　　　　　　　　　　　　　　　　　　　　　　　　　　　　　　　　　　　　　　　　　　　　　　　　　　　　　　　　　　　　　　　　　　　　　　　　　　　　　　　　　　　　　　　　　　　　　　　　　　　　　　　　　　　　　　　　　　　　　　　　　　　　　　　　　　　　　　　　　　　　　　　　　　　　　　　　　　　　　　　　　　　　　　　　　　　　　　　　　　　　　　　　　　　　　　　　　　　　　　　　　　　　　　　　　　　　　　　　　　　　　　　　　　　　　　　　　　　　　　　　　　　　　　　　　　　　　　　　　　　　　　　　　　　　　　　　　　　　　　　　　　　　　　　　　　　　　　　　　　　　　　　　　　　　　　　　　　　　　　　　　　　　　　　　　　　　　　　　　　　　　　　　　　　　　　　　　　　　　　　　　　　　　　　　　　　　　　　　　　　　　　　　　　　　　　　　　　　　　　　　　　　　　　　　　　　　　　　　　　　　　　　　　　　　　　　　　　　　　　　　　　　　　　　　　　　　　　　　　　　　　　　　　　　　　　　　　　　　　　　　　　　　　　　　　　　　　　　　　　　　　　　　　　　　　　　　　　　　　　　　　　　　　　　　　　　　　　　　　　　　　　　　　　　　　　　　　　　　　　　　　　　　　　　　　　　　　　　　　　　　　　　　　　　　　　　　　　　　　　　　　　　　　　　　　　　　　　　　　　　　　　　　　　　　　　　　　　　　　　　　　　　　　　　　　　　　　　　　　　　　　　　　　　　　　　　　　　　　　　　　　　　　　　　　　　　　　　　　　　　　　　　　　　　　　　　　　　　　　　　　　　　　　　　　　　　　　　　　　　　　　　　　　　　　　　　　　　　　　　　　　　　　　　　　　　　　　　　　　　　　　　　　　　　　　　　　　　　　　　　　　　　　　　　　　　　　　　　　　　　　　　　　　　　　　　　　　　　　　　　　　　　　　　　　　　　　　　　　　　　　　　　　　　　　　　　　　　　　　　　　　　　　　　　　　　　　　　　　　　　　　　　　　　　　　　　　　　　　　　　　　　　　　　　　　　　　　　　　　　　　　　　　　　　　　　　　　　　　　　　　　　　　　　　　　　　　　　　　　　　　　　　　　　　　　　　　　　　　　　　　　　　　　　　　　　　　　　　　　　　　　　　　　　　　　　　　　　　　　　　　　　　　　　　　　　　　　　　　　　　　　　　　　　　　　　　　　　　　　　　　　　　　　　　　　　　　　　　　　　　　　　　　　　　　　　　　　　　　　　　　　　　　　　　　　　　　　　　　　　　　　　　　　　　　　　　　　　　　　　　　　　　　　　　　　　　　　　　　　　　　　　　　　　　　　　　　　　　　　　　　　　　　　　　　　　　　　　　　　　　　　　　　　　　　　　　　　　　　　　　　　　　　　　　　　　　　　　　　　　　　　　　　　　　　　　　　　　　　　　　　　　　　　　　　　　　　　　　　　　　　　　　　　　　　　　　　　　　　　　　　　　　　　　　　　　　　　　　　　　　　　　　　　　　　　　　　　　　　　　　　　　　　　　　　　　　　　　　　　　　　　　　　　　　　　　　　　　　　　　　　　　　　　　　　　　　　　　　　　　　　　　　　　　　　　　　　　　　　　　　　　　　　　　　　　　　　　　　　　　　　　　　　　　　　　　　　　　　　　　　　　　　　　　　　　　　　　　　　　　　　　　　　　　　　　　　　　　　　　　　　　　　　　　　　　　　　　　　　　　　　　　　　　　　　　　　　　　　　　　　　　　　　　　　　　　　　　　　　　　　　　　　　　　　　　　　　　　　　　　　　　　　　　　　　　　　　　　　　　　　　　　　　　　　　　　　　　　　　　　　　　　　　　　　　　　　　　　　　　　　　　　　　　　　　　　　　　　　　　　　　　　　　　　　　　　　　　　　　　　　　　　　　　　　　　　　　　　　　　　　　　　　　　　　　　　　　　　　　　　　　　　　　　　　　　　　　　　　　　　　　　　　　　　　　　　　　　　　　　　　　　　　　　　　　　　　　　　　　　　　　　　　　　　　　　　　　　　　　　　　　　　　　　　　　　　　　　　　　　　　　　　　　　　　　　　　　　　　　　　　　　　　　　　　　　　　　　　　　　　　　　　　　　　　　　　　　　　　　　　　　　　　　　　　　　　　　　　　　　　　　　　　　　　　　　　　　　　　　　　　　　　　　　　　　　　　　　　　　　　　　　　　　　　　　　　　　　　　　　　　　　　　　　　　　　　　　　　　　　　　　　　　　　　　　　　　　　　　　　　　　　　　　　　　　　　　　　　　　　　　　　　　　　　　　　　　　　　　　　　　　　　　　　　　　　　　　　　　　　　　　　　　　　　　　　　　　　　　　　　　　　　　　　　　　　　　　　　　　　　　　　　　　　　　　　　　　　　　　　　　　　　　　　　　　　　　　　　　　　　　　　　　　　　　　　　　　　　　　　　　　　　　　　　　　　　　　　　　　　　　　　　　　　　　　　　　　　　　　　　　　　　　　　　　　　　　　　　　　　　　　　　　　　　　　　　　　　　　　　　　　　　　　　　　　　　　　　　　　　　　　　　　　　　　　　　　　　　　　　　　　　　　　　　　　　　　　　　　　　　　　　　　　　　　　　　　　　　　　　　　　　　　　　　　　　　　　　　　　　　　　　　　　　　　　　　　　　　　　　　　　　　　　　　　　　　　　　　　　　　　　　　　　　　　　　　　　　　　　　　　　　　　　　　　　　　　　　　　　　　　　　　　　　　　　　　　　　　　　　　　　　　　　　　　　　　　　　　　　　　　　　　　　　　　　　　　　　　　　　　　　　　　　　　　　　　　　　　　　　　　　　　　　　　　　　　　　　　　　　　　　　　　　　　　　　　　　　　　　　　　　　　　　　　　　　　　　　　　　　　　　　　　　　　　　　　　　　　　　　　　　　　　　　　　　　　　　　　　　　　　　　　　　　　　　　　　　　　　　　　　　　　　　　　　　　　　　　　　　　　　　　　　　　　　　　　　　　　　　　　　　　　　　　　　　　　　　　　　　　　　　　　　　　　　　　　　　　　　　　　　　　　　　　　　　　　　　　　　　　　　　　　　　　　　　　　　　　　　　　　　　　　　　　　　　　　　　　　　　　　　　　　　　　　　　　　　　　　　　　　　　　　　　　　　　　　　　　　　　　　　　　　　　　　　　　　　　　　　　　　　　　　　　　　　　　　　　　　　　　　　　　　　　　　　　　　　　　　　　　　　　　　　　　　　　　　　　　　　　　　　　　　　　　　　　　　　　　　　　　　　　　　　　　　　　　　　　　　　　　　　　　　　　　　　　　　　　　　　　　　　　　　　　　　　　　　　　　　　　　　　　　　　　　　　　　　　　　　　　　　　　　　　　　　　　　　　　　　　　　　　　　　　　　　　　　　　　　　　　　　　　　　　　　　　　　　　　　　　　　　　　　　　　　　　　　　　　　　　　　　　　　　　　　　　　　　　　　　　　　　　　　　　　　　　　　　　　　　　　　　　　　　　　　　　　　　　　　　　　　　　　　　　　　　　　　　　　　　　　　　　　　　　　　　　　　　　　　　　　　　　　　　　　　　　　　　　　　　　　　　　　　</w:t>
      </w:r>
      <w:r>
        <w:rPr>
          <w:rFonts w:hint="eastAsia"/>
          <w:kern w:val="0"/>
        </w:rPr>
        <w:t>　　　　　　　　　　　　　　　　　　　　　　　　　　　　　　　　　　　　　　　　　　　　　　　　　　　　　　　　　　　　　　　　　　　　　　　　　　　　　　　　　　　　　　　　　　　　　　　　　　　　　　　　　　　　　　　　　　　　　　　　　　　　　　　　　　　　　　　　　　　　　　　　　　　　　　　　　　　　　　　　　　　　　　　　　　　　　　　　　　　　　　　　　　　　　　　　　　　　　　　　　　　　　　　　　　　　　　　　　　　　　　　　　　　　　　　　　　　　　　　　　　　　　　　　　　　　　　　　　　　　　　　　　　　　　　　　　　　　　　　　　　　　　　　　　　　　　　　　　　　　　　　　　　　　　　　　　　　　　　　　　　　　　　　　　　　　　　　　　　　　　　　　　　　　　　　　　　　　　　　　　　　　　　　　　　　　　　　　　　　　　　　　　　　　　　　　　　　　　　　　　　　　　　　　　　　　　　　　　　　　　　　　　　　　　　　　　　　　　　　　　　　　　　　　　　　　　　　　　　　　　　　　　　　　　　　　　　　　　　　　　　　　　　　　　　　　　　　　　　　　　　　　　　　　　　　　　　　　　　　　　　　　　　　　　　　　　　　　　　　　　　　　　　　　　　　　　　　　　　　　　　　　　　　　　　　　　　　　　　　　　　　　　　　　　　　　　　　　　　　　　　　　　　　　　　　　　　　　　　　　　　　　　　　　　　　　　　　　　　　　　　　　　　　　　　　　　　　　　　　　　　　　　　　　　　　　　　　　　　　　　　　　　　　　　　　　　　　　　　　　　　　　　　　　　　　　　　　　　　　　　　　　　　　　　　　　　　　　　　　　　　　　　　　　　　　　　　　　　　　　　　　　　　　　　　　　　　　　　　　　　　　　　　　　　　　　　　　　　　　　　　　　　　　　　　　　　　　　　　　　　　　　　　　　　　　　　　　　　　　　　　　　　　　　　　　　　　　　　　　　　　　　　　　　　　　　　　　　　　　　　　　　　　　　　　　　　　　　　　　　　　　　　　　　　　　　　　　　　　　　　　　　　　　　　　　　　　　　　　　　　　　　　　　</w:t>
      </w:r>
    </w:p>
    <w:p>
      <w:pPr>
        <w:spacing w:line="360" w:lineRule="auto"/>
        <w:ind w:firstLine="420" w:firstLineChars="200"/>
        <w:rPr>
          <w:rFonts w:ascii="宋体" w:hAnsi="宋体" w:cs="宋体"/>
          <w:kern w:val="0"/>
          <w:szCs w:val="21"/>
        </w:rPr>
      </w:pPr>
      <w:bookmarkStart w:id="9" w:name="_Toc277663939"/>
      <w:r>
        <w:rPr>
          <w:rFonts w:hint="eastAsia" w:ascii="宋体" w:hAnsi="宋体" w:cs="宋体"/>
          <w:kern w:val="0"/>
          <w:szCs w:val="21"/>
        </w:rPr>
        <w:t>2、工作步骤</w:t>
      </w:r>
      <w:bookmarkEnd w:id="9"/>
    </w:p>
    <w:p>
      <w:pPr>
        <w:spacing w:line="360" w:lineRule="auto"/>
        <w:ind w:firstLine="420" w:firstLineChars="200"/>
        <w:rPr>
          <w:rFonts w:cs="宋体"/>
          <w:kern w:val="0"/>
          <w:szCs w:val="21"/>
        </w:rPr>
      </w:pPr>
      <w:r>
        <w:rPr>
          <w:rFonts w:hint="eastAsia" w:cs="宋体"/>
          <w:kern w:val="0"/>
          <w:szCs w:val="21"/>
        </w:rPr>
        <w:t>根据上述技术路线，本标准编制的具体工作步骤如下：</w:t>
      </w:r>
    </w:p>
    <w:p>
      <w:pPr>
        <w:spacing w:line="360" w:lineRule="auto"/>
        <w:ind w:firstLine="420" w:firstLineChars="200"/>
        <w:rPr>
          <w:rFonts w:cs="宋体"/>
          <w:kern w:val="0"/>
          <w:szCs w:val="21"/>
        </w:rPr>
      </w:pPr>
      <w:r>
        <w:rPr>
          <w:rFonts w:hint="eastAsia" w:cs="宋体"/>
          <w:kern w:val="0"/>
          <w:szCs w:val="21"/>
        </w:rPr>
        <w:t>（</w:t>
      </w:r>
      <w:r>
        <w:rPr>
          <w:rFonts w:cs="宋体"/>
          <w:kern w:val="0"/>
          <w:szCs w:val="21"/>
        </w:rPr>
        <w:t>1</w:t>
      </w:r>
      <w:r>
        <w:rPr>
          <w:rFonts w:hint="eastAsia" w:cs="宋体"/>
          <w:kern w:val="0"/>
          <w:szCs w:val="21"/>
        </w:rPr>
        <w:t>）制定标准编制的工作计划；</w:t>
      </w:r>
    </w:p>
    <w:p>
      <w:pPr>
        <w:spacing w:line="360" w:lineRule="auto"/>
        <w:ind w:firstLine="420" w:firstLineChars="200"/>
        <w:rPr>
          <w:rFonts w:cs="宋体"/>
          <w:kern w:val="0"/>
          <w:szCs w:val="21"/>
        </w:rPr>
      </w:pPr>
      <w:r>
        <w:rPr>
          <w:rFonts w:hint="eastAsia" w:cs="宋体"/>
          <w:kern w:val="0"/>
          <w:szCs w:val="21"/>
        </w:rPr>
        <w:t>（</w:t>
      </w:r>
      <w:r>
        <w:rPr>
          <w:rFonts w:cs="宋体"/>
          <w:kern w:val="0"/>
          <w:szCs w:val="21"/>
        </w:rPr>
        <w:t>2</w:t>
      </w:r>
      <w:r>
        <w:rPr>
          <w:rFonts w:hint="eastAsia" w:cs="宋体"/>
          <w:kern w:val="0"/>
          <w:szCs w:val="21"/>
        </w:rPr>
        <w:t>）开展国内、外资料的调研、收集与整理工作；</w:t>
      </w:r>
    </w:p>
    <w:p>
      <w:pPr>
        <w:spacing w:line="360" w:lineRule="auto"/>
        <w:ind w:firstLine="420" w:firstLineChars="200"/>
        <w:rPr>
          <w:rFonts w:cs="宋体"/>
          <w:kern w:val="0"/>
          <w:szCs w:val="21"/>
        </w:rPr>
      </w:pPr>
      <w:r>
        <w:rPr>
          <w:rFonts w:hint="eastAsia" w:cs="宋体"/>
          <w:kern w:val="0"/>
          <w:szCs w:val="21"/>
        </w:rPr>
        <w:t>（</w:t>
      </w:r>
      <w:r>
        <w:rPr>
          <w:rFonts w:cs="宋体"/>
          <w:kern w:val="0"/>
          <w:szCs w:val="21"/>
        </w:rPr>
        <w:t>3</w:t>
      </w:r>
      <w:r>
        <w:rPr>
          <w:rFonts w:hint="eastAsia" w:cs="宋体"/>
          <w:kern w:val="0"/>
          <w:szCs w:val="21"/>
        </w:rPr>
        <w:t>）展开标准编制工作讨论，初步确定标准框架；</w:t>
      </w:r>
    </w:p>
    <w:p>
      <w:pPr>
        <w:spacing w:line="360" w:lineRule="auto"/>
        <w:ind w:firstLine="420" w:firstLineChars="200"/>
        <w:rPr>
          <w:rFonts w:cs="宋体"/>
          <w:kern w:val="0"/>
          <w:szCs w:val="21"/>
        </w:rPr>
      </w:pPr>
      <w:r>
        <w:rPr>
          <w:rFonts w:hint="eastAsia" w:cs="宋体"/>
          <w:kern w:val="0"/>
          <w:szCs w:val="21"/>
        </w:rPr>
        <w:t>（</w:t>
      </w:r>
      <w:r>
        <w:rPr>
          <w:rFonts w:cs="宋体"/>
          <w:kern w:val="0"/>
          <w:szCs w:val="21"/>
        </w:rPr>
        <w:t>4</w:t>
      </w:r>
      <w:r>
        <w:rPr>
          <w:rFonts w:hint="eastAsia" w:cs="宋体"/>
          <w:kern w:val="0"/>
          <w:szCs w:val="21"/>
        </w:rPr>
        <w:t>）在调研考察、检测分析的基础上编制标准意见稿；</w:t>
      </w:r>
    </w:p>
    <w:p>
      <w:pPr>
        <w:spacing w:line="360" w:lineRule="auto"/>
        <w:ind w:left="840" w:leftChars="200" w:hanging="420" w:hangingChars="200"/>
        <w:rPr>
          <w:rFonts w:ascii="宋体" w:hAnsi="宋体"/>
          <w:szCs w:val="21"/>
        </w:rPr>
      </w:pPr>
      <w:r>
        <w:rPr>
          <w:rFonts w:hint="eastAsia" w:cs="宋体"/>
          <w:kern w:val="0"/>
          <w:szCs w:val="21"/>
        </w:rPr>
        <w:t>（</w:t>
      </w:r>
      <w:r>
        <w:rPr>
          <w:rFonts w:cs="宋体"/>
          <w:kern w:val="0"/>
          <w:szCs w:val="21"/>
        </w:rPr>
        <w:t>5</w:t>
      </w:r>
      <w:r>
        <w:rPr>
          <w:rFonts w:hint="eastAsia" w:cs="宋体"/>
          <w:kern w:val="0"/>
          <w:szCs w:val="21"/>
        </w:rPr>
        <w:t>）</w:t>
      </w:r>
      <w:r>
        <w:rPr>
          <w:rFonts w:hint="eastAsia" w:ascii="宋体" w:hAnsi="宋体"/>
          <w:szCs w:val="21"/>
        </w:rPr>
        <w:t>在“中国有色标准质量信息网”公告《铂锭》标准征求意见稿和“铂锭国家标准修订征求意见反馈表”；</w:t>
      </w:r>
    </w:p>
    <w:p>
      <w:pPr>
        <w:spacing w:line="360" w:lineRule="auto"/>
        <w:ind w:firstLine="420" w:firstLineChars="200"/>
        <w:rPr>
          <w:rFonts w:cs="宋体"/>
          <w:kern w:val="0"/>
          <w:szCs w:val="21"/>
        </w:rPr>
      </w:pPr>
      <w:r>
        <w:rPr>
          <w:rFonts w:hint="eastAsia" w:cs="宋体"/>
          <w:kern w:val="0"/>
          <w:szCs w:val="21"/>
        </w:rPr>
        <w:t>（6）收集汇总调查反馈意见；</w:t>
      </w:r>
    </w:p>
    <w:p>
      <w:pPr>
        <w:spacing w:line="360" w:lineRule="auto"/>
        <w:ind w:firstLine="420" w:firstLineChars="200"/>
        <w:rPr>
          <w:rFonts w:cs="宋体"/>
          <w:kern w:val="0"/>
          <w:szCs w:val="21"/>
        </w:rPr>
      </w:pPr>
      <w:r>
        <w:rPr>
          <w:rFonts w:hint="eastAsia" w:cs="宋体"/>
          <w:kern w:val="0"/>
          <w:szCs w:val="21"/>
        </w:rPr>
        <w:t>（7）现场调研与讨论“</w:t>
      </w:r>
      <w:r>
        <w:rPr>
          <w:rFonts w:hint="eastAsia" w:ascii="宋体" w:hAnsi="宋体"/>
          <w:szCs w:val="21"/>
        </w:rPr>
        <w:t>标准</w:t>
      </w:r>
      <w:r>
        <w:rPr>
          <w:rFonts w:hint="eastAsia" w:cs="宋体"/>
          <w:kern w:val="0"/>
          <w:szCs w:val="21"/>
        </w:rPr>
        <w:t>征求意见稿”相结合，对意见稿进行修改，形成“标准预审稿”。</w:t>
      </w:r>
    </w:p>
    <w:p>
      <w:pPr>
        <w:spacing w:line="360" w:lineRule="auto"/>
        <w:ind w:firstLine="420" w:firstLineChars="200"/>
        <w:rPr>
          <w:rFonts w:cs="宋体"/>
          <w:kern w:val="0"/>
          <w:szCs w:val="21"/>
        </w:rPr>
      </w:pPr>
      <w:r>
        <w:rPr>
          <w:rFonts w:hint="eastAsia" w:cs="宋体"/>
          <w:kern w:val="0"/>
          <w:szCs w:val="21"/>
        </w:rPr>
        <w:t>（8）初审审查并修改，形成标准送审稿。</w:t>
      </w:r>
    </w:p>
    <w:p>
      <w:pPr>
        <w:spacing w:line="360" w:lineRule="auto"/>
        <w:ind w:firstLine="420" w:firstLineChars="200"/>
        <w:rPr>
          <w:rFonts w:cs="宋体"/>
          <w:kern w:val="0"/>
          <w:szCs w:val="21"/>
        </w:rPr>
      </w:pPr>
      <w:r>
        <w:rPr>
          <w:rFonts w:hint="eastAsia" w:cs="宋体"/>
          <w:kern w:val="0"/>
          <w:szCs w:val="21"/>
        </w:rPr>
        <w:t>（9）参加标准审定会，形成标准报批稿。</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bookmarkStart w:id="10" w:name="_Toc277663940"/>
      <w:r>
        <w:rPr>
          <w:rFonts w:hint="eastAsia" w:ascii="黑体" w:eastAsia="黑体"/>
          <w:b/>
          <w:kern w:val="0"/>
          <w:sz w:val="28"/>
          <w:szCs w:val="28"/>
        </w:rPr>
        <w:t>三、编制过程及主要工作内容</w:t>
      </w:r>
      <w:bookmarkEnd w:id="10"/>
    </w:p>
    <w:p>
      <w:pPr>
        <w:pStyle w:val="3"/>
        <w:spacing w:before="0" w:after="0" w:line="360" w:lineRule="auto"/>
        <w:rPr>
          <w:b w:val="0"/>
          <w:kern w:val="0"/>
          <w:sz w:val="24"/>
          <w:szCs w:val="24"/>
        </w:rPr>
      </w:pPr>
      <w:bookmarkStart w:id="11" w:name="_Toc277663941"/>
      <w:r>
        <w:rPr>
          <w:rFonts w:hint="eastAsia"/>
          <w:b w:val="0"/>
          <w:kern w:val="0"/>
          <w:sz w:val="24"/>
          <w:szCs w:val="24"/>
        </w:rPr>
        <w:t>（一）  编制过程</w:t>
      </w:r>
      <w:bookmarkEnd w:id="11"/>
    </w:p>
    <w:p>
      <w:pPr>
        <w:spacing w:line="360" w:lineRule="auto"/>
        <w:ind w:firstLine="420" w:firstLineChars="200"/>
        <w:rPr>
          <w:rFonts w:cs="宋体"/>
          <w:kern w:val="0"/>
          <w:szCs w:val="21"/>
        </w:rPr>
      </w:pPr>
      <w:r>
        <w:rPr>
          <w:rFonts w:hint="eastAsia" w:cs="宋体"/>
          <w:kern w:val="0"/>
          <w:szCs w:val="21"/>
        </w:rPr>
        <w:t>标准编制过程的进度和主要工作内容见表1。</w:t>
      </w:r>
    </w:p>
    <w:p>
      <w:pPr>
        <w:jc w:val="center"/>
        <w:rPr>
          <w:rFonts w:ascii="宋体" w:hAnsi="宋体"/>
          <w:b/>
        </w:rPr>
      </w:pPr>
      <w:r>
        <w:rPr>
          <w:rFonts w:hint="eastAsia" w:ascii="宋体" w:hAnsi="宋体"/>
          <w:b/>
        </w:rPr>
        <w:t>表1 编制进度和主要工作内容</w:t>
      </w:r>
    </w:p>
    <w:tbl>
      <w:tblPr>
        <w:tblStyle w:val="24"/>
        <w:tblW w:w="8414" w:type="dxa"/>
        <w:jc w:val="center"/>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7"/>
        <w:gridCol w:w="640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Borders>
              <w:top w:val="single" w:color="auto" w:sz="12" w:space="0"/>
              <w:bottom w:val="single" w:color="auto" w:sz="6" w:space="0"/>
            </w:tcBorders>
            <w:vAlign w:val="center"/>
          </w:tcPr>
          <w:p>
            <w:pPr>
              <w:spacing w:line="300" w:lineRule="auto"/>
              <w:jc w:val="center"/>
              <w:rPr>
                <w:rFonts w:cs="宋体"/>
                <w:kern w:val="0"/>
                <w:sz w:val="24"/>
              </w:rPr>
            </w:pPr>
            <w:r>
              <w:rPr>
                <w:rFonts w:hint="eastAsia" w:eastAsia="黑体"/>
                <w:szCs w:val="21"/>
              </w:rPr>
              <w:t>时间进度</w:t>
            </w:r>
          </w:p>
        </w:tc>
        <w:tc>
          <w:tcPr>
            <w:tcW w:w="6407" w:type="dxa"/>
            <w:tcBorders>
              <w:top w:val="single" w:color="auto" w:sz="12" w:space="0"/>
              <w:bottom w:val="single" w:color="auto" w:sz="6" w:space="0"/>
            </w:tcBorders>
            <w:vAlign w:val="center"/>
          </w:tcPr>
          <w:p>
            <w:pPr>
              <w:spacing w:line="300" w:lineRule="auto"/>
              <w:jc w:val="center"/>
              <w:rPr>
                <w:rFonts w:cs="宋体"/>
                <w:kern w:val="0"/>
                <w:sz w:val="24"/>
              </w:rPr>
            </w:pPr>
            <w:r>
              <w:rPr>
                <w:rFonts w:hint="eastAsia" w:eastAsia="黑体"/>
                <w:szCs w:val="21"/>
              </w:rPr>
              <w:t>工作内容</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Borders>
              <w:top w:val="single" w:color="auto" w:sz="6" w:space="0"/>
            </w:tcBorders>
          </w:tcPr>
          <w:p>
            <w:pPr>
              <w:spacing w:line="300" w:lineRule="auto"/>
              <w:jc w:val="center"/>
              <w:rPr>
                <w:rFonts w:ascii="宋体" w:hAnsi="宋体" w:cs="宋体"/>
                <w:b/>
                <w:kern w:val="0"/>
                <w:sz w:val="24"/>
              </w:rPr>
            </w:pPr>
            <w:r>
              <w:rPr>
                <w:rFonts w:hint="eastAsia" w:ascii="宋体" w:hAnsi="宋体"/>
                <w:szCs w:val="21"/>
              </w:rPr>
              <w:t>2017.4</w:t>
            </w:r>
          </w:p>
        </w:tc>
        <w:tc>
          <w:tcPr>
            <w:tcW w:w="6407" w:type="dxa"/>
            <w:tcBorders>
              <w:top w:val="single" w:color="auto" w:sz="6" w:space="0"/>
            </w:tcBorders>
            <w:vAlign w:val="center"/>
          </w:tcPr>
          <w:p>
            <w:pPr>
              <w:spacing w:line="360" w:lineRule="auto"/>
              <w:ind w:firstLine="210" w:firstLineChars="100"/>
              <w:rPr>
                <w:rFonts w:ascii="宋体" w:hAnsi="宋体"/>
                <w:szCs w:val="21"/>
              </w:rPr>
            </w:pPr>
            <w:r>
              <w:rPr>
                <w:rFonts w:hint="eastAsia" w:ascii="宋体" w:hAnsi="宋体"/>
                <w:szCs w:val="21"/>
              </w:rPr>
              <w:t>成立《铂锭》国家标准起草编写组；</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Pr>
          <w:p>
            <w:pPr>
              <w:spacing w:line="300" w:lineRule="auto"/>
              <w:jc w:val="center"/>
              <w:rPr>
                <w:rFonts w:ascii="宋体" w:hAnsi="宋体"/>
                <w:szCs w:val="21"/>
              </w:rPr>
            </w:pPr>
            <w:r>
              <w:rPr>
                <w:rFonts w:ascii="宋体" w:hAnsi="宋体"/>
                <w:szCs w:val="21"/>
              </w:rPr>
              <w:t>20</w:t>
            </w:r>
            <w:r>
              <w:rPr>
                <w:rFonts w:hint="eastAsia" w:ascii="宋体" w:hAnsi="宋体"/>
                <w:szCs w:val="21"/>
              </w:rPr>
              <w:t>17</w:t>
            </w:r>
            <w:r>
              <w:rPr>
                <w:rFonts w:ascii="宋体" w:hAnsi="宋体"/>
                <w:szCs w:val="21"/>
              </w:rPr>
              <w:t>.</w:t>
            </w:r>
            <w:r>
              <w:rPr>
                <w:rFonts w:hint="eastAsia" w:ascii="宋体" w:hAnsi="宋体"/>
                <w:szCs w:val="21"/>
              </w:rPr>
              <w:t>8</w:t>
            </w:r>
          </w:p>
        </w:tc>
        <w:tc>
          <w:tcPr>
            <w:tcW w:w="6407" w:type="dxa"/>
            <w:vAlign w:val="center"/>
          </w:tcPr>
          <w:p>
            <w:pPr>
              <w:spacing w:line="360" w:lineRule="auto"/>
              <w:ind w:firstLine="210" w:firstLineChars="100"/>
              <w:rPr>
                <w:rFonts w:ascii="宋体" w:hAnsi="宋体"/>
                <w:szCs w:val="21"/>
              </w:rPr>
            </w:pPr>
            <w:r>
              <w:rPr>
                <w:rFonts w:hint="eastAsia" w:ascii="宋体" w:hAnsi="宋体"/>
                <w:szCs w:val="21"/>
              </w:rPr>
              <w:t>在山东泰安召开铂锭标准修订讨论会；</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Pr>
          <w:p>
            <w:pPr>
              <w:spacing w:line="300" w:lineRule="auto"/>
              <w:jc w:val="center"/>
              <w:rPr>
                <w:rFonts w:hint="eastAsia" w:ascii="宋体" w:hAnsi="宋体" w:eastAsia="宋体"/>
                <w:szCs w:val="21"/>
                <w:lang w:val="en-US" w:eastAsia="zh-CN"/>
              </w:rPr>
            </w:pPr>
            <w:r>
              <w:rPr>
                <w:rFonts w:ascii="宋体" w:hAnsi="宋体"/>
                <w:szCs w:val="21"/>
              </w:rPr>
              <w:t>20</w:t>
            </w:r>
            <w:r>
              <w:rPr>
                <w:rFonts w:hint="eastAsia" w:ascii="宋体" w:hAnsi="宋体"/>
                <w:szCs w:val="21"/>
              </w:rPr>
              <w:t>17</w:t>
            </w:r>
            <w:r>
              <w:rPr>
                <w:rFonts w:ascii="宋体" w:hAnsi="宋体"/>
                <w:szCs w:val="21"/>
              </w:rPr>
              <w:t>.</w:t>
            </w:r>
            <w:r>
              <w:rPr>
                <w:rFonts w:hint="eastAsia" w:ascii="宋体" w:hAnsi="宋体"/>
                <w:szCs w:val="21"/>
              </w:rPr>
              <w:t>10～201</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5</w:t>
            </w:r>
          </w:p>
        </w:tc>
        <w:tc>
          <w:tcPr>
            <w:tcW w:w="6407" w:type="dxa"/>
            <w:vAlign w:val="center"/>
          </w:tcPr>
          <w:p>
            <w:pPr>
              <w:spacing w:line="360" w:lineRule="auto"/>
              <w:ind w:left="210" w:leftChars="100"/>
              <w:rPr>
                <w:rFonts w:ascii="宋体" w:hAnsi="宋体"/>
                <w:szCs w:val="21"/>
              </w:rPr>
            </w:pPr>
            <w:r>
              <w:rPr>
                <w:rFonts w:hint="eastAsia" w:ascii="宋体" w:hAnsi="宋体"/>
                <w:szCs w:val="21"/>
              </w:rPr>
              <w:t>初步调研与讨论会相结合，形成标准征求意见稿，并在中国有色标准质量信息网”公告标准征求意见稿和“铂锭国家标准征求意见反馈表”；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Pr>
          <w:p>
            <w:pPr>
              <w:spacing w:line="300" w:lineRule="auto"/>
              <w:jc w:val="center"/>
              <w:rPr>
                <w:rFonts w:ascii="宋体" w:hAnsi="宋体" w:cs="宋体"/>
                <w:b/>
                <w:kern w:val="0"/>
                <w:sz w:val="24"/>
              </w:rPr>
            </w:pPr>
            <w:r>
              <w:rPr>
                <w:rFonts w:ascii="宋体" w:hAnsi="宋体"/>
                <w:szCs w:val="21"/>
              </w:rPr>
              <w:t>201</w:t>
            </w:r>
            <w:r>
              <w:rPr>
                <w:rFonts w:hint="eastAsia" w:ascii="宋体" w:hAnsi="宋体"/>
                <w:szCs w:val="21"/>
              </w:rPr>
              <w:t>8</w:t>
            </w:r>
            <w:r>
              <w:rPr>
                <w:rFonts w:ascii="宋体" w:hAnsi="宋体"/>
                <w:szCs w:val="21"/>
              </w:rPr>
              <w:t>.</w:t>
            </w:r>
            <w:r>
              <w:rPr>
                <w:rFonts w:hint="eastAsia" w:ascii="宋体" w:hAnsi="宋体"/>
                <w:szCs w:val="21"/>
              </w:rPr>
              <w:t>1～</w:t>
            </w:r>
            <w:r>
              <w:rPr>
                <w:rFonts w:ascii="宋体" w:hAnsi="宋体"/>
                <w:szCs w:val="21"/>
              </w:rPr>
              <w:t>201</w:t>
            </w:r>
            <w:r>
              <w:rPr>
                <w:rFonts w:hint="eastAsia" w:ascii="宋体" w:hAnsi="宋体"/>
                <w:szCs w:val="21"/>
              </w:rPr>
              <w:t>8</w:t>
            </w:r>
            <w:r>
              <w:rPr>
                <w:rFonts w:ascii="宋体" w:hAnsi="宋体"/>
                <w:szCs w:val="21"/>
              </w:rPr>
              <w:t>.</w:t>
            </w:r>
            <w:r>
              <w:rPr>
                <w:rFonts w:hint="eastAsia" w:ascii="宋体" w:hAnsi="宋体"/>
                <w:szCs w:val="21"/>
              </w:rPr>
              <w:t>7</w:t>
            </w:r>
          </w:p>
        </w:tc>
        <w:tc>
          <w:tcPr>
            <w:tcW w:w="6407" w:type="dxa"/>
            <w:vAlign w:val="center"/>
          </w:tcPr>
          <w:p>
            <w:pPr>
              <w:spacing w:line="360" w:lineRule="auto"/>
              <w:ind w:left="210" w:leftChars="100"/>
              <w:rPr>
                <w:rFonts w:ascii="宋体" w:hAnsi="宋体"/>
                <w:sz w:val="24"/>
              </w:rPr>
            </w:pPr>
            <w:r>
              <w:rPr>
                <w:rFonts w:hint="eastAsia" w:ascii="宋体" w:hAnsi="宋体"/>
                <w:szCs w:val="21"/>
              </w:rPr>
              <w:t>调研，广泛搜集生产厂家、用户和贸易商对标准的修改意见。同时征集主要生产厂家铂锭产品中杂质含量的种类及其实测值，以查定国内铂锭主要杂质元素的种类及其含量，为标准制定杂质元素要求提供依据。</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Pr>
          <w:p>
            <w:pPr>
              <w:spacing w:line="300" w:lineRule="auto"/>
              <w:jc w:val="center"/>
              <w:rPr>
                <w:rFonts w:ascii="宋体" w:hAnsi="宋体" w:cs="宋体"/>
                <w:b/>
                <w:kern w:val="0"/>
                <w:sz w:val="24"/>
              </w:rPr>
            </w:pPr>
            <w:r>
              <w:rPr>
                <w:rFonts w:ascii="宋体" w:hAnsi="宋体"/>
                <w:szCs w:val="21"/>
              </w:rPr>
              <w:t>201</w:t>
            </w:r>
            <w:r>
              <w:rPr>
                <w:rFonts w:hint="eastAsia" w:ascii="宋体" w:hAnsi="宋体"/>
                <w:szCs w:val="21"/>
              </w:rPr>
              <w:t>8</w:t>
            </w:r>
            <w:r>
              <w:rPr>
                <w:rFonts w:ascii="宋体" w:hAnsi="宋体"/>
                <w:szCs w:val="21"/>
              </w:rPr>
              <w:t>.</w:t>
            </w:r>
            <w:r>
              <w:rPr>
                <w:rFonts w:hint="eastAsia" w:ascii="宋体" w:hAnsi="宋体"/>
                <w:szCs w:val="21"/>
              </w:rPr>
              <w:t>8</w:t>
            </w:r>
          </w:p>
        </w:tc>
        <w:tc>
          <w:tcPr>
            <w:tcW w:w="6407" w:type="dxa"/>
            <w:vAlign w:val="center"/>
          </w:tcPr>
          <w:p>
            <w:pPr>
              <w:spacing w:line="360" w:lineRule="auto"/>
              <w:ind w:left="4830" w:leftChars="100" w:hanging="4620" w:hangingChars="2200"/>
              <w:rPr>
                <w:rFonts w:ascii="宋体" w:hAnsi="宋体"/>
                <w:szCs w:val="21"/>
              </w:rPr>
            </w:pPr>
            <w:r>
              <w:rPr>
                <w:rFonts w:hint="eastAsia" w:ascii="宋体" w:hAnsi="宋体"/>
                <w:szCs w:val="21"/>
              </w:rPr>
              <w:t>根据调研情况与反馈意见相结合，形成预审稿，向标委会提交；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Pr>
          <w:p>
            <w:pPr>
              <w:spacing w:line="300" w:lineRule="auto"/>
              <w:jc w:val="center"/>
              <w:rPr>
                <w:rFonts w:ascii="宋体" w:hAnsi="宋体"/>
                <w:szCs w:val="21"/>
              </w:rPr>
            </w:pPr>
            <w:r>
              <w:rPr>
                <w:rFonts w:ascii="宋体" w:hAnsi="宋体"/>
                <w:szCs w:val="21"/>
              </w:rPr>
              <w:t>201</w:t>
            </w:r>
            <w:r>
              <w:rPr>
                <w:rFonts w:hint="eastAsia" w:ascii="宋体" w:hAnsi="宋体"/>
                <w:szCs w:val="21"/>
              </w:rPr>
              <w:t>8</w:t>
            </w:r>
            <w:r>
              <w:rPr>
                <w:rFonts w:ascii="宋体" w:hAnsi="宋体"/>
                <w:szCs w:val="21"/>
              </w:rPr>
              <w:t>.</w:t>
            </w:r>
            <w:r>
              <w:rPr>
                <w:rFonts w:hint="eastAsia" w:ascii="宋体" w:hAnsi="宋体"/>
                <w:szCs w:val="21"/>
              </w:rPr>
              <w:t>9～</w:t>
            </w:r>
            <w:r>
              <w:rPr>
                <w:rFonts w:ascii="宋体" w:hAnsi="宋体"/>
                <w:szCs w:val="21"/>
              </w:rPr>
              <w:t>201</w:t>
            </w:r>
            <w:r>
              <w:rPr>
                <w:rFonts w:hint="eastAsia" w:ascii="宋体" w:hAnsi="宋体"/>
                <w:szCs w:val="21"/>
              </w:rPr>
              <w:t>8</w:t>
            </w:r>
            <w:r>
              <w:rPr>
                <w:rFonts w:ascii="宋体" w:hAnsi="宋体"/>
                <w:szCs w:val="21"/>
              </w:rPr>
              <w:t>.</w:t>
            </w:r>
            <w:r>
              <w:rPr>
                <w:rFonts w:hint="eastAsia" w:ascii="宋体" w:hAnsi="宋体"/>
                <w:szCs w:val="21"/>
              </w:rPr>
              <w:t>10</w:t>
            </w:r>
          </w:p>
        </w:tc>
        <w:tc>
          <w:tcPr>
            <w:tcW w:w="6407" w:type="dxa"/>
            <w:vAlign w:val="center"/>
          </w:tcPr>
          <w:p>
            <w:pPr>
              <w:spacing w:line="360" w:lineRule="auto"/>
              <w:ind w:left="210" w:leftChars="100"/>
              <w:rPr>
                <w:rFonts w:ascii="宋体" w:hAnsi="宋体"/>
                <w:sz w:val="24"/>
              </w:rPr>
            </w:pPr>
            <w:r>
              <w:rPr>
                <w:rFonts w:hint="eastAsia" w:ascii="宋体" w:hAnsi="宋体"/>
                <w:szCs w:val="21"/>
              </w:rPr>
              <w:t>由标委会安排多方进行多次讨论、依据专家意见反复修改，最终形成审定稿；</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007" w:type="dxa"/>
          </w:tcPr>
          <w:p>
            <w:pPr>
              <w:spacing w:line="300" w:lineRule="auto"/>
              <w:jc w:val="center"/>
              <w:rPr>
                <w:rFonts w:ascii="宋体" w:hAnsi="宋体"/>
                <w:szCs w:val="21"/>
              </w:rPr>
            </w:pPr>
            <w:r>
              <w:rPr>
                <w:rFonts w:ascii="宋体" w:hAnsi="宋体"/>
                <w:szCs w:val="21"/>
              </w:rPr>
              <w:t>201</w:t>
            </w:r>
            <w:r>
              <w:rPr>
                <w:rFonts w:hint="eastAsia" w:ascii="宋体" w:hAnsi="宋体"/>
                <w:szCs w:val="21"/>
              </w:rPr>
              <w:t>8</w:t>
            </w:r>
            <w:r>
              <w:rPr>
                <w:rFonts w:ascii="宋体" w:hAnsi="宋体"/>
                <w:szCs w:val="21"/>
              </w:rPr>
              <w:t>.</w:t>
            </w:r>
            <w:r>
              <w:rPr>
                <w:rFonts w:hint="eastAsia" w:ascii="宋体" w:hAnsi="宋体"/>
                <w:szCs w:val="21"/>
              </w:rPr>
              <w:t>11</w:t>
            </w:r>
          </w:p>
        </w:tc>
        <w:tc>
          <w:tcPr>
            <w:tcW w:w="6407" w:type="dxa"/>
            <w:vAlign w:val="center"/>
          </w:tcPr>
          <w:p>
            <w:pPr>
              <w:spacing w:line="360" w:lineRule="auto"/>
              <w:ind w:firstLine="210" w:firstLineChars="100"/>
              <w:rPr>
                <w:rFonts w:ascii="宋体" w:hAnsi="宋体"/>
                <w:szCs w:val="21"/>
              </w:rPr>
            </w:pPr>
            <w:r>
              <w:rPr>
                <w:rFonts w:hint="eastAsia" w:ascii="宋体" w:hAnsi="宋体"/>
                <w:szCs w:val="21"/>
              </w:rPr>
              <w:t>组织专家审定，并根据专家意见修改形成报批稿。</w:t>
            </w:r>
          </w:p>
        </w:tc>
      </w:tr>
    </w:tbl>
    <w:p>
      <w:pPr>
        <w:pStyle w:val="3"/>
        <w:spacing w:before="0" w:after="0" w:line="360" w:lineRule="auto"/>
        <w:rPr>
          <w:b w:val="0"/>
          <w:kern w:val="0"/>
          <w:sz w:val="24"/>
          <w:szCs w:val="24"/>
        </w:rPr>
      </w:pPr>
      <w:bookmarkStart w:id="12" w:name="_Toc277663942"/>
      <w:r>
        <w:rPr>
          <w:rFonts w:hint="eastAsia"/>
          <w:b w:val="0"/>
          <w:kern w:val="0"/>
          <w:sz w:val="24"/>
          <w:szCs w:val="24"/>
        </w:rPr>
        <w:t>（二）主要工作内容</w:t>
      </w:r>
      <w:bookmarkEnd w:id="12"/>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本标准编制的主要工作内容包括国内、外标准的收集与整理，通过技术调研、讨论会等多种渠道广泛收集生产厂家、用户和贸易商对</w:t>
      </w:r>
      <w:r>
        <w:rPr>
          <w:rFonts w:ascii="宋体" w:hAnsi="宋体"/>
          <w:szCs w:val="21"/>
        </w:rPr>
        <w:t>GB/T</w:t>
      </w:r>
      <w:r>
        <w:rPr>
          <w:rFonts w:hint="eastAsia" w:ascii="宋体" w:hAnsi="宋体"/>
          <w:szCs w:val="21"/>
        </w:rPr>
        <w:t xml:space="preserve"> XXXX</w:t>
      </w:r>
      <w:r>
        <w:rPr>
          <w:rFonts w:ascii="宋体" w:hAnsi="宋体"/>
          <w:szCs w:val="21"/>
        </w:rPr>
        <w:t>-20</w:t>
      </w:r>
      <w:r>
        <w:rPr>
          <w:rFonts w:hint="eastAsia" w:ascii="宋体" w:hAnsi="宋体"/>
          <w:szCs w:val="21"/>
        </w:rPr>
        <w:t>XX</w:t>
      </w:r>
      <w:r>
        <w:rPr>
          <w:rFonts w:hint="eastAsia" w:ascii="宋体" w:cs="宋体"/>
          <w:bCs/>
          <w:kern w:val="0"/>
          <w:szCs w:val="21"/>
        </w:rPr>
        <w:t>《铂锭》</w:t>
      </w:r>
      <w:r>
        <w:rPr>
          <w:rFonts w:hint="eastAsia" w:ascii="宋体" w:hAnsi="宋体"/>
          <w:szCs w:val="21"/>
        </w:rPr>
        <w:t>的编制意见。起草标准意见稿、预审稿和标准编制说明</w:t>
      </w:r>
      <w:r>
        <w:rPr>
          <w:rFonts w:ascii="宋体" w:hAnsi="宋体"/>
          <w:szCs w:val="21"/>
        </w:rPr>
        <w:t>。</w:t>
      </w:r>
    </w:p>
    <w:p>
      <w:pPr>
        <w:spacing w:line="360" w:lineRule="auto"/>
        <w:ind w:firstLine="420" w:firstLineChars="200"/>
        <w:rPr>
          <w:rFonts w:ascii="宋体" w:hAnsi="宋体" w:cs="宋体"/>
          <w:kern w:val="0"/>
          <w:szCs w:val="21"/>
        </w:rPr>
      </w:pPr>
      <w:bookmarkStart w:id="13" w:name="_Toc277663943"/>
      <w:r>
        <w:rPr>
          <w:rFonts w:hint="eastAsia" w:ascii="宋体" w:hAnsi="宋体" w:cs="宋体"/>
          <w:kern w:val="0"/>
          <w:szCs w:val="21"/>
        </w:rPr>
        <w:t>1、 国内技术资料的收集与整理</w:t>
      </w:r>
      <w:bookmarkEnd w:id="13"/>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收集国内、外《铂锭》的技术规范、行业标准、企业标准、技术要求等技术资料；进行技术资料的归类与总结，为制定本标准作参考。收集国内的铂锭中各元素含量指标，为编制标准作参考。</w:t>
      </w:r>
    </w:p>
    <w:p>
      <w:pPr>
        <w:spacing w:line="360" w:lineRule="auto"/>
        <w:ind w:firstLine="420" w:firstLineChars="200"/>
        <w:rPr>
          <w:rFonts w:ascii="宋体" w:hAnsi="宋体" w:cs="宋体"/>
          <w:kern w:val="0"/>
          <w:szCs w:val="21"/>
        </w:rPr>
      </w:pPr>
      <w:r>
        <w:rPr>
          <w:rFonts w:hint="eastAsia" w:ascii="宋体" w:hAnsi="宋体" w:cs="宋体"/>
          <w:kern w:val="0"/>
          <w:szCs w:val="21"/>
        </w:rPr>
        <w:t>2、对国内部分铂锭生产厂家、加工使用企业、贸易企业、铂金制品检验单位进行实地调研。</w:t>
      </w:r>
    </w:p>
    <w:p>
      <w:pPr>
        <w:autoSpaceDE w:val="0"/>
        <w:autoSpaceDN w:val="0"/>
        <w:adjustRightInd w:val="0"/>
        <w:snapToGrid w:val="0"/>
        <w:spacing w:afterLines="100" w:line="360" w:lineRule="exact"/>
        <w:ind w:firstLine="420" w:firstLineChars="200"/>
        <w:jc w:val="left"/>
        <w:rPr>
          <w:rFonts w:hint="eastAsia" w:ascii="宋体" w:hAnsi="宋体" w:eastAsia="宋体"/>
          <w:szCs w:val="21"/>
          <w:u w:val="single"/>
          <w:lang w:eastAsia="zh-CN"/>
        </w:rPr>
      </w:pPr>
      <w:r>
        <w:rPr>
          <w:rFonts w:hint="eastAsia" w:ascii="宋体" w:hAnsi="宋体"/>
          <w:szCs w:val="21"/>
        </w:rPr>
        <w:t>2018年3月至6月间，全国有色金属标准化技术委员会贵金属分会组织了由多家单位参加的调研活动，调研活动主要就现行标准版本的使用情况、建议修改内容以及对主起草单位提交的征求意见稿广泛听取意见，并现场进行交流考察。调研活动涉及：</w:t>
      </w:r>
      <w:r>
        <w:rPr>
          <w:rFonts w:hint="eastAsia" w:ascii="宋体" w:hAnsi="宋体"/>
          <w:szCs w:val="21"/>
          <w:u w:val="single"/>
        </w:rPr>
        <w:t>上海黄金交易所、徐州浩通新材料有限公司、江西汉氏贵金属公司、等XX家单位。</w:t>
      </w:r>
    </w:p>
    <w:p>
      <w:pPr>
        <w:spacing w:line="360" w:lineRule="auto"/>
        <w:ind w:firstLine="420" w:firstLineChars="200"/>
        <w:rPr>
          <w:rFonts w:ascii="宋体" w:hAnsi="宋体" w:cs="宋体"/>
          <w:kern w:val="0"/>
          <w:szCs w:val="21"/>
        </w:rPr>
      </w:pPr>
      <w:r>
        <w:rPr>
          <w:rFonts w:hint="eastAsia" w:ascii="宋体" w:hAnsi="宋体" w:cs="宋体"/>
          <w:kern w:val="0"/>
          <w:szCs w:val="21"/>
        </w:rPr>
        <w:t>3、起草标准意见稿</w:t>
      </w:r>
    </w:p>
    <w:p>
      <w:pPr>
        <w:autoSpaceDE w:val="0"/>
        <w:autoSpaceDN w:val="0"/>
        <w:adjustRightInd w:val="0"/>
        <w:snapToGrid w:val="0"/>
        <w:spacing w:afterLines="100" w:line="360" w:lineRule="exact"/>
        <w:ind w:firstLine="420" w:firstLineChars="200"/>
        <w:jc w:val="left"/>
        <w:rPr>
          <w:rFonts w:hint="eastAsia" w:ascii="宋体" w:hAnsi="宋体"/>
          <w:szCs w:val="21"/>
        </w:rPr>
      </w:pPr>
      <w:r>
        <w:rPr>
          <w:rFonts w:hint="eastAsia" w:ascii="宋体" w:hAnsi="宋体"/>
          <w:szCs w:val="21"/>
        </w:rPr>
        <w:t>2017年8月23日，在山东泰安东尊华美达酒店召开GB/T XXXX-20xx《铂锭》编制工作讨论会,由起草单位共同讨论形成标准征求意见稿。（附：会议纪要）</w:t>
      </w:r>
    </w:p>
    <w:p>
      <w:pPr>
        <w:autoSpaceDE w:val="0"/>
        <w:autoSpaceDN w:val="0"/>
        <w:adjustRightInd w:val="0"/>
        <w:snapToGrid w:val="0"/>
        <w:spacing w:afterLines="100" w:line="360" w:lineRule="exact"/>
        <w:ind w:firstLine="420" w:firstLineChars="200"/>
        <w:jc w:val="left"/>
        <w:rPr>
          <w:rFonts w:hint="eastAsia" w:ascii="宋体" w:hAnsi="宋体"/>
          <w:szCs w:val="21"/>
        </w:rPr>
      </w:pPr>
      <w:r>
        <w:rPr>
          <w:rFonts w:hint="eastAsia" w:ascii="宋体" w:hAnsi="宋体"/>
          <w:szCs w:val="21"/>
        </w:rPr>
        <w:t>4、收集、汇总反馈意见</w:t>
      </w:r>
    </w:p>
    <w:p>
      <w:pPr>
        <w:autoSpaceDE w:val="0"/>
        <w:autoSpaceDN w:val="0"/>
        <w:adjustRightInd w:val="0"/>
        <w:snapToGrid w:val="0"/>
        <w:spacing w:afterLines="100" w:line="360" w:lineRule="exact"/>
        <w:ind w:firstLine="420" w:firstLineChars="200"/>
        <w:jc w:val="left"/>
        <w:rPr>
          <w:rFonts w:hint="eastAsia" w:ascii="宋体" w:hAnsi="宋体"/>
          <w:szCs w:val="21"/>
          <w:lang w:eastAsia="zh-CN"/>
        </w:rPr>
      </w:pPr>
      <w:r>
        <w:rPr>
          <w:rFonts w:hint="eastAsia" w:ascii="宋体" w:hAnsi="宋体"/>
          <w:szCs w:val="21"/>
        </w:rPr>
        <w:t>《铂锭》标准征求意见稿和“《铂锭》国家标准编制征求意见反馈表”于2018年</w:t>
      </w:r>
      <w:r>
        <w:rPr>
          <w:rFonts w:hint="eastAsia" w:ascii="宋体" w:hAnsi="宋体"/>
          <w:szCs w:val="21"/>
          <w:lang w:val="en-US" w:eastAsia="zh-CN"/>
        </w:rPr>
        <w:t>5月16</w:t>
      </w:r>
      <w:r>
        <w:rPr>
          <w:rFonts w:hint="eastAsia" w:ascii="宋体" w:hAnsi="宋体"/>
          <w:szCs w:val="21"/>
        </w:rPr>
        <w:t>日在“中国有色标准质量信息网”公告</w:t>
      </w:r>
      <w:r>
        <w:rPr>
          <w:rFonts w:hint="eastAsia" w:ascii="宋体" w:hAnsi="宋体"/>
          <w:szCs w:val="21"/>
          <w:lang w:eastAsia="zh-CN"/>
        </w:rPr>
        <w:t>。</w:t>
      </w:r>
    </w:p>
    <w:p>
      <w:pPr>
        <w:autoSpaceDE w:val="0"/>
        <w:autoSpaceDN w:val="0"/>
        <w:adjustRightInd w:val="0"/>
        <w:snapToGrid w:val="0"/>
        <w:spacing w:afterLines="100" w:line="360" w:lineRule="exact"/>
        <w:ind w:firstLine="420" w:firstLineChars="200"/>
        <w:jc w:val="left"/>
        <w:rPr>
          <w:rFonts w:hint="eastAsia" w:ascii="宋体" w:hAnsi="宋体"/>
          <w:szCs w:val="21"/>
        </w:rPr>
      </w:pPr>
      <w:r>
        <w:rPr>
          <w:rFonts w:hint="eastAsia" w:ascii="宋体" w:hAnsi="宋体"/>
          <w:szCs w:val="21"/>
        </w:rPr>
        <w:t>5、组织相关企业专家讨论形成标准预审稿</w:t>
      </w:r>
    </w:p>
    <w:p>
      <w:pPr>
        <w:autoSpaceDE w:val="0"/>
        <w:autoSpaceDN w:val="0"/>
        <w:adjustRightInd w:val="0"/>
        <w:snapToGrid w:val="0"/>
        <w:spacing w:afterLines="100" w:line="360" w:lineRule="exact"/>
        <w:ind w:firstLine="420" w:firstLineChars="200"/>
        <w:jc w:val="left"/>
        <w:rPr>
          <w:rFonts w:hint="eastAsia" w:ascii="宋体" w:hAnsi="宋体"/>
          <w:szCs w:val="21"/>
        </w:rPr>
      </w:pPr>
      <w:bookmarkStart w:id="14" w:name="_Toc277663944"/>
      <w:r>
        <w:rPr>
          <w:rFonts w:hint="eastAsia" w:ascii="宋体" w:hAnsi="宋体"/>
          <w:szCs w:val="21"/>
        </w:rPr>
        <w:t>。。。。。。。。</w:t>
      </w:r>
    </w:p>
    <w:p>
      <w:pPr>
        <w:autoSpaceDE w:val="0"/>
        <w:autoSpaceDN w:val="0"/>
        <w:adjustRightInd w:val="0"/>
        <w:snapToGrid w:val="0"/>
        <w:spacing w:afterLines="100" w:line="360" w:lineRule="exact"/>
        <w:ind w:firstLine="420" w:firstLineChars="200"/>
        <w:jc w:val="left"/>
        <w:rPr>
          <w:rFonts w:hint="eastAsia" w:ascii="宋体" w:hAnsi="宋体"/>
          <w:szCs w:val="21"/>
        </w:rPr>
      </w:pPr>
      <w:r>
        <w:rPr>
          <w:rFonts w:hint="eastAsia" w:ascii="宋体" w:hAnsi="宋体"/>
          <w:szCs w:val="21"/>
        </w:rPr>
        <w:t>6、</w:t>
      </w:r>
      <w:bookmarkEnd w:id="14"/>
      <w:r>
        <w:rPr>
          <w:rFonts w:hint="eastAsia" w:ascii="宋体" w:hAnsi="宋体"/>
          <w:szCs w:val="21"/>
        </w:rPr>
        <w:t>经过初审会的审查，并修改完善，形成标准报批稿</w:t>
      </w:r>
    </w:p>
    <w:p>
      <w:pPr>
        <w:autoSpaceDE w:val="0"/>
        <w:autoSpaceDN w:val="0"/>
        <w:adjustRightInd w:val="0"/>
        <w:snapToGrid w:val="0"/>
        <w:spacing w:afterLines="100" w:line="360" w:lineRule="exact"/>
        <w:ind w:firstLine="420" w:firstLineChars="200"/>
        <w:jc w:val="left"/>
        <w:rPr>
          <w:rFonts w:hint="eastAsia" w:ascii="宋体" w:hAnsi="宋体"/>
          <w:szCs w:val="21"/>
        </w:rPr>
      </w:pPr>
      <w:r>
        <w:rPr>
          <w:rFonts w:hint="eastAsia" w:ascii="宋体" w:hAnsi="宋体"/>
          <w:szCs w:val="21"/>
        </w:rPr>
        <w:t>。。。。。。。。。。</w:t>
      </w:r>
    </w:p>
    <w:p>
      <w:pPr>
        <w:autoSpaceDE w:val="0"/>
        <w:autoSpaceDN w:val="0"/>
        <w:adjustRightInd w:val="0"/>
        <w:snapToGrid w:val="0"/>
        <w:spacing w:afterLines="100" w:line="360" w:lineRule="exact"/>
        <w:ind w:firstLine="420" w:firstLineChars="200"/>
        <w:jc w:val="left"/>
        <w:rPr>
          <w:rFonts w:hint="eastAsia" w:ascii="宋体" w:hAnsi="宋体"/>
          <w:szCs w:val="21"/>
        </w:rPr>
      </w:pPr>
      <w:bookmarkStart w:id="15" w:name="_Toc277663945"/>
      <w:r>
        <w:rPr>
          <w:rFonts w:hint="eastAsia" w:ascii="宋体" w:hAnsi="宋体"/>
          <w:szCs w:val="21"/>
        </w:rPr>
        <w:t>四、 标准编制的主要内容</w:t>
      </w:r>
      <w:bookmarkEnd w:id="15"/>
    </w:p>
    <w:p>
      <w:pPr>
        <w:pStyle w:val="3"/>
        <w:spacing w:before="0" w:after="0" w:line="360" w:lineRule="auto"/>
        <w:rPr>
          <w:rFonts w:hint="eastAsia"/>
          <w:b w:val="0"/>
          <w:kern w:val="0"/>
          <w:sz w:val="24"/>
          <w:szCs w:val="24"/>
        </w:rPr>
      </w:pPr>
      <w:r>
        <w:rPr>
          <w:rFonts w:hint="eastAsia"/>
          <w:b w:val="0"/>
          <w:kern w:val="0"/>
          <w:sz w:val="24"/>
          <w:szCs w:val="24"/>
        </w:rPr>
        <w:t>（一） 铂锭牌号的确定</w:t>
      </w:r>
    </w:p>
    <w:p>
      <w:pPr>
        <w:ind w:firstLine="420" w:firstLineChars="200"/>
        <w:rPr>
          <w:rFonts w:hint="eastAsia"/>
          <w:lang w:eastAsia="zh-CN"/>
        </w:rPr>
      </w:pPr>
      <w:r>
        <w:rPr>
          <w:rFonts w:hint="eastAsia"/>
          <w:lang w:eastAsia="zh-CN"/>
        </w:rPr>
        <w:t>铂锭按铂的含量分为3个牌号：SM-Pt99.99、SM-Pt99.95、SM-Pt99.9</w:t>
      </w:r>
    </w:p>
    <w:p>
      <w:pPr>
        <w:ind w:firstLine="420" w:firstLineChars="200"/>
        <w:rPr>
          <w:rFonts w:hint="eastAsia"/>
          <w:lang w:val="en-US" w:eastAsia="zh-CN"/>
        </w:rPr>
      </w:pPr>
      <w:r>
        <w:rPr>
          <w:rFonts w:hint="eastAsia"/>
          <w:lang w:val="en-US" w:eastAsia="zh-CN"/>
        </w:rPr>
        <w:t>牌号的确定是根据不同行业的需求，比如首饰企业</w:t>
      </w:r>
      <w:r>
        <w:rPr>
          <w:rFonts w:hint="eastAsia"/>
          <w:lang w:eastAsia="zh-CN"/>
        </w:rPr>
        <w:t>SM-Pt99.9</w:t>
      </w:r>
      <w:r>
        <w:rPr>
          <w:rFonts w:hint="eastAsia"/>
          <w:lang w:val="en-US" w:eastAsia="zh-CN"/>
        </w:rPr>
        <w:t>可满足要求，一般的工业用铂，</w:t>
      </w:r>
      <w:r>
        <w:rPr>
          <w:rFonts w:hint="eastAsia"/>
          <w:lang w:eastAsia="zh-CN"/>
        </w:rPr>
        <w:t>SM-Pt99.95</w:t>
      </w:r>
      <w:r>
        <w:rPr>
          <w:rFonts w:hint="eastAsia"/>
          <w:lang w:val="en-US" w:eastAsia="zh-CN"/>
        </w:rPr>
        <w:t>可满足需求。部分特殊行业需要SM-Pt99.99。</w:t>
      </w:r>
    </w:p>
    <w:p>
      <w:pPr>
        <w:pStyle w:val="3"/>
        <w:spacing w:before="0" w:after="0" w:line="360" w:lineRule="auto"/>
        <w:rPr>
          <w:rFonts w:hint="eastAsia"/>
          <w:b w:val="0"/>
          <w:kern w:val="0"/>
          <w:sz w:val="24"/>
          <w:szCs w:val="24"/>
        </w:rPr>
      </w:pPr>
      <w:r>
        <w:rPr>
          <w:rFonts w:hint="eastAsia"/>
          <w:b w:val="0"/>
          <w:kern w:val="0"/>
          <w:sz w:val="24"/>
          <w:szCs w:val="24"/>
        </w:rPr>
        <w:t>（二）化学成分的确定</w:t>
      </w:r>
    </w:p>
    <w:p>
      <w:pPr>
        <w:ind w:firstLine="420" w:firstLineChars="200"/>
        <w:rPr>
          <w:rFonts w:hint="eastAsia" w:eastAsia="宋体"/>
          <w:lang w:eastAsia="zh-CN"/>
        </w:rPr>
      </w:pPr>
      <w:r>
        <w:rPr>
          <w:rFonts w:hint="eastAsia"/>
          <w:lang w:eastAsia="zh-CN"/>
        </w:rPr>
        <w:t>按照原有的海绵铂（附海绵铂的标准号）化学成分来确定</w:t>
      </w:r>
    </w:p>
    <w:p>
      <w:pPr>
        <w:pStyle w:val="3"/>
        <w:spacing w:before="0" w:after="0" w:line="360" w:lineRule="auto"/>
        <w:rPr>
          <w:rFonts w:hint="eastAsia"/>
          <w:b w:val="0"/>
          <w:kern w:val="0"/>
          <w:sz w:val="24"/>
          <w:szCs w:val="24"/>
        </w:rPr>
      </w:pPr>
      <w:r>
        <w:rPr>
          <w:rFonts w:hint="eastAsia"/>
          <w:b w:val="0"/>
          <w:kern w:val="0"/>
          <w:sz w:val="24"/>
          <w:szCs w:val="24"/>
        </w:rPr>
        <w:t>（三）杂质含量总量以及杂质元素含量的确定</w:t>
      </w:r>
    </w:p>
    <w:p>
      <w:pPr>
        <w:ind w:firstLine="420" w:firstLineChars="200"/>
        <w:rPr>
          <w:rFonts w:hint="eastAsia"/>
        </w:rPr>
      </w:pPr>
      <w:r>
        <w:rPr>
          <w:rFonts w:hint="eastAsia"/>
          <w:lang w:eastAsia="zh-CN"/>
        </w:rPr>
        <w:t>按照原有的海绵铂（附海绵铂的标准号）</w:t>
      </w:r>
    </w:p>
    <w:p>
      <w:pPr>
        <w:pStyle w:val="3"/>
        <w:spacing w:before="0" w:after="0" w:line="360" w:lineRule="auto"/>
        <w:rPr>
          <w:rFonts w:hint="eastAsia"/>
          <w:b w:val="0"/>
          <w:kern w:val="0"/>
          <w:sz w:val="24"/>
          <w:szCs w:val="24"/>
        </w:rPr>
      </w:pPr>
      <w:r>
        <w:rPr>
          <w:rFonts w:hint="eastAsia"/>
          <w:b w:val="0"/>
          <w:kern w:val="0"/>
          <w:sz w:val="24"/>
          <w:szCs w:val="24"/>
        </w:rPr>
        <w:t>（四）铂锭形状、重量的确定</w:t>
      </w:r>
    </w:p>
    <w:p>
      <w:pPr>
        <w:ind w:firstLine="420" w:firstLineChars="200"/>
        <w:rPr>
          <w:rFonts w:hint="eastAsia" w:eastAsia="宋体"/>
          <w:lang w:eastAsia="zh-CN"/>
        </w:rPr>
      </w:pPr>
      <w:r>
        <w:rPr>
          <w:rFonts w:hint="eastAsia"/>
          <w:lang w:eastAsia="zh-CN"/>
        </w:rPr>
        <w:t>形状和重量的确定还在调研中</w:t>
      </w:r>
    </w:p>
    <w:p>
      <w:pPr>
        <w:pStyle w:val="3"/>
        <w:spacing w:before="0" w:after="0" w:line="360" w:lineRule="auto"/>
        <w:rPr>
          <w:rFonts w:hint="eastAsia"/>
          <w:b w:val="0"/>
          <w:kern w:val="0"/>
          <w:sz w:val="24"/>
          <w:szCs w:val="24"/>
        </w:rPr>
      </w:pPr>
      <w:r>
        <w:rPr>
          <w:rFonts w:hint="eastAsia"/>
          <w:b w:val="0"/>
          <w:kern w:val="0"/>
          <w:sz w:val="24"/>
          <w:szCs w:val="24"/>
        </w:rPr>
        <w:t>（五）铂锭表面质量的确定</w:t>
      </w:r>
    </w:p>
    <w:p>
      <w:pPr>
        <w:ind w:firstLine="420" w:firstLineChars="200"/>
        <w:rPr>
          <w:rFonts w:hint="eastAsia" w:eastAsia="宋体"/>
          <w:lang w:eastAsia="zh-CN"/>
        </w:rPr>
      </w:pPr>
      <w:r>
        <w:rPr>
          <w:rFonts w:hint="eastAsia"/>
          <w:lang w:eastAsia="zh-CN"/>
        </w:rPr>
        <w:t>根据目前用铂企业调研情况，对表面质量不做要求</w:t>
      </w:r>
    </w:p>
    <w:p>
      <w:pPr>
        <w:pStyle w:val="3"/>
        <w:spacing w:before="0" w:after="0" w:line="360" w:lineRule="auto"/>
        <w:rPr>
          <w:rFonts w:hint="eastAsia"/>
          <w:b w:val="0"/>
          <w:kern w:val="0"/>
          <w:sz w:val="24"/>
          <w:szCs w:val="24"/>
        </w:rPr>
      </w:pPr>
      <w:r>
        <w:rPr>
          <w:rFonts w:hint="eastAsia"/>
          <w:b w:val="0"/>
          <w:kern w:val="0"/>
          <w:sz w:val="24"/>
          <w:szCs w:val="24"/>
        </w:rPr>
        <w:t>（六）检验项目与方法的确定</w:t>
      </w:r>
    </w:p>
    <w:p>
      <w:pPr>
        <w:ind w:firstLine="420" w:firstLineChars="200"/>
        <w:rPr>
          <w:rFonts w:hint="eastAsia" w:eastAsia="宋体"/>
          <w:lang w:eastAsia="zh-CN"/>
        </w:rPr>
      </w:pPr>
      <w:r>
        <w:rPr>
          <w:rFonts w:hint="eastAsia"/>
          <w:lang w:eastAsia="zh-CN"/>
        </w:rPr>
        <w:t>暂时按照海绵铂的标准</w:t>
      </w:r>
    </w:p>
    <w:p>
      <w:pPr>
        <w:pStyle w:val="3"/>
        <w:spacing w:before="0" w:after="0" w:line="360" w:lineRule="auto"/>
        <w:rPr>
          <w:rFonts w:hint="eastAsia"/>
          <w:b w:val="0"/>
          <w:kern w:val="0"/>
          <w:sz w:val="24"/>
          <w:szCs w:val="24"/>
        </w:rPr>
      </w:pPr>
      <w:r>
        <w:rPr>
          <w:rFonts w:hint="eastAsia"/>
          <w:b w:val="0"/>
          <w:kern w:val="0"/>
          <w:sz w:val="24"/>
          <w:szCs w:val="24"/>
        </w:rPr>
        <w:t>（七）检验规则的确定</w:t>
      </w:r>
    </w:p>
    <w:p>
      <w:pPr>
        <w:ind w:firstLine="420" w:firstLineChars="200"/>
        <w:rPr>
          <w:rFonts w:hint="eastAsia" w:eastAsia="宋体"/>
          <w:lang w:eastAsia="zh-CN"/>
        </w:rPr>
      </w:pPr>
      <w:r>
        <w:rPr>
          <w:rFonts w:hint="eastAsia"/>
          <w:lang w:eastAsia="zh-CN"/>
        </w:rPr>
        <w:t>暂时按照海绵铂的标准</w:t>
      </w:r>
    </w:p>
    <w:p>
      <w:pPr>
        <w:rPr>
          <w:rFonts w:hint="eastAsia"/>
        </w:rPr>
      </w:pPr>
    </w:p>
    <w:p>
      <w:pPr>
        <w:pStyle w:val="3"/>
        <w:spacing w:before="0" w:after="0" w:line="360" w:lineRule="auto"/>
        <w:rPr>
          <w:rFonts w:hint="eastAsia"/>
          <w:b w:val="0"/>
          <w:kern w:val="0"/>
          <w:sz w:val="24"/>
          <w:szCs w:val="24"/>
        </w:rPr>
      </w:pPr>
      <w:r>
        <w:rPr>
          <w:rFonts w:hint="eastAsia"/>
          <w:b w:val="0"/>
          <w:kern w:val="0"/>
          <w:sz w:val="24"/>
          <w:szCs w:val="24"/>
        </w:rPr>
        <w:t>（八）组批的确定</w:t>
      </w:r>
    </w:p>
    <w:p>
      <w:pPr>
        <w:ind w:firstLine="420" w:firstLineChars="200"/>
        <w:rPr>
          <w:rFonts w:hint="eastAsia" w:eastAsia="宋体"/>
          <w:lang w:eastAsia="zh-CN"/>
        </w:rPr>
      </w:pPr>
      <w:r>
        <w:rPr>
          <w:rFonts w:hint="eastAsia"/>
          <w:lang w:eastAsia="zh-CN"/>
        </w:rPr>
        <w:t>暂时按照海绵铂的标准</w:t>
      </w:r>
    </w:p>
    <w:p>
      <w:pPr>
        <w:rPr>
          <w:rFonts w:hint="eastAsia"/>
        </w:rPr>
      </w:pPr>
    </w:p>
    <w:p>
      <w:pPr>
        <w:pStyle w:val="3"/>
        <w:spacing w:before="0" w:after="0" w:line="360" w:lineRule="auto"/>
        <w:rPr>
          <w:rFonts w:hint="eastAsia"/>
          <w:b w:val="0"/>
          <w:kern w:val="0"/>
          <w:sz w:val="24"/>
          <w:szCs w:val="24"/>
        </w:rPr>
      </w:pPr>
      <w:r>
        <w:rPr>
          <w:rFonts w:hint="eastAsia"/>
          <w:b w:val="0"/>
          <w:kern w:val="0"/>
          <w:sz w:val="24"/>
          <w:szCs w:val="24"/>
        </w:rPr>
        <w:t>（九）产品取样方法的确定</w:t>
      </w:r>
    </w:p>
    <w:p>
      <w:pPr>
        <w:ind w:firstLine="420" w:firstLineChars="200"/>
        <w:rPr>
          <w:rFonts w:hint="eastAsia" w:eastAsia="宋体"/>
          <w:lang w:eastAsia="zh-CN"/>
        </w:rPr>
      </w:pPr>
      <w:r>
        <w:rPr>
          <w:rFonts w:hint="eastAsia"/>
          <w:lang w:eastAsia="zh-CN"/>
        </w:rPr>
        <w:t>暂定参考借鉴金锭标准，以金锭的取样方法为准，鉴于铂的产量较小和较分散，取样方法建议每块锭分别取样</w:t>
      </w:r>
    </w:p>
    <w:p>
      <w:pPr>
        <w:pStyle w:val="3"/>
        <w:spacing w:before="0" w:after="0" w:line="360" w:lineRule="auto"/>
        <w:rPr>
          <w:rFonts w:hint="eastAsia"/>
          <w:b w:val="0"/>
          <w:kern w:val="0"/>
          <w:sz w:val="24"/>
          <w:szCs w:val="24"/>
        </w:rPr>
      </w:pPr>
      <w:r>
        <w:rPr>
          <w:rFonts w:hint="eastAsia"/>
          <w:b w:val="0"/>
          <w:kern w:val="0"/>
          <w:sz w:val="24"/>
          <w:szCs w:val="24"/>
        </w:rPr>
        <w:t>（十）检验结果的判定</w:t>
      </w:r>
    </w:p>
    <w:p>
      <w:pPr>
        <w:ind w:firstLine="420" w:firstLineChars="200"/>
        <w:rPr>
          <w:rFonts w:hint="eastAsia"/>
          <w:lang w:val="en-US" w:eastAsia="zh-CN"/>
        </w:rPr>
      </w:pPr>
      <w:r>
        <w:rPr>
          <w:rFonts w:hint="eastAsia"/>
          <w:lang w:val="en-US" w:eastAsia="zh-CN"/>
        </w:rPr>
        <w:t>1.化学成分检验结果的数值按修约和修约后的数值，判定按GB/T 8170-2008中的规定进行</w:t>
      </w:r>
    </w:p>
    <w:p>
      <w:pPr>
        <w:ind w:firstLine="420" w:firstLineChars="200"/>
        <w:rPr>
          <w:rFonts w:hint="eastAsia"/>
          <w:lang w:val="en-US" w:eastAsia="zh-CN"/>
        </w:rPr>
      </w:pPr>
      <w:r>
        <w:rPr>
          <w:rFonts w:hint="eastAsia"/>
          <w:lang w:val="en-US" w:eastAsia="zh-CN"/>
        </w:rPr>
        <w:t>2. 表面质量检验结果与本标准**条不符时，该锭判为不合格</w:t>
      </w:r>
    </w:p>
    <w:p>
      <w:pPr>
        <w:ind w:firstLine="420" w:firstLineChars="200"/>
        <w:rPr>
          <w:rFonts w:hint="eastAsia"/>
          <w:lang w:val="en-US" w:eastAsia="zh-CN"/>
        </w:rPr>
      </w:pPr>
      <w:r>
        <w:rPr>
          <w:rFonts w:hint="eastAsia"/>
          <w:lang w:val="en-US" w:eastAsia="zh-CN"/>
        </w:rPr>
        <w:t>3. 化学成分与本标准**条不符时，该锭判为不合格。</w:t>
      </w:r>
    </w:p>
    <w:p>
      <w:pPr>
        <w:pStyle w:val="3"/>
        <w:spacing w:before="0" w:after="0" w:line="360" w:lineRule="auto"/>
        <w:rPr>
          <w:rFonts w:hint="eastAsia"/>
          <w:b w:val="0"/>
          <w:kern w:val="0"/>
          <w:sz w:val="24"/>
          <w:szCs w:val="24"/>
        </w:rPr>
      </w:pPr>
      <w:r>
        <w:rPr>
          <w:rFonts w:hint="eastAsia"/>
          <w:b w:val="0"/>
          <w:kern w:val="0"/>
          <w:sz w:val="24"/>
          <w:szCs w:val="24"/>
        </w:rPr>
        <w:t>（十一）铂锭标志内容的确定</w:t>
      </w:r>
    </w:p>
    <w:p>
      <w:pPr>
        <w:rPr>
          <w:rFonts w:hint="eastAsia"/>
        </w:rPr>
      </w:pPr>
    </w:p>
    <w:p>
      <w:pPr>
        <w:pStyle w:val="3"/>
        <w:spacing w:before="0" w:after="0" w:line="360" w:lineRule="auto"/>
        <w:rPr>
          <w:rFonts w:hint="eastAsia"/>
          <w:b w:val="0"/>
          <w:kern w:val="0"/>
          <w:sz w:val="24"/>
          <w:szCs w:val="24"/>
        </w:rPr>
      </w:pPr>
      <w:r>
        <w:rPr>
          <w:rFonts w:hint="eastAsia"/>
          <w:b w:val="0"/>
          <w:kern w:val="0"/>
          <w:sz w:val="24"/>
          <w:szCs w:val="24"/>
        </w:rPr>
        <w:t>（十二）铂锭包装要求的确定</w:t>
      </w:r>
    </w:p>
    <w:p>
      <w:pPr>
        <w:rPr>
          <w:rFonts w:hint="eastAsia"/>
        </w:rPr>
      </w:pPr>
    </w:p>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bookmarkStart w:id="16" w:name="_GoBack"/>
      <w:bookmarkEnd w:id="16"/>
      <w:r>
        <w:rPr>
          <w:rFonts w:hint="eastAsia" w:ascii="黑体" w:eastAsia="黑体"/>
          <w:b/>
          <w:kern w:val="0"/>
          <w:sz w:val="28"/>
          <w:szCs w:val="28"/>
        </w:rPr>
        <w:t>五、 标准水平分析</w:t>
      </w:r>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制定的GB/T XXXX-20xx《铂锭》标准具体明析，符合国内生产厂家、用户和贸易商利益要求，利于推广应用。与国际标准相比达到到国际先进水平。</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六、与有关的现行法律、法规和强制性国家标准的关系</w:t>
      </w:r>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本标准的制定过程、技术指标选定、检验项目的设置等符合现行法律、法规及相关性的国家标准或行业标准。</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七、重大分歧意见的处理过程和依据</w:t>
      </w:r>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 xml:space="preserve">     无。</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八、标准作为强制性或推荐性标准的建议</w:t>
      </w:r>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建议本标准作为推荐性国家标准。</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九、贯彻标准的要求和措施建议，包括（组织措施、技术措施、过渡办法）</w:t>
      </w:r>
    </w:p>
    <w:p>
      <w:pPr>
        <w:ind w:firstLine="420" w:firstLineChars="200"/>
        <w:rPr>
          <w:rFonts w:ascii="宋体" w:hAnsi="宋体"/>
          <w:szCs w:val="21"/>
        </w:rPr>
      </w:pPr>
      <w:r>
        <w:rPr>
          <w:rFonts w:hint="eastAsia" w:ascii="宋体" w:hAnsi="宋体"/>
          <w:szCs w:val="21"/>
        </w:rPr>
        <w:t>可向生产厂家、用户和贸易商推荐采用本标准。</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十、废止现有有关标准的建议</w:t>
      </w:r>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无。</w:t>
      </w:r>
    </w:p>
    <w:p>
      <w:pPr>
        <w:tabs>
          <w:tab w:val="left" w:pos="5940"/>
        </w:tabs>
        <w:autoSpaceDE w:val="0"/>
        <w:autoSpaceDN w:val="0"/>
        <w:adjustRightInd w:val="0"/>
        <w:spacing w:beforeLines="50" w:afterLines="50" w:line="360" w:lineRule="auto"/>
        <w:jc w:val="left"/>
        <w:outlineLvl w:val="0"/>
        <w:rPr>
          <w:rFonts w:ascii="黑体" w:eastAsia="黑体"/>
          <w:b/>
          <w:kern w:val="0"/>
          <w:sz w:val="28"/>
          <w:szCs w:val="28"/>
        </w:rPr>
      </w:pPr>
      <w:r>
        <w:rPr>
          <w:rFonts w:hint="eastAsia" w:ascii="黑体" w:eastAsia="黑体"/>
          <w:b/>
          <w:kern w:val="0"/>
          <w:sz w:val="28"/>
          <w:szCs w:val="28"/>
        </w:rPr>
        <w:t>十一、其他应予说明的事项</w:t>
      </w:r>
    </w:p>
    <w:p>
      <w:pPr>
        <w:autoSpaceDE w:val="0"/>
        <w:autoSpaceDN w:val="0"/>
        <w:adjustRightInd w:val="0"/>
        <w:snapToGrid w:val="0"/>
        <w:spacing w:afterLines="100" w:line="360" w:lineRule="exact"/>
        <w:ind w:firstLine="420" w:firstLineChars="200"/>
        <w:jc w:val="left"/>
        <w:rPr>
          <w:rFonts w:ascii="宋体" w:hAnsi="宋体"/>
          <w:szCs w:val="21"/>
        </w:rPr>
      </w:pPr>
      <w:r>
        <w:rPr>
          <w:rFonts w:hint="eastAsia" w:ascii="宋体" w:hAnsi="宋体"/>
          <w:szCs w:val="21"/>
        </w:rPr>
        <w:t>无。</w:t>
      </w:r>
    </w:p>
    <w:p>
      <w:pPr>
        <w:ind w:firstLine="420" w:firstLineChars="200"/>
        <w:jc w:val="right"/>
      </w:pPr>
    </w:p>
    <w:p>
      <w:pPr>
        <w:ind w:firstLine="420" w:firstLineChars="200"/>
        <w:jc w:val="right"/>
      </w:pPr>
    </w:p>
    <w:p>
      <w:pPr>
        <w:ind w:firstLine="420" w:firstLineChars="200"/>
        <w:jc w:val="right"/>
        <w:rPr>
          <w:rFonts w:ascii="宋体" w:hAnsi="宋体"/>
          <w:szCs w:val="21"/>
        </w:rPr>
      </w:pPr>
      <w:r>
        <w:rPr>
          <w:rFonts w:hint="eastAsia"/>
        </w:rPr>
        <w:t>2018年4月28日</w:t>
      </w:r>
      <w:bookmarkEnd w:id="3"/>
      <w:bookmarkEnd w:id="4"/>
    </w:p>
    <w:p>
      <w:pPr>
        <w:ind w:firstLine="420" w:firstLineChars="200"/>
        <w:jc w:val="right"/>
      </w:pPr>
    </w:p>
    <w:sectPr>
      <w:headerReference r:id="rId9" w:type="default"/>
      <w:footerReference r:id="rId10" w:type="default"/>
      <w:endnotePr>
        <w:numFmt w:val="decimal"/>
      </w:endnotePr>
      <w:type w:val="continuous"/>
      <w:pgSz w:w="11906" w:h="16838"/>
      <w:pgMar w:top="1418" w:right="1418" w:bottom="1418" w:left="1418" w:header="851" w:footer="992" w:gutter="0"/>
      <w:pgNumType w:fmt="numberInDash" w:start="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kern w:val="0"/>
        <w:szCs w:val="21"/>
      </w:rPr>
      <w:fldChar w:fldCharType="begin"/>
    </w:r>
    <w:r>
      <w:rPr>
        <w:kern w:val="0"/>
        <w:szCs w:val="21"/>
      </w:rPr>
      <w:instrText xml:space="preserve"> PAGE </w:instrText>
    </w:r>
    <w:r>
      <w:rPr>
        <w:kern w:val="0"/>
        <w:szCs w:val="21"/>
      </w:rPr>
      <w:fldChar w:fldCharType="separate"/>
    </w:r>
    <w:r>
      <w:rPr>
        <w:kern w:val="0"/>
        <w:szCs w:val="21"/>
      </w:rPr>
      <w:t>- 15 -</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sz w:val="24"/>
        <w:szCs w:val="24"/>
      </w:rPr>
    </w:pPr>
    <w:r>
      <w:rPr>
        <w:rStyle w:val="20"/>
        <w:sz w:val="24"/>
        <w:szCs w:val="24"/>
      </w:rPr>
      <w:fldChar w:fldCharType="begin"/>
    </w:r>
    <w:r>
      <w:rPr>
        <w:rStyle w:val="20"/>
        <w:sz w:val="24"/>
        <w:szCs w:val="24"/>
      </w:rPr>
      <w:instrText xml:space="preserve">PAGE  </w:instrText>
    </w:r>
    <w:r>
      <w:rPr>
        <w:rStyle w:val="20"/>
        <w:sz w:val="24"/>
        <w:szCs w:val="24"/>
      </w:rPr>
      <w:fldChar w:fldCharType="separate"/>
    </w:r>
    <w:r>
      <w:rPr>
        <w:rStyle w:val="20"/>
        <w:sz w:val="24"/>
        <w:szCs w:val="24"/>
      </w:rPr>
      <w:t>I</w:t>
    </w:r>
    <w:r>
      <w:rPr>
        <w:rStyle w:val="20"/>
        <w:sz w:val="24"/>
        <w:szCs w:val="24"/>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- 6 -</w:t>
    </w:r>
    <w:r>
      <w:rPr>
        <w:rStyle w:val="20"/>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ascii="宋体" w:hAnsi="宋体" w:cs="宋体"/>
        <w:kern w:val="0"/>
        <w:szCs w:val="21"/>
      </w:rPr>
      <w:t xml:space="preserve">GB/T </w:t>
    </w:r>
    <w:r>
      <w:rPr>
        <w:rFonts w:hint="eastAsia" w:ascii="宋体" w:hAnsi="宋体" w:cs="宋体"/>
        <w:kern w:val="0"/>
        <w:szCs w:val="21"/>
      </w:rPr>
      <w:t>XXXX</w:t>
    </w:r>
    <w:r>
      <w:rPr>
        <w:rFonts w:ascii="宋体" w:hAnsi="宋体" w:cs="宋体"/>
        <w:kern w:val="0"/>
        <w:szCs w:val="21"/>
      </w:rPr>
      <w:t>-20</w:t>
    </w:r>
    <w:r>
      <w:rPr>
        <w:rFonts w:hint="eastAsia" w:ascii="宋体" w:hAnsi="宋体" w:cs="宋体"/>
        <w:kern w:val="0"/>
        <w:szCs w:val="21"/>
      </w:rPr>
      <w:t>1X</w:t>
    </w:r>
    <w:r>
      <w:rPr>
        <w:rFonts w:ascii="宋体" w:hAnsi="宋体" w:cs="宋体"/>
        <w:kern w:val="0"/>
        <w:szCs w:val="21"/>
      </w:rPr>
      <w:t>《</w:t>
    </w:r>
    <w:r>
      <w:rPr>
        <w:rFonts w:hint="eastAsia" w:ascii="宋体" w:hAnsi="宋体" w:cs="宋体"/>
        <w:kern w:val="0"/>
        <w:szCs w:val="21"/>
      </w:rPr>
      <w:t>铂</w:t>
    </w:r>
    <w:r>
      <w:rPr>
        <w:rFonts w:ascii="宋体" w:hAnsi="宋体" w:cs="宋体"/>
        <w:kern w:val="0"/>
        <w:szCs w:val="21"/>
      </w:rPr>
      <w:t>锭》标准</w:t>
    </w:r>
    <w:r>
      <w:rPr>
        <w:rFonts w:hint="eastAsia"/>
      </w:rPr>
      <w:t>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735" w:firstLine="0"/>
      </w:pPr>
      <w:rPr>
        <w:rFonts w:hint="eastAsia" w:ascii="黑体" w:hAnsi="Times New Roman" w:eastAsia="黑体"/>
        <w:b w:val="0"/>
        <w:i w:val="0"/>
        <w:sz w:val="21"/>
      </w:rPr>
    </w:lvl>
    <w:lvl w:ilvl="2" w:tentative="0">
      <w:start w:val="1"/>
      <w:numFmt w:val="decimal"/>
      <w:pStyle w:val="37"/>
      <w:suff w:val="nothing"/>
      <w:lvlText w:val="%1%2.%3　"/>
      <w:lvlJc w:val="left"/>
      <w:pPr>
        <w:ind w:left="105" w:firstLine="0"/>
      </w:pPr>
      <w:rPr>
        <w:rFonts w:hint="eastAsia" w:ascii="黑体" w:hAnsi="Times New Roman" w:eastAsia="黑体"/>
        <w:b w:val="0"/>
        <w:i w:val="0"/>
        <w:color w:val="000000"/>
        <w:sz w:val="21"/>
      </w:rPr>
    </w:lvl>
    <w:lvl w:ilvl="3" w:tentative="0">
      <w:start w:val="1"/>
      <w:numFmt w:val="decimal"/>
      <w:suff w:val="nothing"/>
      <w:lvlText w:val="%1%2.%3.%4　"/>
      <w:lvlJc w:val="left"/>
      <w:pPr>
        <w:ind w:left="63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77F2"/>
    <w:rsid w:val="0000102C"/>
    <w:rsid w:val="00004D1F"/>
    <w:rsid w:val="00005C15"/>
    <w:rsid w:val="000061DD"/>
    <w:rsid w:val="00006795"/>
    <w:rsid w:val="000076A1"/>
    <w:rsid w:val="00011355"/>
    <w:rsid w:val="00011C76"/>
    <w:rsid w:val="000131AC"/>
    <w:rsid w:val="000140F1"/>
    <w:rsid w:val="00014C1B"/>
    <w:rsid w:val="00015272"/>
    <w:rsid w:val="00016A75"/>
    <w:rsid w:val="00017BC7"/>
    <w:rsid w:val="000225C8"/>
    <w:rsid w:val="00023054"/>
    <w:rsid w:val="00024236"/>
    <w:rsid w:val="0002487F"/>
    <w:rsid w:val="00025676"/>
    <w:rsid w:val="00026FD9"/>
    <w:rsid w:val="0002756E"/>
    <w:rsid w:val="00031B35"/>
    <w:rsid w:val="00032272"/>
    <w:rsid w:val="000323A5"/>
    <w:rsid w:val="00034B62"/>
    <w:rsid w:val="00035EB4"/>
    <w:rsid w:val="000366CB"/>
    <w:rsid w:val="00037567"/>
    <w:rsid w:val="00040936"/>
    <w:rsid w:val="0004139F"/>
    <w:rsid w:val="00047950"/>
    <w:rsid w:val="0005184E"/>
    <w:rsid w:val="00051C40"/>
    <w:rsid w:val="0005778A"/>
    <w:rsid w:val="00062DEB"/>
    <w:rsid w:val="000642E8"/>
    <w:rsid w:val="00070AD0"/>
    <w:rsid w:val="000719D0"/>
    <w:rsid w:val="00071FA2"/>
    <w:rsid w:val="000728B2"/>
    <w:rsid w:val="00073468"/>
    <w:rsid w:val="00073F79"/>
    <w:rsid w:val="00074D80"/>
    <w:rsid w:val="00074F3F"/>
    <w:rsid w:val="000751B5"/>
    <w:rsid w:val="0007681F"/>
    <w:rsid w:val="00076AEA"/>
    <w:rsid w:val="00081984"/>
    <w:rsid w:val="0008226E"/>
    <w:rsid w:val="00082360"/>
    <w:rsid w:val="000838EE"/>
    <w:rsid w:val="000847A4"/>
    <w:rsid w:val="00084BB0"/>
    <w:rsid w:val="00085B33"/>
    <w:rsid w:val="00090C8A"/>
    <w:rsid w:val="000924D2"/>
    <w:rsid w:val="00093448"/>
    <w:rsid w:val="00093EF2"/>
    <w:rsid w:val="00093F9B"/>
    <w:rsid w:val="0009700A"/>
    <w:rsid w:val="00097FA4"/>
    <w:rsid w:val="000A5285"/>
    <w:rsid w:val="000A6979"/>
    <w:rsid w:val="000A7E65"/>
    <w:rsid w:val="000B156F"/>
    <w:rsid w:val="000B791C"/>
    <w:rsid w:val="000B7942"/>
    <w:rsid w:val="000B7989"/>
    <w:rsid w:val="000C1630"/>
    <w:rsid w:val="000C25A8"/>
    <w:rsid w:val="000C45C4"/>
    <w:rsid w:val="000C4620"/>
    <w:rsid w:val="000C5D47"/>
    <w:rsid w:val="000C5D5E"/>
    <w:rsid w:val="000C76EB"/>
    <w:rsid w:val="000D16E5"/>
    <w:rsid w:val="000D36B4"/>
    <w:rsid w:val="000D4FB7"/>
    <w:rsid w:val="000D5639"/>
    <w:rsid w:val="000D5A44"/>
    <w:rsid w:val="000D5F65"/>
    <w:rsid w:val="000D61F4"/>
    <w:rsid w:val="000D638D"/>
    <w:rsid w:val="000D77F2"/>
    <w:rsid w:val="000E19A7"/>
    <w:rsid w:val="000E24CB"/>
    <w:rsid w:val="000E2787"/>
    <w:rsid w:val="000E351D"/>
    <w:rsid w:val="000E58C6"/>
    <w:rsid w:val="000E5CB3"/>
    <w:rsid w:val="000E7643"/>
    <w:rsid w:val="000F38D6"/>
    <w:rsid w:val="000F4279"/>
    <w:rsid w:val="000F4445"/>
    <w:rsid w:val="000F4F2F"/>
    <w:rsid w:val="000F5366"/>
    <w:rsid w:val="000F54AB"/>
    <w:rsid w:val="001000D9"/>
    <w:rsid w:val="00100628"/>
    <w:rsid w:val="00100F00"/>
    <w:rsid w:val="001019BE"/>
    <w:rsid w:val="00104E42"/>
    <w:rsid w:val="00106975"/>
    <w:rsid w:val="00110D16"/>
    <w:rsid w:val="00111755"/>
    <w:rsid w:val="00114BA7"/>
    <w:rsid w:val="00115C3E"/>
    <w:rsid w:val="001206F6"/>
    <w:rsid w:val="001253DD"/>
    <w:rsid w:val="001272B0"/>
    <w:rsid w:val="0013097E"/>
    <w:rsid w:val="00131675"/>
    <w:rsid w:val="001316CD"/>
    <w:rsid w:val="001344B6"/>
    <w:rsid w:val="001355AB"/>
    <w:rsid w:val="00142EC2"/>
    <w:rsid w:val="00144260"/>
    <w:rsid w:val="00144A71"/>
    <w:rsid w:val="001472B7"/>
    <w:rsid w:val="001478A6"/>
    <w:rsid w:val="00150413"/>
    <w:rsid w:val="00151FF8"/>
    <w:rsid w:val="00153CC1"/>
    <w:rsid w:val="00153E0A"/>
    <w:rsid w:val="001638BC"/>
    <w:rsid w:val="001638F9"/>
    <w:rsid w:val="00163D9A"/>
    <w:rsid w:val="001643B2"/>
    <w:rsid w:val="00164747"/>
    <w:rsid w:val="001659AA"/>
    <w:rsid w:val="00166155"/>
    <w:rsid w:val="001665FE"/>
    <w:rsid w:val="00166F2B"/>
    <w:rsid w:val="0016716F"/>
    <w:rsid w:val="001675E5"/>
    <w:rsid w:val="00170837"/>
    <w:rsid w:val="00170F86"/>
    <w:rsid w:val="00172F92"/>
    <w:rsid w:val="00174E7A"/>
    <w:rsid w:val="00175993"/>
    <w:rsid w:val="001759F0"/>
    <w:rsid w:val="00175E18"/>
    <w:rsid w:val="00177FD2"/>
    <w:rsid w:val="00180CFF"/>
    <w:rsid w:val="00181ECA"/>
    <w:rsid w:val="00183838"/>
    <w:rsid w:val="00184EF7"/>
    <w:rsid w:val="00185A9A"/>
    <w:rsid w:val="00185D02"/>
    <w:rsid w:val="00187BB5"/>
    <w:rsid w:val="00187BDE"/>
    <w:rsid w:val="00191648"/>
    <w:rsid w:val="00191910"/>
    <w:rsid w:val="001920DA"/>
    <w:rsid w:val="001931E8"/>
    <w:rsid w:val="00193CBD"/>
    <w:rsid w:val="00193EF0"/>
    <w:rsid w:val="00194273"/>
    <w:rsid w:val="00196C3B"/>
    <w:rsid w:val="00196DB5"/>
    <w:rsid w:val="00197D90"/>
    <w:rsid w:val="001A2AED"/>
    <w:rsid w:val="001A34A0"/>
    <w:rsid w:val="001A42E8"/>
    <w:rsid w:val="001A52CD"/>
    <w:rsid w:val="001A66D3"/>
    <w:rsid w:val="001A69B4"/>
    <w:rsid w:val="001B0CB1"/>
    <w:rsid w:val="001B539F"/>
    <w:rsid w:val="001B6C17"/>
    <w:rsid w:val="001B6F08"/>
    <w:rsid w:val="001B7688"/>
    <w:rsid w:val="001C099D"/>
    <w:rsid w:val="001C4C49"/>
    <w:rsid w:val="001C6AAB"/>
    <w:rsid w:val="001D0024"/>
    <w:rsid w:val="001D018A"/>
    <w:rsid w:val="001D4FEB"/>
    <w:rsid w:val="001D538D"/>
    <w:rsid w:val="001D653E"/>
    <w:rsid w:val="001D6CD5"/>
    <w:rsid w:val="001D74B5"/>
    <w:rsid w:val="001D7B47"/>
    <w:rsid w:val="001E249C"/>
    <w:rsid w:val="001E3DFC"/>
    <w:rsid w:val="001E647E"/>
    <w:rsid w:val="001E708C"/>
    <w:rsid w:val="001E77F7"/>
    <w:rsid w:val="001F058D"/>
    <w:rsid w:val="001F4442"/>
    <w:rsid w:val="001F6F0A"/>
    <w:rsid w:val="001F7271"/>
    <w:rsid w:val="001F7321"/>
    <w:rsid w:val="001F793A"/>
    <w:rsid w:val="00200072"/>
    <w:rsid w:val="00201CEA"/>
    <w:rsid w:val="00202427"/>
    <w:rsid w:val="00203BF3"/>
    <w:rsid w:val="002056A8"/>
    <w:rsid w:val="00205EA6"/>
    <w:rsid w:val="0020722B"/>
    <w:rsid w:val="00207630"/>
    <w:rsid w:val="00213CAE"/>
    <w:rsid w:val="002157A5"/>
    <w:rsid w:val="0021751C"/>
    <w:rsid w:val="0022026C"/>
    <w:rsid w:val="00221AEA"/>
    <w:rsid w:val="00225376"/>
    <w:rsid w:val="0022562E"/>
    <w:rsid w:val="002266A2"/>
    <w:rsid w:val="0022718D"/>
    <w:rsid w:val="0023056F"/>
    <w:rsid w:val="002329B2"/>
    <w:rsid w:val="00232A59"/>
    <w:rsid w:val="002337F1"/>
    <w:rsid w:val="00233E38"/>
    <w:rsid w:val="002375EF"/>
    <w:rsid w:val="0023780B"/>
    <w:rsid w:val="00237E5D"/>
    <w:rsid w:val="00237EA8"/>
    <w:rsid w:val="00242A48"/>
    <w:rsid w:val="00250C78"/>
    <w:rsid w:val="00253401"/>
    <w:rsid w:val="00254107"/>
    <w:rsid w:val="002561EE"/>
    <w:rsid w:val="002567E5"/>
    <w:rsid w:val="00256E06"/>
    <w:rsid w:val="00257014"/>
    <w:rsid w:val="002634E4"/>
    <w:rsid w:val="002639D3"/>
    <w:rsid w:val="00264543"/>
    <w:rsid w:val="002661EB"/>
    <w:rsid w:val="00267991"/>
    <w:rsid w:val="0027188C"/>
    <w:rsid w:val="00272938"/>
    <w:rsid w:val="00273F1B"/>
    <w:rsid w:val="00275F3B"/>
    <w:rsid w:val="00276D5D"/>
    <w:rsid w:val="00276EB2"/>
    <w:rsid w:val="00287B9C"/>
    <w:rsid w:val="00287FAE"/>
    <w:rsid w:val="0029025F"/>
    <w:rsid w:val="00291992"/>
    <w:rsid w:val="00291CC3"/>
    <w:rsid w:val="0029510B"/>
    <w:rsid w:val="00295DF9"/>
    <w:rsid w:val="00297B7D"/>
    <w:rsid w:val="002A1912"/>
    <w:rsid w:val="002A2ABC"/>
    <w:rsid w:val="002A5D60"/>
    <w:rsid w:val="002A5E63"/>
    <w:rsid w:val="002A6A0E"/>
    <w:rsid w:val="002A6AEF"/>
    <w:rsid w:val="002B1AA4"/>
    <w:rsid w:val="002B28B9"/>
    <w:rsid w:val="002B2A59"/>
    <w:rsid w:val="002B4230"/>
    <w:rsid w:val="002B58AD"/>
    <w:rsid w:val="002B6167"/>
    <w:rsid w:val="002B6490"/>
    <w:rsid w:val="002B7E83"/>
    <w:rsid w:val="002C16BC"/>
    <w:rsid w:val="002C16CE"/>
    <w:rsid w:val="002C3370"/>
    <w:rsid w:val="002D23B9"/>
    <w:rsid w:val="002D4FA4"/>
    <w:rsid w:val="002D7E94"/>
    <w:rsid w:val="002E03B9"/>
    <w:rsid w:val="002E4BF7"/>
    <w:rsid w:val="002E65F5"/>
    <w:rsid w:val="002E6753"/>
    <w:rsid w:val="002E68AF"/>
    <w:rsid w:val="002E7674"/>
    <w:rsid w:val="002F1B92"/>
    <w:rsid w:val="002F300E"/>
    <w:rsid w:val="002F5F76"/>
    <w:rsid w:val="002F6103"/>
    <w:rsid w:val="002F6380"/>
    <w:rsid w:val="002F7556"/>
    <w:rsid w:val="002F776C"/>
    <w:rsid w:val="003001C5"/>
    <w:rsid w:val="00301B56"/>
    <w:rsid w:val="00302A9E"/>
    <w:rsid w:val="00304414"/>
    <w:rsid w:val="00304C9D"/>
    <w:rsid w:val="00305B4A"/>
    <w:rsid w:val="00306C4D"/>
    <w:rsid w:val="00310E72"/>
    <w:rsid w:val="003156A6"/>
    <w:rsid w:val="0032143E"/>
    <w:rsid w:val="00321500"/>
    <w:rsid w:val="0032202A"/>
    <w:rsid w:val="00322658"/>
    <w:rsid w:val="00325255"/>
    <w:rsid w:val="00330461"/>
    <w:rsid w:val="00335A75"/>
    <w:rsid w:val="00336CD7"/>
    <w:rsid w:val="00336E66"/>
    <w:rsid w:val="00340A90"/>
    <w:rsid w:val="00345483"/>
    <w:rsid w:val="00345698"/>
    <w:rsid w:val="00345CE1"/>
    <w:rsid w:val="00350B3D"/>
    <w:rsid w:val="00351FEE"/>
    <w:rsid w:val="0035202C"/>
    <w:rsid w:val="00352D14"/>
    <w:rsid w:val="00353605"/>
    <w:rsid w:val="00354527"/>
    <w:rsid w:val="003546A5"/>
    <w:rsid w:val="00360679"/>
    <w:rsid w:val="00360B13"/>
    <w:rsid w:val="003612F0"/>
    <w:rsid w:val="00362FF4"/>
    <w:rsid w:val="00364A11"/>
    <w:rsid w:val="0036737A"/>
    <w:rsid w:val="003702F8"/>
    <w:rsid w:val="00370764"/>
    <w:rsid w:val="003713A2"/>
    <w:rsid w:val="003744A7"/>
    <w:rsid w:val="0037539C"/>
    <w:rsid w:val="003762AB"/>
    <w:rsid w:val="003766F2"/>
    <w:rsid w:val="003805EE"/>
    <w:rsid w:val="00381941"/>
    <w:rsid w:val="00382384"/>
    <w:rsid w:val="00382544"/>
    <w:rsid w:val="00383D25"/>
    <w:rsid w:val="00386422"/>
    <w:rsid w:val="00386BB1"/>
    <w:rsid w:val="00386D6F"/>
    <w:rsid w:val="00392891"/>
    <w:rsid w:val="00392F25"/>
    <w:rsid w:val="00393197"/>
    <w:rsid w:val="00393F62"/>
    <w:rsid w:val="003945D8"/>
    <w:rsid w:val="003973BE"/>
    <w:rsid w:val="0039764E"/>
    <w:rsid w:val="003A0137"/>
    <w:rsid w:val="003A015D"/>
    <w:rsid w:val="003A01B6"/>
    <w:rsid w:val="003A0C6A"/>
    <w:rsid w:val="003A2D18"/>
    <w:rsid w:val="003A473D"/>
    <w:rsid w:val="003A5CC8"/>
    <w:rsid w:val="003A5D03"/>
    <w:rsid w:val="003A77DC"/>
    <w:rsid w:val="003A7999"/>
    <w:rsid w:val="003A7DC8"/>
    <w:rsid w:val="003B4CB7"/>
    <w:rsid w:val="003B5475"/>
    <w:rsid w:val="003B7DAC"/>
    <w:rsid w:val="003C0256"/>
    <w:rsid w:val="003C057F"/>
    <w:rsid w:val="003C4C07"/>
    <w:rsid w:val="003C79C7"/>
    <w:rsid w:val="003D0921"/>
    <w:rsid w:val="003D0B72"/>
    <w:rsid w:val="003D0F31"/>
    <w:rsid w:val="003D1E8C"/>
    <w:rsid w:val="003D34E7"/>
    <w:rsid w:val="003D54B4"/>
    <w:rsid w:val="003D797B"/>
    <w:rsid w:val="003D7D77"/>
    <w:rsid w:val="003E0296"/>
    <w:rsid w:val="003E48E2"/>
    <w:rsid w:val="003E798B"/>
    <w:rsid w:val="003F10BE"/>
    <w:rsid w:val="003F1DD2"/>
    <w:rsid w:val="003F2490"/>
    <w:rsid w:val="003F263A"/>
    <w:rsid w:val="003F26EF"/>
    <w:rsid w:val="003F3053"/>
    <w:rsid w:val="003F3663"/>
    <w:rsid w:val="003F3AB4"/>
    <w:rsid w:val="003F3B90"/>
    <w:rsid w:val="003F4678"/>
    <w:rsid w:val="003F66FE"/>
    <w:rsid w:val="003F6811"/>
    <w:rsid w:val="003F72A7"/>
    <w:rsid w:val="004004DA"/>
    <w:rsid w:val="00400CB0"/>
    <w:rsid w:val="00402EC3"/>
    <w:rsid w:val="004051BD"/>
    <w:rsid w:val="00405610"/>
    <w:rsid w:val="00406802"/>
    <w:rsid w:val="00407234"/>
    <w:rsid w:val="00407353"/>
    <w:rsid w:val="004077DE"/>
    <w:rsid w:val="0041148C"/>
    <w:rsid w:val="00413DF8"/>
    <w:rsid w:val="0041675B"/>
    <w:rsid w:val="00416DA0"/>
    <w:rsid w:val="00417F66"/>
    <w:rsid w:val="00421A78"/>
    <w:rsid w:val="00421AC0"/>
    <w:rsid w:val="0042495E"/>
    <w:rsid w:val="004257AA"/>
    <w:rsid w:val="0042668E"/>
    <w:rsid w:val="00430870"/>
    <w:rsid w:val="0043341B"/>
    <w:rsid w:val="0043633B"/>
    <w:rsid w:val="0043780B"/>
    <w:rsid w:val="00437A83"/>
    <w:rsid w:val="00440015"/>
    <w:rsid w:val="00440B5C"/>
    <w:rsid w:val="004411D5"/>
    <w:rsid w:val="0044412C"/>
    <w:rsid w:val="00444488"/>
    <w:rsid w:val="00444EED"/>
    <w:rsid w:val="00445524"/>
    <w:rsid w:val="0044562C"/>
    <w:rsid w:val="0044601A"/>
    <w:rsid w:val="00447156"/>
    <w:rsid w:val="00447970"/>
    <w:rsid w:val="00447C83"/>
    <w:rsid w:val="00452BBE"/>
    <w:rsid w:val="00453482"/>
    <w:rsid w:val="004539DC"/>
    <w:rsid w:val="00455FE9"/>
    <w:rsid w:val="00457D99"/>
    <w:rsid w:val="00460063"/>
    <w:rsid w:val="00460EF4"/>
    <w:rsid w:val="00462BC0"/>
    <w:rsid w:val="00463685"/>
    <w:rsid w:val="0046420B"/>
    <w:rsid w:val="00464FCE"/>
    <w:rsid w:val="00467046"/>
    <w:rsid w:val="004673AE"/>
    <w:rsid w:val="00471693"/>
    <w:rsid w:val="0047392D"/>
    <w:rsid w:val="00473EF0"/>
    <w:rsid w:val="004752F2"/>
    <w:rsid w:val="00480430"/>
    <w:rsid w:val="0048249A"/>
    <w:rsid w:val="00484B1C"/>
    <w:rsid w:val="00484F02"/>
    <w:rsid w:val="00490CFA"/>
    <w:rsid w:val="00490D0C"/>
    <w:rsid w:val="0049191E"/>
    <w:rsid w:val="004925F6"/>
    <w:rsid w:val="00492EA1"/>
    <w:rsid w:val="00493510"/>
    <w:rsid w:val="0049432A"/>
    <w:rsid w:val="0049737C"/>
    <w:rsid w:val="004A073A"/>
    <w:rsid w:val="004A3391"/>
    <w:rsid w:val="004A35BC"/>
    <w:rsid w:val="004A71F2"/>
    <w:rsid w:val="004B253A"/>
    <w:rsid w:val="004B3151"/>
    <w:rsid w:val="004B56B1"/>
    <w:rsid w:val="004B659C"/>
    <w:rsid w:val="004B7A20"/>
    <w:rsid w:val="004C74D7"/>
    <w:rsid w:val="004C76D7"/>
    <w:rsid w:val="004D233A"/>
    <w:rsid w:val="004D3455"/>
    <w:rsid w:val="004D3DC4"/>
    <w:rsid w:val="004D3DCF"/>
    <w:rsid w:val="004E088D"/>
    <w:rsid w:val="004E0D37"/>
    <w:rsid w:val="004E1EEE"/>
    <w:rsid w:val="004E23B4"/>
    <w:rsid w:val="004E4B5B"/>
    <w:rsid w:val="004E4CDA"/>
    <w:rsid w:val="004F0096"/>
    <w:rsid w:val="004F1F41"/>
    <w:rsid w:val="004F5900"/>
    <w:rsid w:val="004F5926"/>
    <w:rsid w:val="004F66D5"/>
    <w:rsid w:val="004F6DCF"/>
    <w:rsid w:val="005002B8"/>
    <w:rsid w:val="00500820"/>
    <w:rsid w:val="0050213A"/>
    <w:rsid w:val="0050564A"/>
    <w:rsid w:val="00505705"/>
    <w:rsid w:val="00506342"/>
    <w:rsid w:val="0051042A"/>
    <w:rsid w:val="00511526"/>
    <w:rsid w:val="00512F62"/>
    <w:rsid w:val="005134E9"/>
    <w:rsid w:val="00513729"/>
    <w:rsid w:val="00515559"/>
    <w:rsid w:val="005160AF"/>
    <w:rsid w:val="00520DDB"/>
    <w:rsid w:val="005239C7"/>
    <w:rsid w:val="005240B5"/>
    <w:rsid w:val="005274A1"/>
    <w:rsid w:val="0052771B"/>
    <w:rsid w:val="00527BAE"/>
    <w:rsid w:val="005344E1"/>
    <w:rsid w:val="00534A1B"/>
    <w:rsid w:val="00536156"/>
    <w:rsid w:val="0053721B"/>
    <w:rsid w:val="00542E93"/>
    <w:rsid w:val="00544E5D"/>
    <w:rsid w:val="00551A47"/>
    <w:rsid w:val="0055579B"/>
    <w:rsid w:val="00556B4D"/>
    <w:rsid w:val="0055749D"/>
    <w:rsid w:val="00557AFF"/>
    <w:rsid w:val="00560229"/>
    <w:rsid w:val="00560DD1"/>
    <w:rsid w:val="00562326"/>
    <w:rsid w:val="005626D0"/>
    <w:rsid w:val="0057223E"/>
    <w:rsid w:val="0057284C"/>
    <w:rsid w:val="00572DFC"/>
    <w:rsid w:val="0057332D"/>
    <w:rsid w:val="005739A1"/>
    <w:rsid w:val="00573A75"/>
    <w:rsid w:val="00576B7A"/>
    <w:rsid w:val="0058076E"/>
    <w:rsid w:val="0058245E"/>
    <w:rsid w:val="00583549"/>
    <w:rsid w:val="0058363E"/>
    <w:rsid w:val="005859CA"/>
    <w:rsid w:val="00585F2E"/>
    <w:rsid w:val="00587048"/>
    <w:rsid w:val="00587B2F"/>
    <w:rsid w:val="00590A98"/>
    <w:rsid w:val="00591767"/>
    <w:rsid w:val="00591C17"/>
    <w:rsid w:val="00591E97"/>
    <w:rsid w:val="00595641"/>
    <w:rsid w:val="00595902"/>
    <w:rsid w:val="005961DE"/>
    <w:rsid w:val="005967D6"/>
    <w:rsid w:val="00596DB6"/>
    <w:rsid w:val="0059768E"/>
    <w:rsid w:val="005979D7"/>
    <w:rsid w:val="005A0E99"/>
    <w:rsid w:val="005A2990"/>
    <w:rsid w:val="005A4DB0"/>
    <w:rsid w:val="005A6AA7"/>
    <w:rsid w:val="005B1924"/>
    <w:rsid w:val="005B2123"/>
    <w:rsid w:val="005B2339"/>
    <w:rsid w:val="005B2DD2"/>
    <w:rsid w:val="005B7749"/>
    <w:rsid w:val="005B7E74"/>
    <w:rsid w:val="005C000E"/>
    <w:rsid w:val="005C011B"/>
    <w:rsid w:val="005C185C"/>
    <w:rsid w:val="005C291B"/>
    <w:rsid w:val="005C2B52"/>
    <w:rsid w:val="005C587B"/>
    <w:rsid w:val="005D0207"/>
    <w:rsid w:val="005D0622"/>
    <w:rsid w:val="005D0677"/>
    <w:rsid w:val="005D0EEA"/>
    <w:rsid w:val="005D1780"/>
    <w:rsid w:val="005D6740"/>
    <w:rsid w:val="005D6D8F"/>
    <w:rsid w:val="005E01A2"/>
    <w:rsid w:val="005E2263"/>
    <w:rsid w:val="005E5648"/>
    <w:rsid w:val="005E567F"/>
    <w:rsid w:val="005E5BA1"/>
    <w:rsid w:val="005E63DA"/>
    <w:rsid w:val="005E67BE"/>
    <w:rsid w:val="005F00D1"/>
    <w:rsid w:val="005F0EF5"/>
    <w:rsid w:val="005F1744"/>
    <w:rsid w:val="0060071A"/>
    <w:rsid w:val="006018DF"/>
    <w:rsid w:val="0060195E"/>
    <w:rsid w:val="00602ABC"/>
    <w:rsid w:val="006031F0"/>
    <w:rsid w:val="00603D9A"/>
    <w:rsid w:val="006068EB"/>
    <w:rsid w:val="0060722B"/>
    <w:rsid w:val="0060790F"/>
    <w:rsid w:val="00610CB8"/>
    <w:rsid w:val="00611701"/>
    <w:rsid w:val="0061199C"/>
    <w:rsid w:val="006125EE"/>
    <w:rsid w:val="00612B12"/>
    <w:rsid w:val="006159EF"/>
    <w:rsid w:val="006159FD"/>
    <w:rsid w:val="00620A72"/>
    <w:rsid w:val="006212C4"/>
    <w:rsid w:val="00622166"/>
    <w:rsid w:val="0062225F"/>
    <w:rsid w:val="006235CD"/>
    <w:rsid w:val="0062534F"/>
    <w:rsid w:val="00630581"/>
    <w:rsid w:val="0063184C"/>
    <w:rsid w:val="00631D12"/>
    <w:rsid w:val="0063394C"/>
    <w:rsid w:val="00633F91"/>
    <w:rsid w:val="006353AF"/>
    <w:rsid w:val="00641A20"/>
    <w:rsid w:val="00641C57"/>
    <w:rsid w:val="006445C3"/>
    <w:rsid w:val="006447E4"/>
    <w:rsid w:val="0064573B"/>
    <w:rsid w:val="00650EF7"/>
    <w:rsid w:val="006525F8"/>
    <w:rsid w:val="00654758"/>
    <w:rsid w:val="00656B34"/>
    <w:rsid w:val="00656BB7"/>
    <w:rsid w:val="0065761A"/>
    <w:rsid w:val="00660B4E"/>
    <w:rsid w:val="00662399"/>
    <w:rsid w:val="0066309A"/>
    <w:rsid w:val="00663A01"/>
    <w:rsid w:val="006641DB"/>
    <w:rsid w:val="00664282"/>
    <w:rsid w:val="00664441"/>
    <w:rsid w:val="006646B7"/>
    <w:rsid w:val="00665353"/>
    <w:rsid w:val="00665FDA"/>
    <w:rsid w:val="00665FDC"/>
    <w:rsid w:val="00666459"/>
    <w:rsid w:val="006667D3"/>
    <w:rsid w:val="006670EE"/>
    <w:rsid w:val="006673F3"/>
    <w:rsid w:val="00667BFD"/>
    <w:rsid w:val="006706F2"/>
    <w:rsid w:val="0067237B"/>
    <w:rsid w:val="0067473C"/>
    <w:rsid w:val="006763E7"/>
    <w:rsid w:val="0068250D"/>
    <w:rsid w:val="0068462D"/>
    <w:rsid w:val="00685685"/>
    <w:rsid w:val="00687370"/>
    <w:rsid w:val="00691884"/>
    <w:rsid w:val="006937AB"/>
    <w:rsid w:val="00693A90"/>
    <w:rsid w:val="00694775"/>
    <w:rsid w:val="00697078"/>
    <w:rsid w:val="006A03BF"/>
    <w:rsid w:val="006A03EE"/>
    <w:rsid w:val="006A07A5"/>
    <w:rsid w:val="006A08B8"/>
    <w:rsid w:val="006A44A0"/>
    <w:rsid w:val="006B12D2"/>
    <w:rsid w:val="006B1934"/>
    <w:rsid w:val="006B2835"/>
    <w:rsid w:val="006B4023"/>
    <w:rsid w:val="006B50C1"/>
    <w:rsid w:val="006B55D6"/>
    <w:rsid w:val="006B58C5"/>
    <w:rsid w:val="006B6B08"/>
    <w:rsid w:val="006B6DB6"/>
    <w:rsid w:val="006B72A4"/>
    <w:rsid w:val="006B7A49"/>
    <w:rsid w:val="006C2CAF"/>
    <w:rsid w:val="006C364D"/>
    <w:rsid w:val="006C5D4C"/>
    <w:rsid w:val="006C687D"/>
    <w:rsid w:val="006C7666"/>
    <w:rsid w:val="006D3841"/>
    <w:rsid w:val="006D7364"/>
    <w:rsid w:val="006E08B2"/>
    <w:rsid w:val="006E29B0"/>
    <w:rsid w:val="006E3A8A"/>
    <w:rsid w:val="006F052B"/>
    <w:rsid w:val="006F25B5"/>
    <w:rsid w:val="006F33F9"/>
    <w:rsid w:val="006F488A"/>
    <w:rsid w:val="006F5881"/>
    <w:rsid w:val="006F65E2"/>
    <w:rsid w:val="006F6F73"/>
    <w:rsid w:val="00700079"/>
    <w:rsid w:val="00700CCB"/>
    <w:rsid w:val="00702E84"/>
    <w:rsid w:val="007031E9"/>
    <w:rsid w:val="00703600"/>
    <w:rsid w:val="0070593A"/>
    <w:rsid w:val="00706CC8"/>
    <w:rsid w:val="00707F85"/>
    <w:rsid w:val="00710037"/>
    <w:rsid w:val="00710A2B"/>
    <w:rsid w:val="00714605"/>
    <w:rsid w:val="00715E8C"/>
    <w:rsid w:val="00720570"/>
    <w:rsid w:val="00723AD1"/>
    <w:rsid w:val="00723B35"/>
    <w:rsid w:val="0072500C"/>
    <w:rsid w:val="00725F01"/>
    <w:rsid w:val="0073006E"/>
    <w:rsid w:val="007305FA"/>
    <w:rsid w:val="00730C22"/>
    <w:rsid w:val="00733014"/>
    <w:rsid w:val="00733C75"/>
    <w:rsid w:val="00733C8B"/>
    <w:rsid w:val="00734589"/>
    <w:rsid w:val="00735C40"/>
    <w:rsid w:val="00736396"/>
    <w:rsid w:val="00736C2A"/>
    <w:rsid w:val="007419D1"/>
    <w:rsid w:val="00742A06"/>
    <w:rsid w:val="00744EA2"/>
    <w:rsid w:val="00746483"/>
    <w:rsid w:val="007517AC"/>
    <w:rsid w:val="00754717"/>
    <w:rsid w:val="00756A83"/>
    <w:rsid w:val="00757584"/>
    <w:rsid w:val="007616E3"/>
    <w:rsid w:val="00761D78"/>
    <w:rsid w:val="00762BFA"/>
    <w:rsid w:val="0076497F"/>
    <w:rsid w:val="007666ED"/>
    <w:rsid w:val="0076686E"/>
    <w:rsid w:val="00766EBB"/>
    <w:rsid w:val="00767AF8"/>
    <w:rsid w:val="007711C9"/>
    <w:rsid w:val="0077172D"/>
    <w:rsid w:val="00773BCE"/>
    <w:rsid w:val="00774E98"/>
    <w:rsid w:val="007753D0"/>
    <w:rsid w:val="00777376"/>
    <w:rsid w:val="00777F72"/>
    <w:rsid w:val="007806CA"/>
    <w:rsid w:val="00781745"/>
    <w:rsid w:val="00785849"/>
    <w:rsid w:val="00785A74"/>
    <w:rsid w:val="0078679E"/>
    <w:rsid w:val="00786D05"/>
    <w:rsid w:val="00787803"/>
    <w:rsid w:val="00791D87"/>
    <w:rsid w:val="007924BF"/>
    <w:rsid w:val="00793EDA"/>
    <w:rsid w:val="00794360"/>
    <w:rsid w:val="007964B6"/>
    <w:rsid w:val="00796E27"/>
    <w:rsid w:val="00797394"/>
    <w:rsid w:val="007A010E"/>
    <w:rsid w:val="007A0171"/>
    <w:rsid w:val="007A025C"/>
    <w:rsid w:val="007A5CFD"/>
    <w:rsid w:val="007A7128"/>
    <w:rsid w:val="007B097A"/>
    <w:rsid w:val="007B3432"/>
    <w:rsid w:val="007B38F4"/>
    <w:rsid w:val="007B5B11"/>
    <w:rsid w:val="007B7ABA"/>
    <w:rsid w:val="007C03C5"/>
    <w:rsid w:val="007C0999"/>
    <w:rsid w:val="007C30AB"/>
    <w:rsid w:val="007C42EF"/>
    <w:rsid w:val="007C5398"/>
    <w:rsid w:val="007C5807"/>
    <w:rsid w:val="007C71A9"/>
    <w:rsid w:val="007D03F3"/>
    <w:rsid w:val="007D07BF"/>
    <w:rsid w:val="007D0BF1"/>
    <w:rsid w:val="007D1FE8"/>
    <w:rsid w:val="007D4FFB"/>
    <w:rsid w:val="007D6847"/>
    <w:rsid w:val="007D6EBF"/>
    <w:rsid w:val="007D71EB"/>
    <w:rsid w:val="007E0DA2"/>
    <w:rsid w:val="007E0FED"/>
    <w:rsid w:val="007E119A"/>
    <w:rsid w:val="007E1ADC"/>
    <w:rsid w:val="007E3689"/>
    <w:rsid w:val="007E492E"/>
    <w:rsid w:val="007E4968"/>
    <w:rsid w:val="007E4E2D"/>
    <w:rsid w:val="007E51F2"/>
    <w:rsid w:val="007F06B5"/>
    <w:rsid w:val="007F116B"/>
    <w:rsid w:val="007F16EF"/>
    <w:rsid w:val="007F3A96"/>
    <w:rsid w:val="007F4247"/>
    <w:rsid w:val="007F4FBB"/>
    <w:rsid w:val="007F6785"/>
    <w:rsid w:val="007F7E29"/>
    <w:rsid w:val="00800BAB"/>
    <w:rsid w:val="008017DA"/>
    <w:rsid w:val="00801D4F"/>
    <w:rsid w:val="00803E1E"/>
    <w:rsid w:val="00804BC4"/>
    <w:rsid w:val="00807C9A"/>
    <w:rsid w:val="00807ED1"/>
    <w:rsid w:val="00810A3A"/>
    <w:rsid w:val="00810B3A"/>
    <w:rsid w:val="00810D25"/>
    <w:rsid w:val="00811FF6"/>
    <w:rsid w:val="00813ECD"/>
    <w:rsid w:val="00815499"/>
    <w:rsid w:val="00817167"/>
    <w:rsid w:val="008212D7"/>
    <w:rsid w:val="00822DD8"/>
    <w:rsid w:val="008231CF"/>
    <w:rsid w:val="0082538B"/>
    <w:rsid w:val="00826218"/>
    <w:rsid w:val="00826421"/>
    <w:rsid w:val="0082697D"/>
    <w:rsid w:val="00827A04"/>
    <w:rsid w:val="00830075"/>
    <w:rsid w:val="00830F43"/>
    <w:rsid w:val="0083197F"/>
    <w:rsid w:val="008321D5"/>
    <w:rsid w:val="0083292F"/>
    <w:rsid w:val="00835423"/>
    <w:rsid w:val="008367B4"/>
    <w:rsid w:val="008402B3"/>
    <w:rsid w:val="0084112E"/>
    <w:rsid w:val="00842FEB"/>
    <w:rsid w:val="0084713C"/>
    <w:rsid w:val="00847996"/>
    <w:rsid w:val="0085111C"/>
    <w:rsid w:val="0085295B"/>
    <w:rsid w:val="00852BC0"/>
    <w:rsid w:val="008533ED"/>
    <w:rsid w:val="008548CE"/>
    <w:rsid w:val="008557FA"/>
    <w:rsid w:val="0085583B"/>
    <w:rsid w:val="00857255"/>
    <w:rsid w:val="00860553"/>
    <w:rsid w:val="0086217A"/>
    <w:rsid w:val="0086372F"/>
    <w:rsid w:val="00863A93"/>
    <w:rsid w:val="00866DCB"/>
    <w:rsid w:val="0087003A"/>
    <w:rsid w:val="008705B9"/>
    <w:rsid w:val="00870B11"/>
    <w:rsid w:val="00871454"/>
    <w:rsid w:val="008755AE"/>
    <w:rsid w:val="008762EE"/>
    <w:rsid w:val="008771E2"/>
    <w:rsid w:val="00880148"/>
    <w:rsid w:val="008804F4"/>
    <w:rsid w:val="00885D44"/>
    <w:rsid w:val="008864F5"/>
    <w:rsid w:val="008914F9"/>
    <w:rsid w:val="0089158E"/>
    <w:rsid w:val="008925BC"/>
    <w:rsid w:val="00892C58"/>
    <w:rsid w:val="00892C61"/>
    <w:rsid w:val="008941EF"/>
    <w:rsid w:val="008951E9"/>
    <w:rsid w:val="008A1F1C"/>
    <w:rsid w:val="008A22B2"/>
    <w:rsid w:val="008A484F"/>
    <w:rsid w:val="008A69AF"/>
    <w:rsid w:val="008A7194"/>
    <w:rsid w:val="008A7339"/>
    <w:rsid w:val="008B1340"/>
    <w:rsid w:val="008B594E"/>
    <w:rsid w:val="008B5CD6"/>
    <w:rsid w:val="008B760F"/>
    <w:rsid w:val="008C1A9B"/>
    <w:rsid w:val="008C1B25"/>
    <w:rsid w:val="008C2FCD"/>
    <w:rsid w:val="008C2FEB"/>
    <w:rsid w:val="008C3745"/>
    <w:rsid w:val="008C3BE9"/>
    <w:rsid w:val="008D00FC"/>
    <w:rsid w:val="008D2796"/>
    <w:rsid w:val="008D2C91"/>
    <w:rsid w:val="008D5493"/>
    <w:rsid w:val="008D66C4"/>
    <w:rsid w:val="008E2F3B"/>
    <w:rsid w:val="008E301D"/>
    <w:rsid w:val="008E37A7"/>
    <w:rsid w:val="008E4934"/>
    <w:rsid w:val="008E4D78"/>
    <w:rsid w:val="008E519B"/>
    <w:rsid w:val="008F03ED"/>
    <w:rsid w:val="008F0BD2"/>
    <w:rsid w:val="008F2C68"/>
    <w:rsid w:val="008F55B0"/>
    <w:rsid w:val="008F77C8"/>
    <w:rsid w:val="009002F3"/>
    <w:rsid w:val="00900574"/>
    <w:rsid w:val="00901903"/>
    <w:rsid w:val="00901979"/>
    <w:rsid w:val="00902319"/>
    <w:rsid w:val="00905C1B"/>
    <w:rsid w:val="0090607A"/>
    <w:rsid w:val="0090632B"/>
    <w:rsid w:val="00907E5A"/>
    <w:rsid w:val="00907E8C"/>
    <w:rsid w:val="009109AF"/>
    <w:rsid w:val="00912975"/>
    <w:rsid w:val="00913C4A"/>
    <w:rsid w:val="00913F42"/>
    <w:rsid w:val="0091416E"/>
    <w:rsid w:val="00914E91"/>
    <w:rsid w:val="009157E3"/>
    <w:rsid w:val="009159BC"/>
    <w:rsid w:val="00915B46"/>
    <w:rsid w:val="00916361"/>
    <w:rsid w:val="00920458"/>
    <w:rsid w:val="00920E5D"/>
    <w:rsid w:val="00923F65"/>
    <w:rsid w:val="00925F93"/>
    <w:rsid w:val="009273B8"/>
    <w:rsid w:val="00930A8C"/>
    <w:rsid w:val="00930B60"/>
    <w:rsid w:val="00930EDC"/>
    <w:rsid w:val="00930F5B"/>
    <w:rsid w:val="00933A34"/>
    <w:rsid w:val="0093652F"/>
    <w:rsid w:val="00937EC7"/>
    <w:rsid w:val="009403EA"/>
    <w:rsid w:val="00941459"/>
    <w:rsid w:val="009418FE"/>
    <w:rsid w:val="009455D7"/>
    <w:rsid w:val="0095147C"/>
    <w:rsid w:val="00952E03"/>
    <w:rsid w:val="009545ED"/>
    <w:rsid w:val="00956669"/>
    <w:rsid w:val="00956744"/>
    <w:rsid w:val="00956DFD"/>
    <w:rsid w:val="009663B6"/>
    <w:rsid w:val="00970C63"/>
    <w:rsid w:val="00973ADC"/>
    <w:rsid w:val="00974371"/>
    <w:rsid w:val="00974CF0"/>
    <w:rsid w:val="00976695"/>
    <w:rsid w:val="00976FB0"/>
    <w:rsid w:val="00980586"/>
    <w:rsid w:val="00980968"/>
    <w:rsid w:val="00980FB1"/>
    <w:rsid w:val="009818F3"/>
    <w:rsid w:val="0098571E"/>
    <w:rsid w:val="00986686"/>
    <w:rsid w:val="00986CBB"/>
    <w:rsid w:val="00987C6E"/>
    <w:rsid w:val="00990158"/>
    <w:rsid w:val="0099194F"/>
    <w:rsid w:val="00991EC6"/>
    <w:rsid w:val="00992676"/>
    <w:rsid w:val="009928CC"/>
    <w:rsid w:val="009942AA"/>
    <w:rsid w:val="009943EB"/>
    <w:rsid w:val="0099496F"/>
    <w:rsid w:val="0099663E"/>
    <w:rsid w:val="0099672F"/>
    <w:rsid w:val="00996D64"/>
    <w:rsid w:val="009A0D1B"/>
    <w:rsid w:val="009A0F2F"/>
    <w:rsid w:val="009A0F80"/>
    <w:rsid w:val="009A3349"/>
    <w:rsid w:val="009A34DC"/>
    <w:rsid w:val="009A3EAF"/>
    <w:rsid w:val="009A6F7C"/>
    <w:rsid w:val="009A7DD2"/>
    <w:rsid w:val="009B01E1"/>
    <w:rsid w:val="009B1ACA"/>
    <w:rsid w:val="009B1F5E"/>
    <w:rsid w:val="009B26F7"/>
    <w:rsid w:val="009B6A7C"/>
    <w:rsid w:val="009B7178"/>
    <w:rsid w:val="009B79AD"/>
    <w:rsid w:val="009C07C9"/>
    <w:rsid w:val="009C0CD4"/>
    <w:rsid w:val="009C352C"/>
    <w:rsid w:val="009C49FD"/>
    <w:rsid w:val="009C626A"/>
    <w:rsid w:val="009D07DF"/>
    <w:rsid w:val="009D0C0A"/>
    <w:rsid w:val="009D51F3"/>
    <w:rsid w:val="009D6C73"/>
    <w:rsid w:val="009D72DF"/>
    <w:rsid w:val="009E08B7"/>
    <w:rsid w:val="009E09C6"/>
    <w:rsid w:val="009E2B3B"/>
    <w:rsid w:val="009E50B8"/>
    <w:rsid w:val="009E5691"/>
    <w:rsid w:val="009E66F8"/>
    <w:rsid w:val="009E6E8D"/>
    <w:rsid w:val="009E7DA8"/>
    <w:rsid w:val="009F2213"/>
    <w:rsid w:val="009F2674"/>
    <w:rsid w:val="009F3B0D"/>
    <w:rsid w:val="009F3DB3"/>
    <w:rsid w:val="009F4A25"/>
    <w:rsid w:val="009F793B"/>
    <w:rsid w:val="00A0287D"/>
    <w:rsid w:val="00A0415C"/>
    <w:rsid w:val="00A049B8"/>
    <w:rsid w:val="00A04B03"/>
    <w:rsid w:val="00A0534F"/>
    <w:rsid w:val="00A104ED"/>
    <w:rsid w:val="00A10FC0"/>
    <w:rsid w:val="00A11307"/>
    <w:rsid w:val="00A11495"/>
    <w:rsid w:val="00A131DB"/>
    <w:rsid w:val="00A151FB"/>
    <w:rsid w:val="00A16F3C"/>
    <w:rsid w:val="00A17BED"/>
    <w:rsid w:val="00A20376"/>
    <w:rsid w:val="00A204F6"/>
    <w:rsid w:val="00A223A9"/>
    <w:rsid w:val="00A22B1C"/>
    <w:rsid w:val="00A30260"/>
    <w:rsid w:val="00A341D5"/>
    <w:rsid w:val="00A356B1"/>
    <w:rsid w:val="00A35F32"/>
    <w:rsid w:val="00A44EBC"/>
    <w:rsid w:val="00A45D64"/>
    <w:rsid w:val="00A46B35"/>
    <w:rsid w:val="00A478C7"/>
    <w:rsid w:val="00A53529"/>
    <w:rsid w:val="00A536DC"/>
    <w:rsid w:val="00A53A5E"/>
    <w:rsid w:val="00A54199"/>
    <w:rsid w:val="00A54594"/>
    <w:rsid w:val="00A54A7D"/>
    <w:rsid w:val="00A55549"/>
    <w:rsid w:val="00A563B7"/>
    <w:rsid w:val="00A57470"/>
    <w:rsid w:val="00A60EAF"/>
    <w:rsid w:val="00A63BEF"/>
    <w:rsid w:val="00A65A3E"/>
    <w:rsid w:val="00A66497"/>
    <w:rsid w:val="00A66B4C"/>
    <w:rsid w:val="00A66CF7"/>
    <w:rsid w:val="00A67888"/>
    <w:rsid w:val="00A67934"/>
    <w:rsid w:val="00A7033C"/>
    <w:rsid w:val="00A72376"/>
    <w:rsid w:val="00A7297C"/>
    <w:rsid w:val="00A731C1"/>
    <w:rsid w:val="00A7346C"/>
    <w:rsid w:val="00A741CC"/>
    <w:rsid w:val="00A752D8"/>
    <w:rsid w:val="00A75E6D"/>
    <w:rsid w:val="00A77720"/>
    <w:rsid w:val="00A80158"/>
    <w:rsid w:val="00A8053E"/>
    <w:rsid w:val="00A805BA"/>
    <w:rsid w:val="00A80C87"/>
    <w:rsid w:val="00A80E6A"/>
    <w:rsid w:val="00A826E2"/>
    <w:rsid w:val="00A84360"/>
    <w:rsid w:val="00A848CF"/>
    <w:rsid w:val="00A84A43"/>
    <w:rsid w:val="00A85FED"/>
    <w:rsid w:val="00A86557"/>
    <w:rsid w:val="00A91882"/>
    <w:rsid w:val="00A918C5"/>
    <w:rsid w:val="00A93A45"/>
    <w:rsid w:val="00A94D20"/>
    <w:rsid w:val="00A960A9"/>
    <w:rsid w:val="00AA0685"/>
    <w:rsid w:val="00AA30F1"/>
    <w:rsid w:val="00AB149D"/>
    <w:rsid w:val="00AB174D"/>
    <w:rsid w:val="00AB1BC0"/>
    <w:rsid w:val="00AB23E4"/>
    <w:rsid w:val="00AB2C0F"/>
    <w:rsid w:val="00AB4692"/>
    <w:rsid w:val="00AB5E87"/>
    <w:rsid w:val="00AB61AB"/>
    <w:rsid w:val="00AB6ECA"/>
    <w:rsid w:val="00AC644B"/>
    <w:rsid w:val="00AC7DC1"/>
    <w:rsid w:val="00AD2BC8"/>
    <w:rsid w:val="00AD45D6"/>
    <w:rsid w:val="00AD48B0"/>
    <w:rsid w:val="00AD4BBC"/>
    <w:rsid w:val="00AD4C77"/>
    <w:rsid w:val="00AD611C"/>
    <w:rsid w:val="00AD6524"/>
    <w:rsid w:val="00AD7894"/>
    <w:rsid w:val="00AD7930"/>
    <w:rsid w:val="00AE029F"/>
    <w:rsid w:val="00AE11D3"/>
    <w:rsid w:val="00AE203A"/>
    <w:rsid w:val="00AE3A18"/>
    <w:rsid w:val="00AE40F1"/>
    <w:rsid w:val="00AE4897"/>
    <w:rsid w:val="00AE509E"/>
    <w:rsid w:val="00AE63E6"/>
    <w:rsid w:val="00AF0B2E"/>
    <w:rsid w:val="00AF27FF"/>
    <w:rsid w:val="00AF2B86"/>
    <w:rsid w:val="00AF5661"/>
    <w:rsid w:val="00AF6AC4"/>
    <w:rsid w:val="00B00151"/>
    <w:rsid w:val="00B02047"/>
    <w:rsid w:val="00B0299F"/>
    <w:rsid w:val="00B02FC9"/>
    <w:rsid w:val="00B04145"/>
    <w:rsid w:val="00B06F75"/>
    <w:rsid w:val="00B0730A"/>
    <w:rsid w:val="00B11D4B"/>
    <w:rsid w:val="00B11EC8"/>
    <w:rsid w:val="00B121C3"/>
    <w:rsid w:val="00B13640"/>
    <w:rsid w:val="00B13C82"/>
    <w:rsid w:val="00B16333"/>
    <w:rsid w:val="00B20CA4"/>
    <w:rsid w:val="00B210DD"/>
    <w:rsid w:val="00B23B7C"/>
    <w:rsid w:val="00B265A0"/>
    <w:rsid w:val="00B305E9"/>
    <w:rsid w:val="00B309C2"/>
    <w:rsid w:val="00B32604"/>
    <w:rsid w:val="00B32613"/>
    <w:rsid w:val="00B32B29"/>
    <w:rsid w:val="00B36915"/>
    <w:rsid w:val="00B3798C"/>
    <w:rsid w:val="00B37E5D"/>
    <w:rsid w:val="00B414A0"/>
    <w:rsid w:val="00B41B80"/>
    <w:rsid w:val="00B435DF"/>
    <w:rsid w:val="00B44D21"/>
    <w:rsid w:val="00B460B0"/>
    <w:rsid w:val="00B460CD"/>
    <w:rsid w:val="00B5192F"/>
    <w:rsid w:val="00B51F8A"/>
    <w:rsid w:val="00B52658"/>
    <w:rsid w:val="00B52823"/>
    <w:rsid w:val="00B5338C"/>
    <w:rsid w:val="00B56392"/>
    <w:rsid w:val="00B573AF"/>
    <w:rsid w:val="00B57558"/>
    <w:rsid w:val="00B61B85"/>
    <w:rsid w:val="00B62366"/>
    <w:rsid w:val="00B62729"/>
    <w:rsid w:val="00B6553E"/>
    <w:rsid w:val="00B6691C"/>
    <w:rsid w:val="00B66ABF"/>
    <w:rsid w:val="00B707BC"/>
    <w:rsid w:val="00B73719"/>
    <w:rsid w:val="00B74EA1"/>
    <w:rsid w:val="00B75D09"/>
    <w:rsid w:val="00B80608"/>
    <w:rsid w:val="00B82F7A"/>
    <w:rsid w:val="00B855D9"/>
    <w:rsid w:val="00B86004"/>
    <w:rsid w:val="00B8635A"/>
    <w:rsid w:val="00B871B9"/>
    <w:rsid w:val="00B87270"/>
    <w:rsid w:val="00B908D2"/>
    <w:rsid w:val="00B93287"/>
    <w:rsid w:val="00B94501"/>
    <w:rsid w:val="00B95F58"/>
    <w:rsid w:val="00B9605E"/>
    <w:rsid w:val="00B96A5B"/>
    <w:rsid w:val="00B96A92"/>
    <w:rsid w:val="00BA52B9"/>
    <w:rsid w:val="00BA7656"/>
    <w:rsid w:val="00BB079A"/>
    <w:rsid w:val="00BB2C93"/>
    <w:rsid w:val="00BB3BC5"/>
    <w:rsid w:val="00BB3D01"/>
    <w:rsid w:val="00BB442C"/>
    <w:rsid w:val="00BB4BE1"/>
    <w:rsid w:val="00BB53EC"/>
    <w:rsid w:val="00BB59F4"/>
    <w:rsid w:val="00BB5E1B"/>
    <w:rsid w:val="00BC3880"/>
    <w:rsid w:val="00BC3EB8"/>
    <w:rsid w:val="00BC559F"/>
    <w:rsid w:val="00BC5FDC"/>
    <w:rsid w:val="00BC6FCB"/>
    <w:rsid w:val="00BC7371"/>
    <w:rsid w:val="00BC7B26"/>
    <w:rsid w:val="00BD004F"/>
    <w:rsid w:val="00BD0E50"/>
    <w:rsid w:val="00BD355C"/>
    <w:rsid w:val="00BD6B8D"/>
    <w:rsid w:val="00BD78AA"/>
    <w:rsid w:val="00BD7CD8"/>
    <w:rsid w:val="00BE246E"/>
    <w:rsid w:val="00BE2FE4"/>
    <w:rsid w:val="00BE63B5"/>
    <w:rsid w:val="00BF1C90"/>
    <w:rsid w:val="00BF2050"/>
    <w:rsid w:val="00BF3F37"/>
    <w:rsid w:val="00BF693A"/>
    <w:rsid w:val="00C01384"/>
    <w:rsid w:val="00C01F9D"/>
    <w:rsid w:val="00C0288D"/>
    <w:rsid w:val="00C04037"/>
    <w:rsid w:val="00C06312"/>
    <w:rsid w:val="00C07A34"/>
    <w:rsid w:val="00C101FE"/>
    <w:rsid w:val="00C112A0"/>
    <w:rsid w:val="00C12118"/>
    <w:rsid w:val="00C126CC"/>
    <w:rsid w:val="00C126E7"/>
    <w:rsid w:val="00C12CA7"/>
    <w:rsid w:val="00C1611C"/>
    <w:rsid w:val="00C16AEF"/>
    <w:rsid w:val="00C175BE"/>
    <w:rsid w:val="00C176A1"/>
    <w:rsid w:val="00C20999"/>
    <w:rsid w:val="00C22255"/>
    <w:rsid w:val="00C22B42"/>
    <w:rsid w:val="00C2376C"/>
    <w:rsid w:val="00C23AA6"/>
    <w:rsid w:val="00C24A2F"/>
    <w:rsid w:val="00C24E17"/>
    <w:rsid w:val="00C25B08"/>
    <w:rsid w:val="00C2642B"/>
    <w:rsid w:val="00C31680"/>
    <w:rsid w:val="00C33624"/>
    <w:rsid w:val="00C337F2"/>
    <w:rsid w:val="00C34223"/>
    <w:rsid w:val="00C35DE8"/>
    <w:rsid w:val="00C3784C"/>
    <w:rsid w:val="00C40674"/>
    <w:rsid w:val="00C40D5D"/>
    <w:rsid w:val="00C43E04"/>
    <w:rsid w:val="00C449C7"/>
    <w:rsid w:val="00C44CD8"/>
    <w:rsid w:val="00C4753E"/>
    <w:rsid w:val="00C503EC"/>
    <w:rsid w:val="00C51723"/>
    <w:rsid w:val="00C53351"/>
    <w:rsid w:val="00C5509C"/>
    <w:rsid w:val="00C55100"/>
    <w:rsid w:val="00C561AB"/>
    <w:rsid w:val="00C56619"/>
    <w:rsid w:val="00C61DFE"/>
    <w:rsid w:val="00C62F45"/>
    <w:rsid w:val="00C6349B"/>
    <w:rsid w:val="00C65E88"/>
    <w:rsid w:val="00C665C8"/>
    <w:rsid w:val="00C7297C"/>
    <w:rsid w:val="00C73A9B"/>
    <w:rsid w:val="00C73C26"/>
    <w:rsid w:val="00C740C4"/>
    <w:rsid w:val="00C7465E"/>
    <w:rsid w:val="00C74A8D"/>
    <w:rsid w:val="00C7503C"/>
    <w:rsid w:val="00C7535B"/>
    <w:rsid w:val="00C76180"/>
    <w:rsid w:val="00C7687E"/>
    <w:rsid w:val="00C76B69"/>
    <w:rsid w:val="00C76F98"/>
    <w:rsid w:val="00C81824"/>
    <w:rsid w:val="00C842E0"/>
    <w:rsid w:val="00C84BFE"/>
    <w:rsid w:val="00C84E32"/>
    <w:rsid w:val="00C853BC"/>
    <w:rsid w:val="00C858D2"/>
    <w:rsid w:val="00C87634"/>
    <w:rsid w:val="00C87EA7"/>
    <w:rsid w:val="00C9107B"/>
    <w:rsid w:val="00C91AA4"/>
    <w:rsid w:val="00C94A45"/>
    <w:rsid w:val="00C94EDA"/>
    <w:rsid w:val="00C962F3"/>
    <w:rsid w:val="00C97128"/>
    <w:rsid w:val="00CA16BA"/>
    <w:rsid w:val="00CA173C"/>
    <w:rsid w:val="00CA24C2"/>
    <w:rsid w:val="00CA3CB1"/>
    <w:rsid w:val="00CA4548"/>
    <w:rsid w:val="00CA5872"/>
    <w:rsid w:val="00CA6EF5"/>
    <w:rsid w:val="00CB1730"/>
    <w:rsid w:val="00CB27A4"/>
    <w:rsid w:val="00CB377E"/>
    <w:rsid w:val="00CB3E0E"/>
    <w:rsid w:val="00CB4800"/>
    <w:rsid w:val="00CB744F"/>
    <w:rsid w:val="00CC2A52"/>
    <w:rsid w:val="00CC398A"/>
    <w:rsid w:val="00CC3FDE"/>
    <w:rsid w:val="00CC498E"/>
    <w:rsid w:val="00CC4C5F"/>
    <w:rsid w:val="00CC5836"/>
    <w:rsid w:val="00CD13A4"/>
    <w:rsid w:val="00CD1CEB"/>
    <w:rsid w:val="00CD3A35"/>
    <w:rsid w:val="00CD5296"/>
    <w:rsid w:val="00CD715D"/>
    <w:rsid w:val="00CE11BA"/>
    <w:rsid w:val="00CE16DC"/>
    <w:rsid w:val="00CE175E"/>
    <w:rsid w:val="00CE24CB"/>
    <w:rsid w:val="00CE4ECE"/>
    <w:rsid w:val="00CE60CA"/>
    <w:rsid w:val="00CE65FC"/>
    <w:rsid w:val="00CE7B58"/>
    <w:rsid w:val="00CE7CFC"/>
    <w:rsid w:val="00CF055A"/>
    <w:rsid w:val="00CF1044"/>
    <w:rsid w:val="00CF23A5"/>
    <w:rsid w:val="00CF3570"/>
    <w:rsid w:val="00CF47B0"/>
    <w:rsid w:val="00CF4EBF"/>
    <w:rsid w:val="00CF7289"/>
    <w:rsid w:val="00CF7DEA"/>
    <w:rsid w:val="00D02034"/>
    <w:rsid w:val="00D02291"/>
    <w:rsid w:val="00D03862"/>
    <w:rsid w:val="00D046B5"/>
    <w:rsid w:val="00D069A6"/>
    <w:rsid w:val="00D06B05"/>
    <w:rsid w:val="00D06EED"/>
    <w:rsid w:val="00D107DD"/>
    <w:rsid w:val="00D10B18"/>
    <w:rsid w:val="00D116E3"/>
    <w:rsid w:val="00D13C3D"/>
    <w:rsid w:val="00D14D20"/>
    <w:rsid w:val="00D178F0"/>
    <w:rsid w:val="00D21421"/>
    <w:rsid w:val="00D21B78"/>
    <w:rsid w:val="00D24D35"/>
    <w:rsid w:val="00D2595D"/>
    <w:rsid w:val="00D25A2E"/>
    <w:rsid w:val="00D26EC1"/>
    <w:rsid w:val="00D277C9"/>
    <w:rsid w:val="00D303A6"/>
    <w:rsid w:val="00D32BDD"/>
    <w:rsid w:val="00D32CE5"/>
    <w:rsid w:val="00D32CFC"/>
    <w:rsid w:val="00D33E66"/>
    <w:rsid w:val="00D370C2"/>
    <w:rsid w:val="00D406CC"/>
    <w:rsid w:val="00D44CB7"/>
    <w:rsid w:val="00D44E72"/>
    <w:rsid w:val="00D460E1"/>
    <w:rsid w:val="00D467DA"/>
    <w:rsid w:val="00D46ACD"/>
    <w:rsid w:val="00D515DD"/>
    <w:rsid w:val="00D53A97"/>
    <w:rsid w:val="00D545BF"/>
    <w:rsid w:val="00D57469"/>
    <w:rsid w:val="00D57F85"/>
    <w:rsid w:val="00D6035B"/>
    <w:rsid w:val="00D63DB9"/>
    <w:rsid w:val="00D65306"/>
    <w:rsid w:val="00D65FEC"/>
    <w:rsid w:val="00D70F26"/>
    <w:rsid w:val="00D723E6"/>
    <w:rsid w:val="00D72FE0"/>
    <w:rsid w:val="00D759DF"/>
    <w:rsid w:val="00D75D83"/>
    <w:rsid w:val="00D7639E"/>
    <w:rsid w:val="00D801CD"/>
    <w:rsid w:val="00D80CBD"/>
    <w:rsid w:val="00D80ED7"/>
    <w:rsid w:val="00D81247"/>
    <w:rsid w:val="00D81582"/>
    <w:rsid w:val="00D829EC"/>
    <w:rsid w:val="00D82A76"/>
    <w:rsid w:val="00D832CC"/>
    <w:rsid w:val="00D8377C"/>
    <w:rsid w:val="00D83A1A"/>
    <w:rsid w:val="00D84B00"/>
    <w:rsid w:val="00D8516C"/>
    <w:rsid w:val="00D855CA"/>
    <w:rsid w:val="00D87434"/>
    <w:rsid w:val="00D900AD"/>
    <w:rsid w:val="00D9069F"/>
    <w:rsid w:val="00D90708"/>
    <w:rsid w:val="00D91BE4"/>
    <w:rsid w:val="00D92268"/>
    <w:rsid w:val="00D9250F"/>
    <w:rsid w:val="00D92FE4"/>
    <w:rsid w:val="00D93A99"/>
    <w:rsid w:val="00D93D05"/>
    <w:rsid w:val="00D94037"/>
    <w:rsid w:val="00DA0E6C"/>
    <w:rsid w:val="00DA26AA"/>
    <w:rsid w:val="00DA289D"/>
    <w:rsid w:val="00DA34E9"/>
    <w:rsid w:val="00DA36F1"/>
    <w:rsid w:val="00DA3C2D"/>
    <w:rsid w:val="00DA4BAB"/>
    <w:rsid w:val="00DA519E"/>
    <w:rsid w:val="00DA589E"/>
    <w:rsid w:val="00DA72CD"/>
    <w:rsid w:val="00DA7359"/>
    <w:rsid w:val="00DB0728"/>
    <w:rsid w:val="00DB1AF2"/>
    <w:rsid w:val="00DB36F3"/>
    <w:rsid w:val="00DB3F5D"/>
    <w:rsid w:val="00DB6905"/>
    <w:rsid w:val="00DB6A96"/>
    <w:rsid w:val="00DC18B0"/>
    <w:rsid w:val="00DC2129"/>
    <w:rsid w:val="00DC240A"/>
    <w:rsid w:val="00DC640A"/>
    <w:rsid w:val="00DC6FEF"/>
    <w:rsid w:val="00DD1F35"/>
    <w:rsid w:val="00DD3567"/>
    <w:rsid w:val="00DD5E69"/>
    <w:rsid w:val="00DD657F"/>
    <w:rsid w:val="00DD79D8"/>
    <w:rsid w:val="00DE0AE7"/>
    <w:rsid w:val="00DE13A4"/>
    <w:rsid w:val="00DE18C7"/>
    <w:rsid w:val="00DE1EE8"/>
    <w:rsid w:val="00DE2BD2"/>
    <w:rsid w:val="00DE379E"/>
    <w:rsid w:val="00DE3CA7"/>
    <w:rsid w:val="00DE492A"/>
    <w:rsid w:val="00DE4E7C"/>
    <w:rsid w:val="00DE5DEB"/>
    <w:rsid w:val="00DE6F30"/>
    <w:rsid w:val="00DF1F0F"/>
    <w:rsid w:val="00DF37E0"/>
    <w:rsid w:val="00DF65D3"/>
    <w:rsid w:val="00DF7F3D"/>
    <w:rsid w:val="00E01C2E"/>
    <w:rsid w:val="00E02BE8"/>
    <w:rsid w:val="00E03746"/>
    <w:rsid w:val="00E037AB"/>
    <w:rsid w:val="00E04465"/>
    <w:rsid w:val="00E060D0"/>
    <w:rsid w:val="00E07827"/>
    <w:rsid w:val="00E12C64"/>
    <w:rsid w:val="00E14872"/>
    <w:rsid w:val="00E158D2"/>
    <w:rsid w:val="00E15BE7"/>
    <w:rsid w:val="00E15C6E"/>
    <w:rsid w:val="00E216C8"/>
    <w:rsid w:val="00E22292"/>
    <w:rsid w:val="00E23BF7"/>
    <w:rsid w:val="00E246E3"/>
    <w:rsid w:val="00E24802"/>
    <w:rsid w:val="00E261BE"/>
    <w:rsid w:val="00E27ED9"/>
    <w:rsid w:val="00E31EF9"/>
    <w:rsid w:val="00E32C51"/>
    <w:rsid w:val="00E3339C"/>
    <w:rsid w:val="00E36086"/>
    <w:rsid w:val="00E36734"/>
    <w:rsid w:val="00E36A51"/>
    <w:rsid w:val="00E36D56"/>
    <w:rsid w:val="00E37964"/>
    <w:rsid w:val="00E41266"/>
    <w:rsid w:val="00E41789"/>
    <w:rsid w:val="00E41C8E"/>
    <w:rsid w:val="00E46C7E"/>
    <w:rsid w:val="00E46C99"/>
    <w:rsid w:val="00E47C18"/>
    <w:rsid w:val="00E50357"/>
    <w:rsid w:val="00E5057E"/>
    <w:rsid w:val="00E51CE2"/>
    <w:rsid w:val="00E529A9"/>
    <w:rsid w:val="00E53AC2"/>
    <w:rsid w:val="00E53F59"/>
    <w:rsid w:val="00E54563"/>
    <w:rsid w:val="00E545CC"/>
    <w:rsid w:val="00E54697"/>
    <w:rsid w:val="00E5646C"/>
    <w:rsid w:val="00E56598"/>
    <w:rsid w:val="00E566CB"/>
    <w:rsid w:val="00E61B1F"/>
    <w:rsid w:val="00E63364"/>
    <w:rsid w:val="00E64397"/>
    <w:rsid w:val="00E648BE"/>
    <w:rsid w:val="00E64BB2"/>
    <w:rsid w:val="00E65B30"/>
    <w:rsid w:val="00E70D3F"/>
    <w:rsid w:val="00E71779"/>
    <w:rsid w:val="00E71A79"/>
    <w:rsid w:val="00E72B89"/>
    <w:rsid w:val="00E7379C"/>
    <w:rsid w:val="00E739FA"/>
    <w:rsid w:val="00E73A53"/>
    <w:rsid w:val="00E74311"/>
    <w:rsid w:val="00E7449C"/>
    <w:rsid w:val="00E77BA8"/>
    <w:rsid w:val="00E77DA6"/>
    <w:rsid w:val="00E808ED"/>
    <w:rsid w:val="00E80D06"/>
    <w:rsid w:val="00E8120A"/>
    <w:rsid w:val="00E81EE9"/>
    <w:rsid w:val="00E910C1"/>
    <w:rsid w:val="00E9161E"/>
    <w:rsid w:val="00E940B0"/>
    <w:rsid w:val="00E94A3E"/>
    <w:rsid w:val="00EA0B0D"/>
    <w:rsid w:val="00EA2897"/>
    <w:rsid w:val="00EA2D9C"/>
    <w:rsid w:val="00EA3BC6"/>
    <w:rsid w:val="00EA53AC"/>
    <w:rsid w:val="00EB01B8"/>
    <w:rsid w:val="00EB07EC"/>
    <w:rsid w:val="00EB237A"/>
    <w:rsid w:val="00EB3C90"/>
    <w:rsid w:val="00EB5051"/>
    <w:rsid w:val="00EB53E5"/>
    <w:rsid w:val="00EB54D8"/>
    <w:rsid w:val="00EB650F"/>
    <w:rsid w:val="00EC0ECE"/>
    <w:rsid w:val="00EC210C"/>
    <w:rsid w:val="00EC5A00"/>
    <w:rsid w:val="00EC5D79"/>
    <w:rsid w:val="00EC652A"/>
    <w:rsid w:val="00EC6E1B"/>
    <w:rsid w:val="00EC76BE"/>
    <w:rsid w:val="00ED04EC"/>
    <w:rsid w:val="00ED66DB"/>
    <w:rsid w:val="00EE04C7"/>
    <w:rsid w:val="00EE0CF4"/>
    <w:rsid w:val="00EE186F"/>
    <w:rsid w:val="00EE1C9F"/>
    <w:rsid w:val="00EE1D47"/>
    <w:rsid w:val="00EE2EFB"/>
    <w:rsid w:val="00EE324B"/>
    <w:rsid w:val="00EE48C4"/>
    <w:rsid w:val="00EE59DE"/>
    <w:rsid w:val="00EE61F7"/>
    <w:rsid w:val="00EE788C"/>
    <w:rsid w:val="00EE790A"/>
    <w:rsid w:val="00EF05FD"/>
    <w:rsid w:val="00EF084E"/>
    <w:rsid w:val="00EF0E69"/>
    <w:rsid w:val="00EF28BE"/>
    <w:rsid w:val="00EF2B43"/>
    <w:rsid w:val="00EF371F"/>
    <w:rsid w:val="00EF407C"/>
    <w:rsid w:val="00EF46DB"/>
    <w:rsid w:val="00EF4DA6"/>
    <w:rsid w:val="00EF64D3"/>
    <w:rsid w:val="00EF6C1D"/>
    <w:rsid w:val="00EF745E"/>
    <w:rsid w:val="00F00D5C"/>
    <w:rsid w:val="00F010B1"/>
    <w:rsid w:val="00F0185A"/>
    <w:rsid w:val="00F01C38"/>
    <w:rsid w:val="00F03962"/>
    <w:rsid w:val="00F05F31"/>
    <w:rsid w:val="00F0740D"/>
    <w:rsid w:val="00F07683"/>
    <w:rsid w:val="00F0785C"/>
    <w:rsid w:val="00F1557E"/>
    <w:rsid w:val="00F16754"/>
    <w:rsid w:val="00F16E8E"/>
    <w:rsid w:val="00F201B6"/>
    <w:rsid w:val="00F22AFC"/>
    <w:rsid w:val="00F23451"/>
    <w:rsid w:val="00F27EA6"/>
    <w:rsid w:val="00F30659"/>
    <w:rsid w:val="00F30C2A"/>
    <w:rsid w:val="00F3205D"/>
    <w:rsid w:val="00F32325"/>
    <w:rsid w:val="00F334AD"/>
    <w:rsid w:val="00F34B00"/>
    <w:rsid w:val="00F3506F"/>
    <w:rsid w:val="00F4145D"/>
    <w:rsid w:val="00F41F4C"/>
    <w:rsid w:val="00F43320"/>
    <w:rsid w:val="00F467A4"/>
    <w:rsid w:val="00F467FA"/>
    <w:rsid w:val="00F50826"/>
    <w:rsid w:val="00F51018"/>
    <w:rsid w:val="00F51AEA"/>
    <w:rsid w:val="00F53894"/>
    <w:rsid w:val="00F541F2"/>
    <w:rsid w:val="00F554CC"/>
    <w:rsid w:val="00F55E8C"/>
    <w:rsid w:val="00F56611"/>
    <w:rsid w:val="00F57275"/>
    <w:rsid w:val="00F575DB"/>
    <w:rsid w:val="00F62DE0"/>
    <w:rsid w:val="00F63C73"/>
    <w:rsid w:val="00F7129A"/>
    <w:rsid w:val="00F71E0D"/>
    <w:rsid w:val="00F71F32"/>
    <w:rsid w:val="00F71F3B"/>
    <w:rsid w:val="00F72004"/>
    <w:rsid w:val="00F72E04"/>
    <w:rsid w:val="00F75462"/>
    <w:rsid w:val="00F76490"/>
    <w:rsid w:val="00F778B1"/>
    <w:rsid w:val="00F811BD"/>
    <w:rsid w:val="00F822AD"/>
    <w:rsid w:val="00F8293F"/>
    <w:rsid w:val="00F82D5B"/>
    <w:rsid w:val="00F82DEF"/>
    <w:rsid w:val="00F834B0"/>
    <w:rsid w:val="00F85A5B"/>
    <w:rsid w:val="00F930A6"/>
    <w:rsid w:val="00F94776"/>
    <w:rsid w:val="00F95128"/>
    <w:rsid w:val="00F954F2"/>
    <w:rsid w:val="00F96C2B"/>
    <w:rsid w:val="00F977FE"/>
    <w:rsid w:val="00F97850"/>
    <w:rsid w:val="00FA1525"/>
    <w:rsid w:val="00FA36BD"/>
    <w:rsid w:val="00FA6FB1"/>
    <w:rsid w:val="00FA732C"/>
    <w:rsid w:val="00FA7D77"/>
    <w:rsid w:val="00FB6B3E"/>
    <w:rsid w:val="00FC3395"/>
    <w:rsid w:val="00FC3ECB"/>
    <w:rsid w:val="00FC5450"/>
    <w:rsid w:val="00FD0DA7"/>
    <w:rsid w:val="00FD31DA"/>
    <w:rsid w:val="00FD5EA7"/>
    <w:rsid w:val="00FD619A"/>
    <w:rsid w:val="00FD6722"/>
    <w:rsid w:val="00FD6F11"/>
    <w:rsid w:val="00FE0109"/>
    <w:rsid w:val="00FE0DE5"/>
    <w:rsid w:val="00FE0ED2"/>
    <w:rsid w:val="00FE2AA9"/>
    <w:rsid w:val="00FE2BA6"/>
    <w:rsid w:val="00FE4459"/>
    <w:rsid w:val="00FE5012"/>
    <w:rsid w:val="00FE5849"/>
    <w:rsid w:val="00FE6306"/>
    <w:rsid w:val="00FE6860"/>
    <w:rsid w:val="00FE6A6E"/>
    <w:rsid w:val="00FE7A23"/>
    <w:rsid w:val="00FF2F73"/>
    <w:rsid w:val="00FF45D4"/>
    <w:rsid w:val="00FF4DA5"/>
    <w:rsid w:val="00FF52AC"/>
    <w:rsid w:val="00FF61EF"/>
    <w:rsid w:val="00FF7872"/>
    <w:rsid w:val="09594635"/>
    <w:rsid w:val="0CF34FC4"/>
    <w:rsid w:val="15B077B4"/>
    <w:rsid w:val="20E109BE"/>
    <w:rsid w:val="21E345BF"/>
    <w:rsid w:val="2B916385"/>
    <w:rsid w:val="2E172684"/>
    <w:rsid w:val="3848521B"/>
    <w:rsid w:val="3BF358DC"/>
    <w:rsid w:val="3CBE19D2"/>
    <w:rsid w:val="3D6921B2"/>
    <w:rsid w:val="424B0D40"/>
    <w:rsid w:val="44495542"/>
    <w:rsid w:val="4864666F"/>
    <w:rsid w:val="52651E98"/>
    <w:rsid w:val="53AB25AE"/>
    <w:rsid w:val="635605B7"/>
    <w:rsid w:val="68885C93"/>
    <w:rsid w:val="7205691A"/>
    <w:rsid w:val="77946691"/>
    <w:rsid w:val="79BB3B7B"/>
    <w:rsid w:val="7D5D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qFormat="1"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qFormat="1"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qFormat="1"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spacing w:line="360" w:lineRule="auto"/>
      <w:ind w:left="40" w:firstLine="512"/>
    </w:pPr>
    <w:rPr>
      <w:szCs w:val="20"/>
    </w:rPr>
  </w:style>
  <w:style w:type="paragraph" w:styleId="7">
    <w:name w:val="toc 3"/>
    <w:basedOn w:val="1"/>
    <w:next w:val="1"/>
    <w:semiHidden/>
    <w:qFormat/>
    <w:uiPriority w:val="0"/>
    <w:pPr>
      <w:ind w:left="840" w:leftChars="400"/>
    </w:pPr>
  </w:style>
  <w:style w:type="paragraph" w:styleId="8">
    <w:name w:val="Date"/>
    <w:basedOn w:val="1"/>
    <w:next w:val="1"/>
    <w:qFormat/>
    <w:uiPriority w:val="0"/>
    <w:pPr>
      <w:ind w:left="100" w:leftChars="2500"/>
    </w:pPr>
  </w:style>
  <w:style w:type="paragraph" w:styleId="9">
    <w:name w:val="endnote text"/>
    <w:basedOn w:val="1"/>
    <w:semiHidden/>
    <w:qFormat/>
    <w:uiPriority w:val="0"/>
    <w:pPr>
      <w:snapToGrid w:val="0"/>
      <w:jc w:val="left"/>
    </w:pPr>
  </w:style>
  <w:style w:type="paragraph" w:styleId="10">
    <w:name w:val="Balloon Text"/>
    <w:basedOn w:val="1"/>
    <w:link w:val="48"/>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174"/>
      </w:tabs>
      <w:spacing w:line="360" w:lineRule="auto"/>
    </w:pPr>
  </w:style>
  <w:style w:type="paragraph" w:styleId="14">
    <w:name w:val="footnote text"/>
    <w:basedOn w:val="1"/>
    <w:semiHidden/>
    <w:qFormat/>
    <w:uiPriority w:val="0"/>
    <w:pPr>
      <w:snapToGrid w:val="0"/>
      <w:jc w:val="left"/>
    </w:pPr>
    <w:rPr>
      <w:sz w:val="18"/>
      <w:szCs w:val="18"/>
    </w:rPr>
  </w:style>
  <w:style w:type="paragraph" w:styleId="15">
    <w:name w:val="toc 2"/>
    <w:basedOn w:val="1"/>
    <w:next w:val="1"/>
    <w:qFormat/>
    <w:uiPriority w:val="39"/>
    <w:pPr>
      <w:tabs>
        <w:tab w:val="right" w:leader="dot" w:pos="9174"/>
      </w:tabs>
      <w:spacing w:line="360" w:lineRule="exact"/>
      <w:ind w:left="420" w:leftChars="200"/>
      <w:jc w:val="left"/>
    </w:pPr>
    <w:rPr>
      <w:rFonts w:ascii="黑体" w:eastAsia="黑体"/>
    </w:r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7">
    <w:name w:val="Title"/>
    <w:basedOn w:val="1"/>
    <w:next w:val="1"/>
    <w:link w:val="43"/>
    <w:qFormat/>
    <w:uiPriority w:val="0"/>
    <w:pPr>
      <w:spacing w:before="240" w:after="60"/>
      <w:jc w:val="center"/>
      <w:outlineLvl w:val="0"/>
    </w:pPr>
    <w:rPr>
      <w:rFonts w:ascii="Cambria" w:hAnsi="Cambria"/>
      <w:b/>
      <w:bCs/>
      <w:sz w:val="32"/>
      <w:szCs w:val="32"/>
    </w:rPr>
  </w:style>
  <w:style w:type="character" w:styleId="19">
    <w:name w:val="endnote reference"/>
    <w:basedOn w:val="18"/>
    <w:semiHidden/>
    <w:qFormat/>
    <w:uiPriority w:val="0"/>
    <w:rPr>
      <w:vertAlign w:val="superscript"/>
    </w:rPr>
  </w:style>
  <w:style w:type="character" w:styleId="20">
    <w:name w:val="page number"/>
    <w:basedOn w:val="18"/>
    <w:qFormat/>
    <w:uiPriority w:val="0"/>
  </w:style>
  <w:style w:type="character" w:styleId="21">
    <w:name w:val="Hyperlink"/>
    <w:basedOn w:val="18"/>
    <w:qFormat/>
    <w:uiPriority w:val="99"/>
    <w:rPr>
      <w:color w:val="0000FF"/>
      <w:u w:val="single"/>
    </w:rPr>
  </w:style>
  <w:style w:type="character" w:styleId="22">
    <w:name w:val="HTML Cite"/>
    <w:basedOn w:val="18"/>
    <w:qFormat/>
    <w:uiPriority w:val="0"/>
    <w:rPr>
      <w:color w:val="008000"/>
    </w:rPr>
  </w:style>
  <w:style w:type="character" w:styleId="23">
    <w:name w:val="footnote reference"/>
    <w:basedOn w:val="18"/>
    <w:semiHidden/>
    <w:qFormat/>
    <w:uiPriority w:val="0"/>
    <w:rPr>
      <w:vertAlign w:val="superscript"/>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6">
    <w:name w:val="Table Theme"/>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7">
    <w:name w:val="Table Colorful 2"/>
    <w:basedOn w:val="24"/>
    <w:qFormat/>
    <w:uiPriority w:val="0"/>
    <w:pPr>
      <w:widowControl w:val="0"/>
      <w:jc w:val="both"/>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28">
    <w:name w:val="Table Classic 1"/>
    <w:basedOn w:val="24"/>
    <w:qFormat/>
    <w:uiPriority w:val="0"/>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29">
    <w:name w:val="Table Simple 1"/>
    <w:basedOn w:val="24"/>
    <w:qFormat/>
    <w:uiPriority w:val="0"/>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30">
    <w:name w:val="Table List 8"/>
    <w:basedOn w:val="24"/>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31">
    <w:name w:val="Table Contemporary"/>
    <w:basedOn w:val="24"/>
    <w:qFormat/>
    <w:uiPriority w:val="0"/>
    <w:pPr>
      <w:widowControl w:val="0"/>
      <w:jc w:val="both"/>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32">
    <w:name w:val="Light List Accent 5"/>
    <w:basedOn w:val="24"/>
    <w:qFormat/>
    <w:uiPriority w:val="61"/>
    <w:tblPr>
      <w:tblBorders>
        <w:top w:val="single" w:color="4BACC6" w:sz="8" w:space="0"/>
        <w:left w:val="single" w:color="4BACC6" w:sz="8" w:space="0"/>
        <w:bottom w:val="single" w:color="4BACC6" w:sz="8" w:space="0"/>
        <w:right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4BACC6"/>
      </w:tcPr>
    </w:tblStylePr>
    <w:tblStylePr w:type="lastRow">
      <w:pPr>
        <w:spacing w:before="0" w:after="0" w:line="240" w:lineRule="auto"/>
      </w:pPr>
      <w:rPr>
        <w:b/>
        <w:bCs/>
      </w:rPr>
      <w:tblPr>
        <w:tblLayout w:type="fixed"/>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blLayout w:type="fixed"/>
      </w:tblPr>
      <w:tcPr>
        <w:tcBorders>
          <w:top w:val="single" w:color="4BACC6" w:sz="8" w:space="0"/>
          <w:left w:val="single" w:color="4BACC6" w:sz="8" w:space="0"/>
          <w:bottom w:val="single" w:color="4BACC6" w:sz="8" w:space="0"/>
          <w:right w:val="single" w:color="4BACC6" w:sz="8" w:space="0"/>
        </w:tcBorders>
      </w:tcPr>
    </w:tblStylePr>
    <w:tblStylePr w:type="band1Horz">
      <w:tblPr>
        <w:tblLayout w:type="fixed"/>
      </w:tblPr>
      <w:tcPr>
        <w:tcBorders>
          <w:top w:val="single" w:color="4BACC6" w:sz="8" w:space="0"/>
          <w:left w:val="single" w:color="4BACC6" w:sz="8" w:space="0"/>
          <w:bottom w:val="single" w:color="4BACC6" w:sz="8" w:space="0"/>
          <w:right w:val="single" w:color="4BACC6" w:sz="8" w:space="0"/>
        </w:tcBorders>
      </w:tcPr>
    </w:tblStylePr>
  </w:style>
  <w:style w:type="table" w:styleId="33">
    <w:name w:val="Medium Shading 1 Accent 5"/>
    <w:basedOn w:val="24"/>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blLayout w:type="fixed"/>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1"/>
      </w:tcPr>
    </w:tblStylePr>
    <w:tblStylePr w:type="band1Horz">
      <w:tblPr>
        <w:tblLayout w:type="fixed"/>
      </w:tblPr>
      <w:tcPr>
        <w:tcBorders>
          <w:insideH w:val="nil"/>
          <w:insideV w:val="nil"/>
        </w:tcBorders>
        <w:shd w:val="clear" w:color="auto" w:fill="D2EAF1"/>
      </w:tcPr>
    </w:tblStylePr>
    <w:tblStylePr w:type="band2Horz">
      <w:tblPr>
        <w:tblLayout w:type="fixed"/>
      </w:tblPr>
      <w:tcPr>
        <w:tcBorders>
          <w:insideH w:val="nil"/>
          <w:insideV w:val="nil"/>
        </w:tcBorders>
      </w:tcPr>
    </w:tblStylePr>
  </w:style>
  <w:style w:type="table" w:styleId="34">
    <w:name w:val="Medium Shading 2 Accent 5"/>
    <w:basedOn w:val="24"/>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blLayout w:type="fixed"/>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blLayout w:type="fixed"/>
      </w:tblPr>
      <w:tcPr>
        <w:tcBorders>
          <w:left w:val="nil"/>
          <w:right w:val="nil"/>
          <w:insideH w:val="nil"/>
          <w:insideV w:val="nil"/>
        </w:tcBorders>
        <w:shd w:val="clear" w:color="auto" w:fill="4BACC6"/>
      </w:tcPr>
    </w:tblStylePr>
    <w:tblStylePr w:type="band1Vert">
      <w:tblPr>
        <w:tblLayout w:type="fixed"/>
      </w:tblPr>
      <w:tcPr>
        <w:tcBorders>
          <w:left w:val="nil"/>
          <w:right w:val="nil"/>
          <w:insideH w:val="nil"/>
          <w:insideV w:val="nil"/>
        </w:tcBorders>
        <w:shd w:val="clear" w:color="auto" w:fill="D8D8D8"/>
      </w:tcPr>
    </w:tblStylePr>
    <w:tblStylePr w:type="band1Horz">
      <w:tblPr>
        <w:tblLayout w:type="fixed"/>
      </w:tblPr>
      <w:tcPr>
        <w:shd w:val="clear" w:color="auto" w:fill="D8D8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rPr>
      <w:tblPr>
        <w:tblLayout w:type="fixed"/>
      </w:tblPr>
      <w:tcPr>
        <w:tcBorders>
          <w:top w:val="single" w:color="auto" w:sz="18" w:space="0"/>
          <w:left w:val="nil"/>
          <w:bottom w:val="single" w:color="auto" w:sz="18" w:space="0"/>
          <w:right w:val="nil"/>
          <w:insideH w:val="nil"/>
          <w:insideV w:val="nil"/>
        </w:tcBorders>
      </w:tcPr>
    </w:tblStylePr>
  </w:style>
  <w:style w:type="paragraph" w:customStyle="1" w:styleId="35">
    <w:name w:val="Char"/>
    <w:basedOn w:val="1"/>
    <w:qFormat/>
    <w:uiPriority w:val="0"/>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36">
    <w:name w:val="Char Char Char Char"/>
    <w:basedOn w:val="1"/>
    <w:qFormat/>
    <w:uiPriority w:val="0"/>
    <w:rPr>
      <w:rFonts w:ascii="Tahoma" w:hAnsi="Tahoma"/>
      <w:sz w:val="24"/>
      <w:szCs w:val="20"/>
    </w:rPr>
  </w:style>
  <w:style w:type="paragraph" w:customStyle="1" w:styleId="37">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8">
    <w:name w:val="段"/>
    <w:link w:val="3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
    <w:name w:val="段 Char"/>
    <w:basedOn w:val="18"/>
    <w:link w:val="38"/>
    <w:qFormat/>
    <w:uiPriority w:val="0"/>
    <w:rPr>
      <w:rFonts w:ascii="宋体"/>
      <w:sz w:val="21"/>
      <w:lang w:val="en-US" w:eastAsia="zh-CN" w:bidi="ar-SA"/>
    </w:rPr>
  </w:style>
  <w:style w:type="paragraph" w:customStyle="1" w:styleId="4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1">
    <w:name w:val="Char1"/>
    <w:basedOn w:val="1"/>
    <w:qFormat/>
    <w:uiPriority w:val="0"/>
    <w:pPr>
      <w:adjustRightInd w:val="0"/>
      <w:spacing w:line="360" w:lineRule="auto"/>
    </w:pPr>
    <w:rPr>
      <w:kern w:val="0"/>
      <w:sz w:val="24"/>
      <w:szCs w:val="20"/>
    </w:rPr>
  </w:style>
  <w:style w:type="paragraph" w:customStyle="1" w:styleId="42">
    <w:name w:val="Char Char Char Char1"/>
    <w:basedOn w:val="1"/>
    <w:qFormat/>
    <w:uiPriority w:val="0"/>
    <w:pPr>
      <w:adjustRightInd w:val="0"/>
      <w:spacing w:line="360" w:lineRule="auto"/>
    </w:pPr>
    <w:rPr>
      <w:kern w:val="0"/>
      <w:sz w:val="24"/>
      <w:szCs w:val="20"/>
    </w:rPr>
  </w:style>
  <w:style w:type="character" w:customStyle="1" w:styleId="43">
    <w:name w:val="标题 Char"/>
    <w:basedOn w:val="18"/>
    <w:link w:val="17"/>
    <w:qFormat/>
    <w:uiPriority w:val="0"/>
    <w:rPr>
      <w:rFonts w:ascii="Cambria" w:hAnsi="Cambria" w:cs="Times New Roman"/>
      <w:b/>
      <w:bCs/>
      <w:kern w:val="2"/>
      <w:sz w:val="32"/>
      <w:szCs w:val="32"/>
    </w:rPr>
  </w:style>
  <w:style w:type="paragraph" w:customStyle="1" w:styleId="44">
    <w:name w:val="MTDisplayEquation"/>
    <w:basedOn w:val="1"/>
    <w:next w:val="1"/>
    <w:link w:val="45"/>
    <w:qFormat/>
    <w:uiPriority w:val="0"/>
    <w:pPr>
      <w:tabs>
        <w:tab w:val="center" w:pos="4160"/>
        <w:tab w:val="right" w:pos="8300"/>
      </w:tabs>
      <w:spacing w:line="360" w:lineRule="auto"/>
      <w:jc w:val="center"/>
    </w:pPr>
    <w:rPr>
      <w:rFonts w:eastAsia="黑体"/>
      <w:sz w:val="32"/>
      <w:szCs w:val="32"/>
    </w:rPr>
  </w:style>
  <w:style w:type="character" w:customStyle="1" w:styleId="45">
    <w:name w:val="MTDisplayEquation Char"/>
    <w:basedOn w:val="18"/>
    <w:link w:val="44"/>
    <w:qFormat/>
    <w:uiPriority w:val="0"/>
    <w:rPr>
      <w:rFonts w:eastAsia="黑体"/>
      <w:kern w:val="2"/>
      <w:sz w:val="32"/>
      <w:szCs w:val="32"/>
    </w:rPr>
  </w:style>
  <w:style w:type="character" w:customStyle="1" w:styleId="46">
    <w:name w:val="章标题 Char Char"/>
    <w:basedOn w:val="18"/>
    <w:link w:val="47"/>
    <w:qFormat/>
    <w:uiPriority w:val="0"/>
    <w:rPr>
      <w:rFonts w:ascii="黑体" w:eastAsia="黑体"/>
      <w:sz w:val="21"/>
      <w:lang w:val="en-US" w:eastAsia="zh-CN" w:bidi="ar-SA"/>
    </w:rPr>
  </w:style>
  <w:style w:type="paragraph" w:customStyle="1" w:styleId="47">
    <w:name w:val="章标题"/>
    <w:next w:val="38"/>
    <w:link w:val="46"/>
    <w:qFormat/>
    <w:uiPriority w:val="0"/>
    <w:pPr>
      <w:tabs>
        <w:tab w:val="left" w:pos="840"/>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character" w:customStyle="1" w:styleId="48">
    <w:name w:val="批注框文本 Char"/>
    <w:basedOn w:val="18"/>
    <w:link w:val="10"/>
    <w:qFormat/>
    <w:uiPriority w:val="0"/>
    <w:rPr>
      <w:kern w:val="2"/>
      <w:sz w:val="18"/>
      <w:szCs w:val="18"/>
    </w:rPr>
  </w:style>
  <w:style w:type="paragraph" w:customStyle="1" w:styleId="49">
    <w:name w:val="Char Char Char Char Char Char"/>
    <w:basedOn w:val="1"/>
    <w:qFormat/>
    <w:uiPriority w:val="0"/>
    <w:pPr>
      <w:adjustRightInd w:val="0"/>
      <w:snapToGrid w:val="0"/>
      <w:spacing w:line="360" w:lineRule="auto"/>
      <w:ind w:firstLine="640" w:firstLineChars="200"/>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1852</Words>
  <Characters>10559</Characters>
  <Lines>87</Lines>
  <Paragraphs>24</Paragraphs>
  <TotalTime>0</TotalTime>
  <ScaleCrop>false</ScaleCrop>
  <LinksUpToDate>false</LinksUpToDate>
  <CharactersWithSpaces>12387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2018-05-07T18:37:00Z</dcterms:created>
  <dc:creator>谢太李</dc:creator>
  <cp:keywords>硫铁矿烧渣</cp:keywords>
  <cp:lastModifiedBy>善待他人</cp:lastModifiedBy>
  <cp:lastPrinted>2014-12-30T10:02:00Z</cp:lastPrinted>
  <dcterms:modified xsi:type="dcterms:W3CDTF">2018-05-15T07:12:40Z</dcterms:modified>
  <dc:subject>编制说明</dc:subject>
  <dc:title>《金锭》国家标准编制说明</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y fmtid="{D5CDD505-2E9C-101B-9397-08002B2CF9AE}" pid="4" name="KSOProductBuildVer">
    <vt:lpwstr>2052-10.1.0.6929</vt:lpwstr>
  </property>
</Properties>
</file>