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4"/>
      </w:pPr>
      <w:r>
        <w:rPr>
          <w:rFonts w:ascii="Times New Roman"/>
        </w:rPr>
        <w:t>ICS</w:t>
      </w:r>
      <w:r>
        <w:rPr>
          <w:rFonts w:hint="eastAsia" w:ascii="MS Mincho" w:hAnsi="MS Mincho" w:eastAsia="MS Mincho" w:cs="MS Mincho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</w:p>
    <w:p>
      <w:pPr>
        <w:pStyle w:val="114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点击此处添加中国标准文献分类号</w:t>
      </w:r>
      <w:r>
        <w:fldChar w:fldCharType="end"/>
      </w:r>
      <w:bookmarkEnd w:id="1"/>
    </w:p>
    <w:p>
      <w:pPr>
        <w:pStyle w:val="60"/>
      </w:pPr>
      <w:r>
        <w:drawing>
          <wp:inline distT="0" distB="0" distL="114300" distR="114300">
            <wp:extent cx="1437640" cy="719455"/>
            <wp:effectExtent l="0" t="0" r="10160" b="4445"/>
            <wp:docPr id="6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G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1"/>
      </w:pPr>
      <w:r>
        <w:rPr>
          <w:rFonts w:hint="eastAsia"/>
        </w:rPr>
        <w:t>中华人民共和国国家标准</w:t>
      </w:r>
    </w:p>
    <w:p>
      <w:pPr>
        <w:pStyle w:val="41"/>
      </w:pPr>
      <w:r>
        <w:rPr>
          <w:rFonts w:ascii="Times New Roman"/>
        </w:rPr>
        <w:t xml:space="preserve">GB/T </w:t>
      </w:r>
      <w:bookmarkStart w:id="2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2</w:t>
      </w:r>
      <w:r>
        <w:rPr>
          <w:rFonts w:hint="eastAsia"/>
        </w:rPr>
        <w:t>018</w:t>
      </w:r>
      <w:r>
        <w:fldChar w:fldCharType="end"/>
      </w:r>
      <w:bookmarkEnd w:id="2"/>
      <w:r>
        <w:t>—</w:t>
      </w:r>
      <w:bookmarkStart w:id="3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3"/>
    </w:p>
    <w:tbl>
      <w:tblPr>
        <w:tblStyle w:val="35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69"/>
            </w:pPr>
            <w:bookmarkStart w:id="4" w:name="DT"/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1521460</wp:posOffset>
                      </wp:positionV>
                      <wp:extent cx="1143000" cy="228600"/>
                      <wp:effectExtent l="0" t="0" r="0" b="0"/>
                      <wp:wrapNone/>
                      <wp:docPr id="3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119.8pt;height:18pt;width:90pt;z-index:-251656192;mso-width-relative:page;mso-height-relative:page;" fillcolor="#FFFFFF" filled="t" stroked="f" coordsize="21600,21600" o:gfxdata="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MVOiDYAAAACwEAAA8AAAAAAAAAAQAgAAAAIgAA&#10;AGRycy9kb3ducmV2LnhtbFBLAQIUABQAAAAIAIdO4kCEATEClgEAACIDAAAOAAAAAAAAAAEAIAAA&#10;ACcBAABkcnMvZTJvRG9jLnhtbFBLBQYAAAAABgAGAFkBAAAv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>
      <w:pPr>
        <w:pStyle w:val="41"/>
      </w:pPr>
    </w:p>
    <w:p>
      <w:pPr>
        <w:pStyle w:val="41"/>
      </w:pPr>
    </w:p>
    <w:p>
      <w:pPr>
        <w:pStyle w:val="71"/>
      </w:pPr>
      <w:bookmarkStart w:id="5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硒废料</w:t>
      </w:r>
      <w:r>
        <w:fldChar w:fldCharType="end"/>
      </w:r>
      <w:bookmarkEnd w:id="5"/>
    </w:p>
    <w:p>
      <w:pPr>
        <w:pStyle w:val="72"/>
      </w:pPr>
      <w:bookmarkStart w:id="6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Scraps of selenium</w:t>
      </w:r>
      <w:r>
        <w:fldChar w:fldCharType="end"/>
      </w:r>
      <w:bookmarkEnd w:id="6"/>
    </w:p>
    <w:p>
      <w:pPr>
        <w:pStyle w:val="73"/>
      </w:pPr>
      <w:bookmarkStart w:id="7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7"/>
    </w:p>
    <w:tbl>
      <w:tblPr>
        <w:tblStyle w:val="35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4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0" r="0" b="12700"/>
                      <wp:wrapNone/>
                      <wp:docPr id="5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337.15pt;height:20pt;width:150pt;z-index:-251654144;mso-width-relative:page;mso-height-relative:page;" fillcolor="#FFFFFF" filled="t" stroked="f" coordsize="21600,21600" o:gfxdata="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39f34NcAAAALAQAADwAAAAAAAAABACAAAAAiAAAA&#10;ZHJzL2Rvd25yZXYueG1sUEsBAhQAFAAAAAgAh07iQH/vL4OWAQAAIgMAAA4AAAAAAAAAAQAgAAAA&#10;JgEAAGRycy9lMm9Eb2MueG1sUEsFBgAAAAAGAAYAWQEAAC4FAAAAAA=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3964305</wp:posOffset>
                      </wp:positionV>
                      <wp:extent cx="1270000" cy="304800"/>
                      <wp:effectExtent l="0" t="0" r="6350" b="0"/>
                      <wp:wrapNone/>
                      <wp:docPr id="4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312.15pt;height:24pt;width:100pt;z-index:-251655168;mso-width-relative:page;mso-height-relative:page;" fillcolor="#FFFFFF" filled="t" stroked="f" coordsize="21600,21600" o:gfxdata="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3D5MNcAAAALAQAADwAAAAAAAAABACAAAAAiAAAA&#10;ZHJzL2Rvd25yZXYueG1sUEsBAhQAFAAAAAgAh07iQCfK1MSWAQAAIgMAAA4AAAAAAAAAAQAgAAAA&#10;JgEAAGRycy9lMm9Eb2MueG1sUEsFBgAAAAAGAAYAWQEAAC4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5"/>
            </w:pPr>
            <w:bookmarkStart w:id="9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</w:t>
            </w:r>
            <w:r>
              <w:t>201</w:t>
            </w:r>
            <w:r>
              <w:rPr>
                <w:rFonts w:hint="eastAsia"/>
              </w:rPr>
              <w:t>8年01月10日）</w:t>
            </w:r>
            <w:r>
              <w:fldChar w:fldCharType="end"/>
            </w:r>
            <w:bookmarkEnd w:id="9"/>
          </w:p>
        </w:tc>
      </w:tr>
    </w:tbl>
    <w:p>
      <w:pPr>
        <w:pStyle w:val="121"/>
      </w:pPr>
      <w:bookmarkStart w:id="10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0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1" w:name="FM"/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2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2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05pt;margin-top:728.5pt;height:0pt;width:481.9pt;mso-position-vertical-relative:page;z-index:251658240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lh2s81gAAAAsBAAAPAAAAAAAAAAEAIAAAACIAAABkcnMv&#10;ZG93bnJldi54bWxQSwECFAAUAAAACACHTuJAf8oDOcwBAACO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2"/>
      </w:pPr>
      <w:bookmarkStart w:id="13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3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4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实施</w:t>
      </w:r>
    </w:p>
    <w:p>
      <w:pPr>
        <w:pStyle w:val="67"/>
      </w:pPr>
      <w:r>
        <w:drawing>
          <wp:inline distT="0" distB="0" distL="114300" distR="114300">
            <wp:extent cx="5033010" cy="718185"/>
            <wp:effectExtent l="0" t="0" r="15240" b="5715"/>
            <wp:docPr id="7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GBSendClear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05pt;margin-top:184.25pt;height:0pt;width:481.9pt;z-index:251659264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JB4l/XAAAACQEAAA8AAAAAAAAAAQAgAAAAIgAAAGRy&#10;cy9kb3ducmV2LnhtbFBLAQIUABQAAAAIAIdO4kBJcGetzQEAAI4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4"/>
        <w:rPr>
          <w:rFonts w:hint="eastAsia"/>
        </w:rPr>
      </w:pPr>
      <w:r>
        <w:rPr>
          <w:rFonts w:hint="eastAsia"/>
        </w:rPr>
        <w:t>目</w:t>
      </w:r>
      <w:bookmarkStart w:id="16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16"/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 w:fldLock="1"/>
      </w:r>
      <w:r>
        <w:instrText xml:space="preserve"> </w:instrText>
      </w:r>
      <w:r>
        <w:rPr>
          <w:rFonts w:hint="eastAsia"/>
        </w:rPr>
        <w:instrText xml:space="preserve">TOC \h \z \t"前言、引言标题,1,参考文献、索引标题,1,章标题,1,参考文献,1,附录标识,1" \* MERGEFORMAT</w:instrText>
      </w:r>
      <w:r>
        <w:instrText xml:space="preserve"> </w:instrText>
      </w:r>
      <w:r>
        <w:fldChar w:fldCharType="separate"/>
      </w:r>
      <w:r>
        <w:rPr>
          <w:rStyle w:val="32"/>
        </w:rPr>
        <w:fldChar w:fldCharType="begin" w:fldLock="1"/>
      </w:r>
      <w:r>
        <w:rPr>
          <w:rStyle w:val="32"/>
        </w:rPr>
        <w:instrText xml:space="preserve"> </w:instrText>
      </w:r>
      <w:r>
        <w:instrText xml:space="preserve">HYPERLINK \l "_Toc505165892"</w:instrText>
      </w:r>
      <w:r>
        <w:rPr>
          <w:rStyle w:val="32"/>
        </w:rPr>
        <w:instrText xml:space="preserve"> </w:instrText>
      </w:r>
      <w:r>
        <w:rPr>
          <w:rStyle w:val="32"/>
        </w:rPr>
        <w:fldChar w:fldCharType="separate"/>
      </w:r>
      <w:r>
        <w:rPr>
          <w:rStyle w:val="32"/>
          <w:rFonts w:hint="eastAsia"/>
        </w:rPr>
        <w:t>前言</w:t>
      </w:r>
      <w:r>
        <w:tab/>
      </w:r>
      <w:r>
        <w:fldChar w:fldCharType="begin" w:fldLock="1"/>
      </w:r>
      <w:r>
        <w:instrText xml:space="preserve"> PAGEREF _Toc505165892 \h </w:instrText>
      </w:r>
      <w:r>
        <w:fldChar w:fldCharType="separate"/>
      </w:r>
      <w:r>
        <w:t>II</w:t>
      </w:r>
      <w:r>
        <w:fldChar w:fldCharType="end"/>
      </w:r>
      <w:r>
        <w:rPr>
          <w:rStyle w:val="32"/>
        </w:rP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rPr>
          <w:rStyle w:val="32"/>
        </w:rPr>
        <w:fldChar w:fldCharType="begin" w:fldLock="1"/>
      </w:r>
      <w:r>
        <w:rPr>
          <w:rStyle w:val="32"/>
        </w:rPr>
        <w:instrText xml:space="preserve"> </w:instrText>
      </w:r>
      <w:r>
        <w:instrText xml:space="preserve">HYPERLINK \l "_Toc505165893"</w:instrText>
      </w:r>
      <w:r>
        <w:rPr>
          <w:rStyle w:val="32"/>
        </w:rPr>
        <w:instrText xml:space="preserve"> </w:instrText>
      </w:r>
      <w:r>
        <w:rPr>
          <w:rStyle w:val="32"/>
        </w:rPr>
        <w:fldChar w:fldCharType="separate"/>
      </w:r>
      <w:r>
        <w:rPr>
          <w:rStyle w:val="32"/>
        </w:rPr>
        <w:t>1</w:t>
      </w:r>
      <w:r>
        <w:rPr>
          <w:rStyle w:val="32"/>
          <w:rFonts w:hint="eastAsia"/>
        </w:rPr>
        <w:t>　范围</w:t>
      </w:r>
      <w:r>
        <w:tab/>
      </w:r>
      <w:r>
        <w:fldChar w:fldCharType="begin" w:fldLock="1"/>
      </w:r>
      <w:r>
        <w:instrText xml:space="preserve"> PAGEREF _Toc505165893 \h </w:instrText>
      </w:r>
      <w:r>
        <w:fldChar w:fldCharType="separate"/>
      </w:r>
      <w:r>
        <w:t>1</w:t>
      </w:r>
      <w:r>
        <w:fldChar w:fldCharType="end"/>
      </w:r>
      <w:r>
        <w:rPr>
          <w:rStyle w:val="32"/>
        </w:rP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rPr>
          <w:rStyle w:val="32"/>
        </w:rPr>
        <w:fldChar w:fldCharType="begin" w:fldLock="1"/>
      </w:r>
      <w:r>
        <w:rPr>
          <w:rStyle w:val="32"/>
        </w:rPr>
        <w:instrText xml:space="preserve"> </w:instrText>
      </w:r>
      <w:r>
        <w:instrText xml:space="preserve">HYPERLINK \l "_Toc505165894"</w:instrText>
      </w:r>
      <w:r>
        <w:rPr>
          <w:rStyle w:val="32"/>
        </w:rPr>
        <w:instrText xml:space="preserve"> </w:instrText>
      </w:r>
      <w:r>
        <w:rPr>
          <w:rStyle w:val="32"/>
        </w:rPr>
        <w:fldChar w:fldCharType="separate"/>
      </w:r>
      <w:r>
        <w:rPr>
          <w:rStyle w:val="32"/>
        </w:rPr>
        <w:t>2</w:t>
      </w:r>
      <w:r>
        <w:rPr>
          <w:rStyle w:val="32"/>
          <w:rFonts w:hint="eastAsia"/>
        </w:rPr>
        <w:t>　规范性引用文件</w:t>
      </w:r>
      <w:r>
        <w:tab/>
      </w:r>
      <w:r>
        <w:fldChar w:fldCharType="begin" w:fldLock="1"/>
      </w:r>
      <w:r>
        <w:instrText xml:space="preserve"> PAGEREF _Toc505165894 \h </w:instrText>
      </w:r>
      <w:r>
        <w:fldChar w:fldCharType="separate"/>
      </w:r>
      <w:r>
        <w:t>1</w:t>
      </w:r>
      <w:r>
        <w:fldChar w:fldCharType="end"/>
      </w:r>
      <w:r>
        <w:rPr>
          <w:rStyle w:val="32"/>
        </w:rP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rPr>
          <w:rStyle w:val="32"/>
        </w:rPr>
        <w:fldChar w:fldCharType="begin" w:fldLock="1"/>
      </w:r>
      <w:r>
        <w:rPr>
          <w:rStyle w:val="32"/>
        </w:rPr>
        <w:instrText xml:space="preserve"> </w:instrText>
      </w:r>
      <w:r>
        <w:instrText xml:space="preserve">HYPERLINK \l "_Toc505165895"</w:instrText>
      </w:r>
      <w:r>
        <w:rPr>
          <w:rStyle w:val="32"/>
        </w:rPr>
        <w:instrText xml:space="preserve"> </w:instrText>
      </w:r>
      <w:r>
        <w:rPr>
          <w:rStyle w:val="32"/>
        </w:rPr>
        <w:fldChar w:fldCharType="separate"/>
      </w:r>
      <w:r>
        <w:rPr>
          <w:rStyle w:val="32"/>
        </w:rPr>
        <w:t>3</w:t>
      </w:r>
      <w:r>
        <w:rPr>
          <w:rStyle w:val="32"/>
          <w:rFonts w:hint="eastAsia"/>
        </w:rPr>
        <w:t>　分类</w:t>
      </w:r>
      <w:r>
        <w:tab/>
      </w:r>
      <w:r>
        <w:fldChar w:fldCharType="begin" w:fldLock="1"/>
      </w:r>
      <w:r>
        <w:instrText xml:space="preserve"> PAGEREF _Toc505165895 \h </w:instrText>
      </w:r>
      <w:r>
        <w:fldChar w:fldCharType="separate"/>
      </w:r>
      <w:r>
        <w:t>1</w:t>
      </w:r>
      <w:r>
        <w:fldChar w:fldCharType="end"/>
      </w:r>
      <w:r>
        <w:rPr>
          <w:rStyle w:val="32"/>
        </w:rP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rPr>
          <w:rStyle w:val="32"/>
        </w:rPr>
        <w:fldChar w:fldCharType="begin" w:fldLock="1"/>
      </w:r>
      <w:r>
        <w:rPr>
          <w:rStyle w:val="32"/>
        </w:rPr>
        <w:instrText xml:space="preserve"> </w:instrText>
      </w:r>
      <w:r>
        <w:instrText xml:space="preserve">HYPERLINK \l "_Toc505165896"</w:instrText>
      </w:r>
      <w:r>
        <w:rPr>
          <w:rStyle w:val="32"/>
        </w:rPr>
        <w:instrText xml:space="preserve"> </w:instrText>
      </w:r>
      <w:r>
        <w:rPr>
          <w:rStyle w:val="32"/>
        </w:rPr>
        <w:fldChar w:fldCharType="separate"/>
      </w:r>
      <w:r>
        <w:rPr>
          <w:rStyle w:val="32"/>
        </w:rPr>
        <w:t>4</w:t>
      </w:r>
      <w:r>
        <w:rPr>
          <w:rStyle w:val="32"/>
          <w:rFonts w:hint="eastAsia"/>
        </w:rPr>
        <w:t>　要求</w:t>
      </w:r>
      <w:r>
        <w:tab/>
      </w:r>
      <w:r>
        <w:fldChar w:fldCharType="begin" w:fldLock="1"/>
      </w:r>
      <w:r>
        <w:instrText xml:space="preserve"> PAGEREF _Toc505165896 \h </w:instrText>
      </w:r>
      <w:r>
        <w:fldChar w:fldCharType="separate"/>
      </w:r>
      <w:r>
        <w:t>2</w:t>
      </w:r>
      <w:r>
        <w:fldChar w:fldCharType="end"/>
      </w:r>
      <w:r>
        <w:rPr>
          <w:rStyle w:val="32"/>
        </w:rP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rPr>
          <w:rStyle w:val="32"/>
        </w:rPr>
        <w:fldChar w:fldCharType="begin" w:fldLock="1"/>
      </w:r>
      <w:r>
        <w:rPr>
          <w:rStyle w:val="32"/>
        </w:rPr>
        <w:instrText xml:space="preserve"> </w:instrText>
      </w:r>
      <w:r>
        <w:instrText xml:space="preserve">HYPERLINK \l "_Toc505165897"</w:instrText>
      </w:r>
      <w:r>
        <w:rPr>
          <w:rStyle w:val="32"/>
        </w:rPr>
        <w:instrText xml:space="preserve"> </w:instrText>
      </w:r>
      <w:r>
        <w:rPr>
          <w:rStyle w:val="32"/>
        </w:rPr>
        <w:fldChar w:fldCharType="separate"/>
      </w:r>
      <w:r>
        <w:rPr>
          <w:rStyle w:val="32"/>
        </w:rPr>
        <w:t>5</w:t>
      </w:r>
      <w:r>
        <w:rPr>
          <w:rStyle w:val="32"/>
          <w:rFonts w:hint="eastAsia"/>
        </w:rPr>
        <w:t>　试验方法</w:t>
      </w:r>
      <w:r>
        <w:tab/>
      </w:r>
      <w:r>
        <w:fldChar w:fldCharType="begin" w:fldLock="1"/>
      </w:r>
      <w:r>
        <w:instrText xml:space="preserve"> PAGEREF _Toc505165897 \h </w:instrText>
      </w:r>
      <w:r>
        <w:fldChar w:fldCharType="separate"/>
      </w:r>
      <w:r>
        <w:t>2</w:t>
      </w:r>
      <w:r>
        <w:fldChar w:fldCharType="end"/>
      </w:r>
      <w:r>
        <w:rPr>
          <w:rStyle w:val="32"/>
        </w:rP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rPr>
          <w:rStyle w:val="32"/>
        </w:rPr>
        <w:fldChar w:fldCharType="begin" w:fldLock="1"/>
      </w:r>
      <w:r>
        <w:rPr>
          <w:rStyle w:val="32"/>
        </w:rPr>
        <w:instrText xml:space="preserve"> </w:instrText>
      </w:r>
      <w:r>
        <w:instrText xml:space="preserve">HYPERLINK \l "_Toc505165898"</w:instrText>
      </w:r>
      <w:r>
        <w:rPr>
          <w:rStyle w:val="32"/>
        </w:rPr>
        <w:instrText xml:space="preserve"> </w:instrText>
      </w:r>
      <w:r>
        <w:rPr>
          <w:rStyle w:val="32"/>
        </w:rPr>
        <w:fldChar w:fldCharType="separate"/>
      </w:r>
      <w:r>
        <w:rPr>
          <w:rStyle w:val="32"/>
        </w:rPr>
        <w:t>6</w:t>
      </w:r>
      <w:r>
        <w:rPr>
          <w:rStyle w:val="32"/>
          <w:rFonts w:hint="eastAsia"/>
        </w:rPr>
        <w:t>　检验规则</w:t>
      </w:r>
      <w:r>
        <w:tab/>
      </w:r>
      <w:r>
        <w:fldChar w:fldCharType="begin" w:fldLock="1"/>
      </w:r>
      <w:r>
        <w:instrText xml:space="preserve"> PAGEREF _Toc505165898 \h </w:instrText>
      </w:r>
      <w:r>
        <w:fldChar w:fldCharType="separate"/>
      </w:r>
      <w:r>
        <w:t>2</w:t>
      </w:r>
      <w:r>
        <w:fldChar w:fldCharType="end"/>
      </w:r>
      <w:r>
        <w:rPr>
          <w:rStyle w:val="32"/>
        </w:rP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rPr>
          <w:rStyle w:val="32"/>
        </w:rPr>
        <w:fldChar w:fldCharType="begin" w:fldLock="1"/>
      </w:r>
      <w:r>
        <w:rPr>
          <w:rStyle w:val="32"/>
        </w:rPr>
        <w:instrText xml:space="preserve"> </w:instrText>
      </w:r>
      <w:r>
        <w:instrText xml:space="preserve">HYPERLINK \l "_Toc505165899"</w:instrText>
      </w:r>
      <w:r>
        <w:rPr>
          <w:rStyle w:val="32"/>
        </w:rPr>
        <w:instrText xml:space="preserve"> </w:instrText>
      </w:r>
      <w:r>
        <w:rPr>
          <w:rStyle w:val="32"/>
        </w:rPr>
        <w:fldChar w:fldCharType="separate"/>
      </w:r>
      <w:r>
        <w:rPr>
          <w:rStyle w:val="32"/>
        </w:rPr>
        <w:t>7</w:t>
      </w:r>
      <w:r>
        <w:rPr>
          <w:rStyle w:val="32"/>
          <w:rFonts w:hint="eastAsia"/>
        </w:rPr>
        <w:t>　标志、包装、运输和贮存及质量证明书</w:t>
      </w:r>
      <w:r>
        <w:tab/>
      </w:r>
      <w:r>
        <w:fldChar w:fldCharType="begin" w:fldLock="1"/>
      </w:r>
      <w:r>
        <w:instrText xml:space="preserve"> PAGEREF _Toc505165899 \h </w:instrText>
      </w:r>
      <w:r>
        <w:fldChar w:fldCharType="separate"/>
      </w:r>
      <w:r>
        <w:t>3</w:t>
      </w:r>
      <w:r>
        <w:fldChar w:fldCharType="end"/>
      </w:r>
      <w:r>
        <w:rPr>
          <w:rStyle w:val="32"/>
        </w:rP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rPr>
          <w:rStyle w:val="32"/>
        </w:rPr>
        <w:fldChar w:fldCharType="begin" w:fldLock="1"/>
      </w:r>
      <w:r>
        <w:rPr>
          <w:rStyle w:val="32"/>
        </w:rPr>
        <w:instrText xml:space="preserve"> </w:instrText>
      </w:r>
      <w:r>
        <w:instrText xml:space="preserve">HYPERLINK \l "_Toc505165900"</w:instrText>
      </w:r>
      <w:r>
        <w:rPr>
          <w:rStyle w:val="32"/>
        </w:rPr>
        <w:instrText xml:space="preserve"> </w:instrText>
      </w:r>
      <w:r>
        <w:rPr>
          <w:rStyle w:val="32"/>
        </w:rPr>
        <w:fldChar w:fldCharType="separate"/>
      </w:r>
      <w:r>
        <w:rPr>
          <w:rStyle w:val="32"/>
        </w:rPr>
        <w:t>8</w:t>
      </w:r>
      <w:r>
        <w:rPr>
          <w:rStyle w:val="32"/>
          <w:rFonts w:hint="eastAsia"/>
        </w:rPr>
        <w:t>　合同（或订货单）内容</w:t>
      </w:r>
      <w:r>
        <w:tab/>
      </w:r>
      <w:r>
        <w:fldChar w:fldCharType="begin" w:fldLock="1"/>
      </w:r>
      <w:r>
        <w:instrText xml:space="preserve"> PAGEREF _Toc505165900 \h </w:instrText>
      </w:r>
      <w:r>
        <w:fldChar w:fldCharType="separate"/>
      </w:r>
      <w:r>
        <w:t>3</w:t>
      </w:r>
      <w:r>
        <w:fldChar w:fldCharType="end"/>
      </w:r>
      <w:r>
        <w:rPr>
          <w:rStyle w:val="32"/>
        </w:rPr>
        <w:fldChar w:fldCharType="end"/>
      </w:r>
    </w:p>
    <w:p>
      <w:pPr>
        <w:pStyle w:val="20"/>
        <w:rPr>
          <w:rFonts w:hint="eastAsia"/>
        </w:rPr>
      </w:pPr>
      <w:r>
        <w:fldChar w:fldCharType="end"/>
      </w:r>
    </w:p>
    <w:p>
      <w:pPr>
        <w:pStyle w:val="104"/>
        <w:rPr>
          <w:rFonts w:hint="eastAsia"/>
        </w:rPr>
      </w:pPr>
      <w:bookmarkStart w:id="17" w:name="_Toc505165892"/>
      <w:r>
        <w:rPr>
          <w:rFonts w:hint="eastAsia"/>
        </w:rPr>
        <w:t>前</w:t>
      </w:r>
      <w:bookmarkStart w:id="18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7"/>
      <w:bookmarkEnd w:id="18"/>
    </w:p>
    <w:p>
      <w:pPr>
        <w:widowControl/>
        <w:ind w:firstLine="420"/>
        <w:rPr>
          <w:color w:val="000000"/>
          <w:kern w:val="0"/>
          <w:sz w:val="20"/>
          <w:szCs w:val="20"/>
        </w:rPr>
      </w:pPr>
      <w:r>
        <w:rPr>
          <w:rFonts w:hint="eastAsia" w:ascii="宋体" w:hAnsi="宋体"/>
          <w:color w:val="000000"/>
          <w:kern w:val="0"/>
        </w:rPr>
        <w:t>本标准按照GB/T1.1-2009给出的规则起草。</w:t>
      </w:r>
    </w:p>
    <w:p>
      <w:pPr>
        <w:widowControl/>
        <w:ind w:firstLine="420"/>
        <w:rPr>
          <w:color w:val="000000"/>
          <w:kern w:val="0"/>
          <w:sz w:val="20"/>
          <w:szCs w:val="20"/>
        </w:rPr>
      </w:pPr>
      <w:r>
        <w:rPr>
          <w:rFonts w:hint="eastAsia" w:ascii="宋体" w:hAnsi="宋体"/>
          <w:color w:val="000000"/>
          <w:kern w:val="0"/>
        </w:rPr>
        <w:t>本标准由</w:t>
      </w:r>
      <w:r>
        <w:rPr>
          <w:rFonts w:ascii="宋体" w:hAnsi="宋体"/>
          <w:color w:val="000000"/>
          <w:kern w:val="0"/>
        </w:rPr>
        <w:t>全国有色金属标准化技术委员会</w:t>
      </w:r>
      <w:r>
        <w:rPr>
          <w:rFonts w:hint="eastAsia" w:ascii="宋体" w:hAnsi="宋体"/>
          <w:color w:val="000000"/>
          <w:kern w:val="0"/>
        </w:rPr>
        <w:t>归口。</w:t>
      </w:r>
    </w:p>
    <w:p>
      <w:pPr>
        <w:widowControl/>
        <w:ind w:firstLine="420"/>
        <w:rPr>
          <w:color w:val="000000"/>
          <w:kern w:val="0"/>
          <w:sz w:val="20"/>
          <w:szCs w:val="20"/>
        </w:rPr>
      </w:pPr>
      <w:r>
        <w:rPr>
          <w:rFonts w:hint="eastAsia" w:ascii="宋体" w:hAnsi="宋体"/>
          <w:color w:val="000000"/>
          <w:kern w:val="0"/>
        </w:rPr>
        <w:t>本标准主要起草单位：永兴鑫裕环保镍业有限公司、广东先导稀材股份有限公司、湖南省荣鹏环保科技有限公司、湖南省金润碲业有限公司、永兴县食品药品工商质量监督管理局。</w:t>
      </w:r>
    </w:p>
    <w:p>
      <w:pPr>
        <w:ind w:firstLine="420" w:firstLineChars="200"/>
        <w:rPr>
          <w:szCs w:val="21"/>
        </w:rPr>
      </w:pPr>
      <w:r>
        <w:rPr>
          <w:rFonts w:ascii="宋体" w:hAnsi="宋体"/>
          <w:color w:val="000000"/>
          <w:kern w:val="0"/>
        </w:rPr>
        <w:t>本标准主要起草人：</w:t>
      </w:r>
      <w:r>
        <w:rPr>
          <w:rFonts w:hint="eastAsia" w:ascii="宋体" w:hAnsi="宋体"/>
          <w:color w:val="000000"/>
          <w:kern w:val="0"/>
        </w:rPr>
        <w:t>张凡、曹喜平、</w:t>
      </w:r>
      <w:r>
        <w:rPr>
          <w:rFonts w:ascii="宋体" w:hAnsi="宋体"/>
          <w:color w:val="000000"/>
          <w:kern w:val="0"/>
        </w:rPr>
        <w:t>李水林、李俊</w:t>
      </w:r>
      <w:r>
        <w:rPr>
          <w:rFonts w:hint="eastAsia" w:ascii="宋体" w:hAnsi="宋体"/>
          <w:color w:val="000000"/>
          <w:kern w:val="0"/>
        </w:rPr>
        <w:t>、邱传辉、邓跃兴、李振国、</w:t>
      </w:r>
      <w:r>
        <w:rPr>
          <w:rFonts w:ascii="宋体" w:hAnsi="宋体"/>
          <w:color w:val="000000"/>
          <w:kern w:val="0"/>
        </w:rPr>
        <w:t>陈庚龙、杨安福、刘文文、谭小雄、罗细兰、郭承学</w:t>
      </w:r>
      <w:r>
        <w:rPr>
          <w:rFonts w:hint="eastAsia" w:ascii="宋体" w:hAnsi="宋体"/>
          <w:color w:val="000000"/>
          <w:kern w:val="0"/>
        </w:rPr>
        <w:t>、谷丽、侯千驹</w:t>
      </w:r>
      <w:r>
        <w:rPr>
          <w:rFonts w:ascii="宋体" w:hAnsi="宋体"/>
          <w:color w:val="000000"/>
          <w:kern w:val="0"/>
        </w:rPr>
        <w:t>。</w:t>
      </w:r>
    </w:p>
    <w:p>
      <w:pPr>
        <w:pStyle w:val="20"/>
        <w:rPr>
          <w:rFonts w:hint="eastAsia"/>
        </w:rPr>
      </w:pPr>
    </w:p>
    <w:p>
      <w:pPr>
        <w:pStyle w:val="20"/>
        <w:sectPr>
          <w:headerReference r:id="rId9" w:type="default"/>
          <w:footerReference r:id="rId10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4"/>
        <w:rPr>
          <w:rFonts w:hint="eastAsia"/>
        </w:rPr>
      </w:pPr>
      <w:r>
        <w:rPr>
          <w:rFonts w:hint="eastAsia"/>
        </w:rPr>
        <w:t>硒</w:t>
      </w:r>
      <w:bookmarkStart w:id="19" w:name="StandardName"/>
      <w:r>
        <w:rPr>
          <w:rFonts w:hint="eastAsia"/>
        </w:rPr>
        <w:t>废料</w:t>
      </w:r>
      <w:bookmarkEnd w:id="19"/>
    </w:p>
    <w:p>
      <w:pPr>
        <w:pStyle w:val="39"/>
        <w:rPr>
          <w:rFonts w:hint="eastAsia"/>
        </w:rPr>
      </w:pPr>
      <w:bookmarkStart w:id="20" w:name="_Toc504763725"/>
      <w:bookmarkStart w:id="21" w:name="_Toc505165893"/>
      <w:r>
        <w:rPr>
          <w:rFonts w:hint="eastAsia"/>
        </w:rPr>
        <w:t>范围</w:t>
      </w:r>
      <w:bookmarkEnd w:id="20"/>
      <w:bookmarkEnd w:id="21"/>
    </w:p>
    <w:p>
      <w:pPr>
        <w:pStyle w:val="20"/>
        <w:rPr>
          <w:rFonts w:hint="eastAsia"/>
        </w:rPr>
      </w:pPr>
      <w:r>
        <w:rPr>
          <w:rFonts w:hint="eastAsia"/>
        </w:rPr>
        <w:t>本标准规定了硒废料的分类、要求、试验方法、检验规则和标志、包装、运输、贮存及合同（或订单地）内容。</w:t>
      </w:r>
    </w:p>
    <w:p>
      <w:pPr>
        <w:pStyle w:val="20"/>
        <w:rPr>
          <w:rFonts w:hint="eastAsia"/>
        </w:rPr>
      </w:pPr>
      <w:r>
        <w:rPr>
          <w:rFonts w:hint="eastAsia"/>
        </w:rPr>
        <w:t>本标准适用于国内外贸易及再生有色金属使用的硒废料。</w:t>
      </w:r>
    </w:p>
    <w:p>
      <w:pPr>
        <w:pStyle w:val="39"/>
        <w:rPr>
          <w:rFonts w:hint="eastAsia"/>
        </w:rPr>
      </w:pPr>
      <w:bookmarkStart w:id="22" w:name="_Toc504763726"/>
      <w:bookmarkStart w:id="23" w:name="_Toc505165894"/>
      <w:r>
        <w:rPr>
          <w:rFonts w:hint="eastAsia"/>
        </w:rPr>
        <w:t>规范性引用文件</w:t>
      </w:r>
      <w:bookmarkEnd w:id="22"/>
      <w:bookmarkEnd w:id="23"/>
    </w:p>
    <w:p>
      <w:pPr>
        <w:pStyle w:val="20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0"/>
        <w:rPr>
          <w:rFonts w:hint="eastAsia"/>
        </w:rPr>
      </w:pPr>
      <w:r>
        <w:rPr>
          <w:rFonts w:hint="eastAsia"/>
        </w:rPr>
        <w:t>GB 16487.2  进口可用作原料的固体废物环境保护控制标准  冶炼渣</w:t>
      </w:r>
    </w:p>
    <w:p>
      <w:pPr>
        <w:pStyle w:val="20"/>
        <w:rPr>
          <w:rFonts w:hint="eastAsia"/>
        </w:rPr>
      </w:pPr>
      <w:r>
        <w:rPr>
          <w:rFonts w:hint="eastAsia"/>
        </w:rPr>
        <w:t>GB 16487.7  进口可用作原料的固体废物环境保护控制标准  废有色金属</w:t>
      </w:r>
    </w:p>
    <w:p>
      <w:pPr>
        <w:pStyle w:val="39"/>
        <w:rPr>
          <w:rFonts w:hint="eastAsia"/>
        </w:rPr>
      </w:pPr>
      <w:bookmarkStart w:id="24" w:name="_Toc504763727"/>
      <w:bookmarkEnd w:id="24"/>
      <w:bookmarkStart w:id="25" w:name="_Toc505165895"/>
      <w:r>
        <w:rPr>
          <w:rFonts w:hint="eastAsia"/>
        </w:rPr>
        <w:t>分类</w:t>
      </w:r>
      <w:bookmarkEnd w:id="25"/>
    </w:p>
    <w:p>
      <w:pPr>
        <w:pStyle w:val="20"/>
        <w:rPr>
          <w:rFonts w:hint="eastAsia"/>
        </w:rPr>
      </w:pPr>
      <w:r>
        <w:rPr>
          <w:rFonts w:hint="eastAsia"/>
        </w:rPr>
        <w:t>硒废料按照状态、性质和产生的来源分为六类，即：Ⅰ类为纯硒废料；Ⅱ类为粗硒废料；Ⅲ类为含硒化工废料；Ⅳ类为电子类硒废料；Ⅴ类为渣、尘、泥硒废料；Ⅵ类为含硒废液。每类硒废料的要求见表1。</w:t>
      </w:r>
    </w:p>
    <w:p>
      <w:pPr>
        <w:pStyle w:val="117"/>
        <w:rPr>
          <w:rFonts w:hint="eastAsia"/>
        </w:rPr>
      </w:pPr>
      <w:r>
        <w:rPr>
          <w:rFonts w:hint="eastAsia"/>
        </w:rPr>
        <w:t>硒废料的分类</w:t>
      </w:r>
    </w:p>
    <w:p>
      <w:pPr>
        <w:pStyle w:val="20"/>
        <w:rPr>
          <w:rFonts w:hint="eastAsia"/>
        </w:rPr>
      </w:pPr>
    </w:p>
    <w:tbl>
      <w:tblPr>
        <w:tblStyle w:val="35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785"/>
        <w:gridCol w:w="61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类别</w:t>
            </w: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组别</w:t>
            </w:r>
          </w:p>
        </w:tc>
        <w:tc>
          <w:tcPr>
            <w:tcW w:w="610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Ⅰ类：纯硒废料</w:t>
            </w:r>
          </w:p>
        </w:tc>
        <w:tc>
          <w:tcPr>
            <w:tcW w:w="1785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纯硒废料</w:t>
            </w:r>
          </w:p>
        </w:tc>
        <w:tc>
          <w:tcPr>
            <w:tcW w:w="6102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包括纯硒下角料、废硒粉、硒锭、硒片、硒棒、硒粒及加工过程产生的粉末等。Se≥95.0%，无其他夹杂物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Arial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Ⅱ类：</w:t>
            </w:r>
            <w:r>
              <w:rPr>
                <w:rFonts w:hint="eastAsia" w:ascii="宋体" w:hAnsi="宋体" w:cs="Arial"/>
                <w:color w:val="000000"/>
                <w:szCs w:val="18"/>
              </w:rPr>
              <w:t>粗硒废料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粗硒废料</w:t>
            </w:r>
          </w:p>
        </w:tc>
        <w:tc>
          <w:tcPr>
            <w:tcW w:w="610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粗硒生产过程中不符合质量要求的还原粗制硒粉</w:t>
            </w:r>
            <w:r>
              <w:rPr>
                <w:rFonts w:hint="eastAsia" w:ascii="宋体" w:hAnsi="宋体"/>
                <w:color w:val="000000"/>
                <w:szCs w:val="18"/>
                <w:lang w:eastAsia="zh-CN"/>
              </w:rPr>
              <w:t>等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1级：80%≤ Se＜90%，无其他夹杂物。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2级：70%≤Se＜80%，无其他夹杂物。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18"/>
              </w:rPr>
              <w:t>级：Se＜70%，无其他夹杂物。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Ⅲ类：硒</w:t>
            </w:r>
            <w:r>
              <w:rPr>
                <w:rFonts w:hint="eastAsia" w:ascii="宋体" w:hAnsi="宋体" w:cs="Arial"/>
                <w:color w:val="000000"/>
                <w:szCs w:val="18"/>
              </w:rPr>
              <w:t>化工废料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硒化工废料</w:t>
            </w:r>
          </w:p>
        </w:tc>
        <w:tc>
          <w:tcPr>
            <w:tcW w:w="610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包括废硒酸盐、亚硒酸盐、硒氧化物、二元硒化合物及硒化工生产加工过程中边角料等。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1级：Se≥60%，无其他夹杂物。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2级：35%≤Se＜60%，无其他夹杂物。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3级：10%≤Se＜35%，无其他夹杂物。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Ⅳ类：电子类硒废料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硒电子类废料</w:t>
            </w:r>
          </w:p>
        </w:tc>
        <w:tc>
          <w:tcPr>
            <w:tcW w:w="610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  <w:t>包括含硒废光电池、太阳能电池、感光器、激光器件、红外控制器、光电管、光敏电阻、光学仪器、光度计、整流器、靶材及生产加工过程中的边角料和废品等。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1级：由同类型的硒电子废料组成，无其他夹杂物。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2级：由不同类型的硒电子废料组成，无其他夹杂物。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117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表1（续）</w:t>
      </w:r>
    </w:p>
    <w:tbl>
      <w:tblPr>
        <w:tblStyle w:val="35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785"/>
        <w:gridCol w:w="61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类别</w:t>
            </w: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组别</w:t>
            </w:r>
          </w:p>
        </w:tc>
        <w:tc>
          <w:tcPr>
            <w:tcW w:w="610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Ⅴ：渣、尘、泥硒废料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宋体" w:hAnsi="宋体"/>
                <w:color w:val="000000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硒冶炼渣废料</w:t>
            </w:r>
          </w:p>
        </w:tc>
        <w:tc>
          <w:tcPr>
            <w:tcW w:w="6102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包括火法炼铅、</w:t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  <w:t>铋等除杂浮渣、湿法除硒、浸硒滤渣等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1级：Se≥10%，无其他夹杂物。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2级：5%≤Se＜10%，无其他夹杂物。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3级：0.5%≤Se＜5%，无其他夹杂物。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Arial"/>
                <w:color w:val="000000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硒泥废料</w:t>
            </w:r>
          </w:p>
        </w:tc>
        <w:tc>
          <w:tcPr>
            <w:tcW w:w="610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Tahoma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包括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含硒污泥、阳极泥、酸泥等。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1级：Se≥40%，无其他夹杂物。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2级：10%≤Se＜40%，无其他夹杂物。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3级：5%≤Se＜10%，无其他夹杂物。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18"/>
              </w:rPr>
              <w:t>级：5%≤Se＜10%，无其他夹杂物。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  <w:lang w:val="en-US" w:eastAsia="zh-CN"/>
              </w:rPr>
              <w:t>5</w:t>
            </w:r>
            <w:bookmarkStart w:id="31" w:name="_GoBack"/>
            <w:bookmarkEnd w:id="31"/>
            <w:r>
              <w:rPr>
                <w:rFonts w:hint="eastAsia" w:ascii="宋体" w:hAnsi="宋体"/>
                <w:color w:val="000000"/>
                <w:szCs w:val="18"/>
              </w:rPr>
              <w:t>级：0.5%≤Se＜5%，无其他夹杂物。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硒烟尘废料</w:t>
            </w:r>
          </w:p>
        </w:tc>
        <w:tc>
          <w:tcPr>
            <w:tcW w:w="610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rPr>
                <w:rFonts w:ascii="宋体" w:hAnsi="宋体" w:cs="Tahoma"/>
                <w:color w:val="000000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Cs w:val="18"/>
              </w:rPr>
              <w:t>包</w:t>
            </w:r>
            <w:r>
              <w:rPr>
                <w:rFonts w:hint="eastAsia" w:ascii="宋体" w:hAnsi="宋体"/>
                <w:color w:val="000000"/>
                <w:szCs w:val="18"/>
              </w:rPr>
              <w:t>括冶炼过程中产生的含硒烟灰、粉尘等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1级：Se≥5%，无其他夹杂物。</w:t>
            </w:r>
          </w:p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2级：0.5%≤Se＜5%，无其他夹杂物。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Ⅵ类：含硒废液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湿法冶炼含硒废液</w:t>
            </w:r>
          </w:p>
        </w:tc>
        <w:tc>
          <w:tcPr>
            <w:tcW w:w="610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rPr>
                <w:rFonts w:ascii="宋体" w:hAnsi="宋体" w:cs="Tahoma"/>
                <w:color w:val="000000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Cs w:val="18"/>
              </w:rPr>
              <w:t>包</w:t>
            </w:r>
            <w:r>
              <w:rPr>
                <w:rFonts w:hint="eastAsia" w:ascii="宋体" w:hAnsi="宋体"/>
                <w:color w:val="000000"/>
                <w:szCs w:val="18"/>
              </w:rPr>
              <w:t>括沉硒后</w:t>
            </w:r>
            <w:r>
              <w:rPr>
                <w:rFonts w:hint="eastAsia" w:ascii="宋体" w:hAnsi="宋体" w:cs="Arial"/>
                <w:color w:val="000000"/>
                <w:szCs w:val="18"/>
              </w:rPr>
              <w:t>液、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硒浸出</w:t>
            </w:r>
            <w:r>
              <w:rPr>
                <w:rFonts w:hint="eastAsia" w:ascii="宋体" w:hAnsi="宋体" w:cs="Arial"/>
                <w:color w:val="000000"/>
                <w:szCs w:val="18"/>
              </w:rPr>
              <w:t>液、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含</w:t>
            </w:r>
            <w:r>
              <w:rPr>
                <w:rFonts w:hint="eastAsia" w:ascii="宋体" w:hAnsi="宋体"/>
                <w:color w:val="000000"/>
                <w:szCs w:val="18"/>
              </w:rPr>
              <w:t>硒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槽液，</w:t>
            </w:r>
            <w:r>
              <w:rPr>
                <w:rFonts w:hint="eastAsia" w:ascii="宋体" w:hAnsi="宋体"/>
                <w:color w:val="000000"/>
                <w:szCs w:val="18"/>
              </w:rPr>
              <w:t>硒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加工过程产生的废水等。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1级：Se≥</w:t>
            </w:r>
            <w:r>
              <w:rPr>
                <w:rFonts w:hint="eastAsia" w:ascii="宋体" w:hAnsi="宋体"/>
                <w:color w:val="000000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Cs w:val="18"/>
              </w:rPr>
              <w:t>0g/L，无有机物污染。</w:t>
            </w:r>
          </w:p>
          <w:p>
            <w:pPr>
              <w:adjustRightInd w:val="0"/>
              <w:snapToGrid w:val="0"/>
              <w:ind w:right="105" w:rightChars="50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2级：10g/L≤Se＜</w:t>
            </w:r>
            <w:r>
              <w:rPr>
                <w:rFonts w:hint="eastAsia" w:ascii="宋体" w:hAnsi="宋体"/>
                <w:color w:val="000000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Cs w:val="18"/>
              </w:rPr>
              <w:t>0g/L，无有机物污染。</w:t>
            </w:r>
          </w:p>
          <w:p>
            <w:pPr>
              <w:adjustRightInd w:val="0"/>
              <w:snapToGrid w:val="0"/>
              <w:ind w:right="105" w:rightChars="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3级：0.</w:t>
            </w:r>
            <w:r>
              <w:rPr>
                <w:rFonts w:hint="eastAsia" w:ascii="宋体" w:hAnsi="宋体"/>
                <w:color w:val="000000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Cs w:val="18"/>
              </w:rPr>
              <w:t>g/L≤Se＜10g/L，无有机物污染。</w:t>
            </w:r>
          </w:p>
        </w:tc>
      </w:tr>
    </w:tbl>
    <w:p>
      <w:pPr>
        <w:pStyle w:val="39"/>
        <w:rPr>
          <w:rFonts w:hint="eastAsia"/>
        </w:rPr>
      </w:pPr>
      <w:bookmarkStart w:id="26" w:name="_Toc505165896"/>
      <w:r>
        <w:rPr>
          <w:rFonts w:hint="eastAsia"/>
        </w:rPr>
        <w:t>要求</w:t>
      </w:r>
      <w:bookmarkEnd w:id="26"/>
    </w:p>
    <w:p>
      <w:pPr>
        <w:pStyle w:val="116"/>
        <w:rPr>
          <w:rFonts w:hint="eastAsia"/>
        </w:rPr>
      </w:pPr>
      <w:r>
        <w:rPr>
          <w:rFonts w:hint="eastAsia"/>
        </w:rPr>
        <w:t>硒废料应按照本标准规定的类别、组别、级别进行回收和贸易，不同类别、组别和级别的废料不应相互混合。本标准未列入的其他硒废料，可归入相近的类别中。</w:t>
      </w:r>
    </w:p>
    <w:p>
      <w:pPr>
        <w:pStyle w:val="116"/>
        <w:rPr>
          <w:rFonts w:hint="eastAsia"/>
        </w:rPr>
      </w:pPr>
      <w:r>
        <w:rPr>
          <w:rFonts w:hint="eastAsia"/>
        </w:rPr>
        <w:t>硒废料中不允许混有易燃、易爆、带有放射性的物品。</w:t>
      </w:r>
    </w:p>
    <w:p>
      <w:pPr>
        <w:pStyle w:val="116"/>
        <w:rPr>
          <w:rFonts w:hint="eastAsia"/>
        </w:rPr>
      </w:pPr>
      <w:r>
        <w:rPr>
          <w:rFonts w:hint="eastAsia"/>
        </w:rPr>
        <w:t>块状硒废料表面的杂质应尽量予以清除。</w:t>
      </w:r>
    </w:p>
    <w:p>
      <w:pPr>
        <w:pStyle w:val="116"/>
        <w:rPr>
          <w:rFonts w:hint="eastAsia"/>
        </w:rPr>
      </w:pPr>
      <w:r>
        <w:rPr>
          <w:rFonts w:hint="eastAsia"/>
        </w:rPr>
        <w:t>块状硒废料的最大外形尺寸，本标准不作具体规定，但可在不妨碍运输的情况下，同供需双方协商确定，并在合同（或订货单）中注明。</w:t>
      </w:r>
    </w:p>
    <w:p>
      <w:pPr>
        <w:pStyle w:val="116"/>
        <w:rPr>
          <w:rFonts w:hint="eastAsia"/>
        </w:rPr>
      </w:pPr>
      <w:r>
        <w:rPr>
          <w:rFonts w:hint="eastAsia"/>
        </w:rPr>
        <w:t>需方有其他特殊要求时，可由供需双方协商确定，并在合同（或订货单）中注明。</w:t>
      </w:r>
    </w:p>
    <w:p>
      <w:pPr>
        <w:pStyle w:val="39"/>
        <w:rPr>
          <w:rFonts w:hint="eastAsia"/>
        </w:rPr>
      </w:pPr>
      <w:bookmarkStart w:id="27" w:name="_Toc505165897"/>
      <w:r>
        <w:rPr>
          <w:rFonts w:hint="eastAsia"/>
        </w:rPr>
        <w:t>试验方法</w:t>
      </w:r>
      <w:bookmarkEnd w:id="27"/>
    </w:p>
    <w:p>
      <w:pPr>
        <w:pStyle w:val="116"/>
        <w:rPr>
          <w:rFonts w:hint="eastAsia"/>
        </w:rPr>
      </w:pPr>
      <w:r>
        <w:rPr>
          <w:rFonts w:hint="eastAsia"/>
        </w:rPr>
        <w:t>硒废料一般用目视确定类别，其洁净程度用目视检验。</w:t>
      </w:r>
    </w:p>
    <w:p>
      <w:pPr>
        <w:pStyle w:val="116"/>
        <w:rPr>
          <w:rFonts w:hint="eastAsia"/>
        </w:rPr>
      </w:pPr>
      <w:r>
        <w:rPr>
          <w:rFonts w:hint="eastAsia"/>
        </w:rPr>
        <w:t>各种硒废料的化学成分检测，由供需双方协商确定，并在合同（或订货单）中注明。</w:t>
      </w:r>
    </w:p>
    <w:p>
      <w:pPr>
        <w:pStyle w:val="116"/>
        <w:rPr>
          <w:rFonts w:hint="eastAsia"/>
        </w:rPr>
      </w:pPr>
      <w:r>
        <w:rPr>
          <w:rFonts w:hint="eastAsia"/>
        </w:rPr>
        <w:t>硒废料的供应方式、扣除杂质的方法、外形尺寸及单块重量的测量方式由供需双方协商确定，并在合同（或订货单）中注明。</w:t>
      </w:r>
    </w:p>
    <w:p>
      <w:pPr>
        <w:pStyle w:val="116"/>
        <w:rPr>
          <w:rFonts w:hint="eastAsia"/>
        </w:rPr>
      </w:pPr>
      <w:r>
        <w:rPr>
          <w:rFonts w:hint="eastAsia"/>
        </w:rPr>
        <w:t>硒废料中对环境造成影响的夹杂物和放射性污染的控制按照GB 16487.2、GB 16487.7的规定进行。</w:t>
      </w:r>
    </w:p>
    <w:p>
      <w:pPr>
        <w:pStyle w:val="39"/>
        <w:rPr>
          <w:rFonts w:hint="eastAsia"/>
        </w:rPr>
      </w:pPr>
      <w:bookmarkStart w:id="28" w:name="_Toc505165898"/>
      <w:r>
        <w:rPr>
          <w:rFonts w:hint="eastAsia"/>
        </w:rPr>
        <w:t>检验规则</w:t>
      </w:r>
      <w:bookmarkEnd w:id="28"/>
    </w:p>
    <w:p>
      <w:pPr>
        <w:pStyle w:val="36"/>
        <w:rPr>
          <w:rFonts w:hint="eastAsia"/>
        </w:rPr>
      </w:pPr>
      <w:r>
        <w:rPr>
          <w:rFonts w:hint="eastAsia"/>
        </w:rPr>
        <w:t>检查和验收</w:t>
      </w:r>
    </w:p>
    <w:p>
      <w:pPr>
        <w:pStyle w:val="57"/>
        <w:rPr>
          <w:rFonts w:hint="eastAsia"/>
        </w:rPr>
      </w:pPr>
      <w:r>
        <w:rPr>
          <w:rFonts w:hint="eastAsia"/>
        </w:rPr>
        <w:t>硒废料由供方进行检验，也可委托其他检验部门进行检验，应保证其质量符合本标准或合同（或订货单）的规定，并填写质量证明书。</w:t>
      </w:r>
    </w:p>
    <w:p>
      <w:pPr>
        <w:pStyle w:val="57"/>
        <w:rPr>
          <w:rFonts w:hint="eastAsia"/>
        </w:rPr>
      </w:pPr>
      <w:r>
        <w:rPr>
          <w:rFonts w:hint="eastAsia"/>
        </w:rPr>
        <w:t>需方应对收到的硒废料按照本标准或合同（或订货单）的规定进行检验，如检验结果与本标准或合同（或订货单）的规定不符时，应单独封存，并在收到之日起30天内向供方提出，由供需双方协商解决。</w:t>
      </w:r>
    </w:p>
    <w:p>
      <w:pPr>
        <w:pStyle w:val="36"/>
        <w:rPr>
          <w:rFonts w:hint="eastAsia"/>
        </w:rPr>
      </w:pPr>
      <w:r>
        <w:rPr>
          <w:rFonts w:hint="eastAsia"/>
        </w:rPr>
        <w:t>组批</w:t>
      </w:r>
    </w:p>
    <w:p>
      <w:pPr>
        <w:pStyle w:val="20"/>
        <w:rPr>
          <w:rFonts w:hint="eastAsia"/>
        </w:rPr>
      </w:pPr>
      <w:r>
        <w:rPr>
          <w:rFonts w:hint="eastAsia"/>
        </w:rPr>
        <w:t>硒废料应成批提交检验，每批应由同一类别、同一级别的硒废料级成，批重不限。</w:t>
      </w:r>
    </w:p>
    <w:p>
      <w:pPr>
        <w:pStyle w:val="36"/>
        <w:rPr>
          <w:rFonts w:hint="eastAsia"/>
        </w:rPr>
      </w:pPr>
      <w:r>
        <w:rPr>
          <w:rFonts w:hint="eastAsia"/>
        </w:rPr>
        <w:t>取样及其他</w:t>
      </w:r>
    </w:p>
    <w:p>
      <w:pPr>
        <w:pStyle w:val="20"/>
        <w:rPr>
          <w:rFonts w:hint="eastAsia"/>
        </w:rPr>
      </w:pPr>
      <w:r>
        <w:rPr>
          <w:rFonts w:hint="eastAsia"/>
        </w:rPr>
        <w:t>取样方法以及其他有关事宜由供需双方协商确定并在合同（或订货单）中注明。</w:t>
      </w:r>
    </w:p>
    <w:p>
      <w:pPr>
        <w:pStyle w:val="39"/>
        <w:rPr>
          <w:rFonts w:hint="eastAsia"/>
        </w:rPr>
      </w:pPr>
      <w:bookmarkStart w:id="29" w:name="_Toc505165899"/>
      <w:r>
        <w:rPr>
          <w:rFonts w:hint="eastAsia"/>
        </w:rPr>
        <w:t>标志、包装、运输和贮存及质量证明书</w:t>
      </w:r>
      <w:bookmarkEnd w:id="29"/>
    </w:p>
    <w:p>
      <w:pPr>
        <w:pStyle w:val="36"/>
        <w:rPr>
          <w:rFonts w:hint="eastAsia"/>
        </w:rPr>
      </w:pPr>
      <w:r>
        <w:rPr>
          <w:rFonts w:hint="eastAsia"/>
        </w:rPr>
        <w:t>标志</w:t>
      </w:r>
    </w:p>
    <w:p>
      <w:pPr>
        <w:pStyle w:val="20"/>
        <w:rPr>
          <w:rFonts w:hint="eastAsia"/>
        </w:rPr>
      </w:pPr>
      <w:r>
        <w:rPr>
          <w:rFonts w:hint="eastAsia"/>
        </w:rPr>
        <w:t>每批硒废料附有标签，其上注明下列内容：</w:t>
      </w:r>
    </w:p>
    <w:p>
      <w:pPr>
        <w:pStyle w:val="53"/>
        <w:rPr>
          <w:rFonts w:hint="eastAsia"/>
        </w:rPr>
      </w:pPr>
      <w:r>
        <w:rPr>
          <w:rFonts w:hint="eastAsia"/>
        </w:rPr>
        <w:t>供方名称；</w:t>
      </w:r>
    </w:p>
    <w:p>
      <w:pPr>
        <w:pStyle w:val="53"/>
        <w:rPr>
          <w:rFonts w:hint="eastAsia"/>
        </w:rPr>
      </w:pPr>
      <w:r>
        <w:rPr>
          <w:rFonts w:hint="eastAsia"/>
        </w:rPr>
        <w:t>硒废料类别、组别、级别；</w:t>
      </w:r>
    </w:p>
    <w:p>
      <w:pPr>
        <w:pStyle w:val="53"/>
        <w:rPr>
          <w:rFonts w:hint="eastAsia"/>
        </w:rPr>
      </w:pPr>
      <w:r>
        <w:rPr>
          <w:rFonts w:hint="eastAsia"/>
        </w:rPr>
        <w:t>批号；</w:t>
      </w:r>
    </w:p>
    <w:p>
      <w:pPr>
        <w:pStyle w:val="53"/>
        <w:rPr>
          <w:rFonts w:hint="eastAsia"/>
        </w:rPr>
      </w:pPr>
      <w:r>
        <w:rPr>
          <w:rFonts w:hint="eastAsia"/>
        </w:rPr>
        <w:t>批重；</w:t>
      </w:r>
    </w:p>
    <w:p>
      <w:pPr>
        <w:pStyle w:val="53"/>
        <w:rPr>
          <w:rFonts w:hint="eastAsia"/>
        </w:rPr>
      </w:pPr>
      <w:r>
        <w:rPr>
          <w:rFonts w:hint="eastAsia"/>
        </w:rPr>
        <w:t>本标准编号。</w:t>
      </w:r>
    </w:p>
    <w:p>
      <w:pPr>
        <w:pStyle w:val="36"/>
        <w:rPr>
          <w:rFonts w:hint="eastAsia"/>
        </w:rPr>
      </w:pPr>
      <w:r>
        <w:rPr>
          <w:rFonts w:hint="eastAsia"/>
        </w:rPr>
        <w:t>包装</w:t>
      </w:r>
    </w:p>
    <w:p>
      <w:pPr>
        <w:pStyle w:val="20"/>
        <w:rPr>
          <w:rFonts w:hint="eastAsia"/>
        </w:rPr>
      </w:pPr>
      <w:r>
        <w:rPr>
          <w:rFonts w:hint="eastAsia"/>
        </w:rPr>
        <w:t>硒废料应包装后交货，其包装方式、尺寸和重量由供需双方协商确定，并在合同（或订货单）中注明。</w:t>
      </w:r>
    </w:p>
    <w:p>
      <w:pPr>
        <w:pStyle w:val="36"/>
        <w:rPr>
          <w:rFonts w:hint="eastAsia"/>
        </w:rPr>
      </w:pPr>
      <w:r>
        <w:rPr>
          <w:rFonts w:hint="eastAsia"/>
        </w:rPr>
        <w:t>运输和贮存</w:t>
      </w:r>
    </w:p>
    <w:p>
      <w:pPr>
        <w:pStyle w:val="57"/>
        <w:rPr>
          <w:rFonts w:hint="eastAsia"/>
        </w:rPr>
      </w:pPr>
      <w:r>
        <w:rPr>
          <w:rFonts w:hint="eastAsia"/>
        </w:rPr>
        <w:t>不同批次的硒废料在运输过程中不应混装。</w:t>
      </w:r>
    </w:p>
    <w:p>
      <w:pPr>
        <w:pStyle w:val="57"/>
        <w:rPr>
          <w:rFonts w:hint="eastAsia"/>
        </w:rPr>
      </w:pPr>
      <w:r>
        <w:rPr>
          <w:rFonts w:hint="eastAsia"/>
        </w:rPr>
        <w:t>硒废料在运输、装卸、堆放过程中，严禁混入爆炸物、垃圾、腐蚀物和有毒、放射性物品，也不得用被以上物品污染的装卸工具装运，有特殊要求时，应有防雨、防雪、防火设施。</w:t>
      </w:r>
    </w:p>
    <w:p>
      <w:pPr>
        <w:pStyle w:val="36"/>
        <w:rPr>
          <w:rFonts w:hint="eastAsia"/>
        </w:rPr>
      </w:pPr>
      <w:r>
        <w:rPr>
          <w:rFonts w:hint="eastAsia"/>
        </w:rPr>
        <w:t>质量证明书</w:t>
      </w:r>
    </w:p>
    <w:p>
      <w:pPr>
        <w:pStyle w:val="20"/>
        <w:rPr>
          <w:rFonts w:hint="eastAsia"/>
        </w:rPr>
      </w:pPr>
      <w:r>
        <w:rPr>
          <w:rFonts w:hint="eastAsia"/>
        </w:rPr>
        <w:t>硒废料交货时，必须附有质量证明书，其上注明下列内容：</w:t>
      </w:r>
    </w:p>
    <w:p>
      <w:pPr>
        <w:pStyle w:val="53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供方名称；</w:t>
      </w:r>
    </w:p>
    <w:p>
      <w:pPr>
        <w:pStyle w:val="53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硒废料类别、组别、级别；</w:t>
      </w:r>
    </w:p>
    <w:p>
      <w:pPr>
        <w:pStyle w:val="53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批号及批重；</w:t>
      </w:r>
    </w:p>
    <w:p>
      <w:pPr>
        <w:pStyle w:val="53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检验结果；</w:t>
      </w:r>
    </w:p>
    <w:p>
      <w:pPr>
        <w:pStyle w:val="53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发货日期；</w:t>
      </w:r>
    </w:p>
    <w:p>
      <w:pPr>
        <w:pStyle w:val="53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质量检验部门的印记；</w:t>
      </w:r>
    </w:p>
    <w:p>
      <w:pPr>
        <w:pStyle w:val="53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本标准编号。</w:t>
      </w:r>
    </w:p>
    <w:p>
      <w:pPr>
        <w:pStyle w:val="39"/>
        <w:rPr>
          <w:rFonts w:hint="eastAsia"/>
        </w:rPr>
      </w:pPr>
      <w:bookmarkStart w:id="30" w:name="_Toc505165900"/>
      <w:r>
        <w:rPr>
          <w:rFonts w:hint="eastAsia"/>
        </w:rPr>
        <w:t>合同（或订货单）内容</w:t>
      </w:r>
      <w:bookmarkEnd w:id="30"/>
    </w:p>
    <w:p>
      <w:pPr>
        <w:pStyle w:val="20"/>
        <w:rPr>
          <w:rFonts w:hint="eastAsia"/>
        </w:rPr>
      </w:pPr>
      <w:r>
        <w:rPr>
          <w:rFonts w:hint="eastAsia"/>
        </w:rPr>
        <w:t>本标准所列产品的合同（或订货单）内应包括下列内容：</w:t>
      </w:r>
    </w:p>
    <w:p>
      <w:pPr>
        <w:pStyle w:val="53"/>
        <w:numPr>
          <w:ilvl w:val="0"/>
          <w:numId w:val="19"/>
        </w:numPr>
        <w:rPr>
          <w:rFonts w:hint="eastAsia"/>
        </w:rPr>
      </w:pPr>
      <w:r>
        <w:rPr>
          <w:rFonts w:hint="eastAsia"/>
        </w:rPr>
        <w:t>硒废料类别、组别、级别；</w:t>
      </w:r>
    </w:p>
    <w:p>
      <w:pPr>
        <w:pStyle w:val="53"/>
        <w:numPr>
          <w:ilvl w:val="0"/>
          <w:numId w:val="19"/>
        </w:numPr>
        <w:rPr>
          <w:rFonts w:hint="eastAsia"/>
        </w:rPr>
      </w:pPr>
      <w:r>
        <w:rPr>
          <w:rFonts w:hint="eastAsia"/>
        </w:rPr>
        <w:t>化学成分等特殊要求；</w:t>
      </w:r>
    </w:p>
    <w:p>
      <w:pPr>
        <w:pStyle w:val="53"/>
        <w:numPr>
          <w:ilvl w:val="0"/>
          <w:numId w:val="19"/>
        </w:numPr>
        <w:rPr>
          <w:rFonts w:hint="eastAsia"/>
        </w:rPr>
      </w:pPr>
      <w:r>
        <w:rPr>
          <w:rFonts w:hint="eastAsia"/>
        </w:rPr>
        <w:t>重量；</w:t>
      </w:r>
    </w:p>
    <w:p>
      <w:pPr>
        <w:pStyle w:val="53"/>
        <w:numPr>
          <w:ilvl w:val="0"/>
          <w:numId w:val="19"/>
        </w:numPr>
        <w:rPr>
          <w:rFonts w:hint="eastAsia"/>
        </w:rPr>
      </w:pPr>
      <w:r>
        <w:rPr>
          <w:rFonts w:hint="eastAsia"/>
        </w:rPr>
        <w:t>本标准编号；</w:t>
      </w:r>
    </w:p>
    <w:p>
      <w:pPr>
        <w:pStyle w:val="53"/>
        <w:numPr>
          <w:ilvl w:val="0"/>
          <w:numId w:val="19"/>
        </w:numPr>
        <w:rPr>
          <w:rFonts w:hint="eastAsia"/>
        </w:rPr>
      </w:pPr>
      <w:r>
        <w:rPr>
          <w:rFonts w:hint="eastAsia"/>
        </w:rPr>
        <w:t>其他。</w:t>
      </w:r>
    </w:p>
    <w:p>
      <w:pPr>
        <w:pStyle w:val="120"/>
        <w:rPr>
          <w:rFonts w:hint="eastAsia"/>
        </w:rPr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  <w:r>
      <w:t>GB/T 2018—XXXX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08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6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2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59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3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0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1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2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3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4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3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48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5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56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19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79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17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77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97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87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1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1" w:cryptProviderType="rsaFull" w:cryptAlgorithmClass="hash" w:cryptAlgorithmType="typeAny" w:cryptAlgorithmSid="4" w:cryptSpinCount="0" w:hash="tLNuheeaJbz/q70GrzPVm8IoOKM=" w:salt="/lCgBb5I2AtU5iC8M7nUxA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17950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512B4"/>
    <w:rsid w:val="001514DA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27CF5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47318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61F1D"/>
    <w:rsid w:val="00471E91"/>
    <w:rsid w:val="00474675"/>
    <w:rsid w:val="0047470C"/>
    <w:rsid w:val="00480A02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0CC1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487B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5696E"/>
    <w:rsid w:val="00A6730D"/>
    <w:rsid w:val="00A71625"/>
    <w:rsid w:val="00A71B9B"/>
    <w:rsid w:val="00A751C7"/>
    <w:rsid w:val="00A82501"/>
    <w:rsid w:val="00A87844"/>
    <w:rsid w:val="00A92A8F"/>
    <w:rsid w:val="00AA038C"/>
    <w:rsid w:val="00AA7A09"/>
    <w:rsid w:val="00AB3B50"/>
    <w:rsid w:val="00AC05B1"/>
    <w:rsid w:val="00AD356C"/>
    <w:rsid w:val="00AE2914"/>
    <w:rsid w:val="00AE5E51"/>
    <w:rsid w:val="00AE6D15"/>
    <w:rsid w:val="00B04182"/>
    <w:rsid w:val="00B07AE3"/>
    <w:rsid w:val="00B11430"/>
    <w:rsid w:val="00B279DC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84F87"/>
    <w:rsid w:val="00C8691C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2DAB"/>
    <w:rsid w:val="00F543F0"/>
    <w:rsid w:val="00F61AA6"/>
    <w:rsid w:val="00F81D29"/>
    <w:rsid w:val="00F91C4D"/>
    <w:rsid w:val="00F92FD9"/>
    <w:rsid w:val="00FA6684"/>
    <w:rsid w:val="00FA731E"/>
    <w:rsid w:val="00FB2B38"/>
    <w:rsid w:val="00FC6358"/>
    <w:rsid w:val="00FD320D"/>
    <w:rsid w:val="00FE23DE"/>
    <w:rsid w:val="3F53321B"/>
    <w:rsid w:val="4CCC5222"/>
    <w:rsid w:val="70817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8">
    <w:name w:val="Default Paragraph Font"/>
    <w:semiHidden/>
    <w:uiPriority w:val="0"/>
  </w:style>
  <w:style w:type="table" w:default="1" w:styleId="3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semiHidden/>
    <w:qFormat/>
    <w:uiPriority w:val="0"/>
    <w:pPr>
      <w:tabs>
        <w:tab w:val="right" w:leader="dot" w:pos="9241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7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8">
    <w:name w:val="index heading"/>
    <w:basedOn w:val="1"/>
    <w:next w:val="19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9">
    <w:name w:val="index 1"/>
    <w:basedOn w:val="1"/>
    <w:next w:val="20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0">
    <w:name w:val="段"/>
    <w:link w:val="128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1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3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4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5">
    <w:name w:val="toc 2"/>
    <w:basedOn w:val="1"/>
    <w:next w:val="1"/>
    <w:semiHidden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6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7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29">
    <w:name w:val="endnote reference"/>
    <w:basedOn w:val="28"/>
    <w:semiHidden/>
    <w:uiPriority w:val="0"/>
    <w:rPr>
      <w:vertAlign w:val="superscript"/>
    </w:rPr>
  </w:style>
  <w:style w:type="character" w:styleId="30">
    <w:name w:val="page number"/>
    <w:basedOn w:val="28"/>
    <w:uiPriority w:val="0"/>
    <w:rPr>
      <w:rFonts w:ascii="Times New Roman" w:hAnsi="Times New Roman" w:eastAsia="宋体"/>
      <w:sz w:val="18"/>
    </w:rPr>
  </w:style>
  <w:style w:type="character" w:styleId="31">
    <w:name w:val="FollowedHyperlink"/>
    <w:basedOn w:val="28"/>
    <w:uiPriority w:val="0"/>
    <w:rPr>
      <w:color w:val="800080"/>
      <w:u w:val="single"/>
    </w:rPr>
  </w:style>
  <w:style w:type="character" w:styleId="32">
    <w:name w:val="Hyperlink"/>
    <w:basedOn w:val="28"/>
    <w:uiPriority w:val="0"/>
    <w:rPr>
      <w:color w:val="0000FF"/>
      <w:spacing w:val="0"/>
      <w:w w:val="100"/>
      <w:szCs w:val="21"/>
      <w:u w:val="single"/>
    </w:rPr>
  </w:style>
  <w:style w:type="character" w:styleId="33">
    <w:name w:val="footnote reference"/>
    <w:basedOn w:val="28"/>
    <w:semiHidden/>
    <w:uiPriority w:val="0"/>
    <w:rPr>
      <w:vertAlign w:val="superscript"/>
    </w:rPr>
  </w:style>
  <w:style w:type="table" w:styleId="35">
    <w:name w:val="Table Grid"/>
    <w:basedOn w:val="34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36">
    <w:name w:val="一级条标题"/>
    <w:next w:val="20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7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8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章标题"/>
    <w:next w:val="20"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0">
    <w:name w:val="二级条标题"/>
    <w:basedOn w:val="36"/>
    <w:next w:val="20"/>
    <w:uiPriority w:val="0"/>
    <w:pPr>
      <w:numPr>
        <w:ilvl w:val="2"/>
        <w:numId w:val="2"/>
      </w:numPr>
      <w:spacing w:before="50" w:after="50"/>
      <w:outlineLvl w:val="3"/>
    </w:pPr>
  </w:style>
  <w:style w:type="paragraph" w:customStyle="1" w:styleId="41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2">
    <w:name w:val="列项——（一级）"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3">
    <w:name w:val="列项●（二级）"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4">
    <w:name w:val="目次、标准名称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5">
    <w:name w:val="三级条标题"/>
    <w:basedOn w:val="40"/>
    <w:next w:val="20"/>
    <w:qFormat/>
    <w:uiPriority w:val="0"/>
    <w:pPr>
      <w:numPr>
        <w:ilvl w:val="3"/>
        <w:numId w:val="2"/>
      </w:numPr>
      <w:outlineLvl w:val="4"/>
    </w:pPr>
  </w:style>
  <w:style w:type="paragraph" w:customStyle="1" w:styleId="46">
    <w:name w:val="示例"/>
    <w:next w:val="47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7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">
    <w:name w:val="四级条标题"/>
    <w:basedOn w:val="45"/>
    <w:next w:val="20"/>
    <w:uiPriority w:val="0"/>
    <w:pPr>
      <w:numPr>
        <w:ilvl w:val="4"/>
        <w:numId w:val="2"/>
      </w:numPr>
      <w:outlineLvl w:val="5"/>
    </w:pPr>
  </w:style>
  <w:style w:type="paragraph" w:customStyle="1" w:styleId="50">
    <w:name w:val="五级条标题"/>
    <w:basedOn w:val="49"/>
    <w:next w:val="20"/>
    <w:uiPriority w:val="0"/>
    <w:pPr>
      <w:numPr>
        <w:ilvl w:val="5"/>
        <w:numId w:val="2"/>
      </w:numPr>
      <w:outlineLvl w:val="6"/>
    </w:pPr>
  </w:style>
  <w:style w:type="paragraph" w:customStyle="1" w:styleId="51">
    <w:name w:val="注："/>
    <w:next w:val="20"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2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字母编号列项（一级）"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4">
    <w:name w:val="列项◆（三级）"/>
    <w:basedOn w:val="1"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5">
    <w:name w:val="编号列项（三级）"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示例×："/>
    <w:basedOn w:val="39"/>
    <w:qFormat/>
    <w:uiPriority w:val="0"/>
    <w:pPr>
      <w:numPr>
        <w:ilvl w:val="0"/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57">
    <w:name w:val="二级无"/>
    <w:basedOn w:val="40"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58">
    <w:name w:val="注：（正文）"/>
    <w:basedOn w:val="51"/>
    <w:next w:val="20"/>
    <w:uiPriority w:val="0"/>
  </w:style>
  <w:style w:type="paragraph" w:customStyle="1" w:styleId="59">
    <w:name w:val="注×：（正文）"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0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1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2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3">
    <w:name w:val="标准书眉_偶数页"/>
    <w:basedOn w:val="38"/>
    <w:next w:val="1"/>
    <w:uiPriority w:val="0"/>
    <w:pPr>
      <w:jc w:val="left"/>
    </w:pPr>
    <w:rPr>
      <w:rFonts w:ascii="黑体" w:eastAsia="黑体"/>
    </w:rPr>
  </w:style>
  <w:style w:type="paragraph" w:customStyle="1" w:styleId="64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5">
    <w:name w:val="参考文献"/>
    <w:basedOn w:val="1"/>
    <w:next w:val="20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6">
    <w:name w:val="参考文献、索引标题"/>
    <w:basedOn w:val="1"/>
    <w:next w:val="20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7">
    <w:name w:val="发布部门"/>
    <w:next w:val="20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68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9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0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1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2">
    <w:name w:val="封面标准英文名称"/>
    <w:basedOn w:val="71"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3">
    <w:name w:val="封面一致性程度标识"/>
    <w:basedOn w:val="72"/>
    <w:uiPriority w:val="0"/>
    <w:pPr>
      <w:spacing w:before="440"/>
    </w:pPr>
    <w:rPr>
      <w:rFonts w:ascii="宋体" w:eastAsia="宋体"/>
    </w:rPr>
  </w:style>
  <w:style w:type="paragraph" w:customStyle="1" w:styleId="74">
    <w:name w:val="封面标准文稿类别"/>
    <w:basedOn w:val="73"/>
    <w:uiPriority w:val="0"/>
    <w:pPr>
      <w:spacing w:after="160" w:line="240" w:lineRule="auto"/>
    </w:pPr>
    <w:rPr>
      <w:sz w:val="24"/>
    </w:rPr>
  </w:style>
  <w:style w:type="paragraph" w:customStyle="1" w:styleId="75">
    <w:name w:val="封面标准文稿编辑信息"/>
    <w:basedOn w:val="74"/>
    <w:uiPriority w:val="0"/>
    <w:pPr>
      <w:spacing w:before="180" w:line="180" w:lineRule="exact"/>
    </w:pPr>
    <w:rPr>
      <w:sz w:val="21"/>
    </w:rPr>
  </w:style>
  <w:style w:type="paragraph" w:customStyle="1" w:styleId="76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7">
    <w:name w:val="附录标识"/>
    <w:basedOn w:val="1"/>
    <w:next w:val="20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8">
    <w:name w:val="附录标题"/>
    <w:basedOn w:val="20"/>
    <w:next w:val="20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79">
    <w:name w:val="附录表标号"/>
    <w:basedOn w:val="1"/>
    <w:next w:val="20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0">
    <w:name w:val="附录表标题"/>
    <w:basedOn w:val="1"/>
    <w:next w:val="20"/>
    <w:qFormat/>
    <w:uiPriority w:val="0"/>
    <w:pPr>
      <w:numPr>
        <w:ilvl w:val="1"/>
        <w:numId w:val="1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1">
    <w:name w:val="附录二级条标题"/>
    <w:basedOn w:val="1"/>
    <w:next w:val="20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2">
    <w:name w:val="附录二级无"/>
    <w:basedOn w:val="81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3">
    <w:name w:val="附录公式"/>
    <w:basedOn w:val="20"/>
    <w:next w:val="20"/>
    <w:link w:val="130"/>
    <w:qFormat/>
    <w:uiPriority w:val="0"/>
  </w:style>
  <w:style w:type="paragraph" w:customStyle="1" w:styleId="84">
    <w:name w:val="附录公式编号制表符"/>
    <w:basedOn w:val="1"/>
    <w:next w:val="20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5">
    <w:name w:val="附录三级条标题"/>
    <w:basedOn w:val="81"/>
    <w:next w:val="20"/>
    <w:qFormat/>
    <w:uiPriority w:val="0"/>
    <w:pPr>
      <w:numPr>
        <w:ilvl w:val="4"/>
        <w:numId w:val="10"/>
      </w:numPr>
      <w:outlineLvl w:val="4"/>
    </w:pPr>
  </w:style>
  <w:style w:type="paragraph" w:customStyle="1" w:styleId="86">
    <w:name w:val="附录三级无"/>
    <w:basedOn w:val="85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7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8">
    <w:name w:val="附录四级条标题"/>
    <w:basedOn w:val="85"/>
    <w:next w:val="20"/>
    <w:qFormat/>
    <w:uiPriority w:val="0"/>
    <w:pPr>
      <w:numPr>
        <w:ilvl w:val="5"/>
        <w:numId w:val="10"/>
      </w:numPr>
      <w:outlineLvl w:val="5"/>
    </w:pPr>
  </w:style>
  <w:style w:type="paragraph" w:customStyle="1" w:styleId="89">
    <w:name w:val="附录四级无"/>
    <w:basedOn w:val="88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0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1">
    <w:name w:val="附录图标题"/>
    <w:basedOn w:val="1"/>
    <w:next w:val="20"/>
    <w:qFormat/>
    <w:uiPriority w:val="0"/>
    <w:pPr>
      <w:numPr>
        <w:ilvl w:val="1"/>
        <w:numId w:val="13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2">
    <w:name w:val="附录五级条标题"/>
    <w:basedOn w:val="88"/>
    <w:next w:val="20"/>
    <w:qFormat/>
    <w:uiPriority w:val="0"/>
    <w:pPr>
      <w:numPr>
        <w:ilvl w:val="6"/>
        <w:numId w:val="10"/>
      </w:numPr>
      <w:outlineLvl w:val="6"/>
    </w:pPr>
  </w:style>
  <w:style w:type="paragraph" w:customStyle="1" w:styleId="93">
    <w:name w:val="附录五级无"/>
    <w:basedOn w:val="9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4">
    <w:name w:val="附录章标题"/>
    <w:next w:val="20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5">
    <w:name w:val="附录一级条标题"/>
    <w:basedOn w:val="94"/>
    <w:next w:val="20"/>
    <w:qFormat/>
    <w:uiPriority w:val="0"/>
    <w:pPr>
      <w:numPr>
        <w:ilvl w:val="2"/>
        <w:numId w:val="10"/>
      </w:numPr>
      <w:autoSpaceDN w:val="0"/>
      <w:spacing w:before="50" w:beforeLines="50" w:after="50" w:afterLines="50"/>
      <w:outlineLvl w:val="2"/>
    </w:pPr>
  </w:style>
  <w:style w:type="paragraph" w:customStyle="1" w:styleId="96">
    <w:name w:val="附录一级无"/>
    <w:basedOn w:val="95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7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8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99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0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其他标准标志"/>
    <w:basedOn w:val="60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2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3">
    <w:name w:val="其他发布部门"/>
    <w:basedOn w:val="67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4">
    <w:name w:val="前言、引言标题"/>
    <w:next w:val="20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5">
    <w:name w:val="三级无"/>
    <w:basedOn w:val="45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06">
    <w:name w:val="实施日期"/>
    <w:basedOn w:val="68"/>
    <w:uiPriority w:val="0"/>
    <w:pPr>
      <w:framePr w:vAnchor="page" w:hAnchor="page"/>
      <w:jc w:val="right"/>
    </w:pPr>
  </w:style>
  <w:style w:type="paragraph" w:customStyle="1" w:styleId="107">
    <w:name w:val="示例后文字"/>
    <w:basedOn w:val="20"/>
    <w:next w:val="20"/>
    <w:qFormat/>
    <w:uiPriority w:val="0"/>
    <w:pPr>
      <w:ind w:firstLine="360"/>
    </w:pPr>
    <w:rPr>
      <w:sz w:val="18"/>
    </w:rPr>
  </w:style>
  <w:style w:type="paragraph" w:customStyle="1" w:styleId="108">
    <w:name w:val="首示例"/>
    <w:next w:val="20"/>
    <w:link w:val="131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109">
    <w:name w:val="四级无"/>
    <w:basedOn w:val="4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0">
    <w:name w:val="条文脚注"/>
    <w:basedOn w:val="21"/>
    <w:uiPriority w:val="0"/>
    <w:pPr>
      <w:numPr>
        <w:ilvl w:val="0"/>
        <w:numId w:val="0"/>
      </w:numPr>
      <w:jc w:val="both"/>
    </w:pPr>
    <w:rPr>
      <w:rFonts w:ascii="宋体"/>
    </w:rPr>
  </w:style>
  <w:style w:type="paragraph" w:customStyle="1" w:styleId="111">
    <w:name w:val="图标脚注说明"/>
    <w:basedOn w:val="20"/>
    <w:uiPriority w:val="0"/>
    <w:pPr>
      <w:ind w:left="840" w:hanging="420" w:firstLineChars="0"/>
    </w:pPr>
    <w:rPr>
      <w:sz w:val="18"/>
      <w:szCs w:val="18"/>
    </w:rPr>
  </w:style>
  <w:style w:type="paragraph" w:customStyle="1" w:styleId="112">
    <w:name w:val="图表脚注说明"/>
    <w:basedOn w:val="1"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3">
    <w:name w:val="图的脚注"/>
    <w:next w:val="20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4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5">
    <w:name w:val="五级无"/>
    <w:basedOn w:val="50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6">
    <w:name w:val="一级无"/>
    <w:basedOn w:val="36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7">
    <w:name w:val="正文表标题"/>
    <w:next w:val="20"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8">
    <w:name w:val="正文公式编号制表符"/>
    <w:basedOn w:val="20"/>
    <w:next w:val="20"/>
    <w:qFormat/>
    <w:uiPriority w:val="0"/>
    <w:pPr>
      <w:ind w:firstLine="0" w:firstLineChars="0"/>
    </w:pPr>
  </w:style>
  <w:style w:type="paragraph" w:customStyle="1" w:styleId="119">
    <w:name w:val="正文图标题"/>
    <w:next w:val="20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0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21">
    <w:name w:val="其他发布日期"/>
    <w:basedOn w:val="68"/>
    <w:uiPriority w:val="0"/>
    <w:pPr>
      <w:framePr w:vAnchor="page" w:hAnchor="page" w:x="1419"/>
    </w:pPr>
  </w:style>
  <w:style w:type="paragraph" w:customStyle="1" w:styleId="122">
    <w:name w:val="其他实施日期"/>
    <w:basedOn w:val="106"/>
    <w:uiPriority w:val="0"/>
  </w:style>
  <w:style w:type="paragraph" w:customStyle="1" w:styleId="123">
    <w:name w:val="封面标准名称2"/>
    <w:basedOn w:val="71"/>
    <w:uiPriority w:val="0"/>
    <w:pPr>
      <w:framePr w:y="4469"/>
      <w:spacing w:before="630" w:beforeLines="630"/>
    </w:pPr>
  </w:style>
  <w:style w:type="paragraph" w:customStyle="1" w:styleId="124">
    <w:name w:val="封面标准英文名称2"/>
    <w:basedOn w:val="72"/>
    <w:uiPriority w:val="0"/>
    <w:pPr>
      <w:framePr w:y="4469"/>
    </w:pPr>
  </w:style>
  <w:style w:type="paragraph" w:customStyle="1" w:styleId="125">
    <w:name w:val="封面一致性程度标识2"/>
    <w:basedOn w:val="73"/>
    <w:uiPriority w:val="0"/>
    <w:pPr>
      <w:framePr w:y="4469"/>
    </w:pPr>
  </w:style>
  <w:style w:type="paragraph" w:customStyle="1" w:styleId="126">
    <w:name w:val="封面标准文稿类别2"/>
    <w:basedOn w:val="74"/>
    <w:uiPriority w:val="0"/>
    <w:pPr>
      <w:framePr w:y="4469"/>
    </w:pPr>
  </w:style>
  <w:style w:type="paragraph" w:customStyle="1" w:styleId="127">
    <w:name w:val="封面标准文稿编辑信息2"/>
    <w:basedOn w:val="75"/>
    <w:uiPriority w:val="0"/>
    <w:pPr>
      <w:framePr w:y="4469"/>
    </w:pPr>
  </w:style>
  <w:style w:type="character" w:customStyle="1" w:styleId="128">
    <w:name w:val="段 Char"/>
    <w:basedOn w:val="28"/>
    <w:link w:val="20"/>
    <w:uiPriority w:val="0"/>
    <w:rPr>
      <w:rFonts w:ascii="宋体"/>
      <w:sz w:val="21"/>
      <w:lang w:val="en-US" w:eastAsia="zh-CN" w:bidi="ar-SA"/>
    </w:rPr>
  </w:style>
  <w:style w:type="character" w:customStyle="1" w:styleId="129">
    <w:name w:val="发布"/>
    <w:basedOn w:val="28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0">
    <w:name w:val="附录公式 Char"/>
    <w:basedOn w:val="128"/>
    <w:link w:val="83"/>
    <w:uiPriority w:val="0"/>
  </w:style>
  <w:style w:type="character" w:customStyle="1" w:styleId="131">
    <w:name w:val="首示例 Char"/>
    <w:basedOn w:val="28"/>
    <w:link w:val="108"/>
    <w:uiPriority w:val="0"/>
    <w:rPr>
      <w:rFonts w:ascii="宋体" w:hAnsi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OE9EOLTZZUTEEIN\Desktop\&#30802;&#24223;&#2600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硒废料.dot</Template>
  <Pages>7</Pages>
  <Words>2348</Words>
  <Characters>2560</Characters>
  <Lines>25</Lines>
  <Paragraphs>7</Paragraphs>
  <ScaleCrop>false</ScaleCrop>
  <LinksUpToDate>false</LinksUpToDate>
  <CharactersWithSpaces>2602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2018-02-27T06:58:00Z</dcterms:created>
  <dc:creator>龍凡</dc:creator>
  <cp:lastModifiedBy>龍凡</cp:lastModifiedBy>
  <dcterms:modified xsi:type="dcterms:W3CDTF">2018-04-08T07:51:36Z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