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Theme="minorEastAsia" w:hAnsiTheme="minorEastAsia" w:eastAsiaTheme="minorEastAsia"/>
          <w:b/>
          <w:bCs/>
          <w:color w:val="FF0000"/>
          <w:sz w:val="28"/>
        </w:rPr>
      </w:pPr>
      <w:r>
        <w:rPr>
          <w:rFonts w:hint="eastAsia" w:asciiTheme="minorEastAsia" w:hAnsiTheme="minorEastAsia" w:eastAsiaTheme="minorEastAsia"/>
          <w:b/>
          <w:bCs/>
          <w:color w:val="FF0000"/>
          <w:sz w:val="28"/>
        </w:rPr>
        <w:t>《 接触线和绞线用铜及铜合金线坯》行业标准</w:t>
      </w:r>
    </w:p>
    <w:p>
      <w:pPr>
        <w:widowControl/>
        <w:spacing w:line="440" w:lineRule="exact"/>
        <w:jc w:val="center"/>
        <w:rPr>
          <w:rFonts w:asciiTheme="minorEastAsia" w:hAnsiTheme="minorEastAsia" w:eastAsiaTheme="minorEastAsia"/>
          <w:b/>
          <w:bCs/>
          <w:color w:val="FF0000"/>
          <w:sz w:val="28"/>
        </w:rPr>
      </w:pPr>
      <w:r>
        <w:rPr>
          <w:rFonts w:hint="eastAsia" w:asciiTheme="minorEastAsia" w:hAnsiTheme="minorEastAsia" w:eastAsiaTheme="minorEastAsia"/>
          <w:b/>
          <w:bCs/>
          <w:color w:val="FF0000"/>
          <w:sz w:val="28"/>
        </w:rPr>
        <w:t>（</w:t>
      </w:r>
      <w:r>
        <w:rPr>
          <w:rFonts w:hint="eastAsia" w:asciiTheme="minorEastAsia" w:hAnsiTheme="minorEastAsia" w:eastAsiaTheme="minorEastAsia"/>
          <w:b/>
          <w:bCs/>
          <w:color w:val="FF0000"/>
          <w:sz w:val="28"/>
          <w:lang w:eastAsia="zh-CN"/>
        </w:rPr>
        <w:t>送</w:t>
      </w:r>
      <w:r>
        <w:rPr>
          <w:rFonts w:hint="eastAsia" w:asciiTheme="minorEastAsia" w:hAnsiTheme="minorEastAsia" w:eastAsiaTheme="minorEastAsia"/>
          <w:b/>
          <w:bCs/>
          <w:color w:val="FF0000"/>
          <w:sz w:val="28"/>
        </w:rPr>
        <w:t>审稿）编制说明</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任务来源</w:t>
      </w:r>
    </w:p>
    <w:p>
      <w:pPr>
        <w:widowControl/>
        <w:tabs>
          <w:tab w:val="left" w:pos="360"/>
          <w:tab w:val="left" w:pos="710"/>
        </w:tabs>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根据工信厅科〔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58</w:t>
      </w:r>
      <w:r>
        <w:rPr>
          <w:rFonts w:hint="eastAsia" w:asciiTheme="minorEastAsia" w:hAnsiTheme="minorEastAsia" w:eastAsiaTheme="minorEastAsia"/>
        </w:rPr>
        <w:t>号, 计划编号</w:t>
      </w:r>
      <w:r>
        <w:rPr>
          <w:rFonts w:asciiTheme="minorEastAsia" w:hAnsiTheme="minorEastAsia" w:eastAsiaTheme="minorEastAsia"/>
        </w:rPr>
        <w:t xml:space="preserve">2016-0300T-YS </w:t>
      </w:r>
      <w:r>
        <w:rPr>
          <w:rFonts w:hint="eastAsia" w:asciiTheme="minorEastAsia" w:hAnsiTheme="minorEastAsia" w:eastAsiaTheme="minorEastAsia"/>
        </w:rPr>
        <w:t>《接触线和绞线用铜及铜合金线坯》行业标准，由浙江天宁合金材料有限公司、</w:t>
      </w:r>
      <w:r>
        <w:rPr>
          <w:rFonts w:hint="eastAsia" w:hAnsi="宋体"/>
        </w:rPr>
        <w:t>浙江省冶金产品质量检验站有限公司</w:t>
      </w:r>
      <w:r>
        <w:rPr>
          <w:rFonts w:hint="eastAsia" w:asciiTheme="minorEastAsia" w:hAnsiTheme="minorEastAsia" w:eastAsiaTheme="minorEastAsia"/>
        </w:rPr>
        <w:t>负责起草，完成年限为2018年。</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工作简况</w:t>
      </w:r>
    </w:p>
    <w:p>
      <w:pPr>
        <w:pStyle w:val="15"/>
        <w:spacing w:beforeLines="0" w:afterLines="0" w:line="440" w:lineRule="exact"/>
        <w:jc w:val="left"/>
        <w:outlineLvl w:val="9"/>
        <w:rPr>
          <w:rFonts w:asciiTheme="minorEastAsia" w:hAnsiTheme="minorEastAsia" w:eastAsiaTheme="minorEastAsia"/>
          <w:b/>
        </w:rPr>
      </w:pPr>
      <w:r>
        <w:rPr>
          <w:rFonts w:hint="eastAsia" w:asciiTheme="minorEastAsia" w:hAnsiTheme="minorEastAsia" w:eastAsiaTheme="minorEastAsia"/>
          <w:b/>
        </w:rPr>
        <w:t>1、立项目的和意义</w:t>
      </w:r>
    </w:p>
    <w:p>
      <w:pPr>
        <w:widowControl/>
        <w:tabs>
          <w:tab w:val="left" w:pos="360"/>
          <w:tab w:val="left" w:pos="710"/>
        </w:tabs>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随着我国高速铁路的飞速发展，我国高速电气化铁路接触线和绞线产业也得到高速发展。一方面接触线和绞线用材料研究不断深入，产生了许多高强、高导的铜合金新材料；一方面，产业分工细化，许多企业不直接生产接触线或绞线，但为接触线和绞线生产企业提供坯料。各个线坯生产企业信息相对独立、保密，没有一个统一的产品技术标准来规范生产企业，使得各接触线和绞线生产企业的同一牌号、规格产品性能偏差较大，不利于我国高速铁路用铜及铜合金接触线或绞线产业的健康发展。</w:t>
      </w:r>
    </w:p>
    <w:p>
      <w:pPr>
        <w:widowControl/>
        <w:tabs>
          <w:tab w:val="left" w:pos="360"/>
          <w:tab w:val="left" w:pos="710"/>
        </w:tabs>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因此迫切需要制定一项标准来统一、规范市场，这对促进我国高速化铁路建设健康发展有重要意义。</w:t>
      </w:r>
    </w:p>
    <w:p>
      <w:pPr>
        <w:pStyle w:val="15"/>
        <w:spacing w:beforeLines="0" w:afterLines="0" w:line="440" w:lineRule="exact"/>
        <w:jc w:val="left"/>
        <w:outlineLvl w:val="9"/>
        <w:rPr>
          <w:rFonts w:asciiTheme="minorEastAsia" w:hAnsiTheme="minorEastAsia" w:eastAsiaTheme="minorEastAsia"/>
          <w:b/>
        </w:rPr>
      </w:pPr>
      <w:r>
        <w:rPr>
          <w:rFonts w:hint="eastAsia" w:asciiTheme="minorEastAsia" w:hAnsiTheme="minorEastAsia" w:eastAsiaTheme="minorEastAsia"/>
          <w:b/>
        </w:rPr>
        <w:t>2、国内外情况说明</w:t>
      </w:r>
    </w:p>
    <w:p>
      <w:pPr>
        <w:widowControl/>
        <w:tabs>
          <w:tab w:val="left" w:pos="360"/>
          <w:tab w:val="left" w:pos="710"/>
        </w:tabs>
        <w:spacing w:line="440" w:lineRule="exact"/>
        <w:ind w:firstLine="420" w:firstLineChars="200"/>
        <w:jc w:val="left"/>
        <w:rPr>
          <w:rFonts w:ascii="宋体" w:hAnsi="宋体"/>
        </w:rPr>
      </w:pPr>
      <w:r>
        <w:rPr>
          <w:rFonts w:hint="eastAsia" w:ascii="宋体" w:hAnsi="宋体"/>
        </w:rPr>
        <w:t>接触线和绞线用铜及铜合金线坯用于电气化铁路及电气化轨道交通用接触线和承力索的制造，随着我国高速铁路的飞速发展，需求逐步扩大，技术水平逐步提高，到2014年国内接触线和绞线需求量就已超5万吨，其坯料产量超6万吨。随着我国高速铁路产业的国际化，接触线和绞线用铜及铜合金线坯的产量将进一步提高。</w:t>
      </w:r>
    </w:p>
    <w:p>
      <w:pPr>
        <w:widowControl/>
        <w:tabs>
          <w:tab w:val="left" w:pos="360"/>
          <w:tab w:val="left" w:pos="710"/>
        </w:tabs>
        <w:spacing w:line="440" w:lineRule="exact"/>
        <w:ind w:firstLine="420" w:firstLineChars="200"/>
        <w:jc w:val="left"/>
        <w:rPr>
          <w:rFonts w:asciiTheme="minorEastAsia" w:hAnsiTheme="minorEastAsia" w:eastAsiaTheme="minorEastAsia"/>
        </w:rPr>
      </w:pPr>
      <w:r>
        <w:rPr>
          <w:rFonts w:hint="eastAsia" w:ascii="宋体" w:hAnsi="宋体"/>
        </w:rPr>
        <w:t>目前，接触线和绞线用铜及铜合金线坯能大批量供货的主要有：纯铜线坯（TU2、T2）、铜镁合金线坯（TMg0.</w:t>
      </w:r>
      <w:r>
        <w:rPr>
          <w:rFonts w:hint="eastAsia" w:asciiTheme="minorEastAsia" w:hAnsiTheme="minorEastAsia" w:eastAsiaTheme="minorEastAsia"/>
        </w:rPr>
        <w:t>15</w:t>
      </w:r>
      <w:r>
        <w:rPr>
          <w:rFonts w:hint="eastAsia" w:ascii="宋体" w:hAnsi="宋体"/>
        </w:rPr>
        <w:t>、TMg0.</w:t>
      </w:r>
      <w:r>
        <w:rPr>
          <w:rFonts w:hint="eastAsia" w:asciiTheme="minorEastAsia" w:hAnsiTheme="minorEastAsia" w:eastAsiaTheme="minorEastAsia"/>
        </w:rPr>
        <w:t>25</w:t>
      </w:r>
      <w:r>
        <w:rPr>
          <w:rFonts w:hint="eastAsia" w:ascii="宋体" w:hAnsi="宋体"/>
        </w:rPr>
        <w:t>、TMg0.</w:t>
      </w:r>
      <w:r>
        <w:rPr>
          <w:rFonts w:hint="eastAsia" w:asciiTheme="minorEastAsia" w:hAnsiTheme="minorEastAsia" w:eastAsiaTheme="minorEastAsia"/>
        </w:rPr>
        <w:t>35</w:t>
      </w:r>
      <w:r>
        <w:rPr>
          <w:rFonts w:hint="eastAsia" w:ascii="宋体" w:hAnsi="宋体"/>
        </w:rPr>
        <w:t>、TMg0.4</w:t>
      </w:r>
      <w:r>
        <w:rPr>
          <w:rFonts w:hint="eastAsia" w:asciiTheme="minorEastAsia" w:hAnsiTheme="minorEastAsia" w:eastAsiaTheme="minorEastAsia"/>
        </w:rPr>
        <w:t>5</w:t>
      </w:r>
      <w:r>
        <w:rPr>
          <w:rFonts w:hint="eastAsia" w:ascii="宋体" w:hAnsi="宋体"/>
        </w:rPr>
        <w:t>）、铜锡合金线坯（</w:t>
      </w:r>
      <w:r>
        <w:rPr>
          <w:rFonts w:hint="eastAsia" w:asciiTheme="minorEastAsia" w:hAnsiTheme="minorEastAsia" w:eastAsiaTheme="minorEastAsia"/>
        </w:rPr>
        <w:t>TSn0.1、TSn0.3、TSn0.5</w:t>
      </w:r>
      <w:r>
        <w:rPr>
          <w:rFonts w:hint="eastAsia" w:ascii="宋体" w:hAnsi="宋体"/>
        </w:rPr>
        <w:t>）、铜银合金线坯（TAg0.1）</w:t>
      </w:r>
      <w:r>
        <w:rPr>
          <w:rFonts w:hint="eastAsia" w:asciiTheme="minorEastAsia" w:hAnsiTheme="minorEastAsia" w:eastAsiaTheme="minorEastAsia"/>
        </w:rPr>
        <w:t>等</w:t>
      </w:r>
      <w:r>
        <w:rPr>
          <w:rFonts w:hint="eastAsia" w:ascii="宋体" w:hAnsi="宋体"/>
        </w:rPr>
        <w:t>。</w:t>
      </w:r>
    </w:p>
    <w:p>
      <w:pPr>
        <w:widowControl/>
        <w:tabs>
          <w:tab w:val="left" w:pos="360"/>
          <w:tab w:val="left" w:pos="710"/>
        </w:tabs>
        <w:spacing w:line="440" w:lineRule="exact"/>
        <w:ind w:firstLine="420" w:firstLineChars="200"/>
        <w:jc w:val="left"/>
        <w:rPr>
          <w:rFonts w:asciiTheme="minorEastAsia" w:hAnsiTheme="minorEastAsia" w:eastAsiaTheme="minorEastAsia"/>
          <w:color w:val="FF0000"/>
        </w:rPr>
      </w:pPr>
      <w:r>
        <w:rPr>
          <w:rFonts w:hint="eastAsia" w:asciiTheme="minorEastAsia" w:hAnsiTheme="minorEastAsia" w:eastAsiaTheme="minorEastAsia"/>
        </w:rPr>
        <w:t>通过查阅相关资料发现，目前国内外没有专门针对</w:t>
      </w:r>
      <w:r>
        <w:rPr>
          <w:rFonts w:hint="eastAsia" w:ascii="宋体" w:hAnsi="宋体"/>
        </w:rPr>
        <w:t>接触线和绞线用铜及铜合金线坯</w:t>
      </w:r>
      <w:r>
        <w:rPr>
          <w:rFonts w:hint="eastAsia" w:asciiTheme="minorEastAsia" w:hAnsiTheme="minorEastAsia" w:eastAsiaTheme="minorEastAsia"/>
        </w:rPr>
        <w:t>的专用标准。</w:t>
      </w:r>
    </w:p>
    <w:p>
      <w:pPr>
        <w:pStyle w:val="15"/>
        <w:spacing w:beforeLines="0" w:afterLines="0" w:line="440" w:lineRule="exact"/>
        <w:jc w:val="left"/>
        <w:outlineLvl w:val="9"/>
        <w:rPr>
          <w:rFonts w:asciiTheme="minorEastAsia" w:hAnsiTheme="minorEastAsia" w:eastAsiaTheme="minorEastAsia"/>
          <w:b/>
        </w:rPr>
      </w:pPr>
      <w:r>
        <w:rPr>
          <w:rFonts w:hint="eastAsia" w:asciiTheme="minorEastAsia" w:hAnsiTheme="minorEastAsia" w:eastAsiaTheme="minorEastAsia"/>
          <w:b/>
        </w:rPr>
        <w:t>3、项目编制组成员</w:t>
      </w:r>
    </w:p>
    <w:p>
      <w:pPr>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根据任务落实会会议精神，本项目的编制组由浙江天宁合金材料有限公司负责起草，并由相关单位参加起草，组织相关单位组建了《接触线和绞线用铜及铜合金线坯》行业标准修订起草小组。</w:t>
      </w:r>
    </w:p>
    <w:p>
      <w:pPr>
        <w:pStyle w:val="15"/>
        <w:spacing w:beforeLines="0" w:afterLines="0" w:line="440" w:lineRule="exact"/>
        <w:jc w:val="left"/>
        <w:outlineLvl w:val="9"/>
        <w:rPr>
          <w:rFonts w:asciiTheme="minorEastAsia" w:hAnsiTheme="minorEastAsia" w:eastAsiaTheme="minorEastAsia"/>
          <w:b/>
        </w:rPr>
      </w:pPr>
      <w:r>
        <w:rPr>
          <w:rFonts w:hint="eastAsia" w:asciiTheme="minorEastAsia" w:hAnsiTheme="minorEastAsia" w:eastAsiaTheme="minorEastAsia"/>
          <w:b/>
        </w:rPr>
        <w:t>4、主编单位的技术基础</w:t>
      </w:r>
    </w:p>
    <w:p>
      <w:pPr>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本标准的负责主编起草单位浙江天宁合金材料有限公司，成立于2003年，是目前国内专业从事铜及铜合金生产、加工的铜加工企业之一，主要产品包括铜线、铜棒、铜管、铜带、接触线、承力索等。是全国有色标准化技术委员会重金属分会会员之一，累计参与起草国家/行业标准2项，拥有有效专利17项。</w:t>
      </w:r>
    </w:p>
    <w:p>
      <w:pPr>
        <w:spacing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浙江天宁合金材料有限公司生产的时速160km/h及以下铜及铜合金接触线、承力索于2015年12月通过浙江省新产品/新技术鉴定，时速300-350km/h铜及铜合金接触线、承力索于2017年5月通过浙江省新产品/新技术鉴定，技术水平处国内先进水平。具备了起草本行业标准的技术基础。</w:t>
      </w:r>
    </w:p>
    <w:p>
      <w:pPr>
        <w:pStyle w:val="15"/>
        <w:spacing w:beforeLines="0" w:afterLines="0" w:line="440" w:lineRule="exact"/>
        <w:jc w:val="left"/>
        <w:outlineLvl w:val="9"/>
        <w:rPr>
          <w:rFonts w:asciiTheme="minorEastAsia" w:hAnsiTheme="minorEastAsia" w:eastAsiaTheme="minorEastAsia"/>
          <w:b/>
        </w:rPr>
      </w:pPr>
      <w:r>
        <w:rPr>
          <w:rFonts w:hint="eastAsia" w:asciiTheme="minorEastAsia" w:hAnsiTheme="minorEastAsia" w:eastAsiaTheme="minorEastAsia"/>
          <w:b/>
        </w:rPr>
        <w:t>5、主要工作过程</w:t>
      </w:r>
    </w:p>
    <w:p>
      <w:pPr>
        <w:pStyle w:val="5"/>
        <w:spacing w:line="440" w:lineRule="exact"/>
        <w:ind w:left="0" w:leftChars="0" w:firstLine="420" w:firstLineChars="200"/>
        <w:rPr>
          <w:rFonts w:hint="eastAsia" w:asciiTheme="minorEastAsia" w:hAnsiTheme="minorEastAsia" w:eastAsiaTheme="minorEastAsia"/>
        </w:rPr>
      </w:pPr>
      <w:r>
        <w:rPr>
          <w:rFonts w:hint="eastAsia" w:asciiTheme="minorEastAsia" w:hAnsiTheme="minorEastAsia" w:eastAsiaTheme="minorEastAsia"/>
        </w:rPr>
        <w:t>标准制订计划任务正式下达后，浙江天宁合金材料有限公司立即成立了标准修订编制小组，并落实起草任务，确定标准的主要起草人，拟定该标准的工作计划。研究整理了本企业产品的技术要求及产品使用现状，并会同营销、技术人员对“接触线和绞线用铜及铜合金线坯”产业状况进行调研，全面、准确地了解了国内“接触线和绞线用铜及铜合金线坯”生产整体水平和现状。依据大量技术资料，以及历次标准会议讨论，于2017年12月形成了本标准审定稿。</w:t>
      </w:r>
    </w:p>
    <w:p>
      <w:pPr>
        <w:pStyle w:val="5"/>
        <w:spacing w:line="440" w:lineRule="exact"/>
        <w:ind w:left="0" w:leftChars="0" w:firstLine="420" w:firstLineChars="200"/>
        <w:rPr>
          <w:rFonts w:hint="eastAsia" w:asciiTheme="minorEastAsia" w:hAnsiTheme="minorEastAsia" w:eastAsiaTheme="minorEastAsia"/>
          <w:lang w:eastAsia="zh-CN"/>
        </w:rPr>
      </w:pPr>
      <w:r>
        <w:rPr>
          <w:rFonts w:hint="eastAsia" w:asciiTheme="minorEastAsia" w:hAnsiTheme="minorEastAsia" w:eastAsiaTheme="minorEastAsia"/>
          <w:color w:val="0000FF"/>
          <w:lang w:eastAsia="zh-CN"/>
        </w:rPr>
        <w:t>征求意见的情况、开了几次会议的情况、讨论稿、预审稿形成的时间都要说明？（见范例）</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标准编制原则</w:t>
      </w:r>
    </w:p>
    <w:p>
      <w:pPr>
        <w:widowControl/>
        <w:spacing w:line="44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本标准起草单位自接受起草任务后，成立了本系列标准编制工作组，负责收集生产统计、检验数据、市场需求及客户要求等信息。初步确定了《</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0"/>
          <w:szCs w:val="20"/>
        </w:rPr>
        <w:t>》标准起草所遵循的基本原则和编制依据：</w:t>
      </w:r>
    </w:p>
    <w:p>
      <w:pPr>
        <w:widowControl/>
        <w:spacing w:line="440" w:lineRule="exact"/>
        <w:ind w:firstLine="420" w:firstLineChars="200"/>
        <w:jc w:val="left"/>
        <w:rPr>
          <w:rFonts w:asciiTheme="minorEastAsia" w:hAnsiTheme="minorEastAsia" w:eastAsiaTheme="minorEastAsia"/>
          <w:kern w:val="0"/>
          <w:szCs w:val="20"/>
        </w:rPr>
      </w:pPr>
      <w:bookmarkStart w:id="0" w:name="OLE_LINK7"/>
      <w:r>
        <w:rPr>
          <w:rFonts w:hint="eastAsia" w:asciiTheme="minorEastAsia" w:hAnsiTheme="minorEastAsia" w:eastAsiaTheme="minorEastAsia"/>
          <w:kern w:val="0"/>
          <w:szCs w:val="20"/>
        </w:rPr>
        <w:t>1）查阅相关标准和国内外客户的相关技术要求；</w:t>
      </w:r>
    </w:p>
    <w:p>
      <w:pPr>
        <w:widowControl/>
        <w:spacing w:line="44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2）根据国内外</w:t>
      </w:r>
      <w:r>
        <w:rPr>
          <w:rFonts w:hint="eastAsia" w:asciiTheme="minorEastAsia" w:hAnsiTheme="minorEastAsia" w:eastAsiaTheme="minorEastAsia"/>
        </w:rPr>
        <w:t>接触线和绞线用铜及铜合金线坯生产</w:t>
      </w:r>
      <w:r>
        <w:rPr>
          <w:rFonts w:hint="eastAsia" w:asciiTheme="minorEastAsia" w:hAnsiTheme="minorEastAsia" w:eastAsiaTheme="minorEastAsia"/>
          <w:kern w:val="0"/>
          <w:szCs w:val="20"/>
        </w:rPr>
        <w:t>企业具体情况，力求做到标准的合理性与实用性；</w:t>
      </w:r>
    </w:p>
    <w:p>
      <w:pPr>
        <w:widowControl/>
        <w:spacing w:line="44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3）根据技术发展水平及测试数据确定技术指标取值范围；</w:t>
      </w:r>
    </w:p>
    <w:p>
      <w:pPr>
        <w:widowControl/>
        <w:spacing w:line="440" w:lineRule="exact"/>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 xml:space="preserve">    4）完全按照GB/T 1.1和有色加工产品标准和国家行业标准编写示例的要求格式和结构进行编写。</w:t>
      </w:r>
      <w:bookmarkEnd w:id="0"/>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确定标准主要技术指标的依据</w:t>
      </w:r>
    </w:p>
    <w:p>
      <w:pPr>
        <w:spacing w:line="360" w:lineRule="exact"/>
        <w:ind w:firstLine="420" w:firstLineChars="200"/>
        <w:rPr>
          <w:rFonts w:ascii="宋体" w:hAnsi="宋体"/>
        </w:rPr>
      </w:pPr>
      <w:r>
        <w:rPr>
          <w:rFonts w:hint="eastAsia" w:ascii="宋体" w:hAnsi="宋体"/>
        </w:rPr>
        <w:t>本标准针对电气化铁路、轨道交通用接触线、绞线线坯的要求制定，是生产接触线和绞线坯料的标准。</w:t>
      </w:r>
    </w:p>
    <w:p>
      <w:pPr>
        <w:spacing w:line="360" w:lineRule="auto"/>
        <w:ind w:firstLine="420" w:firstLineChars="200"/>
        <w:rPr>
          <w:rFonts w:asciiTheme="minorEastAsia" w:hAnsiTheme="minorEastAsia" w:eastAsiaTheme="minorEastAsia"/>
          <w:b/>
          <w:szCs w:val="21"/>
        </w:rPr>
      </w:pPr>
      <w:r>
        <w:rPr>
          <w:rFonts w:hint="eastAsia" w:ascii="宋体" w:hAnsi="宋体"/>
        </w:rPr>
        <w:t>本标准参考了TB/T 2809《电气化铁道用铜及铜合金接触线》、TB/T 3111《电气化铁道用铜及铜合金绞线》以及GB/T 3952-2008《电工用铜线坯》中的有关内容制定。</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1、 牌号的确定</w:t>
      </w:r>
    </w:p>
    <w:p>
      <w:pPr>
        <w:spacing w:line="440" w:lineRule="exact"/>
        <w:ind w:firstLine="315" w:firstLineChars="150"/>
        <w:jc w:val="left"/>
        <w:rPr>
          <w:rFonts w:asciiTheme="minorEastAsia" w:hAnsiTheme="minorEastAsia" w:eastAsiaTheme="minorEastAsia"/>
        </w:rPr>
      </w:pPr>
      <w:r>
        <w:rPr>
          <w:rFonts w:hint="eastAsia" w:asciiTheme="minorEastAsia" w:hAnsiTheme="minorEastAsia" w:eastAsiaTheme="minorEastAsia"/>
        </w:rPr>
        <w:t>本标准根据目前接触线和绞线用铜及铜合金线坯产品的生产实际和市场应用情况，以及最新的铁路产品标准变化情况，经过市场调研、数据收集和资料分析，确定了纯铜、铜银合金、铜镁合金、铜锡合金为本标准牌号的主要构成，确定了TU2、T2、TAg0.1、TSn0.1、TSn0.3、TSn0.5、TMg0.15、TMg0.35、TMg0.45等10个牌号。牌号来源于铁路标准。</w:t>
      </w:r>
    </w:p>
    <w:p>
      <w:pPr>
        <w:spacing w:line="360" w:lineRule="auto"/>
        <w:rPr>
          <w:rFonts w:asciiTheme="minorEastAsia" w:hAnsiTheme="minorEastAsia" w:eastAsiaTheme="minorEastAsia"/>
          <w:b/>
          <w:bCs/>
        </w:rPr>
      </w:pPr>
      <w:r>
        <w:rPr>
          <w:rFonts w:asciiTheme="minorEastAsia" w:hAnsiTheme="minorEastAsia" w:eastAsiaTheme="minorEastAsia"/>
          <w:b/>
          <w:bCs/>
        </w:rPr>
        <w:t>2</w:t>
      </w:r>
      <w:r>
        <w:rPr>
          <w:rFonts w:hint="eastAsia" w:asciiTheme="minorEastAsia" w:hAnsiTheme="minorEastAsia" w:eastAsiaTheme="minorEastAsia"/>
          <w:b/>
          <w:bCs/>
        </w:rPr>
        <w:t>、供应</w:t>
      </w:r>
      <w:r>
        <w:rPr>
          <w:rFonts w:asciiTheme="minorEastAsia" w:hAnsiTheme="minorEastAsia" w:eastAsiaTheme="minorEastAsia"/>
          <w:b/>
          <w:bCs/>
        </w:rPr>
        <w:t xml:space="preserve">状态的确定 </w:t>
      </w:r>
    </w:p>
    <w:p>
      <w:pPr>
        <w:spacing w:line="44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针对用户使用的成品，结合GB/T 29094-2012《铜及铜合金状态表示方法》，确定了本标准规定的接触线和绞线用铜及铜合金线坯的主要状态为连续铸造（M07），连续挤压（M30），连铸连轧（M20）。</w:t>
      </w:r>
    </w:p>
    <w:p>
      <w:pPr>
        <w:spacing w:line="360" w:lineRule="auto"/>
        <w:rPr>
          <w:rFonts w:asciiTheme="minorEastAsia" w:hAnsiTheme="minorEastAsia" w:eastAsiaTheme="minorEastAsia"/>
          <w:b/>
        </w:rPr>
      </w:pPr>
      <w:r>
        <w:rPr>
          <w:rFonts w:hint="eastAsia" w:asciiTheme="minorEastAsia" w:hAnsiTheme="minorEastAsia" w:eastAsiaTheme="minorEastAsia"/>
          <w:b/>
        </w:rPr>
        <w:t>3、规格范围</w:t>
      </w:r>
    </w:p>
    <w:p>
      <w:pPr>
        <w:spacing w:line="44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本标准根据市场上用户对接触线和绞线用铜及铜合金线坯的使用要求，以及实际生产控制水平，确定本标准规定的接触线和绞线用铜及铜合金线坯的直径为：8-35mm。</w:t>
      </w:r>
    </w:p>
    <w:p>
      <w:pPr>
        <w:spacing w:line="440" w:lineRule="exact"/>
        <w:jc w:val="left"/>
        <w:rPr>
          <w:rFonts w:asciiTheme="minorEastAsia" w:hAnsiTheme="minorEastAsia" w:eastAsiaTheme="minorEastAsia"/>
          <w:b/>
          <w:color w:val="00B0F0"/>
          <w:kern w:val="0"/>
          <w:szCs w:val="20"/>
        </w:rPr>
      </w:pPr>
      <w:r>
        <w:rPr>
          <w:rFonts w:hint="eastAsia" w:asciiTheme="minorEastAsia" w:hAnsiTheme="minorEastAsia" w:eastAsiaTheme="minorEastAsia"/>
          <w:b/>
          <w:kern w:val="0"/>
          <w:szCs w:val="20"/>
        </w:rPr>
        <w:t>4、外形</w:t>
      </w:r>
      <w:r>
        <w:rPr>
          <w:rFonts w:asciiTheme="minorEastAsia" w:hAnsiTheme="minorEastAsia" w:eastAsiaTheme="minorEastAsia"/>
          <w:b/>
          <w:kern w:val="0"/>
          <w:szCs w:val="20"/>
        </w:rPr>
        <w:t>尺寸及允许偏差的确定</w:t>
      </w:r>
      <w:r>
        <w:rPr>
          <w:rFonts w:hint="eastAsia" w:asciiTheme="minorEastAsia" w:hAnsiTheme="minorEastAsia" w:eastAsiaTheme="minorEastAsia"/>
          <w:b/>
          <w:color w:val="00B0F0"/>
          <w:kern w:val="0"/>
          <w:szCs w:val="20"/>
          <w:lang w:eastAsia="zh-CN"/>
        </w:rPr>
        <w:t>（太简单，应有对比）</w:t>
      </w:r>
    </w:p>
    <w:p>
      <w:pPr>
        <w:widowControl/>
        <w:tabs>
          <w:tab w:val="left" w:pos="360"/>
          <w:tab w:val="left" w:pos="1740"/>
          <w:tab w:val="left" w:pos="2160"/>
        </w:tabs>
        <w:spacing w:line="360" w:lineRule="auto"/>
        <w:outlineLvl w:val="3"/>
        <w:rPr>
          <w:rFonts w:asciiTheme="minorEastAsia" w:hAnsiTheme="minorEastAsia" w:eastAsiaTheme="minorEastAsia"/>
          <w:kern w:val="0"/>
          <w:szCs w:val="20"/>
        </w:rPr>
      </w:pPr>
      <w:r>
        <w:rPr>
          <w:rFonts w:hint="eastAsia" w:asciiTheme="minorEastAsia" w:hAnsiTheme="minorEastAsia" w:eastAsiaTheme="minorEastAsia"/>
          <w:color w:val="FF0000"/>
          <w:kern w:val="0"/>
          <w:szCs w:val="21"/>
        </w:rPr>
        <w:t xml:space="preserve">     </w:t>
      </w:r>
      <w:r>
        <w:rPr>
          <w:rFonts w:hint="eastAsia" w:asciiTheme="minorEastAsia" w:hAnsiTheme="minorEastAsia" w:eastAsiaTheme="minorEastAsia"/>
          <w:kern w:val="0"/>
          <w:szCs w:val="20"/>
        </w:rPr>
        <w:t>本标准外形尺寸及尺寸允许偏差根据接触线和绞线用铜及铜合金线坯生产实际制定。</w:t>
      </w:r>
    </w:p>
    <w:p>
      <w:pPr>
        <w:spacing w:line="360" w:lineRule="auto"/>
        <w:rPr>
          <w:rFonts w:asciiTheme="minorEastAsia" w:hAnsiTheme="minorEastAsia" w:eastAsiaTheme="minorEastAsia"/>
          <w:b/>
          <w:bCs/>
          <w:szCs w:val="20"/>
        </w:rPr>
      </w:pPr>
      <w:r>
        <w:rPr>
          <w:rFonts w:hint="eastAsia" w:asciiTheme="minorEastAsia" w:hAnsiTheme="minorEastAsia" w:eastAsiaTheme="minorEastAsia"/>
          <w:b/>
          <w:bCs/>
          <w:szCs w:val="20"/>
        </w:rPr>
        <w:t>5、力学性能</w:t>
      </w:r>
      <w:r>
        <w:rPr>
          <w:rFonts w:hint="eastAsia" w:asciiTheme="minorEastAsia" w:hAnsiTheme="minorEastAsia" w:eastAsiaTheme="minorEastAsia"/>
          <w:b/>
          <w:color w:val="00B0F0"/>
          <w:kern w:val="0"/>
          <w:szCs w:val="20"/>
          <w:lang w:eastAsia="zh-CN"/>
        </w:rPr>
        <w:t>（应有对比）</w:t>
      </w:r>
    </w:p>
    <w:p>
      <w:pPr>
        <w:spacing w:line="440" w:lineRule="exact"/>
        <w:ind w:firstLine="420" w:firstLineChars="200"/>
        <w:rPr>
          <w:rFonts w:ascii="宋体" w:hAnsi="宋体" w:cs="宋体"/>
        </w:rPr>
      </w:pPr>
      <w:r>
        <w:rPr>
          <w:rFonts w:hint="eastAsia" w:asciiTheme="minorEastAsia" w:hAnsiTheme="minorEastAsia" w:eastAsiaTheme="minorEastAsia"/>
        </w:rPr>
        <w:t>本标准力学性能是根据目前</w:t>
      </w:r>
      <w:r>
        <w:rPr>
          <w:rFonts w:hint="eastAsia" w:asciiTheme="minorEastAsia" w:hAnsiTheme="minorEastAsia" w:eastAsiaTheme="minorEastAsia"/>
          <w:kern w:val="0"/>
          <w:szCs w:val="20"/>
        </w:rPr>
        <w:t>接触线和绞线用铜及铜合金线坯</w:t>
      </w:r>
      <w:r>
        <w:rPr>
          <w:rFonts w:hint="eastAsia" w:asciiTheme="minorEastAsia" w:hAnsiTheme="minorEastAsia" w:eastAsiaTheme="minorEastAsia"/>
        </w:rPr>
        <w:t>产品的市场应用情况，以及</w:t>
      </w:r>
      <w:r>
        <w:rPr>
          <w:rFonts w:hint="eastAsia" w:ascii="宋体" w:hAnsi="宋体" w:cs="宋体"/>
        </w:rPr>
        <w:t>相关企业的实际生产情况，</w:t>
      </w:r>
      <w:r>
        <w:rPr>
          <w:rFonts w:hint="eastAsia" w:asciiTheme="minorEastAsia" w:hAnsiTheme="minorEastAsia" w:eastAsiaTheme="minorEastAsia"/>
        </w:rPr>
        <w:t>参考YS/T 649-2007等标准规范制定。</w:t>
      </w:r>
      <w:r>
        <w:rPr>
          <w:rFonts w:hint="eastAsia" w:ascii="宋体" w:hAnsi="宋体" w:cs="宋体"/>
        </w:rPr>
        <w:t>各单位具体情况如下：</w:t>
      </w:r>
    </w:p>
    <w:p>
      <w:pPr>
        <w:spacing w:line="440" w:lineRule="exact"/>
        <w:ind w:firstLine="420" w:firstLineChars="200"/>
        <w:jc w:val="center"/>
        <w:rPr>
          <w:rFonts w:ascii="宋体" w:hAnsi="宋体" w:cs="宋体"/>
        </w:rPr>
      </w:pPr>
      <w:r>
        <w:rPr>
          <w:rFonts w:hint="eastAsia" w:ascii="宋体" w:hAnsi="宋体" w:cs="宋体"/>
        </w:rPr>
        <w:t>表1 各公司接触线和绞线用铜及铜合金线坯产品力学性能</w:t>
      </w:r>
    </w:p>
    <w:tbl>
      <w:tblPr>
        <w:tblStyle w:val="12"/>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502"/>
        <w:gridCol w:w="1227"/>
        <w:gridCol w:w="1227"/>
        <w:gridCol w:w="1227"/>
        <w:gridCol w:w="1228"/>
        <w:gridCol w:w="122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79" w:type="dxa"/>
            <w:vMerge w:val="restart"/>
            <w:vAlign w:val="center"/>
          </w:tcPr>
          <w:p>
            <w:pPr>
              <w:jc w:val="center"/>
              <w:rPr>
                <w:rFonts w:ascii="宋体" w:hAnsi="宋体"/>
                <w:sz w:val="18"/>
              </w:rPr>
            </w:pPr>
            <w:r>
              <w:rPr>
                <w:rFonts w:hint="eastAsia" w:ascii="宋体" w:hAnsi="宋体"/>
                <w:sz w:val="18"/>
              </w:rPr>
              <w:t>牌号</w:t>
            </w:r>
          </w:p>
        </w:tc>
        <w:tc>
          <w:tcPr>
            <w:tcW w:w="1502" w:type="dxa"/>
            <w:vMerge w:val="restart"/>
            <w:vAlign w:val="center"/>
          </w:tcPr>
          <w:p>
            <w:pPr>
              <w:jc w:val="center"/>
              <w:rPr>
                <w:rFonts w:ascii="宋体" w:hAnsi="宋体"/>
                <w:sz w:val="18"/>
              </w:rPr>
            </w:pPr>
            <w:r>
              <w:rPr>
                <w:rFonts w:hint="eastAsia" w:ascii="宋体" w:hAnsi="宋体"/>
                <w:sz w:val="18"/>
              </w:rPr>
              <w:t>状态</w:t>
            </w:r>
          </w:p>
        </w:tc>
        <w:tc>
          <w:tcPr>
            <w:tcW w:w="3681" w:type="dxa"/>
            <w:gridSpan w:val="3"/>
            <w:vAlign w:val="center"/>
          </w:tcPr>
          <w:p>
            <w:pPr>
              <w:widowControl/>
              <w:tabs>
                <w:tab w:val="left" w:pos="360"/>
              </w:tabs>
              <w:adjustRightInd w:val="0"/>
              <w:snapToGrid w:val="0"/>
              <w:jc w:val="center"/>
              <w:rPr>
                <w:rFonts w:ascii="宋体" w:hAnsi="宋体"/>
                <w:sz w:val="18"/>
                <w:szCs w:val="22"/>
              </w:rPr>
            </w:pPr>
            <w:r>
              <w:rPr>
                <w:rFonts w:hint="eastAsia" w:ascii="宋体" w:hAnsi="宋体"/>
                <w:sz w:val="18"/>
                <w:szCs w:val="22"/>
              </w:rPr>
              <w:t>抗拉强度Rm</w:t>
            </w:r>
          </w:p>
          <w:p>
            <w:pPr>
              <w:widowControl/>
              <w:tabs>
                <w:tab w:val="left" w:pos="360"/>
              </w:tabs>
              <w:adjustRightInd w:val="0"/>
              <w:snapToGrid w:val="0"/>
              <w:jc w:val="center"/>
              <w:rPr>
                <w:rFonts w:ascii="宋体" w:hAnsi="宋体"/>
                <w:sz w:val="18"/>
                <w:szCs w:val="22"/>
              </w:rPr>
            </w:pPr>
            <w:r>
              <w:rPr>
                <w:rFonts w:hint="eastAsia" w:ascii="宋体" w:hAnsi="宋体"/>
                <w:sz w:val="18"/>
                <w:szCs w:val="22"/>
              </w:rPr>
              <w:t>M</w:t>
            </w:r>
            <w:r>
              <w:rPr>
                <w:rFonts w:ascii="宋体" w:hAnsi="宋体"/>
                <w:sz w:val="18"/>
                <w:szCs w:val="22"/>
              </w:rPr>
              <w:t>p</w:t>
            </w:r>
            <w:r>
              <w:rPr>
                <w:rFonts w:hint="eastAsia" w:ascii="宋体" w:hAnsi="宋体"/>
                <w:sz w:val="18"/>
                <w:szCs w:val="22"/>
              </w:rPr>
              <w:t>a</w:t>
            </w:r>
          </w:p>
        </w:tc>
        <w:tc>
          <w:tcPr>
            <w:tcW w:w="3685" w:type="dxa"/>
            <w:gridSpan w:val="3"/>
            <w:vAlign w:val="center"/>
          </w:tcPr>
          <w:p>
            <w:pPr>
              <w:widowControl/>
              <w:tabs>
                <w:tab w:val="left" w:pos="360"/>
              </w:tabs>
              <w:adjustRightInd w:val="0"/>
              <w:snapToGrid w:val="0"/>
              <w:jc w:val="center"/>
              <w:rPr>
                <w:rFonts w:ascii="宋体" w:hAnsi="宋体"/>
                <w:sz w:val="18"/>
                <w:szCs w:val="22"/>
              </w:rPr>
            </w:pPr>
            <w:r>
              <w:rPr>
                <w:rFonts w:hint="eastAsia" w:ascii="宋体" w:hAnsi="宋体"/>
                <w:sz w:val="18"/>
              </w:rPr>
              <w:t>断</w:t>
            </w:r>
            <w:r>
              <w:rPr>
                <w:rFonts w:hint="eastAsia" w:ascii="宋体" w:hAnsi="宋体"/>
                <w:sz w:val="18"/>
                <w:szCs w:val="22"/>
              </w:rPr>
              <w:t>后伸长率</w:t>
            </w:r>
            <w:r>
              <w:rPr>
                <w:rFonts w:hint="eastAsia" w:ascii="宋体" w:hAnsi="宋体"/>
                <w:sz w:val="18"/>
              </w:rPr>
              <w:t>A</w:t>
            </w:r>
            <w:r>
              <w:rPr>
                <w:rFonts w:hint="eastAsia" w:ascii="宋体" w:hAnsi="宋体"/>
                <w:sz w:val="18"/>
                <w:vertAlign w:val="subscript"/>
              </w:rPr>
              <w:t>200mm</w:t>
            </w:r>
          </w:p>
          <w:p>
            <w:pPr>
              <w:widowControl/>
              <w:tabs>
                <w:tab w:val="left" w:pos="360"/>
              </w:tabs>
              <w:adjustRightInd w:val="0"/>
              <w:snapToGrid w:val="0"/>
              <w:jc w:val="center"/>
              <w:rPr>
                <w:rFonts w:ascii="宋体" w:hAnsi="宋体"/>
                <w:sz w:val="18"/>
                <w:szCs w:val="22"/>
              </w:rPr>
            </w:pPr>
            <w:r>
              <w:rPr>
                <w:rFonts w:hint="eastAsia" w:ascii="宋体" w:hAnsi="宋体"/>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879" w:type="dxa"/>
            <w:vMerge w:val="continue"/>
            <w:vAlign w:val="center"/>
          </w:tcPr>
          <w:p>
            <w:pPr>
              <w:jc w:val="center"/>
              <w:rPr>
                <w:rFonts w:ascii="宋体" w:hAnsi="宋体"/>
                <w:sz w:val="18"/>
              </w:rPr>
            </w:pPr>
          </w:p>
        </w:tc>
        <w:tc>
          <w:tcPr>
            <w:tcW w:w="1502" w:type="dxa"/>
            <w:vMerge w:val="continue"/>
            <w:vAlign w:val="center"/>
          </w:tcPr>
          <w:p>
            <w:pPr>
              <w:jc w:val="center"/>
              <w:rPr>
                <w:rFonts w:ascii="宋体" w:hAnsi="宋体"/>
                <w:sz w:val="18"/>
              </w:rPr>
            </w:pPr>
          </w:p>
        </w:tc>
        <w:tc>
          <w:tcPr>
            <w:tcW w:w="1227" w:type="dxa"/>
            <w:vAlign w:val="center"/>
          </w:tcPr>
          <w:p>
            <w:pPr>
              <w:widowControl/>
              <w:tabs>
                <w:tab w:val="left" w:pos="360"/>
              </w:tabs>
              <w:adjustRightInd w:val="0"/>
              <w:snapToGrid w:val="0"/>
              <w:jc w:val="center"/>
              <w:rPr>
                <w:rFonts w:ascii="宋体" w:hAnsi="宋体"/>
                <w:sz w:val="18"/>
              </w:rPr>
            </w:pPr>
            <w:r>
              <w:rPr>
                <w:rFonts w:hint="eastAsia" w:ascii="宋体" w:hAnsi="宋体"/>
                <w:sz w:val="18"/>
              </w:rPr>
              <w:t>浙江天宁</w:t>
            </w:r>
          </w:p>
        </w:tc>
        <w:tc>
          <w:tcPr>
            <w:tcW w:w="1227" w:type="dxa"/>
            <w:vAlign w:val="center"/>
          </w:tcPr>
          <w:p>
            <w:pPr>
              <w:widowControl/>
              <w:tabs>
                <w:tab w:val="left" w:pos="360"/>
              </w:tabs>
              <w:adjustRightInd w:val="0"/>
              <w:snapToGrid w:val="0"/>
              <w:jc w:val="center"/>
              <w:rPr>
                <w:rFonts w:ascii="宋体" w:hAnsi="宋体"/>
                <w:sz w:val="18"/>
              </w:rPr>
            </w:pPr>
            <w:r>
              <w:rPr>
                <w:rFonts w:ascii="宋体" w:hAnsi="宋体"/>
                <w:sz w:val="18"/>
              </w:rPr>
              <w:t>山东祥瑞</w:t>
            </w:r>
          </w:p>
        </w:tc>
        <w:tc>
          <w:tcPr>
            <w:tcW w:w="1227" w:type="dxa"/>
            <w:vAlign w:val="center"/>
          </w:tcPr>
          <w:p>
            <w:pPr>
              <w:widowControl/>
              <w:tabs>
                <w:tab w:val="left" w:pos="360"/>
              </w:tabs>
              <w:adjustRightInd w:val="0"/>
              <w:snapToGrid w:val="0"/>
              <w:jc w:val="center"/>
              <w:rPr>
                <w:rFonts w:ascii="宋体" w:hAnsi="宋体"/>
                <w:sz w:val="18"/>
              </w:rPr>
            </w:pPr>
            <w:r>
              <w:rPr>
                <w:rFonts w:ascii="宋体" w:hAnsi="宋体"/>
                <w:sz w:val="18"/>
              </w:rPr>
              <w:t>山东天圆</w:t>
            </w:r>
          </w:p>
        </w:tc>
        <w:tc>
          <w:tcPr>
            <w:tcW w:w="1228" w:type="dxa"/>
            <w:vAlign w:val="center"/>
          </w:tcPr>
          <w:p>
            <w:pPr>
              <w:widowControl/>
              <w:tabs>
                <w:tab w:val="left" w:pos="360"/>
              </w:tabs>
              <w:adjustRightInd w:val="0"/>
              <w:snapToGrid w:val="0"/>
              <w:jc w:val="center"/>
              <w:rPr>
                <w:rFonts w:ascii="宋体" w:hAnsi="宋体"/>
                <w:sz w:val="18"/>
              </w:rPr>
            </w:pPr>
            <w:r>
              <w:rPr>
                <w:rFonts w:hint="eastAsia" w:ascii="宋体" w:hAnsi="宋体"/>
                <w:sz w:val="18"/>
              </w:rPr>
              <w:t>浙江天宁</w:t>
            </w:r>
          </w:p>
        </w:tc>
        <w:tc>
          <w:tcPr>
            <w:tcW w:w="1228" w:type="dxa"/>
            <w:vAlign w:val="center"/>
          </w:tcPr>
          <w:p>
            <w:pPr>
              <w:widowControl/>
              <w:tabs>
                <w:tab w:val="left" w:pos="360"/>
              </w:tabs>
              <w:adjustRightInd w:val="0"/>
              <w:snapToGrid w:val="0"/>
              <w:jc w:val="center"/>
              <w:rPr>
                <w:rFonts w:ascii="宋体" w:hAnsi="宋体"/>
                <w:sz w:val="18"/>
              </w:rPr>
            </w:pPr>
            <w:r>
              <w:rPr>
                <w:rFonts w:ascii="宋体" w:hAnsi="宋体"/>
                <w:sz w:val="18"/>
              </w:rPr>
              <w:t>山东祥瑞</w:t>
            </w:r>
          </w:p>
        </w:tc>
        <w:tc>
          <w:tcPr>
            <w:tcW w:w="1229" w:type="dxa"/>
            <w:vAlign w:val="center"/>
          </w:tcPr>
          <w:p>
            <w:pPr>
              <w:widowControl/>
              <w:tabs>
                <w:tab w:val="left" w:pos="360"/>
              </w:tabs>
              <w:adjustRightInd w:val="0"/>
              <w:snapToGrid w:val="0"/>
              <w:jc w:val="center"/>
              <w:rPr>
                <w:rFonts w:ascii="宋体" w:hAnsi="宋体"/>
                <w:sz w:val="18"/>
              </w:rPr>
            </w:pPr>
            <w:r>
              <w:rPr>
                <w:rFonts w:ascii="宋体" w:hAnsi="宋体"/>
                <w:sz w:val="18"/>
              </w:rPr>
              <w:t>山东天圆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79" w:type="dxa"/>
            <w:vMerge w:val="restart"/>
            <w:vAlign w:val="center"/>
          </w:tcPr>
          <w:p>
            <w:pPr>
              <w:jc w:val="center"/>
              <w:rPr>
                <w:rFonts w:ascii="宋体" w:hAnsi="宋体"/>
                <w:sz w:val="18"/>
                <w:szCs w:val="18"/>
              </w:rPr>
            </w:pPr>
            <w:r>
              <w:rPr>
                <w:rFonts w:hint="eastAsia" w:ascii="宋体" w:hAnsi="宋体"/>
                <w:sz w:val="18"/>
                <w:szCs w:val="18"/>
              </w:rPr>
              <w:t>TU2、T2</w:t>
            </w:r>
          </w:p>
          <w:p>
            <w:pPr>
              <w:jc w:val="center"/>
              <w:rPr>
                <w:rFonts w:ascii="宋体" w:hAnsi="宋体"/>
                <w:sz w:val="18"/>
              </w:rPr>
            </w:pPr>
            <w:r>
              <w:rPr>
                <w:rFonts w:hint="eastAsia" w:ascii="宋体" w:hAnsi="宋体"/>
                <w:sz w:val="18"/>
                <w:szCs w:val="18"/>
              </w:rPr>
              <w:t>TAg0.1</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jc w:val="center"/>
              <w:rPr>
                <w:rFonts w:ascii="宋体" w:hAnsi="宋体"/>
                <w:sz w:val="18"/>
                <w:szCs w:val="18"/>
              </w:rPr>
            </w:pPr>
            <w:r>
              <w:rPr>
                <w:rFonts w:hint="eastAsia" w:ascii="宋体" w:hAnsi="宋体"/>
                <w:sz w:val="18"/>
                <w:szCs w:val="18"/>
              </w:rPr>
              <w:t>≥205</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≥186</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≥170</w:t>
            </w:r>
          </w:p>
        </w:tc>
        <w:tc>
          <w:tcPr>
            <w:tcW w:w="1228" w:type="dxa"/>
            <w:vAlign w:val="center"/>
          </w:tcPr>
          <w:p>
            <w:pPr>
              <w:pStyle w:val="16"/>
              <w:widowControl w:val="0"/>
              <w:ind w:firstLine="0" w:firstLineChars="0"/>
              <w:jc w:val="center"/>
              <w:rPr>
                <w:rFonts w:hAnsi="宋体"/>
                <w:kern w:val="2"/>
                <w:sz w:val="18"/>
                <w:szCs w:val="18"/>
              </w:rPr>
            </w:pPr>
            <w:r>
              <w:rPr>
                <w:rFonts w:hint="eastAsia" w:hAnsi="宋体"/>
                <w:kern w:val="2"/>
                <w:sz w:val="18"/>
                <w:szCs w:val="18"/>
              </w:rPr>
              <w:t>≥30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≥30</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≥300</w:t>
            </w:r>
          </w:p>
        </w:tc>
        <w:tc>
          <w:tcPr>
            <w:tcW w:w="1228" w:type="dxa"/>
            <w:vAlign w:val="center"/>
          </w:tcPr>
          <w:p>
            <w:pPr>
              <w:pStyle w:val="16"/>
              <w:tabs>
                <w:tab w:val="left" w:pos="360"/>
              </w:tabs>
              <w:adjustRightInd w:val="0"/>
              <w:snapToGrid w:val="0"/>
              <w:ind w:firstLine="0" w:firstLineChars="0"/>
              <w:jc w:val="center"/>
              <w:rPr>
                <w:rFonts w:hAnsi="宋体"/>
                <w:kern w:val="2"/>
                <w:sz w:val="18"/>
                <w:szCs w:val="18"/>
              </w:rPr>
            </w:pPr>
            <w:r>
              <w:rPr>
                <w:rFonts w:hint="eastAsia" w:hAnsi="宋体"/>
                <w:kern w:val="2"/>
                <w:sz w:val="18"/>
                <w:szCs w:val="18"/>
              </w:rPr>
              <w:t>—</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≥215</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≥210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≥210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≥40</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TSn0.1</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jc w:val="center"/>
              <w:rPr>
                <w:rFonts w:ascii="宋体" w:hAnsi="宋体"/>
                <w:sz w:val="18"/>
                <w:szCs w:val="18"/>
              </w:rPr>
            </w:pPr>
            <w:r>
              <w:rPr>
                <w:rFonts w:hint="eastAsia" w:ascii="宋体" w:hAnsi="宋体"/>
                <w:sz w:val="18"/>
                <w:szCs w:val="18"/>
              </w:rPr>
              <w:t>≥205</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≥186</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≥170</w:t>
            </w:r>
          </w:p>
        </w:tc>
        <w:tc>
          <w:tcPr>
            <w:tcW w:w="1228" w:type="dxa"/>
            <w:vAlign w:val="center"/>
          </w:tcPr>
          <w:p>
            <w:pPr>
              <w:pStyle w:val="16"/>
              <w:widowControl w:val="0"/>
              <w:ind w:firstLine="0" w:firstLineChars="0"/>
              <w:jc w:val="center"/>
              <w:rPr>
                <w:rFonts w:hAnsi="宋体"/>
                <w:kern w:val="2"/>
                <w:sz w:val="18"/>
                <w:szCs w:val="18"/>
              </w:rPr>
            </w:pPr>
            <w:r>
              <w:rPr>
                <w:rFonts w:hint="eastAsia" w:hAnsi="宋体"/>
                <w:kern w:val="2"/>
                <w:sz w:val="18"/>
                <w:szCs w:val="18"/>
              </w:rPr>
              <w:t>≥30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≥320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≥215</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≥210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≥210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≥40</w:t>
            </w:r>
          </w:p>
        </w:tc>
        <w:tc>
          <w:tcPr>
            <w:tcW w:w="1229"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TSn0.3</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≥205</w:t>
            </w:r>
          </w:p>
        </w:tc>
        <w:tc>
          <w:tcPr>
            <w:tcW w:w="1227" w:type="dxa"/>
            <w:vAlign w:val="center"/>
          </w:tcPr>
          <w:p>
            <w:pPr>
              <w:jc w:val="center"/>
              <w:rPr>
                <w:rFonts w:ascii="宋体" w:hAnsi="宋体"/>
                <w:sz w:val="18"/>
                <w:szCs w:val="18"/>
              </w:rPr>
            </w:pPr>
            <w:r>
              <w:rPr>
                <w:rFonts w:hint="eastAsia" w:ascii="宋体" w:hAnsi="宋体"/>
                <w:sz w:val="18"/>
                <w:szCs w:val="18"/>
              </w:rPr>
              <w:t>≥195</w:t>
            </w:r>
          </w:p>
        </w:tc>
        <w:tc>
          <w:tcPr>
            <w:tcW w:w="1227" w:type="dxa"/>
            <w:vAlign w:val="center"/>
          </w:tcPr>
          <w:p>
            <w:pPr>
              <w:jc w:val="center"/>
              <w:rPr>
                <w:rFonts w:ascii="宋体" w:hAnsi="宋体"/>
                <w:sz w:val="18"/>
                <w:szCs w:val="18"/>
              </w:rPr>
            </w:pPr>
            <w:r>
              <w:rPr>
                <w:rFonts w:hint="eastAsia" w:ascii="宋体" w:hAnsi="宋体"/>
                <w:sz w:val="18"/>
                <w:szCs w:val="18"/>
              </w:rPr>
              <w:t>≥175</w:t>
            </w:r>
          </w:p>
        </w:tc>
        <w:tc>
          <w:tcPr>
            <w:tcW w:w="1228" w:type="dxa"/>
            <w:vAlign w:val="center"/>
          </w:tcPr>
          <w:p>
            <w:pPr>
              <w:pStyle w:val="16"/>
              <w:widowControl w:val="0"/>
              <w:ind w:firstLine="0" w:firstLineChars="0"/>
              <w:jc w:val="center"/>
              <w:rPr>
                <w:rFonts w:hAnsi="宋体"/>
                <w:kern w:val="2"/>
                <w:sz w:val="18"/>
                <w:szCs w:val="18"/>
              </w:rPr>
            </w:pPr>
            <w:r>
              <w:rPr>
                <w:rFonts w:hint="eastAsia" w:hAnsi="宋体"/>
                <w:kern w:val="2"/>
                <w:sz w:val="18"/>
                <w:szCs w:val="18"/>
              </w:rPr>
              <w:t>≥30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9" w:type="dxa"/>
            <w:vAlign w:val="center"/>
          </w:tcPr>
          <w:p>
            <w:pPr>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≥380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≥40</w:t>
            </w:r>
          </w:p>
        </w:tc>
        <w:tc>
          <w:tcPr>
            <w:tcW w:w="1229" w:type="dxa"/>
            <w:vAlign w:val="center"/>
          </w:tcPr>
          <w:p>
            <w:pPr>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TSn0.5</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≥205</w:t>
            </w:r>
          </w:p>
        </w:tc>
        <w:tc>
          <w:tcPr>
            <w:tcW w:w="1227" w:type="dxa"/>
            <w:vAlign w:val="center"/>
          </w:tcPr>
          <w:p>
            <w:pPr>
              <w:jc w:val="center"/>
              <w:rPr>
                <w:rFonts w:ascii="宋体" w:hAnsi="宋体"/>
                <w:sz w:val="18"/>
                <w:szCs w:val="18"/>
              </w:rPr>
            </w:pPr>
            <w:r>
              <w:rPr>
                <w:rFonts w:hint="eastAsia" w:ascii="宋体" w:hAnsi="宋体"/>
                <w:sz w:val="18"/>
                <w:szCs w:val="18"/>
              </w:rPr>
              <w:t>≥195</w:t>
            </w:r>
          </w:p>
        </w:tc>
        <w:tc>
          <w:tcPr>
            <w:tcW w:w="1227" w:type="dxa"/>
            <w:vAlign w:val="center"/>
          </w:tcPr>
          <w:p>
            <w:pPr>
              <w:jc w:val="center"/>
              <w:rPr>
                <w:rFonts w:ascii="宋体" w:hAnsi="宋体"/>
                <w:sz w:val="18"/>
                <w:szCs w:val="18"/>
              </w:rPr>
            </w:pPr>
            <w:r>
              <w:rPr>
                <w:rFonts w:hint="eastAsia" w:ascii="宋体" w:hAnsi="宋体"/>
                <w:sz w:val="18"/>
                <w:szCs w:val="18"/>
              </w:rPr>
              <w:t>≥180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8" w:type="dxa"/>
            <w:vAlign w:val="center"/>
          </w:tcPr>
          <w:p>
            <w:pPr>
              <w:widowControl/>
              <w:tabs>
                <w:tab w:val="left" w:pos="360"/>
              </w:tabs>
              <w:adjustRightInd w:val="0"/>
              <w:snapToGrid w:val="0"/>
              <w:rPr>
                <w:rFonts w:ascii="宋体" w:hAnsi="宋体"/>
                <w:sz w:val="18"/>
                <w:szCs w:val="18"/>
              </w:rPr>
            </w:pPr>
            <w:r>
              <w:rPr>
                <w:rFonts w:hint="eastAsia" w:ascii="宋体" w:hAnsi="宋体"/>
                <w:sz w:val="18"/>
                <w:szCs w:val="18"/>
              </w:rPr>
              <w:t>≥30</w:t>
            </w:r>
          </w:p>
        </w:tc>
        <w:tc>
          <w:tcPr>
            <w:tcW w:w="1229" w:type="dxa"/>
            <w:vAlign w:val="center"/>
          </w:tcPr>
          <w:p>
            <w:pPr>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≥390</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8"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≥270</w:t>
            </w:r>
          </w:p>
        </w:tc>
        <w:tc>
          <w:tcPr>
            <w:tcW w:w="1227" w:type="dxa"/>
            <w:vAlign w:val="center"/>
          </w:tcPr>
          <w:p>
            <w:pPr>
              <w:jc w:val="center"/>
              <w:rPr>
                <w:rFonts w:ascii="宋体" w:hAnsi="宋体"/>
                <w:sz w:val="18"/>
                <w:szCs w:val="18"/>
              </w:rPr>
            </w:pPr>
            <w:r>
              <w:rPr>
                <w:rFonts w:hint="eastAsia" w:ascii="宋体" w:hAnsi="宋体"/>
                <w:sz w:val="18"/>
                <w:szCs w:val="18"/>
              </w:rPr>
              <w:t>≥260</w:t>
            </w:r>
          </w:p>
        </w:tc>
        <w:tc>
          <w:tcPr>
            <w:tcW w:w="1227" w:type="dxa"/>
            <w:vAlign w:val="center"/>
          </w:tcPr>
          <w:p>
            <w:pPr>
              <w:jc w:val="center"/>
              <w:rPr>
                <w:rFonts w:ascii="宋体" w:hAnsi="宋体"/>
                <w:sz w:val="18"/>
                <w:szCs w:val="18"/>
              </w:rPr>
            </w:pPr>
            <w:r>
              <w:rPr>
                <w:rFonts w:hint="eastAsia" w:ascii="宋体" w:hAnsi="宋体"/>
                <w:sz w:val="18"/>
                <w:szCs w:val="18"/>
              </w:rPr>
              <w:t>≥250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jc w:val="center"/>
            </w:pPr>
            <w:r>
              <w:rPr>
                <w:rFonts w:hint="eastAsia" w:ascii="宋体" w:hAnsi="宋体"/>
                <w:sz w:val="18"/>
                <w:szCs w:val="18"/>
              </w:rPr>
              <w:t>≥40</w:t>
            </w:r>
          </w:p>
        </w:tc>
        <w:tc>
          <w:tcPr>
            <w:tcW w:w="1229" w:type="dxa"/>
            <w:vAlign w:val="center"/>
          </w:tcPr>
          <w:p>
            <w:pPr>
              <w:jc w:val="cente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TMg0.15</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jc w:val="center"/>
              <w:rPr>
                <w:rFonts w:ascii="宋体" w:hAnsi="宋体"/>
                <w:sz w:val="18"/>
                <w:szCs w:val="18"/>
              </w:rPr>
            </w:pPr>
            <w:r>
              <w:rPr>
                <w:rFonts w:hint="eastAsia" w:ascii="宋体" w:hAnsi="宋体"/>
                <w:sz w:val="18"/>
                <w:szCs w:val="18"/>
              </w:rPr>
              <w:t>≥205</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≥186</w:t>
            </w:r>
          </w:p>
        </w:tc>
        <w:tc>
          <w:tcPr>
            <w:tcW w:w="1227" w:type="dxa"/>
            <w:vAlign w:val="center"/>
          </w:tcPr>
          <w:p>
            <w:pPr>
              <w:jc w:val="center"/>
              <w:rPr>
                <w:rFonts w:ascii="宋体" w:hAnsi="宋体"/>
                <w:sz w:val="18"/>
                <w:szCs w:val="18"/>
              </w:rPr>
            </w:pPr>
            <w:r>
              <w:rPr>
                <w:rFonts w:hint="eastAsia" w:ascii="宋体" w:hAnsi="宋体"/>
                <w:sz w:val="18"/>
                <w:szCs w:val="18"/>
              </w:rPr>
              <w:t>≥170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9" w:type="dxa"/>
            <w:vAlign w:val="center"/>
          </w:tcPr>
          <w:p>
            <w:pPr>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≥380</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9" w:type="dxa"/>
            <w:vAlign w:val="center"/>
          </w:tcPr>
          <w:p>
            <w:pPr>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TMg0.25</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≥205</w:t>
            </w:r>
          </w:p>
        </w:tc>
        <w:tc>
          <w:tcPr>
            <w:tcW w:w="1227" w:type="dxa"/>
            <w:vAlign w:val="center"/>
          </w:tcPr>
          <w:p>
            <w:pPr>
              <w:jc w:val="center"/>
              <w:rPr>
                <w:rFonts w:ascii="宋体" w:hAnsi="宋体"/>
                <w:sz w:val="18"/>
                <w:szCs w:val="18"/>
              </w:rPr>
            </w:pPr>
            <w:r>
              <w:rPr>
                <w:rFonts w:hint="eastAsia" w:ascii="宋体" w:hAnsi="宋体"/>
                <w:sz w:val="18"/>
                <w:szCs w:val="18"/>
              </w:rPr>
              <w:t>≥195</w:t>
            </w:r>
          </w:p>
        </w:tc>
        <w:tc>
          <w:tcPr>
            <w:tcW w:w="1227" w:type="dxa"/>
            <w:vAlign w:val="center"/>
          </w:tcPr>
          <w:p>
            <w:pPr>
              <w:jc w:val="center"/>
              <w:rPr>
                <w:rFonts w:ascii="宋体" w:hAnsi="宋体"/>
                <w:sz w:val="18"/>
                <w:szCs w:val="18"/>
              </w:rPr>
            </w:pPr>
            <w:r>
              <w:rPr>
                <w:rFonts w:hint="eastAsia" w:ascii="宋体" w:hAnsi="宋体"/>
                <w:sz w:val="18"/>
                <w:szCs w:val="18"/>
              </w:rPr>
              <w:t>≥180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9" w:type="dxa"/>
            <w:vAlign w:val="center"/>
          </w:tcPr>
          <w:p>
            <w:pPr>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≥400</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≥250</w:t>
            </w:r>
          </w:p>
        </w:tc>
        <w:tc>
          <w:tcPr>
            <w:tcW w:w="1227" w:type="dxa"/>
            <w:vAlign w:val="center"/>
          </w:tcPr>
          <w:p>
            <w:pPr>
              <w:jc w:val="center"/>
              <w:rPr>
                <w:rFonts w:ascii="宋体" w:hAnsi="宋体"/>
                <w:sz w:val="18"/>
                <w:szCs w:val="18"/>
              </w:rPr>
            </w:pPr>
            <w:r>
              <w:rPr>
                <w:rFonts w:hint="eastAsia" w:ascii="宋体" w:hAnsi="宋体"/>
                <w:sz w:val="18"/>
                <w:szCs w:val="18"/>
              </w:rPr>
              <w:t>≥240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9" w:type="dxa"/>
            <w:vAlign w:val="center"/>
          </w:tcPr>
          <w:p>
            <w:pPr>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79" w:type="dxa"/>
            <w:vMerge w:val="restart"/>
            <w:vAlign w:val="center"/>
          </w:tcPr>
          <w:p>
            <w:pPr>
              <w:jc w:val="center"/>
              <w:rPr>
                <w:rFonts w:ascii="宋体" w:hAnsi="宋体"/>
                <w:sz w:val="18"/>
              </w:rPr>
            </w:pPr>
            <w:r>
              <w:rPr>
                <w:rFonts w:hint="eastAsia" w:ascii="宋体" w:hAnsi="宋体"/>
                <w:sz w:val="18"/>
                <w:szCs w:val="18"/>
              </w:rPr>
              <w:t>TMg0.35</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≥205</w:t>
            </w:r>
          </w:p>
        </w:tc>
        <w:tc>
          <w:tcPr>
            <w:tcW w:w="1227" w:type="dxa"/>
            <w:vAlign w:val="center"/>
          </w:tcPr>
          <w:p>
            <w:pPr>
              <w:jc w:val="center"/>
              <w:rPr>
                <w:rFonts w:ascii="宋体" w:hAnsi="宋体"/>
                <w:sz w:val="18"/>
                <w:szCs w:val="18"/>
              </w:rPr>
            </w:pPr>
            <w:r>
              <w:rPr>
                <w:rFonts w:hint="eastAsia" w:ascii="宋体" w:hAnsi="宋体"/>
                <w:sz w:val="18"/>
                <w:szCs w:val="18"/>
              </w:rPr>
              <w:t>≥195</w:t>
            </w:r>
          </w:p>
        </w:tc>
        <w:tc>
          <w:tcPr>
            <w:tcW w:w="1227" w:type="dxa"/>
            <w:vAlign w:val="center"/>
          </w:tcPr>
          <w:p>
            <w:pPr>
              <w:jc w:val="center"/>
              <w:rPr>
                <w:rFonts w:ascii="宋体" w:hAnsi="宋体"/>
                <w:sz w:val="18"/>
                <w:szCs w:val="18"/>
              </w:rPr>
            </w:pPr>
            <w:r>
              <w:rPr>
                <w:rFonts w:hint="eastAsia" w:ascii="宋体" w:hAnsi="宋体"/>
                <w:sz w:val="18"/>
                <w:szCs w:val="18"/>
              </w:rPr>
              <w:t>≥180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8" w:type="dxa"/>
            <w:vAlign w:val="center"/>
          </w:tcPr>
          <w:p>
            <w:pPr>
              <w:jc w:val="center"/>
            </w:pPr>
            <w:r>
              <w:rPr>
                <w:rFonts w:hint="eastAsia" w:ascii="宋体" w:hAnsi="宋体"/>
                <w:sz w:val="18"/>
                <w:szCs w:val="18"/>
              </w:rPr>
              <w:t>≥30</w:t>
            </w:r>
          </w:p>
        </w:tc>
        <w:tc>
          <w:tcPr>
            <w:tcW w:w="1229" w:type="dxa"/>
            <w:vAlign w:val="center"/>
          </w:tcPr>
          <w:p>
            <w:pPr>
              <w:jc w:val="cente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≥400</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79" w:type="dxa"/>
            <w:vMerge w:val="continue"/>
            <w:vAlign w:val="center"/>
          </w:tcPr>
          <w:p>
            <w:pPr>
              <w:jc w:val="center"/>
              <w:rPr>
                <w:rFonts w:ascii="宋体" w:hAnsi="宋体"/>
                <w:sz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≥270</w:t>
            </w:r>
          </w:p>
        </w:tc>
        <w:tc>
          <w:tcPr>
            <w:tcW w:w="1227" w:type="dxa"/>
            <w:vAlign w:val="center"/>
          </w:tcPr>
          <w:p>
            <w:pPr>
              <w:jc w:val="center"/>
              <w:rPr>
                <w:rFonts w:ascii="宋体" w:hAnsi="宋体"/>
                <w:sz w:val="18"/>
                <w:szCs w:val="18"/>
              </w:rPr>
            </w:pPr>
            <w:r>
              <w:rPr>
                <w:rFonts w:hint="eastAsia" w:ascii="宋体" w:hAnsi="宋体"/>
                <w:sz w:val="18"/>
                <w:szCs w:val="18"/>
              </w:rPr>
              <w:t>≥260</w:t>
            </w:r>
          </w:p>
        </w:tc>
        <w:tc>
          <w:tcPr>
            <w:tcW w:w="1227" w:type="dxa"/>
            <w:vAlign w:val="center"/>
          </w:tcPr>
          <w:p>
            <w:pPr>
              <w:jc w:val="center"/>
              <w:rPr>
                <w:rFonts w:ascii="宋体" w:hAnsi="宋体"/>
                <w:sz w:val="18"/>
                <w:szCs w:val="18"/>
              </w:rPr>
            </w:pPr>
            <w:r>
              <w:rPr>
                <w:rFonts w:hint="eastAsia" w:ascii="宋体" w:hAnsi="宋体"/>
                <w:sz w:val="18"/>
                <w:szCs w:val="18"/>
              </w:rPr>
              <w:t>≥260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jc w:val="center"/>
            </w:pPr>
            <w:r>
              <w:rPr>
                <w:rFonts w:hint="eastAsia" w:ascii="宋体" w:hAnsi="宋体"/>
                <w:sz w:val="18"/>
                <w:szCs w:val="18"/>
              </w:rPr>
              <w:t>≥40</w:t>
            </w:r>
          </w:p>
        </w:tc>
        <w:tc>
          <w:tcPr>
            <w:tcW w:w="1229" w:type="dxa"/>
            <w:vAlign w:val="center"/>
          </w:tcPr>
          <w:p>
            <w:pPr>
              <w:jc w:val="cente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79" w:type="dxa"/>
            <w:vMerge w:val="restart"/>
            <w:vAlign w:val="center"/>
          </w:tcPr>
          <w:p>
            <w:pPr>
              <w:widowControl/>
              <w:jc w:val="center"/>
              <w:rPr>
                <w:rFonts w:ascii="宋体" w:hAnsi="宋体"/>
                <w:sz w:val="18"/>
                <w:szCs w:val="18"/>
              </w:rPr>
            </w:pPr>
            <w:r>
              <w:rPr>
                <w:rFonts w:hint="eastAsia" w:ascii="宋体" w:hAnsi="宋体"/>
                <w:sz w:val="18"/>
                <w:szCs w:val="18"/>
              </w:rPr>
              <w:t>TMg0.45</w:t>
            </w:r>
          </w:p>
        </w:tc>
        <w:tc>
          <w:tcPr>
            <w:tcW w:w="1502" w:type="dxa"/>
            <w:vAlign w:val="center"/>
          </w:tcPr>
          <w:p>
            <w:pPr>
              <w:jc w:val="center"/>
              <w:rPr>
                <w:rFonts w:ascii="宋体" w:hAnsi="宋体"/>
                <w:sz w:val="18"/>
                <w:szCs w:val="18"/>
              </w:rPr>
            </w:pPr>
            <w:r>
              <w:rPr>
                <w:rFonts w:hint="eastAsia" w:ascii="宋体" w:hAnsi="宋体"/>
                <w:sz w:val="18"/>
                <w:szCs w:val="18"/>
              </w:rPr>
              <w:t>连续铸造（M07）</w:t>
            </w:r>
          </w:p>
        </w:tc>
        <w:tc>
          <w:tcPr>
            <w:tcW w:w="1227" w:type="dxa"/>
            <w:vAlign w:val="center"/>
          </w:tcPr>
          <w:p>
            <w:pPr>
              <w:jc w:val="center"/>
              <w:rPr>
                <w:rFonts w:ascii="宋体" w:hAnsi="宋体"/>
                <w:sz w:val="18"/>
                <w:szCs w:val="18"/>
              </w:rPr>
            </w:pPr>
            <w:r>
              <w:rPr>
                <w:rFonts w:hint="eastAsia" w:ascii="宋体" w:hAnsi="宋体"/>
                <w:sz w:val="18"/>
                <w:szCs w:val="18"/>
              </w:rPr>
              <w:t>≥215</w:t>
            </w:r>
          </w:p>
        </w:tc>
        <w:tc>
          <w:tcPr>
            <w:tcW w:w="1227" w:type="dxa"/>
            <w:vAlign w:val="center"/>
          </w:tcPr>
          <w:p>
            <w:pPr>
              <w:jc w:val="center"/>
              <w:rPr>
                <w:rFonts w:ascii="宋体" w:hAnsi="宋体"/>
                <w:sz w:val="18"/>
                <w:szCs w:val="18"/>
              </w:rPr>
            </w:pPr>
            <w:r>
              <w:rPr>
                <w:rFonts w:hint="eastAsia" w:ascii="宋体" w:hAnsi="宋体"/>
                <w:sz w:val="18"/>
                <w:szCs w:val="18"/>
              </w:rPr>
              <w:t>≥210</w:t>
            </w:r>
          </w:p>
        </w:tc>
        <w:tc>
          <w:tcPr>
            <w:tcW w:w="1227" w:type="dxa"/>
            <w:vAlign w:val="center"/>
          </w:tcPr>
          <w:p>
            <w:pPr>
              <w:jc w:val="center"/>
              <w:rPr>
                <w:rFonts w:ascii="宋体" w:hAnsi="宋体"/>
                <w:sz w:val="18"/>
                <w:szCs w:val="18"/>
              </w:rPr>
            </w:pPr>
            <w:r>
              <w:rPr>
                <w:rFonts w:hint="eastAsia" w:ascii="宋体" w:hAnsi="宋体"/>
                <w:sz w:val="18"/>
                <w:szCs w:val="18"/>
              </w:rPr>
              <w:t>≥200</w:t>
            </w:r>
          </w:p>
        </w:tc>
        <w:tc>
          <w:tcPr>
            <w:tcW w:w="1228" w:type="dxa"/>
            <w:vAlign w:val="center"/>
          </w:tcPr>
          <w:p>
            <w:pPr>
              <w:jc w:val="center"/>
              <w:rPr>
                <w:rFonts w:ascii="宋体" w:hAnsi="宋体"/>
                <w:sz w:val="18"/>
                <w:szCs w:val="18"/>
              </w:rPr>
            </w:pPr>
            <w:r>
              <w:rPr>
                <w:rFonts w:hint="eastAsia" w:ascii="宋体" w:hAnsi="宋体"/>
                <w:sz w:val="18"/>
                <w:szCs w:val="18"/>
              </w:rPr>
              <w:t>≥30</w:t>
            </w:r>
          </w:p>
        </w:tc>
        <w:tc>
          <w:tcPr>
            <w:tcW w:w="1228" w:type="dxa"/>
            <w:vAlign w:val="center"/>
          </w:tcPr>
          <w:p>
            <w:pPr>
              <w:jc w:val="center"/>
            </w:pPr>
            <w:r>
              <w:rPr>
                <w:rFonts w:hint="eastAsia" w:ascii="宋体" w:hAnsi="宋体"/>
                <w:sz w:val="18"/>
                <w:szCs w:val="18"/>
              </w:rPr>
              <w:t>≥30</w:t>
            </w:r>
          </w:p>
        </w:tc>
        <w:tc>
          <w:tcPr>
            <w:tcW w:w="1229" w:type="dxa"/>
            <w:vAlign w:val="center"/>
          </w:tcPr>
          <w:p>
            <w:pPr>
              <w:jc w:val="cente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 w:type="dxa"/>
            <w:vMerge w:val="continue"/>
            <w:vAlign w:val="center"/>
          </w:tcPr>
          <w:p>
            <w:pPr>
              <w:widowControl/>
              <w:jc w:val="center"/>
              <w:rPr>
                <w:rFonts w:ascii="宋体" w:hAnsi="宋体"/>
                <w:sz w:val="18"/>
                <w:szCs w:val="18"/>
              </w:rPr>
            </w:pPr>
          </w:p>
        </w:tc>
        <w:tc>
          <w:tcPr>
            <w:tcW w:w="1502" w:type="dxa"/>
            <w:vAlign w:val="center"/>
          </w:tcPr>
          <w:p>
            <w:pPr>
              <w:jc w:val="center"/>
              <w:rPr>
                <w:rFonts w:ascii="宋体" w:hAnsi="宋体"/>
                <w:sz w:val="18"/>
                <w:szCs w:val="18"/>
              </w:rPr>
            </w:pPr>
            <w:r>
              <w:rPr>
                <w:rFonts w:hint="eastAsia" w:ascii="宋体" w:hAnsi="宋体"/>
                <w:sz w:val="18"/>
                <w:szCs w:val="18"/>
              </w:rPr>
              <w:t>连铸连轧（M20）</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w:t>
            </w:r>
          </w:p>
        </w:tc>
        <w:tc>
          <w:tcPr>
            <w:tcW w:w="1227" w:type="dxa"/>
            <w:vAlign w:val="center"/>
          </w:tcPr>
          <w:p>
            <w:pPr>
              <w:jc w:val="center"/>
              <w:rPr>
                <w:rFonts w:ascii="宋体" w:hAnsi="宋体"/>
                <w:sz w:val="18"/>
                <w:szCs w:val="18"/>
              </w:rPr>
            </w:pPr>
            <w:r>
              <w:rPr>
                <w:rFonts w:hint="eastAsia" w:ascii="宋体" w:hAnsi="宋体"/>
                <w:sz w:val="18"/>
                <w:szCs w:val="18"/>
              </w:rPr>
              <w:t>≥400</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8" w:type="dxa"/>
            <w:vAlign w:val="center"/>
          </w:tcPr>
          <w:p>
            <w:pPr>
              <w:jc w:val="center"/>
              <w:rPr>
                <w:rFonts w:ascii="宋体" w:hAnsi="宋体"/>
                <w:sz w:val="18"/>
                <w:szCs w:val="18"/>
              </w:rPr>
            </w:pPr>
            <w:r>
              <w:rPr>
                <w:rFonts w:hint="eastAsia" w:ascii="宋体" w:hAnsi="宋体"/>
                <w:sz w:val="18"/>
                <w:szCs w:val="18"/>
              </w:rPr>
              <w:t>—</w:t>
            </w:r>
          </w:p>
        </w:tc>
        <w:tc>
          <w:tcPr>
            <w:tcW w:w="1229"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 w:type="dxa"/>
            <w:vMerge w:val="continue"/>
            <w:vAlign w:val="center"/>
          </w:tcPr>
          <w:p>
            <w:pPr>
              <w:widowControl/>
              <w:jc w:val="center"/>
              <w:rPr>
                <w:rFonts w:ascii="宋体" w:hAnsi="宋体"/>
                <w:sz w:val="18"/>
                <w:szCs w:val="18"/>
              </w:rPr>
            </w:pPr>
          </w:p>
        </w:tc>
        <w:tc>
          <w:tcPr>
            <w:tcW w:w="1502" w:type="dxa"/>
            <w:vAlign w:val="center"/>
          </w:tcPr>
          <w:p>
            <w:pPr>
              <w:jc w:val="center"/>
              <w:rPr>
                <w:rFonts w:ascii="宋体" w:hAnsi="宋体"/>
                <w:sz w:val="18"/>
                <w:szCs w:val="18"/>
              </w:rPr>
            </w:pPr>
            <w:r>
              <w:rPr>
                <w:rFonts w:hint="eastAsia" w:ascii="宋体" w:hAnsi="宋体"/>
                <w:sz w:val="18"/>
                <w:szCs w:val="18"/>
              </w:rPr>
              <w:t>连续挤压（M30）</w:t>
            </w:r>
          </w:p>
        </w:tc>
        <w:tc>
          <w:tcPr>
            <w:tcW w:w="1227" w:type="dxa"/>
            <w:vAlign w:val="center"/>
          </w:tcPr>
          <w:p>
            <w:pPr>
              <w:jc w:val="center"/>
              <w:rPr>
                <w:rFonts w:ascii="宋体" w:hAnsi="宋体"/>
                <w:sz w:val="18"/>
                <w:szCs w:val="18"/>
              </w:rPr>
            </w:pPr>
            <w:r>
              <w:rPr>
                <w:rFonts w:hint="eastAsia" w:ascii="宋体" w:hAnsi="宋体"/>
                <w:sz w:val="18"/>
                <w:szCs w:val="18"/>
              </w:rPr>
              <w:t>≥280</w:t>
            </w:r>
          </w:p>
        </w:tc>
        <w:tc>
          <w:tcPr>
            <w:tcW w:w="1227" w:type="dxa"/>
            <w:vAlign w:val="center"/>
          </w:tcPr>
          <w:p>
            <w:pPr>
              <w:jc w:val="center"/>
              <w:rPr>
                <w:rFonts w:ascii="宋体" w:hAnsi="宋体"/>
                <w:sz w:val="18"/>
                <w:szCs w:val="18"/>
              </w:rPr>
            </w:pPr>
            <w:r>
              <w:rPr>
                <w:rFonts w:hint="eastAsia" w:ascii="宋体" w:hAnsi="宋体"/>
                <w:sz w:val="18"/>
                <w:szCs w:val="18"/>
              </w:rPr>
              <w:t>≥280</w:t>
            </w:r>
          </w:p>
        </w:tc>
        <w:tc>
          <w:tcPr>
            <w:tcW w:w="1227" w:type="dxa"/>
            <w:vAlign w:val="center"/>
          </w:tcPr>
          <w:p>
            <w:pPr>
              <w:jc w:val="center"/>
              <w:rPr>
                <w:rFonts w:ascii="宋体" w:hAnsi="宋体"/>
                <w:sz w:val="18"/>
                <w:szCs w:val="18"/>
              </w:rPr>
            </w:pPr>
            <w:r>
              <w:rPr>
                <w:rFonts w:hint="eastAsia" w:ascii="宋体" w:hAnsi="宋体"/>
                <w:sz w:val="18"/>
                <w:szCs w:val="18"/>
              </w:rPr>
              <w:t>≥270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8" w:type="dxa"/>
            <w:vAlign w:val="center"/>
          </w:tcPr>
          <w:p>
            <w:pPr>
              <w:jc w:val="center"/>
              <w:rPr>
                <w:rFonts w:ascii="宋体" w:hAnsi="宋体"/>
                <w:sz w:val="18"/>
                <w:szCs w:val="18"/>
              </w:rPr>
            </w:pPr>
            <w:r>
              <w:rPr>
                <w:rFonts w:hint="eastAsia" w:ascii="宋体" w:hAnsi="宋体"/>
                <w:sz w:val="18"/>
                <w:szCs w:val="18"/>
              </w:rPr>
              <w:t>≥40</w:t>
            </w:r>
          </w:p>
        </w:tc>
        <w:tc>
          <w:tcPr>
            <w:tcW w:w="1229" w:type="dxa"/>
            <w:vAlign w:val="center"/>
          </w:tcPr>
          <w:p>
            <w:pPr>
              <w:jc w:val="center"/>
              <w:rPr>
                <w:rFonts w:ascii="宋体" w:hAnsi="宋体"/>
                <w:sz w:val="18"/>
                <w:szCs w:val="18"/>
              </w:rPr>
            </w:pPr>
            <w:r>
              <w:rPr>
                <w:rFonts w:hint="eastAsia" w:ascii="宋体" w:hAnsi="宋体"/>
                <w:sz w:val="18"/>
                <w:szCs w:val="18"/>
              </w:rPr>
              <w:t>≥40</w:t>
            </w:r>
          </w:p>
        </w:tc>
      </w:tr>
    </w:tbl>
    <w:p>
      <w:pPr>
        <w:pStyle w:val="15"/>
        <w:spacing w:before="156" w:after="156"/>
      </w:pPr>
      <w:r>
        <w:rPr>
          <w:rFonts w:hint="eastAsia" w:asciiTheme="minorEastAsia" w:hAnsiTheme="minorEastAsia" w:eastAsiaTheme="minorEastAsia"/>
          <w:b/>
          <w:bCs/>
          <w:szCs w:val="20"/>
        </w:rPr>
        <w:t>6、</w:t>
      </w:r>
      <w:r>
        <w:rPr>
          <w:rFonts w:hint="eastAsia"/>
        </w:rPr>
        <w:t>扭转试验</w:t>
      </w:r>
      <w:r>
        <w:rPr>
          <w:rFonts w:hint="eastAsia" w:asciiTheme="minorEastAsia" w:hAnsiTheme="minorEastAsia" w:eastAsiaTheme="minorEastAsia"/>
          <w:b/>
          <w:color w:val="00B0F0"/>
          <w:kern w:val="2"/>
          <w:sz w:val="21"/>
          <w:szCs w:val="21"/>
          <w:lang w:eastAsia="zh-CN"/>
        </w:rPr>
        <w:t>（确定的依据和说明）</w:t>
      </w:r>
    </w:p>
    <w:p>
      <w:pPr>
        <w:spacing w:line="360" w:lineRule="auto"/>
        <w:ind w:firstLine="420" w:firstLineChars="200"/>
        <w:rPr>
          <w:rFonts w:ascii="宋体" w:hAnsi="宋体"/>
        </w:rPr>
      </w:pPr>
      <w:r>
        <w:rPr>
          <w:rFonts w:hint="eastAsia" w:ascii="宋体" w:hAnsi="宋体"/>
        </w:rPr>
        <w:t>线坯进行6（正向）×6（逆向）圈扭转后，应不出现影响使用的起皮、裂边、皱边现象。</w:t>
      </w:r>
    </w:p>
    <w:p>
      <w:pPr>
        <w:pStyle w:val="15"/>
        <w:spacing w:before="156" w:after="156"/>
      </w:pPr>
      <w:r>
        <w:rPr>
          <w:rFonts w:hint="eastAsia"/>
        </w:rPr>
        <w:t>7、电性能</w:t>
      </w:r>
      <w:r>
        <w:rPr>
          <w:rFonts w:hint="eastAsia" w:asciiTheme="minorEastAsia" w:hAnsiTheme="minorEastAsia" w:eastAsiaTheme="minorEastAsia"/>
          <w:b/>
          <w:color w:val="00B0F0"/>
          <w:kern w:val="0"/>
          <w:szCs w:val="20"/>
          <w:lang w:eastAsia="zh-CN"/>
        </w:rPr>
        <w:t>（最好有对比）</w:t>
      </w:r>
    </w:p>
    <w:p>
      <w:pPr>
        <w:pStyle w:val="16"/>
        <w:ind w:firstLine="420"/>
        <w:rPr>
          <w:rFonts w:asciiTheme="minorEastAsia" w:hAnsiTheme="minorEastAsia" w:eastAsiaTheme="minorEastAsia"/>
        </w:rPr>
      </w:pPr>
      <w:r>
        <w:rPr>
          <w:rFonts w:hint="eastAsia" w:asciiTheme="minorEastAsia" w:hAnsiTheme="minorEastAsia" w:eastAsiaTheme="minorEastAsia"/>
        </w:rPr>
        <w:t>接触线和绞线用铜及铜合金线坯的电性能根据实际生产及最终产品（接触线、绞线）要求确定。</w:t>
      </w:r>
      <w:r>
        <w:rPr>
          <w:rFonts w:hint="eastAsia" w:hAnsi="宋体" w:cs="宋体"/>
        </w:rPr>
        <w:t>各单位具体情况如下：</w:t>
      </w:r>
    </w:p>
    <w:p>
      <w:pPr>
        <w:spacing w:line="440" w:lineRule="exact"/>
        <w:ind w:firstLine="420" w:firstLineChars="200"/>
        <w:jc w:val="center"/>
        <w:rPr>
          <w:rFonts w:ascii="宋体" w:hAnsi="宋体" w:cs="宋体"/>
        </w:rPr>
      </w:pPr>
      <w:r>
        <w:rPr>
          <w:rFonts w:hint="eastAsia" w:ascii="宋体" w:hAnsi="宋体" w:cs="宋体"/>
        </w:rPr>
        <w:t>表2 各公司接触线和绞线用铜及铜合金线坯产品20℃电阻率</w:t>
      </w:r>
    </w:p>
    <w:tbl>
      <w:tblPr>
        <w:tblStyle w:val="12"/>
        <w:tblW w:w="8700" w:type="dxa"/>
        <w:jc w:val="center"/>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551"/>
        <w:gridCol w:w="1511"/>
        <w:gridCol w:w="151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612" w:type="dxa"/>
            <w:vMerge w:val="restart"/>
            <w:vAlign w:val="center"/>
          </w:tcPr>
          <w:p>
            <w:pPr>
              <w:jc w:val="center"/>
              <w:rPr>
                <w:rFonts w:ascii="宋体" w:hAnsi="宋体"/>
                <w:sz w:val="18"/>
              </w:rPr>
            </w:pPr>
            <w:r>
              <w:rPr>
                <w:rFonts w:hint="eastAsia" w:ascii="宋体" w:hAnsi="宋体"/>
                <w:sz w:val="18"/>
              </w:rPr>
              <w:t>牌号</w:t>
            </w:r>
          </w:p>
        </w:tc>
        <w:tc>
          <w:tcPr>
            <w:tcW w:w="2551" w:type="dxa"/>
            <w:vMerge w:val="restart"/>
            <w:vAlign w:val="center"/>
          </w:tcPr>
          <w:p>
            <w:pPr>
              <w:jc w:val="center"/>
              <w:rPr>
                <w:rFonts w:ascii="宋体" w:hAnsi="宋体"/>
                <w:sz w:val="18"/>
              </w:rPr>
            </w:pPr>
            <w:r>
              <w:rPr>
                <w:rFonts w:hint="eastAsia" w:ascii="宋体" w:hAnsi="宋体"/>
                <w:sz w:val="18"/>
              </w:rPr>
              <w:t>状态</w:t>
            </w:r>
          </w:p>
        </w:tc>
        <w:tc>
          <w:tcPr>
            <w:tcW w:w="4537" w:type="dxa"/>
            <w:gridSpan w:val="3"/>
            <w:vAlign w:val="center"/>
          </w:tcPr>
          <w:p>
            <w:pPr>
              <w:widowControl/>
              <w:tabs>
                <w:tab w:val="left" w:pos="360"/>
              </w:tabs>
              <w:adjustRightInd w:val="0"/>
              <w:snapToGrid w:val="0"/>
              <w:jc w:val="center"/>
              <w:rPr>
                <w:rFonts w:ascii="宋体" w:hAnsi="宋体"/>
                <w:sz w:val="18"/>
                <w:szCs w:val="22"/>
              </w:rPr>
            </w:pPr>
            <w:r>
              <w:rPr>
                <w:rFonts w:hint="eastAsia" w:ascii="宋体" w:hAnsi="宋体"/>
                <w:sz w:val="18"/>
                <w:szCs w:val="22"/>
              </w:rPr>
              <w:t>体积电阻率</w:t>
            </w:r>
            <w:r>
              <w:rPr>
                <w:rFonts w:hint="eastAsia" w:ascii="宋体" w:hAnsi="宋体"/>
                <w:i/>
                <w:sz w:val="18"/>
                <w:szCs w:val="22"/>
              </w:rPr>
              <w:t>ρ</w:t>
            </w:r>
            <w:r>
              <w:rPr>
                <w:rFonts w:hint="eastAsia" w:ascii="宋体" w:hAnsi="宋体"/>
                <w:sz w:val="18"/>
                <w:szCs w:val="22"/>
                <w:vertAlign w:val="subscript"/>
              </w:rPr>
              <w:t>20</w:t>
            </w:r>
            <w:r>
              <w:rPr>
                <w:rFonts w:hint="eastAsia" w:ascii="宋体" w:hAnsi="宋体"/>
                <w:sz w:val="18"/>
                <w:szCs w:val="22"/>
              </w:rPr>
              <w:t>/（Ω·mm</w:t>
            </w:r>
            <w:r>
              <w:rPr>
                <w:rFonts w:hint="eastAsia" w:ascii="宋体" w:hAnsi="宋体"/>
                <w:sz w:val="18"/>
                <w:szCs w:val="22"/>
                <w:vertAlign w:val="superscript"/>
              </w:rPr>
              <w:t>2</w:t>
            </w:r>
            <w:r>
              <w:rPr>
                <w:rFonts w:hint="eastAsia" w:ascii="宋体" w:hAnsi="宋体"/>
                <w:sz w:val="18"/>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612" w:type="dxa"/>
            <w:vMerge w:val="continue"/>
            <w:vAlign w:val="center"/>
          </w:tcPr>
          <w:p>
            <w:pPr>
              <w:jc w:val="center"/>
              <w:rPr>
                <w:rFonts w:ascii="宋体" w:hAnsi="宋体"/>
                <w:sz w:val="18"/>
              </w:rPr>
            </w:pPr>
          </w:p>
        </w:tc>
        <w:tc>
          <w:tcPr>
            <w:tcW w:w="2551" w:type="dxa"/>
            <w:vMerge w:val="continue"/>
            <w:vAlign w:val="center"/>
          </w:tcPr>
          <w:p>
            <w:pPr>
              <w:jc w:val="center"/>
              <w:rPr>
                <w:rFonts w:ascii="宋体" w:hAnsi="宋体"/>
                <w:sz w:val="18"/>
              </w:rPr>
            </w:pPr>
          </w:p>
        </w:tc>
        <w:tc>
          <w:tcPr>
            <w:tcW w:w="1511" w:type="dxa"/>
            <w:vAlign w:val="center"/>
          </w:tcPr>
          <w:p>
            <w:pPr>
              <w:widowControl/>
              <w:tabs>
                <w:tab w:val="left" w:pos="360"/>
              </w:tabs>
              <w:adjustRightInd w:val="0"/>
              <w:snapToGrid w:val="0"/>
              <w:jc w:val="center"/>
              <w:rPr>
                <w:rFonts w:ascii="宋体" w:hAnsi="宋体"/>
                <w:sz w:val="18"/>
              </w:rPr>
            </w:pPr>
            <w:r>
              <w:rPr>
                <w:rFonts w:hint="eastAsia" w:ascii="宋体" w:hAnsi="宋体"/>
                <w:sz w:val="18"/>
              </w:rPr>
              <w:t>浙江天宁</w:t>
            </w:r>
          </w:p>
        </w:tc>
        <w:tc>
          <w:tcPr>
            <w:tcW w:w="1511" w:type="dxa"/>
            <w:vAlign w:val="center"/>
          </w:tcPr>
          <w:p>
            <w:pPr>
              <w:widowControl/>
              <w:tabs>
                <w:tab w:val="left" w:pos="360"/>
              </w:tabs>
              <w:adjustRightInd w:val="0"/>
              <w:snapToGrid w:val="0"/>
              <w:jc w:val="center"/>
              <w:rPr>
                <w:rFonts w:ascii="宋体" w:hAnsi="宋体"/>
                <w:sz w:val="18"/>
              </w:rPr>
            </w:pPr>
            <w:r>
              <w:rPr>
                <w:rFonts w:ascii="宋体" w:hAnsi="宋体"/>
                <w:sz w:val="18"/>
              </w:rPr>
              <w:t>山东祥瑞</w:t>
            </w:r>
          </w:p>
        </w:tc>
        <w:tc>
          <w:tcPr>
            <w:tcW w:w="1515" w:type="dxa"/>
            <w:vAlign w:val="center"/>
          </w:tcPr>
          <w:p>
            <w:pPr>
              <w:widowControl/>
              <w:tabs>
                <w:tab w:val="left" w:pos="360"/>
              </w:tabs>
              <w:adjustRightInd w:val="0"/>
              <w:snapToGrid w:val="0"/>
              <w:jc w:val="center"/>
              <w:rPr>
                <w:rFonts w:ascii="宋体" w:hAnsi="宋体"/>
                <w:sz w:val="18"/>
              </w:rPr>
            </w:pPr>
            <w:r>
              <w:rPr>
                <w:rFonts w:ascii="宋体" w:hAnsi="宋体"/>
                <w:sz w:val="18"/>
              </w:rPr>
              <w:t>山东天圆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612" w:type="dxa"/>
            <w:vMerge w:val="restart"/>
            <w:vAlign w:val="center"/>
          </w:tcPr>
          <w:p>
            <w:pPr>
              <w:jc w:val="center"/>
              <w:rPr>
                <w:rFonts w:ascii="宋体" w:hAnsi="宋体"/>
                <w:sz w:val="18"/>
                <w:szCs w:val="18"/>
              </w:rPr>
            </w:pPr>
            <w:r>
              <w:rPr>
                <w:rFonts w:hint="eastAsia" w:ascii="宋体" w:hAnsi="宋体"/>
                <w:sz w:val="18"/>
                <w:szCs w:val="18"/>
              </w:rPr>
              <w:t>TU2、T2</w:t>
            </w:r>
          </w:p>
          <w:p>
            <w:pPr>
              <w:jc w:val="center"/>
              <w:rPr>
                <w:rFonts w:ascii="宋体" w:hAnsi="宋体"/>
                <w:sz w:val="18"/>
              </w:rPr>
            </w:pPr>
            <w:r>
              <w:rPr>
                <w:rFonts w:hint="eastAsia" w:ascii="宋体" w:hAnsi="宋体"/>
                <w:sz w:val="18"/>
                <w:szCs w:val="18"/>
              </w:rPr>
              <w:t>TAg0.1</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≤0.01760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≤0.01724</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≤0.01760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≤0.01724</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TSn0.1</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≤0.01818</w:t>
            </w:r>
          </w:p>
        </w:tc>
        <w:tc>
          <w:tcPr>
            <w:tcW w:w="1511" w:type="dxa"/>
            <w:vAlign w:val="center"/>
          </w:tcPr>
          <w:p>
            <w:pPr>
              <w:jc w:val="center"/>
              <w:rPr>
                <w:rFonts w:ascii="宋体" w:hAnsi="宋体"/>
                <w:sz w:val="18"/>
                <w:szCs w:val="18"/>
              </w:rPr>
            </w:pPr>
            <w:r>
              <w:rPr>
                <w:rFonts w:hint="eastAsia"/>
              </w:rPr>
              <w:t>≤0.01810</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≤0.01818</w:t>
            </w:r>
          </w:p>
        </w:tc>
        <w:tc>
          <w:tcPr>
            <w:tcW w:w="1511" w:type="dxa"/>
            <w:vAlign w:val="center"/>
          </w:tcPr>
          <w:p>
            <w:pPr>
              <w:jc w:val="center"/>
              <w:rPr>
                <w:rFonts w:ascii="宋体" w:hAnsi="宋体"/>
                <w:sz w:val="18"/>
                <w:szCs w:val="18"/>
              </w:rPr>
            </w:pPr>
            <w:r>
              <w:rPr>
                <w:rFonts w:hint="eastAsia"/>
              </w:rPr>
              <w:t>≤0.01810</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≤0.01818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TSn0.3</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TSn0.5</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≤0.02250</w:t>
            </w:r>
          </w:p>
        </w:tc>
        <w:tc>
          <w:tcPr>
            <w:tcW w:w="1511" w:type="dxa"/>
            <w:vAlign w:val="center"/>
          </w:tcPr>
          <w:p>
            <w:pPr>
              <w:jc w:val="center"/>
              <w:rPr>
                <w:rFonts w:ascii="宋体" w:hAnsi="宋体"/>
                <w:sz w:val="18"/>
                <w:szCs w:val="18"/>
              </w:rPr>
            </w:pPr>
            <w:r>
              <w:rPr>
                <w:rFonts w:hint="eastAsia"/>
              </w:rPr>
              <w:t>≤0.02200</w:t>
            </w:r>
          </w:p>
        </w:tc>
        <w:tc>
          <w:tcPr>
            <w:tcW w:w="1515" w:type="dxa"/>
            <w:vAlign w:val="center"/>
          </w:tcPr>
          <w:p>
            <w:pPr>
              <w:jc w:val="center"/>
              <w:rPr>
                <w:rFonts w:ascii="宋体" w:hAnsi="宋体"/>
                <w:sz w:val="18"/>
                <w:szCs w:val="18"/>
              </w:rPr>
            </w:pPr>
            <w:r>
              <w:rPr>
                <w:rFonts w:hint="eastAsia"/>
              </w:rPr>
              <w:t>≤0.02490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≤0.02250</w:t>
            </w:r>
          </w:p>
        </w:tc>
        <w:tc>
          <w:tcPr>
            <w:tcW w:w="1511" w:type="dxa"/>
            <w:vAlign w:val="center"/>
          </w:tcPr>
          <w:p>
            <w:pPr>
              <w:jc w:val="center"/>
              <w:rPr>
                <w:rFonts w:ascii="宋体" w:hAnsi="宋体"/>
                <w:sz w:val="18"/>
                <w:szCs w:val="18"/>
              </w:rPr>
            </w:pPr>
            <w:r>
              <w:rPr>
                <w:rFonts w:hint="eastAsia"/>
              </w:rPr>
              <w:t>≤0.02200</w:t>
            </w:r>
          </w:p>
        </w:tc>
        <w:tc>
          <w:tcPr>
            <w:tcW w:w="1515" w:type="dxa"/>
            <w:vAlign w:val="center"/>
          </w:tcPr>
          <w:p>
            <w:pPr>
              <w:jc w:val="center"/>
              <w:rPr>
                <w:rFonts w:ascii="宋体" w:hAnsi="宋体"/>
                <w:sz w:val="18"/>
                <w:szCs w:val="18"/>
              </w:rPr>
            </w:pPr>
            <w:r>
              <w:rPr>
                <w:rFonts w:hint="eastAsia"/>
              </w:rPr>
              <w:t>≤0.02490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TMg0.15</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TMg0.25</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≤0.02090</w:t>
            </w:r>
          </w:p>
        </w:tc>
        <w:tc>
          <w:tcPr>
            <w:tcW w:w="1511" w:type="dxa"/>
            <w:vAlign w:val="center"/>
          </w:tcPr>
          <w:p>
            <w:pPr>
              <w:jc w:val="center"/>
              <w:rPr>
                <w:rFonts w:ascii="宋体" w:hAnsi="宋体"/>
                <w:sz w:val="18"/>
                <w:szCs w:val="18"/>
              </w:rPr>
            </w:pPr>
            <w:r>
              <w:rPr>
                <w:rFonts w:hint="eastAsia"/>
              </w:rPr>
              <w:t>≤0.02050</w:t>
            </w:r>
          </w:p>
        </w:tc>
        <w:tc>
          <w:tcPr>
            <w:tcW w:w="1515" w:type="dxa"/>
            <w:vAlign w:val="center"/>
          </w:tcPr>
          <w:p>
            <w:pPr>
              <w:jc w:val="center"/>
              <w:rPr>
                <w:rFonts w:ascii="宋体" w:hAnsi="宋体"/>
                <w:sz w:val="18"/>
                <w:szCs w:val="18"/>
              </w:rPr>
            </w:pPr>
            <w:r>
              <w:rPr>
                <w:rFonts w:hint="eastAsia"/>
              </w:rPr>
              <w:t>≤0.02069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12" w:type="dxa"/>
            <w:vMerge w:val="restart"/>
            <w:vAlign w:val="center"/>
          </w:tcPr>
          <w:p>
            <w:pPr>
              <w:jc w:val="center"/>
              <w:rPr>
                <w:rFonts w:ascii="宋体" w:hAnsi="宋体"/>
                <w:sz w:val="18"/>
              </w:rPr>
            </w:pPr>
            <w:r>
              <w:rPr>
                <w:rFonts w:hint="eastAsia" w:ascii="宋体" w:hAnsi="宋体"/>
                <w:sz w:val="18"/>
                <w:szCs w:val="18"/>
              </w:rPr>
              <w:t>TMg0.35</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≤0.02250</w:t>
            </w:r>
          </w:p>
        </w:tc>
        <w:tc>
          <w:tcPr>
            <w:tcW w:w="1511" w:type="dxa"/>
            <w:vAlign w:val="center"/>
          </w:tcPr>
          <w:p>
            <w:pPr>
              <w:jc w:val="center"/>
              <w:rPr>
                <w:rFonts w:ascii="宋体" w:hAnsi="宋体"/>
                <w:sz w:val="18"/>
                <w:szCs w:val="18"/>
              </w:rPr>
            </w:pPr>
            <w:r>
              <w:rPr>
                <w:rFonts w:hint="eastAsia"/>
              </w:rPr>
              <w:t>≤0.02200</w:t>
            </w:r>
          </w:p>
        </w:tc>
        <w:tc>
          <w:tcPr>
            <w:tcW w:w="1515" w:type="dxa"/>
            <w:vAlign w:val="center"/>
          </w:tcPr>
          <w:p>
            <w:pPr>
              <w:jc w:val="center"/>
              <w:rPr>
                <w:rFonts w:ascii="宋体" w:hAnsi="宋体"/>
                <w:sz w:val="18"/>
                <w:szCs w:val="18"/>
              </w:rPr>
            </w:pPr>
            <w:r>
              <w:rPr>
                <w:rFonts w:hint="eastAsia"/>
              </w:rPr>
              <w:t>≤0.02490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612" w:type="dxa"/>
            <w:vMerge w:val="continue"/>
            <w:vAlign w:val="center"/>
          </w:tcPr>
          <w:p>
            <w:pPr>
              <w:jc w:val="center"/>
              <w:rPr>
                <w:rFonts w:ascii="宋体" w:hAnsi="宋体"/>
                <w:sz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≤0.02250</w:t>
            </w:r>
          </w:p>
        </w:tc>
        <w:tc>
          <w:tcPr>
            <w:tcW w:w="1511" w:type="dxa"/>
            <w:vAlign w:val="center"/>
          </w:tcPr>
          <w:p>
            <w:pPr>
              <w:jc w:val="center"/>
              <w:rPr>
                <w:rFonts w:ascii="宋体" w:hAnsi="宋体"/>
                <w:sz w:val="18"/>
                <w:szCs w:val="18"/>
              </w:rPr>
            </w:pPr>
            <w:r>
              <w:rPr>
                <w:rFonts w:hint="eastAsia"/>
              </w:rPr>
              <w:t>≤0.02200</w:t>
            </w:r>
          </w:p>
        </w:tc>
        <w:tc>
          <w:tcPr>
            <w:tcW w:w="1515" w:type="dxa"/>
            <w:vAlign w:val="center"/>
          </w:tcPr>
          <w:p>
            <w:pPr>
              <w:jc w:val="center"/>
              <w:rPr>
                <w:rFonts w:ascii="宋体" w:hAnsi="宋体"/>
                <w:sz w:val="18"/>
                <w:szCs w:val="18"/>
              </w:rPr>
            </w:pPr>
            <w:r>
              <w:rPr>
                <w:rFonts w:hint="eastAsia"/>
              </w:rPr>
              <w:t>≤0.02490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612" w:type="dxa"/>
            <w:vMerge w:val="restart"/>
            <w:vAlign w:val="center"/>
          </w:tcPr>
          <w:p>
            <w:pPr>
              <w:widowControl/>
              <w:jc w:val="center"/>
              <w:rPr>
                <w:rFonts w:ascii="宋体" w:hAnsi="宋体"/>
                <w:sz w:val="18"/>
                <w:szCs w:val="18"/>
              </w:rPr>
            </w:pPr>
            <w:r>
              <w:rPr>
                <w:rFonts w:hint="eastAsia" w:ascii="宋体" w:hAnsi="宋体"/>
                <w:sz w:val="18"/>
                <w:szCs w:val="18"/>
              </w:rPr>
              <w:t>TMg0.45</w:t>
            </w:r>
          </w:p>
        </w:tc>
        <w:tc>
          <w:tcPr>
            <w:tcW w:w="2551"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≤0.02460</w:t>
            </w:r>
          </w:p>
        </w:tc>
        <w:tc>
          <w:tcPr>
            <w:tcW w:w="1511" w:type="dxa"/>
            <w:vAlign w:val="center"/>
          </w:tcPr>
          <w:p>
            <w:pPr>
              <w:jc w:val="center"/>
              <w:rPr>
                <w:rFonts w:ascii="宋体" w:hAnsi="宋体"/>
                <w:sz w:val="18"/>
                <w:szCs w:val="18"/>
              </w:rPr>
            </w:pPr>
            <w:r>
              <w:rPr>
                <w:rFonts w:hint="eastAsia"/>
              </w:rPr>
              <w:t>≤0.02560</w:t>
            </w:r>
          </w:p>
        </w:tc>
        <w:tc>
          <w:tcPr>
            <w:tcW w:w="1515" w:type="dxa"/>
            <w:vAlign w:val="center"/>
          </w:tcPr>
          <w:p>
            <w:pPr>
              <w:jc w:val="center"/>
              <w:rPr>
                <w:rFonts w:ascii="宋体" w:hAnsi="宋体"/>
                <w:sz w:val="18"/>
                <w:szCs w:val="18"/>
              </w:rPr>
            </w:pPr>
            <w:r>
              <w:rPr>
                <w:rFonts w:hint="eastAsia"/>
              </w:rPr>
              <w:t>≤0.02520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2" w:type="dxa"/>
            <w:vMerge w:val="continue"/>
            <w:vAlign w:val="center"/>
          </w:tcPr>
          <w:p>
            <w:pPr>
              <w:widowControl/>
              <w:jc w:val="center"/>
              <w:rPr>
                <w:rFonts w:ascii="宋体" w:hAnsi="宋体"/>
                <w:sz w:val="18"/>
                <w:szCs w:val="18"/>
              </w:rPr>
            </w:pPr>
          </w:p>
        </w:tc>
        <w:tc>
          <w:tcPr>
            <w:tcW w:w="2551"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1" w:type="dxa"/>
            <w:vAlign w:val="center"/>
          </w:tcPr>
          <w:p>
            <w:pPr>
              <w:jc w:val="center"/>
              <w:rPr>
                <w:rFonts w:ascii="宋体" w:hAnsi="宋体"/>
                <w:sz w:val="18"/>
                <w:szCs w:val="18"/>
              </w:rPr>
            </w:pPr>
            <w:r>
              <w:rPr>
                <w:rFonts w:hint="eastAsia" w:ascii="宋体" w:hAnsi="宋体"/>
                <w:sz w:val="18"/>
                <w:szCs w:val="18"/>
              </w:rPr>
              <w:t>—</w:t>
            </w:r>
          </w:p>
        </w:tc>
        <w:tc>
          <w:tcPr>
            <w:tcW w:w="1515" w:type="dxa"/>
            <w:vAlign w:val="center"/>
          </w:tcPr>
          <w:p>
            <w:pPr>
              <w:jc w:val="center"/>
              <w:rPr>
                <w:rFonts w:ascii="宋体" w:hAnsi="宋体"/>
                <w:sz w:val="18"/>
                <w:szCs w:val="18"/>
              </w:rPr>
            </w:pPr>
            <w:r>
              <w:rPr>
                <w:rFonts w:hint="eastAsia"/>
              </w:rPr>
              <w:t>≤0.02600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2" w:type="dxa"/>
            <w:vMerge w:val="continue"/>
            <w:vAlign w:val="center"/>
          </w:tcPr>
          <w:p>
            <w:pPr>
              <w:widowControl/>
              <w:jc w:val="center"/>
              <w:rPr>
                <w:rFonts w:ascii="宋体" w:hAnsi="宋体"/>
                <w:sz w:val="18"/>
                <w:szCs w:val="18"/>
              </w:rPr>
            </w:pPr>
          </w:p>
        </w:tc>
        <w:tc>
          <w:tcPr>
            <w:tcW w:w="2551"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jc w:val="center"/>
              <w:rPr>
                <w:rFonts w:ascii="宋体" w:hAnsi="宋体"/>
                <w:sz w:val="18"/>
                <w:szCs w:val="18"/>
              </w:rPr>
            </w:pPr>
            <w:r>
              <w:rPr>
                <w:rFonts w:hint="eastAsia"/>
              </w:rPr>
              <w:t>≤0.02460</w:t>
            </w:r>
          </w:p>
        </w:tc>
        <w:tc>
          <w:tcPr>
            <w:tcW w:w="1511" w:type="dxa"/>
            <w:vAlign w:val="center"/>
          </w:tcPr>
          <w:p>
            <w:pPr>
              <w:jc w:val="center"/>
              <w:rPr>
                <w:rFonts w:ascii="宋体" w:hAnsi="宋体"/>
                <w:sz w:val="18"/>
                <w:szCs w:val="18"/>
              </w:rPr>
            </w:pPr>
            <w:r>
              <w:rPr>
                <w:rFonts w:hint="eastAsia"/>
              </w:rPr>
              <w:t>≤0.02560</w:t>
            </w:r>
          </w:p>
        </w:tc>
        <w:tc>
          <w:tcPr>
            <w:tcW w:w="1515" w:type="dxa"/>
            <w:vAlign w:val="center"/>
          </w:tcPr>
          <w:p>
            <w:pPr>
              <w:jc w:val="center"/>
              <w:rPr>
                <w:rFonts w:ascii="宋体" w:hAnsi="宋体"/>
                <w:sz w:val="18"/>
                <w:szCs w:val="18"/>
              </w:rPr>
            </w:pPr>
            <w:r>
              <w:rPr>
                <w:rFonts w:hint="eastAsia"/>
              </w:rPr>
              <w:t>≤0.02520</w:t>
            </w:r>
          </w:p>
        </w:tc>
      </w:tr>
    </w:tbl>
    <w:p>
      <w:pPr>
        <w:pStyle w:val="16"/>
        <w:ind w:firstLine="0" w:firstLineChars="0"/>
        <w:rPr>
          <w:rFonts w:asciiTheme="minorEastAsia" w:hAnsiTheme="minorEastAsia" w:eastAsiaTheme="minorEastAsia"/>
        </w:rPr>
      </w:pPr>
    </w:p>
    <w:p>
      <w:pPr>
        <w:pStyle w:val="16"/>
        <w:ind w:firstLine="0" w:firstLineChars="0"/>
        <w:rPr>
          <w:rFonts w:asciiTheme="minorEastAsia" w:hAnsiTheme="minorEastAsia" w:eastAsiaTheme="minorEastAsia"/>
          <w:b/>
        </w:rPr>
      </w:pPr>
      <w:r>
        <w:rPr>
          <w:rFonts w:hint="eastAsia" w:asciiTheme="minorEastAsia" w:hAnsiTheme="minorEastAsia" w:eastAsiaTheme="minorEastAsia"/>
          <w:b/>
        </w:rPr>
        <w:t>8、密度</w:t>
      </w:r>
    </w:p>
    <w:p>
      <w:pPr>
        <w:pStyle w:val="16"/>
        <w:ind w:firstLine="420"/>
        <w:rPr>
          <w:rFonts w:asciiTheme="minorEastAsia" w:hAnsiTheme="minorEastAsia" w:eastAsiaTheme="minorEastAsia"/>
        </w:rPr>
      </w:pPr>
      <w:r>
        <w:rPr>
          <w:rFonts w:hint="eastAsia" w:asciiTheme="minorEastAsia" w:hAnsiTheme="minorEastAsia" w:eastAsiaTheme="minorEastAsia"/>
        </w:rPr>
        <w:t>接触线和绞线用铜及铜合金线坯的电性能根据实际生产及最终产品（接触线、绞线）控制要求确定。</w:t>
      </w:r>
      <w:r>
        <w:rPr>
          <w:rFonts w:hint="eastAsia" w:hAnsi="宋体" w:cs="宋体"/>
        </w:rPr>
        <w:t>各单位具体情况如下：</w:t>
      </w:r>
    </w:p>
    <w:p>
      <w:pPr>
        <w:spacing w:line="440" w:lineRule="exact"/>
        <w:ind w:firstLine="420" w:firstLineChars="200"/>
        <w:jc w:val="center"/>
        <w:rPr>
          <w:rFonts w:ascii="宋体" w:hAnsi="宋体" w:cs="宋体"/>
        </w:rPr>
      </w:pPr>
      <w:r>
        <w:rPr>
          <w:rFonts w:hint="eastAsia" w:ascii="宋体" w:hAnsi="宋体" w:cs="宋体"/>
        </w:rPr>
        <w:t>表3 各公司接触线和绞线用铜及铜合金线坯产品密度</w:t>
      </w:r>
    </w:p>
    <w:tbl>
      <w:tblPr>
        <w:tblStyle w:val="12"/>
        <w:tblW w:w="9120" w:type="dxa"/>
        <w:jc w:val="center"/>
        <w:tblInd w:w="-2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815"/>
        <w:gridCol w:w="1511"/>
        <w:gridCol w:w="151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768" w:type="dxa"/>
            <w:vMerge w:val="restart"/>
            <w:vAlign w:val="center"/>
          </w:tcPr>
          <w:p>
            <w:pPr>
              <w:jc w:val="center"/>
              <w:rPr>
                <w:rFonts w:ascii="宋体" w:hAnsi="宋体"/>
                <w:sz w:val="18"/>
              </w:rPr>
            </w:pPr>
            <w:r>
              <w:rPr>
                <w:rFonts w:hint="eastAsia" w:ascii="宋体" w:hAnsi="宋体"/>
                <w:sz w:val="18"/>
              </w:rPr>
              <w:t>牌号</w:t>
            </w:r>
          </w:p>
        </w:tc>
        <w:tc>
          <w:tcPr>
            <w:tcW w:w="1815" w:type="dxa"/>
            <w:vMerge w:val="restart"/>
            <w:vAlign w:val="center"/>
          </w:tcPr>
          <w:p>
            <w:pPr>
              <w:jc w:val="center"/>
              <w:rPr>
                <w:rFonts w:ascii="宋体" w:hAnsi="宋体"/>
                <w:sz w:val="18"/>
              </w:rPr>
            </w:pPr>
            <w:r>
              <w:rPr>
                <w:rFonts w:hint="eastAsia" w:ascii="宋体" w:hAnsi="宋体"/>
                <w:sz w:val="18"/>
              </w:rPr>
              <w:t>状态</w:t>
            </w:r>
          </w:p>
        </w:tc>
        <w:tc>
          <w:tcPr>
            <w:tcW w:w="4537" w:type="dxa"/>
            <w:gridSpan w:val="3"/>
            <w:vAlign w:val="center"/>
          </w:tcPr>
          <w:p>
            <w:pPr>
              <w:jc w:val="center"/>
              <w:rPr>
                <w:rFonts w:ascii="宋体" w:hAnsi="宋体"/>
                <w:sz w:val="18"/>
              </w:rPr>
            </w:pPr>
            <w:r>
              <w:rPr>
                <w:rFonts w:hint="eastAsia" w:ascii="宋体" w:hAnsi="宋体"/>
                <w:sz w:val="18"/>
              </w:rPr>
              <w:t>密度</w:t>
            </w:r>
          </w:p>
          <w:p>
            <w:pPr>
              <w:jc w:val="center"/>
              <w:rPr>
                <w:rFonts w:ascii="宋体" w:hAnsi="宋体"/>
                <w:sz w:val="18"/>
              </w:rPr>
            </w:pPr>
            <w:r>
              <w:rPr>
                <w:rFonts w:hint="eastAsia" w:ascii="宋体" w:hAnsi="宋体"/>
                <w:sz w:val="18"/>
              </w:rPr>
              <w:t>（g/cm</w:t>
            </w:r>
            <w:r>
              <w:rPr>
                <w:rFonts w:hint="eastAsia" w:ascii="宋体" w:hAnsi="宋体"/>
                <w:sz w:val="18"/>
                <w:vertAlign w:val="superscript"/>
              </w:rPr>
              <w:t>3</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2768" w:type="dxa"/>
            <w:vMerge w:val="continue"/>
            <w:vAlign w:val="center"/>
          </w:tcPr>
          <w:p>
            <w:pPr>
              <w:jc w:val="center"/>
              <w:rPr>
                <w:rFonts w:ascii="宋体" w:hAnsi="宋体"/>
                <w:sz w:val="18"/>
              </w:rPr>
            </w:pPr>
          </w:p>
        </w:tc>
        <w:tc>
          <w:tcPr>
            <w:tcW w:w="1815" w:type="dxa"/>
            <w:vMerge w:val="continue"/>
            <w:vAlign w:val="center"/>
          </w:tcPr>
          <w:p>
            <w:pPr>
              <w:jc w:val="center"/>
              <w:rPr>
                <w:rFonts w:ascii="宋体" w:hAnsi="宋体"/>
                <w:sz w:val="18"/>
              </w:rPr>
            </w:pPr>
          </w:p>
        </w:tc>
        <w:tc>
          <w:tcPr>
            <w:tcW w:w="1511" w:type="dxa"/>
            <w:vAlign w:val="center"/>
          </w:tcPr>
          <w:p>
            <w:pPr>
              <w:widowControl/>
              <w:tabs>
                <w:tab w:val="left" w:pos="360"/>
              </w:tabs>
              <w:adjustRightInd w:val="0"/>
              <w:snapToGrid w:val="0"/>
              <w:jc w:val="center"/>
              <w:rPr>
                <w:rFonts w:ascii="宋体" w:hAnsi="宋体"/>
                <w:sz w:val="18"/>
              </w:rPr>
            </w:pPr>
            <w:r>
              <w:rPr>
                <w:rFonts w:hint="eastAsia" w:ascii="宋体" w:hAnsi="宋体"/>
                <w:sz w:val="18"/>
              </w:rPr>
              <w:t>浙江天宁</w:t>
            </w:r>
          </w:p>
        </w:tc>
        <w:tc>
          <w:tcPr>
            <w:tcW w:w="1511" w:type="dxa"/>
            <w:vAlign w:val="center"/>
          </w:tcPr>
          <w:p>
            <w:pPr>
              <w:widowControl/>
              <w:tabs>
                <w:tab w:val="left" w:pos="360"/>
              </w:tabs>
              <w:adjustRightInd w:val="0"/>
              <w:snapToGrid w:val="0"/>
              <w:jc w:val="center"/>
              <w:rPr>
                <w:rFonts w:ascii="宋体" w:hAnsi="宋体"/>
                <w:sz w:val="18"/>
              </w:rPr>
            </w:pPr>
            <w:r>
              <w:rPr>
                <w:rFonts w:ascii="宋体" w:hAnsi="宋体"/>
                <w:sz w:val="18"/>
              </w:rPr>
              <w:t>山东祥瑞</w:t>
            </w:r>
          </w:p>
        </w:tc>
        <w:tc>
          <w:tcPr>
            <w:tcW w:w="1515" w:type="dxa"/>
            <w:vAlign w:val="center"/>
          </w:tcPr>
          <w:p>
            <w:pPr>
              <w:widowControl/>
              <w:tabs>
                <w:tab w:val="left" w:pos="360"/>
              </w:tabs>
              <w:adjustRightInd w:val="0"/>
              <w:snapToGrid w:val="0"/>
              <w:jc w:val="center"/>
              <w:rPr>
                <w:rFonts w:ascii="宋体" w:hAnsi="宋体"/>
                <w:sz w:val="18"/>
              </w:rPr>
            </w:pPr>
            <w:r>
              <w:rPr>
                <w:rFonts w:ascii="宋体" w:hAnsi="宋体"/>
                <w:sz w:val="18"/>
              </w:rPr>
              <w:t>山东天圆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768" w:type="dxa"/>
            <w:vMerge w:val="restart"/>
            <w:vAlign w:val="center"/>
          </w:tcPr>
          <w:p>
            <w:pPr>
              <w:jc w:val="center"/>
              <w:rPr>
                <w:rFonts w:ascii="宋体" w:hAnsi="宋体"/>
                <w:sz w:val="18"/>
              </w:rPr>
            </w:pPr>
            <w:r>
              <w:rPr>
                <w:rFonts w:hint="eastAsia" w:asciiTheme="minorEastAsia" w:hAnsiTheme="minorEastAsia" w:eastAsiaTheme="minorEastAsia"/>
              </w:rPr>
              <w:t>TU2、T2、TAg0.1、TSn0.1、TSn0.3、TSn0.5、TMg0.15、TMg0.35、TMg0.45</w:t>
            </w:r>
          </w:p>
        </w:tc>
        <w:tc>
          <w:tcPr>
            <w:tcW w:w="1815" w:type="dxa"/>
            <w:vAlign w:val="center"/>
          </w:tcPr>
          <w:p>
            <w:pPr>
              <w:jc w:val="center"/>
              <w:rPr>
                <w:rFonts w:ascii="宋体" w:hAnsi="宋体"/>
                <w:sz w:val="18"/>
                <w:szCs w:val="18"/>
              </w:rPr>
            </w:pPr>
            <w:r>
              <w:rPr>
                <w:rFonts w:hint="eastAsia" w:ascii="宋体" w:hAnsi="宋体"/>
                <w:sz w:val="18"/>
                <w:szCs w:val="18"/>
              </w:rPr>
              <w:t>连续铸造（M07）</w:t>
            </w:r>
          </w:p>
        </w:tc>
        <w:tc>
          <w:tcPr>
            <w:tcW w:w="1511" w:type="dxa"/>
            <w:vAlign w:val="center"/>
          </w:tcPr>
          <w:p>
            <w:pPr>
              <w:jc w:val="center"/>
              <w:rPr>
                <w:rFonts w:ascii="宋体" w:hAnsi="宋体"/>
                <w:sz w:val="18"/>
                <w:szCs w:val="18"/>
              </w:rPr>
            </w:pPr>
            <w:r>
              <w:rPr>
                <w:rFonts w:hint="eastAsia"/>
              </w:rPr>
              <w:t>≥8.80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≥8.85</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768" w:type="dxa"/>
            <w:vMerge w:val="continue"/>
            <w:vAlign w:val="center"/>
          </w:tcPr>
          <w:p>
            <w:pPr>
              <w:jc w:val="center"/>
              <w:rPr>
                <w:rFonts w:ascii="宋体" w:hAnsi="宋体"/>
                <w:sz w:val="18"/>
              </w:rPr>
            </w:pPr>
          </w:p>
        </w:tc>
        <w:tc>
          <w:tcPr>
            <w:tcW w:w="1815" w:type="dxa"/>
            <w:vAlign w:val="center"/>
          </w:tcPr>
          <w:p>
            <w:pPr>
              <w:jc w:val="center"/>
              <w:rPr>
                <w:rFonts w:ascii="宋体" w:hAnsi="宋体"/>
                <w:sz w:val="18"/>
                <w:szCs w:val="18"/>
              </w:rPr>
            </w:pPr>
            <w:r>
              <w:rPr>
                <w:rFonts w:hint="eastAsia" w:ascii="宋体" w:hAnsi="宋体"/>
                <w:sz w:val="18"/>
                <w:szCs w:val="18"/>
              </w:rPr>
              <w:t>连铸连轧（M20）</w:t>
            </w:r>
          </w:p>
        </w:tc>
        <w:tc>
          <w:tcPr>
            <w:tcW w:w="1511" w:type="dxa"/>
            <w:vAlign w:val="center"/>
          </w:tcPr>
          <w:p>
            <w:pPr>
              <w:pStyle w:val="16"/>
              <w:widowControl w:val="0"/>
              <w:ind w:firstLine="0" w:firstLineChars="0"/>
              <w:jc w:val="center"/>
            </w:pPr>
            <w:r>
              <w:rPr>
                <w:rFonts w:hint="eastAsia"/>
              </w:rPr>
              <w:t>—</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ascii="宋体" w:hAnsi="宋体"/>
                <w:sz w:val="18"/>
                <w:szCs w:val="18"/>
              </w:rPr>
              <w:t>—</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2768" w:type="dxa"/>
            <w:vMerge w:val="continue"/>
            <w:vAlign w:val="center"/>
          </w:tcPr>
          <w:p>
            <w:pPr>
              <w:jc w:val="center"/>
              <w:rPr>
                <w:rFonts w:ascii="宋体" w:hAnsi="宋体"/>
                <w:sz w:val="18"/>
              </w:rPr>
            </w:pPr>
          </w:p>
        </w:tc>
        <w:tc>
          <w:tcPr>
            <w:tcW w:w="1815" w:type="dxa"/>
            <w:vAlign w:val="center"/>
          </w:tcPr>
          <w:p>
            <w:pPr>
              <w:jc w:val="center"/>
              <w:rPr>
                <w:rFonts w:ascii="宋体" w:hAnsi="宋体"/>
                <w:sz w:val="18"/>
                <w:szCs w:val="18"/>
              </w:rPr>
            </w:pPr>
            <w:r>
              <w:rPr>
                <w:rFonts w:hint="eastAsia" w:ascii="宋体" w:hAnsi="宋体"/>
                <w:sz w:val="18"/>
                <w:szCs w:val="18"/>
              </w:rPr>
              <w:t>连续挤压（M30）</w:t>
            </w:r>
          </w:p>
        </w:tc>
        <w:tc>
          <w:tcPr>
            <w:tcW w:w="1511" w:type="dxa"/>
            <w:vAlign w:val="center"/>
          </w:tcPr>
          <w:p>
            <w:pPr>
              <w:pStyle w:val="16"/>
              <w:widowControl w:val="0"/>
              <w:ind w:firstLine="0" w:firstLineChars="0"/>
              <w:jc w:val="center"/>
            </w:pPr>
            <w:r>
              <w:rPr>
                <w:rFonts w:hint="eastAsia"/>
              </w:rPr>
              <w:t>≥8.90</w:t>
            </w:r>
          </w:p>
        </w:tc>
        <w:tc>
          <w:tcPr>
            <w:tcW w:w="1511" w:type="dxa"/>
            <w:vAlign w:val="center"/>
          </w:tcPr>
          <w:p>
            <w:pPr>
              <w:widowControl/>
              <w:tabs>
                <w:tab w:val="left" w:pos="360"/>
              </w:tabs>
              <w:adjustRightInd w:val="0"/>
              <w:snapToGrid w:val="0"/>
              <w:jc w:val="center"/>
              <w:rPr>
                <w:rFonts w:ascii="宋体" w:hAnsi="宋体"/>
                <w:sz w:val="18"/>
                <w:szCs w:val="18"/>
              </w:rPr>
            </w:pPr>
            <w:r>
              <w:rPr>
                <w:rFonts w:hint="eastAsia"/>
              </w:rPr>
              <w:t>≥8.87</w:t>
            </w:r>
          </w:p>
        </w:tc>
        <w:tc>
          <w:tcPr>
            <w:tcW w:w="1515" w:type="dxa"/>
            <w:vAlign w:val="center"/>
          </w:tcPr>
          <w:p>
            <w:pPr>
              <w:widowControl/>
              <w:tabs>
                <w:tab w:val="left" w:pos="360"/>
              </w:tabs>
              <w:adjustRightInd w:val="0"/>
              <w:snapToGrid w:val="0"/>
              <w:jc w:val="center"/>
              <w:rPr>
                <w:rFonts w:ascii="宋体" w:hAnsi="宋体"/>
                <w:sz w:val="18"/>
                <w:szCs w:val="18"/>
              </w:rPr>
            </w:pPr>
            <w:r>
              <w:rPr>
                <w:rFonts w:hint="eastAsia"/>
              </w:rPr>
              <w:t>≥8.90</w:t>
            </w:r>
          </w:p>
        </w:tc>
      </w:tr>
    </w:tbl>
    <w:p>
      <w:pPr>
        <w:pStyle w:val="4"/>
        <w:jc w:val="left"/>
        <w:rPr>
          <w:rFonts w:asciiTheme="minorEastAsia" w:hAnsiTheme="minorEastAsia" w:eastAsiaTheme="minorEastAsia"/>
          <w:b/>
          <w:bCs/>
          <w:szCs w:val="20"/>
        </w:rPr>
      </w:pPr>
    </w:p>
    <w:p>
      <w:pPr>
        <w:pStyle w:val="4"/>
        <w:jc w:val="left"/>
        <w:rPr>
          <w:rFonts w:asciiTheme="minorEastAsia" w:hAnsiTheme="minorEastAsia" w:eastAsiaTheme="minorEastAsia"/>
          <w:b/>
          <w:bCs/>
          <w:szCs w:val="20"/>
        </w:rPr>
      </w:pPr>
      <w:r>
        <w:rPr>
          <w:rFonts w:hint="eastAsia" w:asciiTheme="minorEastAsia" w:hAnsiTheme="minorEastAsia" w:eastAsiaTheme="minorEastAsia"/>
          <w:b/>
          <w:bCs/>
          <w:szCs w:val="20"/>
        </w:rPr>
        <w:t>9、内部质量</w:t>
      </w:r>
      <w:r>
        <w:rPr>
          <w:rFonts w:hint="eastAsia" w:asciiTheme="minorEastAsia" w:hAnsiTheme="minorEastAsia" w:eastAsiaTheme="minorEastAsia"/>
          <w:b/>
          <w:color w:val="00B0F0"/>
          <w:kern w:val="0"/>
          <w:szCs w:val="20"/>
          <w:lang w:eastAsia="zh-CN"/>
        </w:rPr>
        <w:t>（应有说明</w:t>
      </w:r>
      <w:bookmarkStart w:id="1" w:name="_GoBack"/>
      <w:bookmarkEnd w:id="1"/>
      <w:r>
        <w:rPr>
          <w:rFonts w:hint="eastAsia" w:asciiTheme="minorEastAsia" w:hAnsiTheme="minorEastAsia" w:eastAsiaTheme="minorEastAsia"/>
          <w:b/>
          <w:color w:val="00B0F0"/>
          <w:kern w:val="0"/>
          <w:szCs w:val="20"/>
          <w:lang w:eastAsia="zh-CN"/>
        </w:rPr>
        <w:t>）</w:t>
      </w:r>
    </w:p>
    <w:p>
      <w:pPr>
        <w:widowControl/>
        <w:spacing w:line="360" w:lineRule="auto"/>
        <w:ind w:firstLine="420"/>
        <w:outlineLvl w:val="2"/>
        <w:rPr>
          <w:rFonts w:asciiTheme="minorEastAsia" w:hAnsiTheme="minorEastAsia" w:eastAsiaTheme="minorEastAsia"/>
          <w:szCs w:val="21"/>
        </w:rPr>
      </w:pPr>
      <w:r>
        <w:rPr>
          <w:rFonts w:hint="eastAsia" w:asciiTheme="minorEastAsia" w:hAnsiTheme="minorEastAsia" w:eastAsiaTheme="minorEastAsia"/>
          <w:kern w:val="0"/>
          <w:szCs w:val="20"/>
        </w:rPr>
        <w:t>接触线和绞线用铜及铜合金线坯</w:t>
      </w:r>
      <w:r>
        <w:rPr>
          <w:rFonts w:hint="eastAsia" w:asciiTheme="minorEastAsia" w:hAnsiTheme="minorEastAsia" w:eastAsiaTheme="minorEastAsia"/>
          <w:szCs w:val="21"/>
        </w:rPr>
        <w:t>的内部质量采用</w:t>
      </w:r>
      <w:r>
        <w:rPr>
          <w:rFonts w:hint="eastAsia"/>
        </w:rPr>
        <w:t>铜、镍及其合金管材和棒材断口检验方法</w:t>
      </w:r>
      <w:r>
        <w:rPr>
          <w:rFonts w:hint="eastAsia" w:asciiTheme="minorEastAsia" w:hAnsiTheme="minorEastAsia" w:eastAsiaTheme="minorEastAsia"/>
          <w:szCs w:val="21"/>
        </w:rPr>
        <w:t>检测，根据使用要求，断口应致密，无气孔、无缩尾。不允许有超出YS/T 336 中规定的气孔、夹杂和分层等缺陷。</w:t>
      </w:r>
    </w:p>
    <w:p>
      <w:pPr>
        <w:spacing w:line="360" w:lineRule="auto"/>
        <w:rPr>
          <w:rFonts w:asciiTheme="minorEastAsia" w:hAnsiTheme="minorEastAsia" w:eastAsiaTheme="minorEastAsia"/>
          <w:b/>
          <w:bCs/>
          <w:szCs w:val="20"/>
        </w:rPr>
      </w:pPr>
      <w:r>
        <w:rPr>
          <w:rFonts w:hint="eastAsia" w:asciiTheme="minorEastAsia" w:hAnsiTheme="minorEastAsia" w:eastAsiaTheme="minorEastAsia"/>
          <w:b/>
          <w:bCs/>
          <w:szCs w:val="20"/>
        </w:rPr>
        <w:t>10、表面质量</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根据</w:t>
      </w:r>
      <w:r>
        <w:rPr>
          <w:rFonts w:hint="eastAsia" w:asciiTheme="minorEastAsia" w:hAnsiTheme="minorEastAsia" w:eastAsiaTheme="minorEastAsia"/>
          <w:kern w:val="0"/>
          <w:szCs w:val="20"/>
        </w:rPr>
        <w:t>接触线和绞线用铜及铜合金线坯</w:t>
      </w:r>
      <w:r>
        <w:rPr>
          <w:rFonts w:hint="eastAsia" w:asciiTheme="minorEastAsia" w:hAnsiTheme="minorEastAsia" w:eastAsiaTheme="minorEastAsia"/>
        </w:rPr>
        <w:t>产品使用行业的要求，规定线坯表面</w:t>
      </w:r>
      <w:r>
        <w:rPr>
          <w:rFonts w:hint="eastAsia" w:hAnsi="宋体"/>
          <w:lang w:val="zh-CN"/>
        </w:rPr>
        <w:t>不应有皱边、飞边、裂纹、夹杂物及其他影响使用的缺陷。</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标准水平分析</w:t>
      </w:r>
    </w:p>
    <w:p>
      <w:pPr>
        <w:pStyle w:val="16"/>
        <w:spacing w:line="440" w:lineRule="exact"/>
        <w:ind w:firstLine="42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通过文献检索和网上查询，国内外没有关于</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2"/>
          <w:szCs w:val="21"/>
        </w:rPr>
        <w:t>的标准。本标准是根据我国实际生产使用情况制定的，从各项指标看，本标准对各项性能指标及要求进行了详细、明确的规定，能更好的对产品进行规范，满足产品的适用性，促进</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2"/>
          <w:szCs w:val="21"/>
        </w:rPr>
        <w:t>产业的发展。本标准的整体内容</w:t>
      </w:r>
      <w:r>
        <w:rPr>
          <w:rFonts w:hint="eastAsia" w:asciiTheme="minorEastAsia" w:hAnsiTheme="minorEastAsia" w:eastAsiaTheme="minorEastAsia"/>
          <w:color w:val="0000FF"/>
          <w:kern w:val="2"/>
          <w:szCs w:val="21"/>
        </w:rPr>
        <w:t>达到国际先进水平</w:t>
      </w:r>
      <w:r>
        <w:rPr>
          <w:rFonts w:hint="eastAsia" w:asciiTheme="minorEastAsia" w:hAnsiTheme="minorEastAsia" w:eastAsiaTheme="minorEastAsia"/>
          <w:color w:val="0000FF"/>
          <w:kern w:val="2"/>
          <w:szCs w:val="21"/>
          <w:lang w:eastAsia="zh-CN"/>
        </w:rPr>
        <w:t>（无论据、无分析？）</w:t>
      </w:r>
      <w:r>
        <w:rPr>
          <w:rFonts w:hint="eastAsia" w:asciiTheme="minorEastAsia" w:hAnsiTheme="minorEastAsia" w:eastAsiaTheme="minorEastAsia"/>
          <w:kern w:val="2"/>
          <w:szCs w:val="21"/>
        </w:rPr>
        <w:t>。建议作为推荐性行业标准发布实施。</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与现行相关法律、法规、规章及相关标准，特别是强制性标准的协调性</w:t>
      </w:r>
    </w:p>
    <w:p>
      <w:pPr>
        <w:spacing w:beforeLines="50" w:afterLines="50" w:line="4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本标准与现行相关法律、法规、规章及相关强制推荐的标准没有冲突。</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重大分歧意见的处理经过和依据</w:t>
      </w:r>
    </w:p>
    <w:p>
      <w:pPr>
        <w:spacing w:beforeLines="50" w:afterLines="50" w:line="44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无。</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作为强制性标准的建议</w:t>
      </w:r>
    </w:p>
    <w:p>
      <w:pPr>
        <w:spacing w:beforeLines="50" w:afterLines="50" w:line="44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本标准建议不作为强制性标准，建议作为推荐性标准。</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贯彻标准的要求和措施建议</w:t>
      </w:r>
    </w:p>
    <w:p>
      <w:pPr>
        <w:pStyle w:val="16"/>
        <w:spacing w:line="360" w:lineRule="auto"/>
        <w:ind w:firstLine="315" w:firstLineChars="150"/>
        <w:rPr>
          <w:rFonts w:asciiTheme="minorEastAsia" w:hAnsiTheme="minorEastAsia" w:eastAsiaTheme="minorEastAsia"/>
          <w:kern w:val="2"/>
          <w:szCs w:val="21"/>
        </w:rPr>
      </w:pPr>
      <w:r>
        <w:rPr>
          <w:rFonts w:hint="eastAsia" w:asciiTheme="minorEastAsia" w:hAnsiTheme="minorEastAsia" w:eastAsiaTheme="minorEastAsia"/>
          <w:kern w:val="2"/>
          <w:szCs w:val="21"/>
        </w:rPr>
        <w:t>本标准是以我国</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2"/>
          <w:szCs w:val="21"/>
        </w:rPr>
        <w:t>的实际生产现状为基础，结合国内、外订货合同要求进行制定的，标准全面覆盖了</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2"/>
          <w:szCs w:val="21"/>
        </w:rPr>
        <w:t>的一般要求，建议相关单位组织专项标准宣贯会进行系统学习。本标准发布后，各企业应积极宣传和贯彻，并立即采用新标准订货，以保证产品质量，满足国内、外市场及用户的需要。</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废止现行有关标准的建议</w:t>
      </w:r>
    </w:p>
    <w:p>
      <w:pPr>
        <w:spacing w:beforeLines="50" w:afterLines="50" w:line="44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     无。</w:t>
      </w:r>
    </w:p>
    <w:p>
      <w:pPr>
        <w:pStyle w:val="15"/>
        <w:numPr>
          <w:ilvl w:val="0"/>
          <w:numId w:val="5"/>
        </w:numPr>
        <w:spacing w:beforeLines="0" w:afterLines="0" w:line="440" w:lineRule="exact"/>
        <w:jc w:val="left"/>
        <w:outlineLvl w:val="9"/>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其它应予说明的事项</w:t>
      </w:r>
    </w:p>
    <w:p>
      <w:pPr>
        <w:pStyle w:val="16"/>
        <w:spacing w:line="440" w:lineRule="exact"/>
        <w:ind w:firstLine="42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本标准根据目前国内</w:t>
      </w:r>
      <w:r>
        <w:rPr>
          <w:rFonts w:hint="eastAsia" w:asciiTheme="minorEastAsia" w:hAnsiTheme="minorEastAsia" w:eastAsiaTheme="minorEastAsia"/>
        </w:rPr>
        <w:t>接触线和绞线用铜及铜合金线坯</w:t>
      </w:r>
      <w:r>
        <w:rPr>
          <w:rFonts w:hint="eastAsia" w:asciiTheme="minorEastAsia" w:hAnsiTheme="minorEastAsia" w:eastAsiaTheme="minorEastAsia"/>
          <w:kern w:val="2"/>
          <w:szCs w:val="21"/>
        </w:rPr>
        <w:t>的实际生产现状和订货合同情况，考虑随着新材料的开发使用和生产装备的更新，如果以后生产或订货合同中有其它合金或状态需求可在下一版中进行补充修订。</w:t>
      </w:r>
    </w:p>
    <w:p>
      <w:pPr>
        <w:pStyle w:val="15"/>
        <w:numPr>
          <w:ilvl w:val="0"/>
          <w:numId w:val="5"/>
        </w:numPr>
        <w:spacing w:beforeLines="0" w:afterLines="0" w:line="440" w:lineRule="exact"/>
        <w:jc w:val="left"/>
        <w:outlineLvl w:val="9"/>
        <w:rPr>
          <w:rFonts w:asciiTheme="minorEastAsia" w:hAnsiTheme="minorEastAsia" w:eastAsiaTheme="minorEastAsia"/>
          <w:b/>
          <w:color w:val="FF0000"/>
          <w:kern w:val="2"/>
          <w:sz w:val="28"/>
          <w:szCs w:val="28"/>
        </w:rPr>
      </w:pPr>
      <w:r>
        <w:rPr>
          <w:rFonts w:hint="eastAsia" w:ascii="黑体" w:hAnsi="黑体" w:eastAsia="黑体"/>
          <w:color w:val="FF0000"/>
          <w:sz w:val="28"/>
          <w:szCs w:val="28"/>
          <w:lang w:eastAsia="zh-CN"/>
        </w:rPr>
        <w:t>技术先进性、创新性、标准实施的</w:t>
      </w:r>
      <w:r>
        <w:rPr>
          <w:rFonts w:hint="eastAsia" w:ascii="黑体" w:hAnsi="黑体" w:eastAsia="黑体"/>
          <w:color w:val="FF0000"/>
          <w:sz w:val="28"/>
          <w:szCs w:val="28"/>
        </w:rPr>
        <w:t>预期</w:t>
      </w:r>
      <w:r>
        <w:rPr>
          <w:rFonts w:hint="eastAsia" w:ascii="黑体" w:hAnsi="黑体" w:eastAsia="黑体"/>
          <w:color w:val="FF0000"/>
          <w:sz w:val="28"/>
          <w:szCs w:val="28"/>
          <w:lang w:eastAsia="zh-CN"/>
        </w:rPr>
        <w:t>作用和</w:t>
      </w:r>
      <w:r>
        <w:rPr>
          <w:rFonts w:hint="eastAsia" w:ascii="黑体" w:hAnsi="黑体" w:eastAsia="黑体"/>
          <w:color w:val="FF0000"/>
          <w:sz w:val="28"/>
          <w:szCs w:val="28"/>
        </w:rPr>
        <w:t>效果</w:t>
      </w:r>
    </w:p>
    <w:p>
      <w:pPr>
        <w:pStyle w:val="16"/>
        <w:spacing w:line="440" w:lineRule="exact"/>
        <w:ind w:firstLine="420"/>
        <w:jc w:val="left"/>
        <w:rPr>
          <w:rFonts w:asciiTheme="minorEastAsia" w:hAnsiTheme="minorEastAsia" w:eastAsiaTheme="minorEastAsia"/>
        </w:rPr>
      </w:pPr>
      <w:r>
        <w:rPr>
          <w:rFonts w:hint="eastAsia" w:asciiTheme="minorEastAsia" w:hAnsiTheme="minorEastAsia" w:eastAsiaTheme="minorEastAsia"/>
          <w:kern w:val="2"/>
          <w:szCs w:val="21"/>
        </w:rPr>
        <w:t>本标准结合我国国情，在国内生产企业及国内外用户需求的基础上，参照国内外相关产品标准规范制定的，技术指标先进，具有普遍性、广泛性、适用性、科学性和先进性。加速中国标准和国外同类标准的对接,本标准发布后，将更好的规范我国</w:t>
      </w:r>
      <w:r>
        <w:rPr>
          <w:rFonts w:hint="eastAsia" w:asciiTheme="minorEastAsia" w:hAnsiTheme="minorEastAsia" w:eastAsiaTheme="minorEastAsia"/>
        </w:rPr>
        <w:t>接触线和绞线用铜及铜合金线坯产品</w:t>
      </w:r>
      <w:r>
        <w:rPr>
          <w:rFonts w:hint="eastAsia" w:asciiTheme="minorEastAsia" w:hAnsiTheme="minorEastAsia" w:eastAsiaTheme="minorEastAsia"/>
          <w:kern w:val="2"/>
          <w:szCs w:val="21"/>
        </w:rPr>
        <w:t>的性能和技术要求，提高产品在国内、外市场上的竞争力，给生产企业带来较大的经济效益。</w:t>
      </w:r>
    </w:p>
    <w:p>
      <w:pPr>
        <w:widowControl/>
        <w:spacing w:line="440" w:lineRule="exact"/>
        <w:ind w:firstLine="435"/>
        <w:jc w:val="left"/>
        <w:rPr>
          <w:rFonts w:asciiTheme="minorEastAsia" w:hAnsiTheme="minorEastAsia" w:eastAsiaTheme="minorEastAsia"/>
          <w:sz w:val="24"/>
          <w:szCs w:val="24"/>
        </w:rPr>
      </w:pPr>
      <w:r>
        <w:rPr>
          <w:rFonts w:hint="eastAsia" w:ascii="黑体" w:hAnsi="黑体" w:eastAsia="黑体"/>
          <w:color w:val="00B0F0"/>
          <w:sz w:val="24"/>
          <w:szCs w:val="24"/>
          <w:lang w:eastAsia="zh-CN"/>
        </w:rPr>
        <w:t>技术先进性：</w:t>
      </w:r>
    </w:p>
    <w:p>
      <w:pPr>
        <w:widowControl/>
        <w:spacing w:line="440" w:lineRule="exact"/>
        <w:ind w:firstLine="435"/>
        <w:jc w:val="left"/>
        <w:rPr>
          <w:rFonts w:asciiTheme="minorEastAsia" w:hAnsiTheme="minorEastAsia" w:eastAsiaTheme="minorEastAsia"/>
          <w:sz w:val="24"/>
          <w:szCs w:val="24"/>
        </w:rPr>
      </w:pPr>
      <w:r>
        <w:rPr>
          <w:rFonts w:hint="eastAsia" w:ascii="黑体" w:hAnsi="黑体" w:eastAsia="黑体"/>
          <w:color w:val="00B0F0"/>
          <w:sz w:val="24"/>
          <w:szCs w:val="24"/>
          <w:lang w:eastAsia="zh-CN"/>
        </w:rPr>
        <w:t>创新性：</w:t>
      </w:r>
    </w:p>
    <w:p>
      <w:pPr>
        <w:widowControl/>
        <w:spacing w:line="440" w:lineRule="exact"/>
        <w:ind w:firstLine="435"/>
        <w:jc w:val="left"/>
        <w:rPr>
          <w:rFonts w:asciiTheme="minorEastAsia" w:hAnsiTheme="minorEastAsia" w:eastAsiaTheme="minorEastAsia"/>
          <w:sz w:val="24"/>
          <w:szCs w:val="24"/>
        </w:rPr>
      </w:pPr>
      <w:r>
        <w:rPr>
          <w:rFonts w:hint="eastAsia" w:ascii="黑体" w:hAnsi="黑体" w:eastAsia="黑体"/>
          <w:color w:val="00B0F0"/>
          <w:sz w:val="24"/>
          <w:szCs w:val="24"/>
          <w:lang w:eastAsia="zh-CN"/>
        </w:rPr>
        <w:t>标准实施的</w:t>
      </w:r>
      <w:r>
        <w:rPr>
          <w:rFonts w:hint="eastAsia" w:ascii="黑体" w:hAnsi="黑体" w:eastAsia="黑体"/>
          <w:color w:val="00B0F0"/>
          <w:sz w:val="24"/>
          <w:szCs w:val="24"/>
        </w:rPr>
        <w:t>预期</w:t>
      </w:r>
      <w:r>
        <w:rPr>
          <w:rFonts w:hint="eastAsia" w:ascii="黑体" w:hAnsi="黑体" w:eastAsia="黑体"/>
          <w:color w:val="00B0F0"/>
          <w:sz w:val="24"/>
          <w:szCs w:val="24"/>
          <w:lang w:eastAsia="zh-CN"/>
        </w:rPr>
        <w:t>作用和</w:t>
      </w:r>
      <w:r>
        <w:rPr>
          <w:rFonts w:hint="eastAsia" w:ascii="黑体" w:hAnsi="黑体" w:eastAsia="黑体"/>
          <w:color w:val="00B0F0"/>
          <w:sz w:val="24"/>
          <w:szCs w:val="24"/>
        </w:rPr>
        <w:t>效果</w:t>
      </w:r>
      <w:r>
        <w:rPr>
          <w:rFonts w:hint="eastAsia" w:ascii="黑体" w:hAnsi="黑体" w:eastAsia="黑体"/>
          <w:color w:val="00B0F0"/>
          <w:sz w:val="24"/>
          <w:szCs w:val="24"/>
          <w:lang w:eastAsia="zh-CN"/>
        </w:rPr>
        <w:t>：</w:t>
      </w:r>
    </w:p>
    <w:p>
      <w:pPr>
        <w:widowControl/>
        <w:spacing w:line="440" w:lineRule="exact"/>
        <w:ind w:firstLine="435"/>
        <w:jc w:val="right"/>
        <w:rPr>
          <w:rFonts w:asciiTheme="minorEastAsia" w:hAnsiTheme="minorEastAsia" w:eastAsiaTheme="minorEastAsia"/>
        </w:rPr>
      </w:pPr>
      <w:r>
        <w:rPr>
          <w:rFonts w:hint="eastAsia" w:asciiTheme="minorEastAsia" w:hAnsiTheme="minorEastAsia" w:eastAsiaTheme="minorEastAsia"/>
        </w:rPr>
        <w:t>浙江天宁合金材料有限公司</w:t>
      </w:r>
    </w:p>
    <w:p>
      <w:pPr>
        <w:widowControl/>
        <w:spacing w:line="440" w:lineRule="exact"/>
        <w:ind w:firstLine="435"/>
        <w:jc w:val="left"/>
        <w:rPr>
          <w:rFonts w:asciiTheme="minorEastAsia" w:hAnsiTheme="minorEastAsia" w:eastAsiaTheme="minorEastAsia"/>
        </w:rPr>
      </w:pPr>
      <w:r>
        <w:rPr>
          <w:rFonts w:hint="eastAsia" w:asciiTheme="minorEastAsia" w:hAnsiTheme="minorEastAsia" w:eastAsiaTheme="minorEastAsia"/>
        </w:rPr>
        <w:t xml:space="preserve">                                                               2018-01-24</w:t>
      </w:r>
    </w:p>
    <w:sectPr>
      <w:pgSz w:w="11906" w:h="16838"/>
      <w:pgMar w:top="1135" w:right="1133"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00000015"/>
    <w:multiLevelType w:val="multilevel"/>
    <w:tmpl w:val="00000015"/>
    <w:lvl w:ilvl="0" w:tentative="0">
      <w:start w:val="1"/>
      <w:numFmt w:val="decimal"/>
      <w:pStyle w:val="43"/>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833" w:hanging="408"/>
      </w:pPr>
      <w:rPr>
        <w:rFonts w:hint="eastAsia"/>
      </w:rPr>
    </w:lvl>
    <w:lvl w:ilvl="1" w:tentative="0">
      <w:start w:val="1"/>
      <w:numFmt w:val="bullet"/>
      <w:pStyle w:val="36"/>
      <w:lvlText w:val=""/>
      <w:lvlJc w:val="left"/>
      <w:pPr>
        <w:tabs>
          <w:tab w:val="left" w:pos="760"/>
        </w:tabs>
        <w:ind w:left="1264" w:hanging="413"/>
      </w:pPr>
      <w:rPr>
        <w:rFonts w:hint="default" w:ascii="Symbol" w:hAnsi="Symbol"/>
        <w:color w:val="auto"/>
      </w:rPr>
    </w:lvl>
    <w:lvl w:ilvl="2" w:tentative="0">
      <w:start w:val="1"/>
      <w:numFmt w:val="bullet"/>
      <w:pStyle w:val="3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657D3FBC"/>
    <w:multiLevelType w:val="multilevel"/>
    <w:tmpl w:val="657D3FBC"/>
    <w:lvl w:ilvl="0" w:tentative="0">
      <w:start w:val="1"/>
      <w:numFmt w:val="upperLetter"/>
      <w:pStyle w:val="2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pStyle w:val="29"/>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pStyle w:val="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6C07CD"/>
    <w:multiLevelType w:val="multilevel"/>
    <w:tmpl w:val="6D6C07CD"/>
    <w:lvl w:ilvl="0" w:tentative="0">
      <w:start w:val="1"/>
      <w:numFmt w:val="lowerLetter"/>
      <w:pStyle w:val="39"/>
      <w:lvlText w:val="%1)"/>
      <w:lvlJc w:val="left"/>
      <w:pPr>
        <w:tabs>
          <w:tab w:val="left" w:pos="839"/>
        </w:tabs>
        <w:ind w:left="839" w:hanging="419"/>
      </w:pPr>
      <w:rPr>
        <w:rFonts w:hint="eastAsia" w:ascii="宋体" w:eastAsia="宋体"/>
        <w:b w:val="0"/>
        <w:i w:val="0"/>
        <w:sz w:val="21"/>
      </w:rPr>
    </w:lvl>
    <w:lvl w:ilvl="1" w:tentative="0">
      <w:start w:val="1"/>
      <w:numFmt w:val="decimal"/>
      <w:pStyle w:val="3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0F98"/>
    <w:rsid w:val="0000124E"/>
    <w:rsid w:val="000161AF"/>
    <w:rsid w:val="0001763B"/>
    <w:rsid w:val="00034831"/>
    <w:rsid w:val="00045055"/>
    <w:rsid w:val="00052282"/>
    <w:rsid w:val="00066773"/>
    <w:rsid w:val="000A13AE"/>
    <w:rsid w:val="000B2F6F"/>
    <w:rsid w:val="000B4B1E"/>
    <w:rsid w:val="000D1195"/>
    <w:rsid w:val="000E6FD7"/>
    <w:rsid w:val="000F17EB"/>
    <w:rsid w:val="000F4675"/>
    <w:rsid w:val="000F48D6"/>
    <w:rsid w:val="0010177B"/>
    <w:rsid w:val="00104E6F"/>
    <w:rsid w:val="00107BA4"/>
    <w:rsid w:val="001104FE"/>
    <w:rsid w:val="001136BA"/>
    <w:rsid w:val="0012169D"/>
    <w:rsid w:val="001237A9"/>
    <w:rsid w:val="00130F98"/>
    <w:rsid w:val="001355E4"/>
    <w:rsid w:val="00142BF8"/>
    <w:rsid w:val="00172053"/>
    <w:rsid w:val="001720D2"/>
    <w:rsid w:val="001816E1"/>
    <w:rsid w:val="00187C99"/>
    <w:rsid w:val="0019384C"/>
    <w:rsid w:val="00197842"/>
    <w:rsid w:val="001A5CDA"/>
    <w:rsid w:val="001B084F"/>
    <w:rsid w:val="001C46AF"/>
    <w:rsid w:val="001C7FDD"/>
    <w:rsid w:val="001E3882"/>
    <w:rsid w:val="001F4FDD"/>
    <w:rsid w:val="00204D0E"/>
    <w:rsid w:val="0020630E"/>
    <w:rsid w:val="00211FDA"/>
    <w:rsid w:val="00215E21"/>
    <w:rsid w:val="00224D00"/>
    <w:rsid w:val="002313C4"/>
    <w:rsid w:val="002335AE"/>
    <w:rsid w:val="002544F0"/>
    <w:rsid w:val="00266311"/>
    <w:rsid w:val="002712B3"/>
    <w:rsid w:val="0027432C"/>
    <w:rsid w:val="00285160"/>
    <w:rsid w:val="002917F8"/>
    <w:rsid w:val="00292EB9"/>
    <w:rsid w:val="00293751"/>
    <w:rsid w:val="00293887"/>
    <w:rsid w:val="002A2BE4"/>
    <w:rsid w:val="002A3E4A"/>
    <w:rsid w:val="002B1E74"/>
    <w:rsid w:val="002C17A8"/>
    <w:rsid w:val="002D090B"/>
    <w:rsid w:val="002D4E61"/>
    <w:rsid w:val="002F69DD"/>
    <w:rsid w:val="0030326A"/>
    <w:rsid w:val="003255D8"/>
    <w:rsid w:val="00327C65"/>
    <w:rsid w:val="00372668"/>
    <w:rsid w:val="003828E3"/>
    <w:rsid w:val="00382DC8"/>
    <w:rsid w:val="003927CC"/>
    <w:rsid w:val="003A0B38"/>
    <w:rsid w:val="003A1EA0"/>
    <w:rsid w:val="003A5740"/>
    <w:rsid w:val="003C2B71"/>
    <w:rsid w:val="003C2C61"/>
    <w:rsid w:val="003D6439"/>
    <w:rsid w:val="003E45AF"/>
    <w:rsid w:val="004135FF"/>
    <w:rsid w:val="0042733C"/>
    <w:rsid w:val="00427EC5"/>
    <w:rsid w:val="00427F78"/>
    <w:rsid w:val="00433227"/>
    <w:rsid w:val="00434327"/>
    <w:rsid w:val="00440A19"/>
    <w:rsid w:val="00443933"/>
    <w:rsid w:val="00447E04"/>
    <w:rsid w:val="00461F98"/>
    <w:rsid w:val="00476062"/>
    <w:rsid w:val="00482823"/>
    <w:rsid w:val="00486E2C"/>
    <w:rsid w:val="00492480"/>
    <w:rsid w:val="00494772"/>
    <w:rsid w:val="00495A51"/>
    <w:rsid w:val="004A1456"/>
    <w:rsid w:val="004A2942"/>
    <w:rsid w:val="004A46D6"/>
    <w:rsid w:val="004C281F"/>
    <w:rsid w:val="004D0CB2"/>
    <w:rsid w:val="004D1C72"/>
    <w:rsid w:val="004D5B0F"/>
    <w:rsid w:val="004D66EC"/>
    <w:rsid w:val="004F18F9"/>
    <w:rsid w:val="005032E7"/>
    <w:rsid w:val="00511545"/>
    <w:rsid w:val="00515A47"/>
    <w:rsid w:val="00520E85"/>
    <w:rsid w:val="00527B3A"/>
    <w:rsid w:val="00534C26"/>
    <w:rsid w:val="00552D4F"/>
    <w:rsid w:val="00562CFB"/>
    <w:rsid w:val="00566786"/>
    <w:rsid w:val="00583ED6"/>
    <w:rsid w:val="005D175B"/>
    <w:rsid w:val="005F27BA"/>
    <w:rsid w:val="00603A8C"/>
    <w:rsid w:val="00611B12"/>
    <w:rsid w:val="00627117"/>
    <w:rsid w:val="00634C25"/>
    <w:rsid w:val="006366AC"/>
    <w:rsid w:val="00644F82"/>
    <w:rsid w:val="006455A7"/>
    <w:rsid w:val="006605FD"/>
    <w:rsid w:val="006606E2"/>
    <w:rsid w:val="00661028"/>
    <w:rsid w:val="00674B4E"/>
    <w:rsid w:val="006879E8"/>
    <w:rsid w:val="00695AE3"/>
    <w:rsid w:val="006A2C8A"/>
    <w:rsid w:val="006C3FAF"/>
    <w:rsid w:val="006D6034"/>
    <w:rsid w:val="006F5CB0"/>
    <w:rsid w:val="006F60C0"/>
    <w:rsid w:val="0070188F"/>
    <w:rsid w:val="00710156"/>
    <w:rsid w:val="007114FC"/>
    <w:rsid w:val="0072482F"/>
    <w:rsid w:val="00726728"/>
    <w:rsid w:val="00727AC1"/>
    <w:rsid w:val="00730650"/>
    <w:rsid w:val="00731EB2"/>
    <w:rsid w:val="00755960"/>
    <w:rsid w:val="00766420"/>
    <w:rsid w:val="0077028E"/>
    <w:rsid w:val="00775F39"/>
    <w:rsid w:val="007764C7"/>
    <w:rsid w:val="00787A22"/>
    <w:rsid w:val="00796B72"/>
    <w:rsid w:val="007A6FD4"/>
    <w:rsid w:val="007A7BC9"/>
    <w:rsid w:val="007B681F"/>
    <w:rsid w:val="007D564F"/>
    <w:rsid w:val="007E0944"/>
    <w:rsid w:val="007E0B4C"/>
    <w:rsid w:val="007E10F0"/>
    <w:rsid w:val="007E41A5"/>
    <w:rsid w:val="007F3321"/>
    <w:rsid w:val="008176C5"/>
    <w:rsid w:val="00820365"/>
    <w:rsid w:val="0082630A"/>
    <w:rsid w:val="0084049E"/>
    <w:rsid w:val="0084443C"/>
    <w:rsid w:val="008528C9"/>
    <w:rsid w:val="00855CF8"/>
    <w:rsid w:val="008605FB"/>
    <w:rsid w:val="0086093E"/>
    <w:rsid w:val="00866690"/>
    <w:rsid w:val="00866A21"/>
    <w:rsid w:val="00875E7C"/>
    <w:rsid w:val="0087712A"/>
    <w:rsid w:val="008779EA"/>
    <w:rsid w:val="00884E68"/>
    <w:rsid w:val="008946A3"/>
    <w:rsid w:val="008956CC"/>
    <w:rsid w:val="008A1E15"/>
    <w:rsid w:val="008B149E"/>
    <w:rsid w:val="008B1B91"/>
    <w:rsid w:val="008C0E7A"/>
    <w:rsid w:val="008D41E0"/>
    <w:rsid w:val="008D7C3C"/>
    <w:rsid w:val="008E244B"/>
    <w:rsid w:val="008E2C11"/>
    <w:rsid w:val="00903FE7"/>
    <w:rsid w:val="0091023A"/>
    <w:rsid w:val="009231B6"/>
    <w:rsid w:val="009249DC"/>
    <w:rsid w:val="009252D3"/>
    <w:rsid w:val="00984CD1"/>
    <w:rsid w:val="00987FA7"/>
    <w:rsid w:val="00997B7C"/>
    <w:rsid w:val="009D127F"/>
    <w:rsid w:val="009E051D"/>
    <w:rsid w:val="009F0C47"/>
    <w:rsid w:val="009F0CC9"/>
    <w:rsid w:val="009F3F31"/>
    <w:rsid w:val="00A216B7"/>
    <w:rsid w:val="00A24973"/>
    <w:rsid w:val="00A310AE"/>
    <w:rsid w:val="00A34D4F"/>
    <w:rsid w:val="00A411D3"/>
    <w:rsid w:val="00A41391"/>
    <w:rsid w:val="00A60B45"/>
    <w:rsid w:val="00A60D26"/>
    <w:rsid w:val="00A61CB0"/>
    <w:rsid w:val="00A62470"/>
    <w:rsid w:val="00A6286D"/>
    <w:rsid w:val="00A67D3B"/>
    <w:rsid w:val="00A71470"/>
    <w:rsid w:val="00A77C9C"/>
    <w:rsid w:val="00A77DF8"/>
    <w:rsid w:val="00A829E5"/>
    <w:rsid w:val="00A8672C"/>
    <w:rsid w:val="00A8706E"/>
    <w:rsid w:val="00AA2412"/>
    <w:rsid w:val="00AB1CDC"/>
    <w:rsid w:val="00AB57B0"/>
    <w:rsid w:val="00AC4755"/>
    <w:rsid w:val="00AE0332"/>
    <w:rsid w:val="00AE05D4"/>
    <w:rsid w:val="00AE3767"/>
    <w:rsid w:val="00AF2D86"/>
    <w:rsid w:val="00B20C26"/>
    <w:rsid w:val="00B25077"/>
    <w:rsid w:val="00B320C2"/>
    <w:rsid w:val="00B367E9"/>
    <w:rsid w:val="00B47E4E"/>
    <w:rsid w:val="00B52B47"/>
    <w:rsid w:val="00B65706"/>
    <w:rsid w:val="00B65E05"/>
    <w:rsid w:val="00B75908"/>
    <w:rsid w:val="00B77016"/>
    <w:rsid w:val="00B9674A"/>
    <w:rsid w:val="00B97B68"/>
    <w:rsid w:val="00BA0C72"/>
    <w:rsid w:val="00BA7473"/>
    <w:rsid w:val="00BB220C"/>
    <w:rsid w:val="00BE0B3C"/>
    <w:rsid w:val="00BE1117"/>
    <w:rsid w:val="00BF3F99"/>
    <w:rsid w:val="00C00D54"/>
    <w:rsid w:val="00C036CB"/>
    <w:rsid w:val="00C10B28"/>
    <w:rsid w:val="00C178C3"/>
    <w:rsid w:val="00C32017"/>
    <w:rsid w:val="00C47EC0"/>
    <w:rsid w:val="00C520B8"/>
    <w:rsid w:val="00C60415"/>
    <w:rsid w:val="00C63B42"/>
    <w:rsid w:val="00C659BE"/>
    <w:rsid w:val="00C8079B"/>
    <w:rsid w:val="00CE45A5"/>
    <w:rsid w:val="00CE6C0B"/>
    <w:rsid w:val="00CF246E"/>
    <w:rsid w:val="00CF3CDF"/>
    <w:rsid w:val="00CF6DE1"/>
    <w:rsid w:val="00D16769"/>
    <w:rsid w:val="00D172B6"/>
    <w:rsid w:val="00D17920"/>
    <w:rsid w:val="00D26ECE"/>
    <w:rsid w:val="00D34C7F"/>
    <w:rsid w:val="00D46D34"/>
    <w:rsid w:val="00D47FA1"/>
    <w:rsid w:val="00D52C09"/>
    <w:rsid w:val="00D621C7"/>
    <w:rsid w:val="00DB731C"/>
    <w:rsid w:val="00DC25C6"/>
    <w:rsid w:val="00DC2C83"/>
    <w:rsid w:val="00DC2D5F"/>
    <w:rsid w:val="00DC5E7E"/>
    <w:rsid w:val="00E029B1"/>
    <w:rsid w:val="00E05892"/>
    <w:rsid w:val="00E05B03"/>
    <w:rsid w:val="00E066C9"/>
    <w:rsid w:val="00E20F62"/>
    <w:rsid w:val="00E3258F"/>
    <w:rsid w:val="00E5322A"/>
    <w:rsid w:val="00E648FC"/>
    <w:rsid w:val="00E65C36"/>
    <w:rsid w:val="00E83414"/>
    <w:rsid w:val="00E86C54"/>
    <w:rsid w:val="00E979ED"/>
    <w:rsid w:val="00EA2FA3"/>
    <w:rsid w:val="00EA6534"/>
    <w:rsid w:val="00EB2CFC"/>
    <w:rsid w:val="00EB3FB5"/>
    <w:rsid w:val="00EC569B"/>
    <w:rsid w:val="00F05EA7"/>
    <w:rsid w:val="00F06634"/>
    <w:rsid w:val="00F17280"/>
    <w:rsid w:val="00F36ABD"/>
    <w:rsid w:val="00F429D9"/>
    <w:rsid w:val="00F54178"/>
    <w:rsid w:val="00F579FD"/>
    <w:rsid w:val="00F62A4F"/>
    <w:rsid w:val="00F66690"/>
    <w:rsid w:val="00F6795A"/>
    <w:rsid w:val="00F74D9B"/>
    <w:rsid w:val="00F75A37"/>
    <w:rsid w:val="00F86CC7"/>
    <w:rsid w:val="00F960B3"/>
    <w:rsid w:val="00FB4A20"/>
    <w:rsid w:val="00FC400A"/>
    <w:rsid w:val="00FD4A4F"/>
    <w:rsid w:val="00FF0A1B"/>
    <w:rsid w:val="6E1B0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26"/>
    <w:semiHidden/>
    <w:unhideWhenUsed/>
    <w:qFormat/>
    <w:uiPriority w:val="99"/>
    <w:pPr>
      <w:ind w:firstLine="420" w:firstLineChars="100"/>
    </w:pPr>
  </w:style>
  <w:style w:type="paragraph" w:styleId="3">
    <w:name w:val="Body Text"/>
    <w:basedOn w:val="1"/>
    <w:link w:val="25"/>
    <w:semiHidden/>
    <w:unhideWhenUsed/>
    <w:qFormat/>
    <w:uiPriority w:val="99"/>
    <w:pPr>
      <w:spacing w:after="120"/>
    </w:pPr>
  </w:style>
  <w:style w:type="paragraph" w:styleId="4">
    <w:name w:val="Normal Indent"/>
    <w:basedOn w:val="1"/>
    <w:qFormat/>
    <w:uiPriority w:val="0"/>
    <w:pPr>
      <w:adjustRightInd w:val="0"/>
      <w:textAlignment w:val="baseline"/>
    </w:pPr>
    <w:rPr>
      <w:kern w:val="0"/>
      <w:szCs w:val="21"/>
    </w:rPr>
  </w:style>
  <w:style w:type="paragraph" w:styleId="5">
    <w:name w:val="Body Text Indent"/>
    <w:basedOn w:val="1"/>
    <w:link w:val="18"/>
    <w:qFormat/>
    <w:uiPriority w:val="0"/>
    <w:pPr>
      <w:spacing w:after="120"/>
      <w:ind w:left="420" w:leftChars="200"/>
    </w:pPr>
    <w:rPr>
      <w:rFonts w:ascii="宋体" w:hAnsi="宋体"/>
    </w:rPr>
  </w:style>
  <w:style w:type="paragraph" w:styleId="6">
    <w:name w:val="Balloon Text"/>
    <w:basedOn w:val="1"/>
    <w:link w:val="40"/>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basedOn w:val="10"/>
    <w:unhideWhenUsed/>
    <w:qFormat/>
    <w:uiPriority w:val="99"/>
    <w:rPr>
      <w:color w:val="0000FF" w:themeColor="hyperlink"/>
      <w:u w:val="single"/>
    </w:rPr>
  </w:style>
  <w:style w:type="character" w:customStyle="1" w:styleId="13">
    <w:name w:val="页眉 Char"/>
    <w:basedOn w:val="10"/>
    <w:link w:val="8"/>
    <w:uiPriority w:val="99"/>
    <w:rPr>
      <w:sz w:val="18"/>
      <w:szCs w:val="18"/>
    </w:rPr>
  </w:style>
  <w:style w:type="character" w:customStyle="1" w:styleId="14">
    <w:name w:val="页脚 Char"/>
    <w:basedOn w:val="10"/>
    <w:link w:val="7"/>
    <w:uiPriority w:val="99"/>
    <w:rPr>
      <w:sz w:val="18"/>
      <w:szCs w:val="18"/>
    </w:rPr>
  </w:style>
  <w:style w:type="paragraph" w:customStyle="1" w:styleId="15">
    <w:name w:val="章标题"/>
    <w:next w:val="16"/>
    <w:qFormat/>
    <w:uiPriority w:val="0"/>
    <w:pPr>
      <w:spacing w:beforeLines="50" w:afterLines="50"/>
      <w:jc w:val="both"/>
      <w:outlineLvl w:val="1"/>
    </w:pPr>
    <w:rPr>
      <w:rFonts w:ascii="黑体" w:hAnsi="Times New Roman" w:eastAsia="黑体" w:cs="Times New Roman"/>
      <w:kern w:val="0"/>
      <w:sz w:val="21"/>
      <w:szCs w:val="22"/>
      <w:lang w:val="en-US" w:eastAsia="zh-CN" w:bidi="ar-SA"/>
    </w:rPr>
  </w:style>
  <w:style w:type="paragraph" w:customStyle="1" w:styleId="16">
    <w:name w:val="段"/>
    <w:link w:val="24"/>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7">
    <w:name w:val="一级条标题"/>
    <w:link w:val="23"/>
    <w:qFormat/>
    <w:uiPriority w:val="0"/>
    <w:pPr>
      <w:tabs>
        <w:tab w:val="left" w:pos="360"/>
      </w:tabs>
      <w:outlineLvl w:val="2"/>
    </w:pPr>
    <w:rPr>
      <w:rFonts w:ascii="Times New Roman" w:hAnsi="Times New Roman" w:eastAsia="黑体" w:cs="Times New Roman"/>
      <w:kern w:val="0"/>
      <w:sz w:val="21"/>
      <w:szCs w:val="22"/>
      <w:lang w:val="en-US" w:eastAsia="zh-CN" w:bidi="ar-SA"/>
    </w:rPr>
  </w:style>
  <w:style w:type="character" w:customStyle="1" w:styleId="18">
    <w:name w:val="正文文本缩进 Char"/>
    <w:basedOn w:val="10"/>
    <w:link w:val="5"/>
    <w:qFormat/>
    <w:uiPriority w:val="0"/>
    <w:rPr>
      <w:rFonts w:ascii="宋体" w:hAnsi="宋体" w:eastAsia="宋体" w:cs="Times New Roman"/>
      <w:szCs w:val="24"/>
    </w:rPr>
  </w:style>
  <w:style w:type="paragraph" w:styleId="19">
    <w:name w:val="List Paragraph"/>
    <w:basedOn w:val="1"/>
    <w:qFormat/>
    <w:uiPriority w:val="34"/>
    <w:pPr>
      <w:ind w:firstLine="420" w:firstLineChars="200"/>
    </w:pPr>
  </w:style>
  <w:style w:type="paragraph" w:customStyle="1" w:styleId="20">
    <w:name w:val="二级条标题"/>
    <w:basedOn w:val="17"/>
    <w:next w:val="16"/>
    <w:uiPriority w:val="0"/>
    <w:pPr>
      <w:tabs>
        <w:tab w:val="clear" w:pos="360"/>
      </w:tabs>
      <w:spacing w:beforeLines="50" w:afterLines="50"/>
      <w:outlineLvl w:val="3"/>
    </w:pPr>
    <w:rPr>
      <w:rFonts w:ascii="黑体"/>
      <w:szCs w:val="21"/>
    </w:rPr>
  </w:style>
  <w:style w:type="paragraph" w:customStyle="1" w:styleId="21">
    <w:name w:val="四级条标题"/>
    <w:basedOn w:val="1"/>
    <w:next w:val="16"/>
    <w:qFormat/>
    <w:uiPriority w:val="0"/>
    <w:pPr>
      <w:widowControl/>
      <w:spacing w:beforeLines="50" w:afterLines="50"/>
      <w:jc w:val="left"/>
      <w:outlineLvl w:val="5"/>
    </w:pPr>
    <w:rPr>
      <w:rFonts w:ascii="黑体" w:eastAsia="黑体"/>
      <w:kern w:val="0"/>
      <w:szCs w:val="21"/>
    </w:rPr>
  </w:style>
  <w:style w:type="paragraph" w:customStyle="1" w:styleId="22">
    <w:name w:val="五级条标题"/>
    <w:basedOn w:val="21"/>
    <w:next w:val="16"/>
    <w:uiPriority w:val="0"/>
    <w:pPr>
      <w:outlineLvl w:val="6"/>
    </w:pPr>
  </w:style>
  <w:style w:type="character" w:customStyle="1" w:styleId="23">
    <w:name w:val="一级条标题 Char"/>
    <w:link w:val="17"/>
    <w:qFormat/>
    <w:uiPriority w:val="0"/>
    <w:rPr>
      <w:rFonts w:ascii="Times New Roman" w:hAnsi="Times New Roman" w:eastAsia="黑体" w:cs="Times New Roman"/>
      <w:kern w:val="0"/>
    </w:rPr>
  </w:style>
  <w:style w:type="character" w:customStyle="1" w:styleId="24">
    <w:name w:val="段 Char"/>
    <w:link w:val="16"/>
    <w:uiPriority w:val="0"/>
    <w:rPr>
      <w:rFonts w:ascii="宋体" w:hAnsi="Times New Roman" w:eastAsia="宋体" w:cs="Times New Roman"/>
      <w:kern w:val="0"/>
      <w:szCs w:val="20"/>
    </w:rPr>
  </w:style>
  <w:style w:type="character" w:customStyle="1" w:styleId="25">
    <w:name w:val="正文文本 Char"/>
    <w:basedOn w:val="10"/>
    <w:link w:val="3"/>
    <w:semiHidden/>
    <w:qFormat/>
    <w:uiPriority w:val="99"/>
    <w:rPr>
      <w:rFonts w:ascii="Times New Roman" w:hAnsi="Times New Roman" w:eastAsia="宋体" w:cs="Times New Roman"/>
      <w:szCs w:val="24"/>
    </w:rPr>
  </w:style>
  <w:style w:type="character" w:customStyle="1" w:styleId="26">
    <w:name w:val="正文首行缩进 Char"/>
    <w:basedOn w:val="25"/>
    <w:link w:val="2"/>
    <w:semiHidden/>
    <w:qFormat/>
    <w:uiPriority w:val="99"/>
    <w:rPr>
      <w:rFonts w:ascii="Times New Roman" w:hAnsi="Times New Roman" w:eastAsia="宋体" w:cs="Times New Roman"/>
      <w:szCs w:val="24"/>
    </w:rPr>
  </w:style>
  <w:style w:type="paragraph" w:customStyle="1" w:styleId="27">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8">
    <w:name w:val="附录标识"/>
    <w:basedOn w:val="1"/>
    <w:next w:val="16"/>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9">
    <w:name w:val="附录二级条标题"/>
    <w:basedOn w:val="1"/>
    <w:next w:val="16"/>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30">
    <w:name w:val="附录三级条标题"/>
    <w:basedOn w:val="29"/>
    <w:next w:val="16"/>
    <w:qFormat/>
    <w:uiPriority w:val="0"/>
    <w:pPr>
      <w:numPr>
        <w:ilvl w:val="4"/>
      </w:numPr>
      <w:outlineLvl w:val="4"/>
    </w:pPr>
  </w:style>
  <w:style w:type="paragraph" w:customStyle="1" w:styleId="31">
    <w:name w:val="附录四级条标题"/>
    <w:basedOn w:val="30"/>
    <w:next w:val="16"/>
    <w:qFormat/>
    <w:uiPriority w:val="0"/>
    <w:pPr>
      <w:numPr>
        <w:ilvl w:val="5"/>
      </w:numPr>
      <w:outlineLvl w:val="5"/>
    </w:pPr>
  </w:style>
  <w:style w:type="paragraph" w:customStyle="1" w:styleId="32">
    <w:name w:val="附录五级条标题"/>
    <w:basedOn w:val="31"/>
    <w:next w:val="16"/>
    <w:uiPriority w:val="0"/>
    <w:pPr>
      <w:numPr>
        <w:ilvl w:val="6"/>
      </w:numPr>
      <w:outlineLvl w:val="6"/>
    </w:pPr>
  </w:style>
  <w:style w:type="paragraph" w:customStyle="1" w:styleId="33">
    <w:name w:val="附录章标题"/>
    <w:next w:val="16"/>
    <w:qFormat/>
    <w:uiPriority w:val="0"/>
    <w:pPr>
      <w:numPr>
        <w:ilvl w:val="1"/>
        <w:numId w:val="1"/>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34">
    <w:name w:val="附录一级条标题"/>
    <w:basedOn w:val="33"/>
    <w:next w:val="16"/>
    <w:qFormat/>
    <w:uiPriority w:val="0"/>
    <w:pPr>
      <w:numPr>
        <w:ilvl w:val="2"/>
      </w:numPr>
      <w:tabs>
        <w:tab w:val="left" w:pos="360"/>
      </w:tabs>
      <w:autoSpaceDN w:val="0"/>
      <w:spacing w:beforeLines="50" w:afterLines="50"/>
      <w:outlineLvl w:val="2"/>
    </w:pPr>
  </w:style>
  <w:style w:type="paragraph" w:customStyle="1" w:styleId="35">
    <w:name w:val="列项——（一级）"/>
    <w:qFormat/>
    <w:uiPriority w:val="0"/>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37">
    <w:name w:val="列项◆（三级）"/>
    <w:basedOn w:val="1"/>
    <w:uiPriority w:val="0"/>
    <w:pPr>
      <w:numPr>
        <w:ilvl w:val="2"/>
        <w:numId w:val="2"/>
      </w:numPr>
    </w:pPr>
    <w:rPr>
      <w:rFonts w:ascii="宋体"/>
      <w:szCs w:val="21"/>
    </w:rPr>
  </w:style>
  <w:style w:type="paragraph" w:customStyle="1" w:styleId="38">
    <w:name w:val="附录数字编号列项（二级）"/>
    <w:qFormat/>
    <w:uiPriority w:val="0"/>
    <w:pPr>
      <w:numPr>
        <w:ilvl w:val="1"/>
        <w:numId w:val="3"/>
      </w:numPr>
    </w:pPr>
    <w:rPr>
      <w:rFonts w:ascii="宋体" w:hAnsi="Times New Roman" w:eastAsia="宋体" w:cs="Times New Roman"/>
      <w:kern w:val="0"/>
      <w:sz w:val="21"/>
      <w:szCs w:val="20"/>
      <w:lang w:val="en-US" w:eastAsia="zh-CN" w:bidi="ar-SA"/>
    </w:rPr>
  </w:style>
  <w:style w:type="paragraph" w:customStyle="1" w:styleId="39">
    <w:name w:val="附录字母编号列项（一级）"/>
    <w:qFormat/>
    <w:uiPriority w:val="0"/>
    <w:pPr>
      <w:numPr>
        <w:ilvl w:val="0"/>
        <w:numId w:val="3"/>
      </w:numPr>
    </w:pPr>
    <w:rPr>
      <w:rFonts w:ascii="宋体" w:hAnsi="Times New Roman" w:eastAsia="宋体" w:cs="Times New Roman"/>
      <w:kern w:val="0"/>
      <w:sz w:val="21"/>
      <w:szCs w:val="20"/>
      <w:lang w:val="en-US" w:eastAsia="zh-CN" w:bidi="ar-SA"/>
    </w:rPr>
  </w:style>
  <w:style w:type="character" w:customStyle="1" w:styleId="40">
    <w:name w:val="批注框文本 Char"/>
    <w:basedOn w:val="10"/>
    <w:link w:val="6"/>
    <w:semiHidden/>
    <w:qFormat/>
    <w:uiPriority w:val="99"/>
    <w:rPr>
      <w:rFonts w:ascii="Times New Roman" w:hAnsi="Times New Roman" w:eastAsia="宋体" w:cs="Times New Roman"/>
      <w:sz w:val="18"/>
      <w:szCs w:val="18"/>
    </w:rPr>
  </w:style>
  <w:style w:type="paragraph" w:customStyle="1" w:styleId="41">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42">
    <w:name w:val="段{858D7CFB-ED40-4347-BF05-701D383B685F}"/>
    <w:qFormat/>
    <w:uiPriority w:val="0"/>
    <w:rPr>
      <w:rFonts w:ascii="宋体"/>
      <w:sz w:val="21"/>
      <w:lang w:val="en-US" w:eastAsia="zh-CN" w:bidi="ar-SA"/>
    </w:rPr>
  </w:style>
  <w:style w:type="paragraph" w:customStyle="1" w:styleId="43">
    <w:name w:val="正文表标题"/>
    <w:next w:val="16"/>
    <w:uiPriority w:val="0"/>
    <w:pPr>
      <w:numPr>
        <w:ilvl w:val="0"/>
        <w:numId w:val="4"/>
      </w:numPr>
      <w:jc w:val="center"/>
    </w:pPr>
    <w:rPr>
      <w:rFonts w:ascii="黑体" w:hAnsi="Times New Roman" w:eastAsia="黑体" w:cs="Times New Roman"/>
      <w:kern w:val="0"/>
      <w:sz w:val="21"/>
      <w:szCs w:val="20"/>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3031C-349C-40EA-9166-F07917169A0B}">
  <ds:schemaRefs/>
</ds:datastoreItem>
</file>

<file path=docProps/app.xml><?xml version="1.0" encoding="utf-8"?>
<Properties xmlns="http://schemas.openxmlformats.org/officeDocument/2006/extended-properties" xmlns:vt="http://schemas.openxmlformats.org/officeDocument/2006/docPropsVTypes">
  <Template>Normal.dotm</Template>
  <Company>jt</Company>
  <Pages>6</Pages>
  <Words>838</Words>
  <Characters>4779</Characters>
  <Lines>39</Lines>
  <Paragraphs>11</Paragraphs>
  <TotalTime>0</TotalTime>
  <ScaleCrop>false</ScaleCrop>
  <LinksUpToDate>false</LinksUpToDate>
  <CharactersWithSpaces>5606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2016-10-24T05:25:00Z</dcterms:created>
  <dc:creator>王金美</dc:creator>
  <cp:lastModifiedBy>杨丽娟</cp:lastModifiedBy>
  <cp:lastPrinted>2016-10-20T02:00:00Z</cp:lastPrinted>
  <dcterms:modified xsi:type="dcterms:W3CDTF">2018-04-17T01:24:24Z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