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4326" w:hSpace="181" w:wrap="around" w:vAnchor="page" w:hAnchor="text" w:y="518" w:anchorLock="1"/>
        <w:rPr>
          <w:rFonts w:eastAsia="黑体"/>
          <w:b/>
          <w:color w:val="auto"/>
          <w:sz w:val="21"/>
        </w:rPr>
      </w:pPr>
      <w:r>
        <w:rPr>
          <w:rFonts w:eastAsia="黑体"/>
          <w:b/>
          <w:color w:val="auto"/>
          <w:sz w:val="21"/>
        </w:rPr>
        <w:t>ICS 77.150.30</w:t>
      </w:r>
    </w:p>
    <w:p>
      <w:pPr>
        <w:framePr w:w="4326" w:hSpace="181" w:wrap="around" w:vAnchor="page" w:hAnchor="text" w:y="518" w:anchorLock="1"/>
        <w:rPr>
          <w:rFonts w:eastAsia="黑体"/>
          <w:b/>
          <w:color w:val="auto"/>
          <w:sz w:val="21"/>
        </w:rPr>
      </w:pPr>
      <w:r>
        <w:rPr>
          <w:rFonts w:eastAsia="黑体"/>
          <w:b/>
          <w:color w:val="auto"/>
          <w:sz w:val="21"/>
        </w:rPr>
        <w:t>H62</w:t>
      </w:r>
    </w:p>
    <w:p>
      <w:pPr>
        <w:framePr w:w="4326" w:hSpace="181" w:wrap="around" w:vAnchor="page" w:hAnchor="text" w:y="518" w:anchorLock="1"/>
        <w:rPr>
          <w:rFonts w:eastAsia="黑体"/>
          <w:b/>
          <w:color w:val="auto"/>
          <w:sz w:val="21"/>
        </w:rPr>
      </w:pPr>
    </w:p>
    <w:p>
      <w:pPr>
        <w:rPr>
          <w:b/>
          <w:color w:val="auto"/>
        </w:rPr>
      </w:pPr>
    </w:p>
    <w:p>
      <w:pPr>
        <w:rPr>
          <w:b/>
          <w:color w:val="auto"/>
        </w:rPr>
      </w:pPr>
      <w:r>
        <w:rPr>
          <w:b/>
          <w:color w:val="auto"/>
        </w:rPr>
        <w:pict>
          <v:rect id="矩形 6" o:spid="_x0000_s1036" o:spt="1" style="position:absolute;left:0pt;margin-left:63pt;margin-top:112pt;height:48.05pt;width:499.1pt;mso-position-horizontal-relative:page;mso-position-vertical-relative:page;z-index:251661312;mso-width-relative:page;mso-height-relative:page;" filled="f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r>
                    <w:rPr>
                      <w:rFonts w:ascii="宋体" w:hAnsi="Symbol"/>
                      <w:sz w:val="56"/>
                    </w:rPr>
                    <w:object>
                      <v:shape id="_x0000_i1025" o:spt="75" type="#_x0000_t75" style="height:48.2pt;width:498.35pt;" o:ole="t" fillcolor="#000005" filled="f" o:preferrelative="t" stroked="f" coordsize="21600,21600">
                        <v:path/>
                        <v:fill on="f" focussize="0,0"/>
                        <v:stroke on="f" joinstyle="miter"/>
                        <v:imagedata r:id="rId15" o:title=""/>
                        <o:lock v:ext="edit" aspectratio="t"/>
                        <w10:wrap type="none"/>
                        <w10:anchorlock/>
                      </v:shape>
                      <o:OLEObject Type="Embed" ProgID="Word.Picture.8" ShapeID="_x0000_i1025" DrawAspect="Content" ObjectID="_1468075725" r:id="rId14">
                        <o:LockedField>false</o:LockedField>
                      </o:OLEObject>
                    </w:object>
                  </w:r>
                </w:p>
              </w:txbxContent>
            </v:textbox>
            <w10:anchorlock/>
          </v:rect>
        </w:pict>
      </w:r>
      <w:r>
        <w:rPr>
          <w:b/>
          <w:color w:val="auto"/>
        </w:rPr>
        <w:pict>
          <v:line id="直接连接符 5" o:spid="_x0000_s1038" o:spt="20" style="position:absolute;left:0pt;margin-left:70.9pt;margin-top:217.95pt;height:0.05pt;width:481.95pt;mso-position-horizontal-relative:page;mso-position-vertical-relative:page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">
            <v:path arrowok="t"/>
            <v:fill focussize="0,0"/>
            <v:stroke/>
            <v:imagedata o:title=""/>
            <o:lock v:ext="edit"/>
            <w10:anchorlock/>
          </v:line>
        </w:pict>
      </w:r>
      <w:r>
        <w:rPr>
          <w:b/>
          <w:color w:val="auto"/>
        </w:rPr>
        <w:pict>
          <v:rect id="矩形 4" o:spid="_x0000_s1037" o:spt="1" style="position:absolute;left:0pt;margin-left:396pt;margin-top:23.6pt;height:73.05pt;width:129.95pt;mso-position-horizontal-relative:page;mso-position-vertical-relative:page;z-index:251662336;mso-width-relative:page;mso-height-relative:page;" filled="f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r>
                    <w:object>
                      <v:shape id="_x0000_i1026" o:spt="75" type="#_x0000_t75" style="height:73.25pt;width:130.8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7" o:title=""/>
                        <o:lock v:ext="edit" aspectratio="f"/>
                        <w10:wrap type="none"/>
                        <w10:anchorlock/>
                      </v:shape>
                      <o:OLEObject Type="Embed" ProgID="Word.Document.8" ShapeID="_x0000_i1026" DrawAspect="Content" ObjectID="_1468075726" r:id="rId16">
                        <o:LockedField>false</o:LockedField>
                      </o:OLEObject>
                    </w:object>
                  </w:r>
                </w:p>
              </w:txbxContent>
            </v:textbox>
            <w10:anchorlock/>
          </v:rect>
        </w:pict>
      </w:r>
    </w:p>
    <w:p>
      <w:pPr>
        <w:framePr w:w="4383" w:hSpace="181" w:wrap="around" w:vAnchor="page" w:hAnchor="page" w:x="1441" w:y="844" w:anchorLock="1"/>
        <w:rPr>
          <w:rFonts w:eastAsia="黑体"/>
          <w:b/>
          <w:color w:val="auto"/>
          <w:sz w:val="21"/>
        </w:rPr>
      </w:pPr>
    </w:p>
    <w:p>
      <w:pPr>
        <w:rPr>
          <w:color w:val="auto"/>
          <w:sz w:val="21"/>
        </w:rPr>
      </w:pPr>
    </w:p>
    <w:p>
      <w:pPr>
        <w:pStyle w:val="14"/>
        <w:rPr>
          <w:rFonts w:ascii="Times New Roman"/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framePr w:w="5268" w:hSpace="181" w:wrap="around" w:vAnchor="page" w:hAnchor="page" w:x="5640" w:y="3452" w:anchorLock="1"/>
        <w:jc w:val="right"/>
        <w:rPr>
          <w:rFonts w:eastAsia="黑体"/>
          <w:bCs/>
          <w:color w:val="auto"/>
        </w:rPr>
      </w:pPr>
      <w:bookmarkStart w:id="0" w:name="OLE_LINK1"/>
      <w:r>
        <w:rPr>
          <w:rFonts w:eastAsia="黑体"/>
          <w:bCs/>
          <w:color w:val="auto"/>
          <w:sz w:val="28"/>
        </w:rPr>
        <w:t>GB/Txxxx－xxxx</w:t>
      </w:r>
      <w:bookmarkEnd w:id="0"/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t>　　　　</w:t>
      </w:r>
    </w:p>
    <w:p>
      <w:pPr>
        <w:pStyle w:val="14"/>
        <w:rPr>
          <w:rFonts w:ascii="Times New Roman"/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color w:val="auto"/>
        </w:rPr>
      </w:pPr>
      <w:r>
        <w:rPr>
          <w:rFonts w:eastAsia="黑体"/>
          <w:color w:val="auto"/>
          <w:sz w:val="52"/>
        </w:rPr>
        <w:t>无油轴承用铜合金板</w:t>
      </w:r>
    </w:p>
    <w:p>
      <w:pPr>
        <w:rPr>
          <w:color w:val="auto"/>
        </w:rPr>
      </w:pPr>
    </w:p>
    <w:p>
      <w:pPr>
        <w:jc w:val="center"/>
        <w:rPr>
          <w:color w:val="auto"/>
          <w:sz w:val="28"/>
          <w:szCs w:val="28"/>
        </w:rPr>
      </w:pPr>
      <w:bookmarkStart w:id="1" w:name="OLE_LINK2"/>
      <w:r>
        <w:rPr>
          <w:color w:val="auto"/>
          <w:sz w:val="28"/>
          <w:szCs w:val="28"/>
        </w:rPr>
        <w:t>copper alloy sheet for oilless bearing</w:t>
      </w:r>
      <w:bookmarkEnd w:id="1"/>
    </w:p>
    <w:p>
      <w:pPr>
        <w:rPr>
          <w:color w:val="auto"/>
        </w:rPr>
      </w:pPr>
    </w:p>
    <w:p>
      <w:pPr>
        <w:spacing w:line="160" w:lineRule="exact"/>
        <w:rPr>
          <w:color w:val="auto"/>
        </w:rPr>
      </w:pPr>
    </w:p>
    <w:p>
      <w:pPr>
        <w:spacing w:line="160" w:lineRule="exact"/>
        <w:rPr>
          <w:color w:val="auto"/>
        </w:rPr>
      </w:pPr>
    </w:p>
    <w:p>
      <w:pPr>
        <w:pStyle w:val="28"/>
        <w:rPr>
          <w:rFonts w:eastAsia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(</w:t>
      </w:r>
      <w:r>
        <w:rPr>
          <w:rFonts w:hint="eastAsia" w:eastAsia="宋体"/>
          <w:color w:val="auto"/>
          <w:sz w:val="28"/>
          <w:szCs w:val="28"/>
          <w:lang w:eastAsia="zh-CN"/>
        </w:rPr>
        <w:t>预审稿</w:t>
      </w:r>
      <w:r>
        <w:rPr>
          <w:rFonts w:eastAsia="宋体"/>
          <w:color w:val="auto"/>
          <w:sz w:val="28"/>
          <w:szCs w:val="28"/>
        </w:rPr>
        <w:t>)</w:t>
      </w:r>
    </w:p>
    <w:p>
      <w:pPr>
        <w:rPr>
          <w:color w:val="auto"/>
        </w:rPr>
      </w:pPr>
    </w:p>
    <w:p>
      <w:pPr>
        <w:framePr w:w="8883" w:hSpace="181" w:wrap="notBeside" w:vAnchor="text" w:hAnchor="page" w:x="1920" w:y="408"/>
        <w:jc w:val="center"/>
        <w:rPr>
          <w:rFonts w:eastAsia="黑体"/>
          <w:color w:val="auto"/>
          <w:sz w:val="44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framePr w:w="3243" w:h="312" w:hRule="exact" w:hSpace="181" w:wrap="around" w:vAnchor="page" w:hAnchor="page" w:x="1441" w:y="14080" w:anchorLock="1"/>
        <w:spacing w:line="320" w:lineRule="atLeast"/>
        <w:rPr>
          <w:rFonts w:eastAsia="黑体"/>
          <w:color w:val="auto"/>
          <w:sz w:val="10"/>
        </w:rPr>
      </w:pPr>
      <w:r>
        <w:rPr>
          <w:rFonts w:eastAsia="黑体"/>
          <w:color w:val="auto"/>
          <w:sz w:val="28"/>
        </w:rPr>
        <w:fldChar w:fldCharType="begin">
          <w:ffData>
            <w:name w:val="FB"/>
            <w:enabled/>
            <w:calcOnExit w:val="0"/>
            <w:textInput>
              <w:default w:val="20xx-xx-xx 发布"/>
            </w:textInput>
          </w:ffData>
        </w:fldChar>
      </w:r>
      <w:bookmarkStart w:id="2" w:name="FB"/>
      <w:r>
        <w:rPr>
          <w:rFonts w:eastAsia="黑体"/>
          <w:color w:val="auto"/>
          <w:sz w:val="28"/>
        </w:rPr>
        <w:instrText xml:space="preserve"> FORMTEXT </w:instrText>
      </w:r>
      <w:r>
        <w:rPr>
          <w:rFonts w:eastAsia="黑体"/>
          <w:color w:val="auto"/>
          <w:sz w:val="28"/>
        </w:rPr>
        <w:fldChar w:fldCharType="separate"/>
      </w:r>
      <w:r>
        <w:rPr>
          <w:rFonts w:eastAsia="黑体"/>
          <w:color w:val="auto"/>
          <w:sz w:val="28"/>
        </w:rPr>
        <w:t>20xx-xx-xx 发布</w:t>
      </w:r>
      <w:r>
        <w:rPr>
          <w:rFonts w:eastAsia="黑体"/>
          <w:color w:val="auto"/>
          <w:sz w:val="28"/>
        </w:rPr>
        <w:fldChar w:fldCharType="end"/>
      </w:r>
      <w:bookmarkEnd w:id="2"/>
    </w:p>
    <w:p>
      <w:pPr>
        <w:rPr>
          <w:color w:val="auto"/>
        </w:rPr>
      </w:pPr>
      <w:r>
        <w:rPr>
          <w:color w:val="auto"/>
        </w:rPr>
        <w:pict>
          <v:line id="直接连接符 2" o:spid="_x0000_s1039" o:spt="20" style="position:absolute;left:0pt;margin-left:72pt;margin-top:719.95pt;height:0.05pt;width:481.85pt;mso-position-horizontal-relative:page;mso-position-vertical-relative:page;z-index:251664384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framePr w:w="2971" w:h="318" w:hRule="exact" w:hSpace="181" w:wrap="around" w:vAnchor="page" w:hAnchor="page" w:x="8041" w:y="14080" w:anchorLock="1"/>
        <w:spacing w:line="320" w:lineRule="atLeast"/>
        <w:jc w:val="right"/>
        <w:rPr>
          <w:b/>
          <w:color w:val="auto"/>
          <w:sz w:val="10"/>
        </w:rPr>
      </w:pPr>
      <w:r>
        <w:rPr>
          <w:rFonts w:eastAsia="黑体"/>
          <w:color w:val="auto"/>
          <w:sz w:val="28"/>
        </w:rPr>
        <w:fldChar w:fldCharType="begin">
          <w:ffData>
            <w:name w:val="SS"/>
            <w:enabled/>
            <w:calcOnExit w:val="0"/>
            <w:textInput>
              <w:default w:val="20xx-xx-xx 实施"/>
            </w:textInput>
          </w:ffData>
        </w:fldChar>
      </w:r>
      <w:bookmarkStart w:id="3" w:name="SS"/>
      <w:r>
        <w:rPr>
          <w:rFonts w:eastAsia="黑体"/>
          <w:color w:val="auto"/>
          <w:sz w:val="28"/>
        </w:rPr>
        <w:instrText xml:space="preserve"> FORMTEXT </w:instrText>
      </w:r>
      <w:r>
        <w:rPr>
          <w:rFonts w:eastAsia="黑体"/>
          <w:color w:val="auto"/>
          <w:sz w:val="28"/>
        </w:rPr>
        <w:fldChar w:fldCharType="separate"/>
      </w:r>
      <w:r>
        <w:rPr>
          <w:rFonts w:eastAsia="黑体"/>
          <w:color w:val="auto"/>
          <w:sz w:val="28"/>
        </w:rPr>
        <w:t>20xx-xx-xx 实施</w:t>
      </w:r>
      <w:r>
        <w:rPr>
          <w:rFonts w:eastAsia="黑体"/>
          <w:color w:val="auto"/>
          <w:sz w:val="28"/>
        </w:rPr>
        <w:fldChar w:fldCharType="end"/>
      </w:r>
      <w:bookmarkEnd w:id="3"/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right"/>
        <w:rPr>
          <w:color w:val="auto"/>
        </w:rPr>
      </w:pPr>
      <w:r>
        <w:rPr>
          <w:color w:val="auto"/>
        </w:rPr>
        <w:pict>
          <v:shape id="_x0000_s1035" o:spid="_x0000_s1035" o:spt="202" type="#_x0000_t202" style="position:absolute;left:0pt;margin-left:426pt;margin-top:15.2pt;height:36.9pt;width:43.5pt;z-index:251660288;mso-width-relative:page;mso-height-relative:page;" stroked="f" coordsize="21600,21600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eastAsia="黑体"/>
                      <w:b/>
                      <w:sz w:val="28"/>
                    </w:rPr>
                  </w:pPr>
                  <w:r>
                    <w:rPr>
                      <w:rFonts w:hint="eastAsia" w:ascii="黑体" w:eastAsia="黑体"/>
                      <w:b/>
                      <w:sz w:val="28"/>
                    </w:rPr>
                    <w:t>发布</w:t>
                  </w:r>
                </w:p>
              </w:txbxContent>
            </v:textbox>
          </v:shape>
        </w:pict>
      </w:r>
    </w:p>
    <w:p>
      <w:pPr>
        <w:rPr>
          <w:color w:val="auto"/>
        </w:rPr>
      </w:pPr>
      <w:r>
        <w:rPr>
          <w:color w:val="auto"/>
        </w:rPr>
        <w:pict>
          <v:shape id="文本框 3" o:spid="_x0000_s1040" o:spt="202" type="#_x0000_t202" style="position:absolute;left:0pt;margin-left:13.2pt;margin-top:697.95pt;height:36.9pt;width:406.05pt;mso-position-horizontal-relative:margin;mso-position-vertical-relative:margin;z-index:25166540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9"/>
                    <w:jc w:val="left"/>
                    <w:rPr>
                      <w:spacing w:val="0"/>
                      <w:w w:val="150"/>
                      <w:sz w:val="28"/>
                      <w:szCs w:val="24"/>
                    </w:rPr>
                  </w:pP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中华人民共和国国家质量监督检验检疫总局</w:t>
                  </w:r>
                </w:p>
                <w:p>
                  <w:pPr>
                    <w:pStyle w:val="29"/>
                    <w:jc w:val="distribute"/>
                    <w:rPr>
                      <w:w w:val="100"/>
                      <w:sz w:val="28"/>
                      <w:szCs w:val="24"/>
                    </w:rPr>
                  </w:pP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中 国 国 家 标 准 化 管 理 委 员 会   </w:t>
                  </w:r>
                </w:p>
              </w:txbxContent>
            </v:textbox>
            <w10:anchorlock/>
          </v:shape>
        </w:pict>
      </w:r>
    </w:p>
    <w:p>
      <w:pPr>
        <w:rPr>
          <w:color w:val="auto"/>
        </w:rPr>
        <w:sectPr>
          <w:footerReference r:id="rId4" w:type="default"/>
          <w:headerReference r:id="rId3" w:type="even"/>
          <w:footerReference r:id="rId5" w:type="even"/>
          <w:pgSz w:w="11907" w:h="16840"/>
          <w:pgMar w:top="680" w:right="1418" w:bottom="1361" w:left="1440" w:header="720" w:footer="720" w:gutter="0"/>
          <w:cols w:space="720" w:num="1"/>
        </w:sectPr>
      </w:pPr>
    </w:p>
    <w:p>
      <w:pPr>
        <w:keepNext/>
        <w:framePr w:w="4437" w:h="318" w:hRule="exact" w:hSpace="181" w:wrap="around" w:vAnchor="page" w:hAnchor="page" w:x="6218" w:y="1582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B/Txxxx-xxxx</w:t>
      </w:r>
    </w:p>
    <w:p>
      <w:pPr>
        <w:keepNext/>
        <w:framePr w:w="4437" w:h="318" w:hRule="exact" w:hSpace="181" w:wrap="around" w:vAnchor="page" w:hAnchor="page" w:x="6218" w:y="1582"/>
        <w:jc w:val="right"/>
        <w:rPr>
          <w:rFonts w:hint="eastAsia"/>
          <w:b/>
          <w:bCs/>
          <w:color w:val="auto"/>
          <w:lang w:eastAsia="zh-CN"/>
        </w:rPr>
      </w:pPr>
    </w:p>
    <w:p>
      <w:pPr>
        <w:pStyle w:val="34"/>
        <w:rPr>
          <w:rFonts w:hint="eastAsia" w:ascii="Times New Roman"/>
          <w:color w:val="auto"/>
          <w:lang w:eastAsia="zh-CN"/>
        </w:rPr>
      </w:pP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Times New Roman"/>
          <w:b/>
          <w:bCs/>
          <w:color w:val="auto"/>
          <w:sz w:val="44"/>
          <w:szCs w:val="44"/>
          <w:lang w:eastAsia="zh-CN"/>
        </w:rPr>
        <w:t>前</w:t>
      </w:r>
      <w:r>
        <w:rPr>
          <w:rFonts w:hint="eastAsia" w:ascii="Times New Roman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/>
          <w:b/>
          <w:bCs/>
          <w:color w:val="auto"/>
          <w:sz w:val="44"/>
          <w:szCs w:val="44"/>
          <w:lang w:eastAsia="zh-CN"/>
        </w:rPr>
        <w:t>言</w:t>
      </w:r>
    </w:p>
    <w:p>
      <w:pPr>
        <w:pStyle w:val="34"/>
        <w:rPr>
          <w:rFonts w:ascii="Times New Roman"/>
          <w:color w:val="auto"/>
        </w:rPr>
      </w:pPr>
    </w:p>
    <w:p>
      <w:pPr>
        <w:pStyle w:val="34"/>
        <w:rPr>
          <w:rFonts w:ascii="Times New Roman"/>
          <w:color w:val="auto"/>
        </w:rPr>
      </w:pPr>
      <w:r>
        <w:rPr>
          <w:rFonts w:ascii="Times New Roman"/>
          <w:color w:val="auto"/>
        </w:rPr>
        <w:t>本标准按照GB/T</w:t>
      </w:r>
      <w:r>
        <w:rPr>
          <w:rFonts w:hint="eastAsia" w:ascii="Times New Roman"/>
          <w:color w:val="auto"/>
          <w:lang w:val="en-US" w:eastAsia="zh-CN"/>
        </w:rPr>
        <w:t xml:space="preserve"> </w:t>
      </w:r>
      <w:r>
        <w:rPr>
          <w:rFonts w:ascii="Times New Roman"/>
          <w:color w:val="auto"/>
        </w:rPr>
        <w:t>1.1-2009给出的规则起草。</w:t>
      </w:r>
    </w:p>
    <w:p>
      <w:pPr>
        <w:pStyle w:val="34"/>
        <w:rPr>
          <w:rFonts w:ascii="Times New Roman"/>
          <w:color w:val="auto"/>
        </w:rPr>
      </w:pPr>
      <w:r>
        <w:rPr>
          <w:rFonts w:ascii="Times New Roman"/>
          <w:color w:val="auto"/>
        </w:rPr>
        <w:t>本标准由中国有色金属工业协会提出。</w:t>
      </w:r>
    </w:p>
    <w:p>
      <w:pPr>
        <w:pStyle w:val="34"/>
        <w:rPr>
          <w:rFonts w:ascii="Times New Roman"/>
          <w:color w:val="auto"/>
        </w:rPr>
      </w:pPr>
      <w:r>
        <w:rPr>
          <w:rFonts w:ascii="Times New Roman"/>
          <w:color w:val="auto"/>
        </w:rPr>
        <w:t>本标准由全国有色金属标准化技术委员会(SAC/TC243)归口。</w:t>
      </w:r>
    </w:p>
    <w:p>
      <w:pPr>
        <w:pStyle w:val="34"/>
        <w:rPr>
          <w:rFonts w:ascii="Times New Roman"/>
          <w:color w:val="auto"/>
        </w:rPr>
      </w:pPr>
      <w:r>
        <w:rPr>
          <w:rFonts w:ascii="Times New Roman"/>
          <w:color w:val="auto"/>
        </w:rPr>
        <w:t>本标准负责起草单位：宁波兴业盛泰集团有限公司，宁波兴业鑫泰新型电子材料有限公司</w:t>
      </w:r>
      <w:r>
        <w:rPr>
          <w:rFonts w:hint="eastAsia" w:ascii="Times New Roman"/>
          <w:color w:val="auto"/>
          <w:lang w:eastAsia="zh-CN"/>
        </w:rPr>
        <w:t>，绍兴市质量技术检测院。</w:t>
      </w:r>
    </w:p>
    <w:p>
      <w:pPr>
        <w:pStyle w:val="34"/>
        <w:rPr>
          <w:rFonts w:ascii="Times New Roman"/>
          <w:color w:val="auto"/>
        </w:rPr>
      </w:pPr>
      <w:r>
        <w:rPr>
          <w:rFonts w:ascii="Times New Roman"/>
          <w:color w:val="auto"/>
        </w:rPr>
        <w:t xml:space="preserve">本标准主要起草人员： </w:t>
      </w:r>
      <w:bookmarkStart w:id="4" w:name="XX前言1"/>
      <w:bookmarkEnd w:id="4"/>
    </w:p>
    <w:p>
      <w:pPr>
        <w:spacing w:line="240" w:lineRule="auto"/>
        <w:ind w:firstLine="482"/>
        <w:rPr>
          <w:color w:val="auto"/>
          <w:sz w:val="21"/>
          <w:szCs w:val="21"/>
        </w:rPr>
      </w:pPr>
    </w:p>
    <w:p>
      <w:pPr>
        <w:spacing w:line="240" w:lineRule="auto"/>
        <w:ind w:firstLine="482"/>
        <w:rPr>
          <w:color w:val="auto"/>
          <w:sz w:val="21"/>
          <w:szCs w:val="21"/>
        </w:rPr>
      </w:pPr>
    </w:p>
    <w:p>
      <w:pPr>
        <w:spacing w:line="240" w:lineRule="auto"/>
        <w:ind w:firstLine="482"/>
        <w:rPr>
          <w:color w:val="auto"/>
          <w:sz w:val="21"/>
          <w:szCs w:val="21"/>
        </w:rPr>
      </w:pPr>
    </w:p>
    <w:p>
      <w:pPr>
        <w:spacing w:line="240" w:lineRule="auto"/>
        <w:ind w:firstLine="482"/>
        <w:rPr>
          <w:color w:val="auto"/>
          <w:sz w:val="21"/>
          <w:szCs w:val="21"/>
        </w:rPr>
      </w:pPr>
    </w:p>
    <w:p>
      <w:pPr>
        <w:spacing w:line="240" w:lineRule="auto"/>
        <w:ind w:firstLine="482"/>
        <w:rPr>
          <w:b/>
          <w:color w:val="auto"/>
          <w:sz w:val="21"/>
        </w:rPr>
      </w:pPr>
    </w:p>
    <w:p>
      <w:pPr>
        <w:spacing w:line="120" w:lineRule="exact"/>
        <w:ind w:right="28"/>
        <w:rPr>
          <w:b/>
          <w:color w:val="auto"/>
          <w:sz w:val="21"/>
        </w:rPr>
        <w:sectPr>
          <w:headerReference r:id="rId7" w:type="first"/>
          <w:footerReference r:id="rId9" w:type="first"/>
          <w:headerReference r:id="rId6" w:type="default"/>
          <w:footerReference r:id="rId8" w:type="default"/>
          <w:pgSz w:w="11907" w:h="16840"/>
          <w:pgMar w:top="1418" w:right="1134" w:bottom="1361" w:left="1418" w:header="1588" w:footer="720" w:gutter="0"/>
          <w:pgNumType w:start="1"/>
          <w:cols w:space="720" w:num="1"/>
          <w:titlePg/>
        </w:sectPr>
      </w:pPr>
    </w:p>
    <w:p>
      <w:pPr>
        <w:pStyle w:val="14"/>
        <w:jc w:val="center"/>
        <w:rPr>
          <w:rFonts w:ascii="Times New Roman"/>
          <w:color w:val="auto"/>
          <w:sz w:val="32"/>
        </w:rPr>
      </w:pPr>
      <w:bookmarkStart w:id="5" w:name="_Toc1700834"/>
      <w:bookmarkStart w:id="6" w:name="_Toc431105881"/>
      <w:bookmarkStart w:id="7" w:name="_Toc430680185"/>
      <w:r>
        <w:rPr>
          <w:rFonts w:ascii="Times New Roman"/>
          <w:color w:val="auto"/>
          <w:sz w:val="32"/>
        </w:rPr>
        <w:t>无油轴承用铜合金板</w:t>
      </w:r>
    </w:p>
    <w:p>
      <w:pPr>
        <w:pStyle w:val="14"/>
        <w:rPr>
          <w:rFonts w:ascii="Times New Roman"/>
          <w:color w:val="auto"/>
        </w:rPr>
      </w:pPr>
      <w:r>
        <w:rPr>
          <w:rFonts w:ascii="Times New Roman"/>
          <w:color w:val="auto"/>
        </w:rPr>
        <w:t>1  范围</w:t>
      </w:r>
      <w:bookmarkEnd w:id="5"/>
      <w:bookmarkEnd w:id="6"/>
      <w:bookmarkEnd w:id="7"/>
    </w:p>
    <w:p>
      <w:pPr>
        <w:spacing w:line="240" w:lineRule="auto"/>
        <w:ind w:firstLine="482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本标准规定了无油轴承用铜合金板的要求、试验方法、检验规则、标志、包装、运输、贮存、质量证明书及订货单（或合同）内容等。</w:t>
      </w:r>
    </w:p>
    <w:p>
      <w:pPr>
        <w:spacing w:line="240" w:lineRule="auto"/>
        <w:ind w:firstLine="482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本标准适用于无油轴承用铜合金板</w:t>
      </w:r>
      <w:r>
        <w:rPr>
          <w:rFonts w:hint="eastAsia"/>
          <w:color w:val="auto"/>
          <w:sz w:val="21"/>
          <w:szCs w:val="21"/>
          <w:lang w:eastAsia="zh-CN"/>
        </w:rPr>
        <w:t>（以下简称板材）</w:t>
      </w:r>
      <w:r>
        <w:rPr>
          <w:color w:val="auto"/>
          <w:sz w:val="21"/>
          <w:szCs w:val="21"/>
        </w:rPr>
        <w:t>。</w:t>
      </w:r>
      <w:r>
        <w:rPr>
          <w:rFonts w:hint="eastAsia"/>
          <w:color w:val="auto"/>
          <w:sz w:val="21"/>
          <w:szCs w:val="21"/>
          <w:lang w:val="en-US" w:eastAsia="zh-CN"/>
        </w:rPr>
        <w:t>.</w:t>
      </w:r>
    </w:p>
    <w:p>
      <w:pPr>
        <w:pStyle w:val="14"/>
        <w:rPr>
          <w:rFonts w:ascii="Times New Roman"/>
          <w:color w:val="auto"/>
        </w:rPr>
      </w:pPr>
      <w:bookmarkStart w:id="8" w:name="_Toc1700835"/>
      <w:r>
        <w:rPr>
          <w:rFonts w:ascii="Times New Roman"/>
          <w:color w:val="auto"/>
        </w:rPr>
        <w:t>2  规范性引用文件</w:t>
      </w:r>
      <w:bookmarkEnd w:id="8"/>
    </w:p>
    <w:p>
      <w:pPr>
        <w:spacing w:line="240" w:lineRule="auto"/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下列文件对于本文件的应用是必不可少的。凡是注日期的引用文件，仅注日期的版本适用于本文件。凡是不注日期的引用文件其最新版本(包括所有的修改单)适用于本文件。</w:t>
      </w:r>
    </w:p>
    <w:p>
      <w:pPr>
        <w:pStyle w:val="34"/>
        <w:outlineLvl w:val="0"/>
        <w:rPr>
          <w:rFonts w:ascii="Times New Roman"/>
          <w:color w:val="auto"/>
        </w:rPr>
      </w:pPr>
      <w:r>
        <w:rPr>
          <w:rFonts w:ascii="Times New Roman"/>
          <w:color w:val="auto"/>
        </w:rPr>
        <w:t>GB/T</w:t>
      </w:r>
      <w:r>
        <w:rPr>
          <w:rFonts w:hint="eastAsia" w:ascii="Times New Roman"/>
          <w:color w:val="auto"/>
          <w:lang w:val="en-US" w:eastAsia="zh-CN"/>
        </w:rPr>
        <w:t xml:space="preserve"> </w:t>
      </w:r>
      <w:r>
        <w:rPr>
          <w:rFonts w:ascii="Times New Roman"/>
          <w:color w:val="auto"/>
        </w:rPr>
        <w:t>228.1-2010 金属材料拉伸试验第1部分：室温试验方法</w:t>
      </w:r>
    </w:p>
    <w:p>
      <w:pPr>
        <w:pStyle w:val="34"/>
        <w:rPr>
          <w:rFonts w:ascii="Times New Roman"/>
          <w:color w:val="auto"/>
        </w:rPr>
      </w:pPr>
      <w:r>
        <w:rPr>
          <w:rFonts w:ascii="Times New Roman"/>
          <w:color w:val="auto"/>
        </w:rPr>
        <w:t>GB/T</w:t>
      </w:r>
      <w:r>
        <w:rPr>
          <w:rFonts w:hint="eastAsia" w:ascii="Times New Roman"/>
          <w:color w:val="auto"/>
          <w:lang w:val="en-US" w:eastAsia="zh-CN"/>
        </w:rPr>
        <w:t xml:space="preserve"> </w:t>
      </w:r>
      <w:r>
        <w:rPr>
          <w:rFonts w:ascii="Times New Roman"/>
          <w:color w:val="auto"/>
        </w:rPr>
        <w:t>4340.1 金属维氏硬度试验第1部分：试验方法</w:t>
      </w:r>
    </w:p>
    <w:p>
      <w:pPr>
        <w:pStyle w:val="34"/>
        <w:rPr>
          <w:rFonts w:ascii="Times New Roman"/>
          <w:color w:val="auto"/>
        </w:rPr>
      </w:pPr>
      <w:r>
        <w:rPr>
          <w:rFonts w:ascii="Times New Roman"/>
          <w:color w:val="auto"/>
        </w:rPr>
        <w:t>GB/T</w:t>
      </w:r>
      <w:r>
        <w:rPr>
          <w:rFonts w:hint="eastAsia" w:ascii="Times New Roman"/>
          <w:color w:val="auto"/>
          <w:lang w:val="en-US" w:eastAsia="zh-CN"/>
        </w:rPr>
        <w:t xml:space="preserve"> </w:t>
      </w:r>
      <w:r>
        <w:rPr>
          <w:rFonts w:ascii="Times New Roman"/>
          <w:color w:val="auto"/>
        </w:rPr>
        <w:t>5121（所有部分）铜及铜合金化学分析方法</w:t>
      </w:r>
    </w:p>
    <w:p>
      <w:pPr>
        <w:pStyle w:val="6"/>
        <w:ind w:firstLine="420" w:firstLineChars="200"/>
        <w:rPr>
          <w:color w:val="auto"/>
          <w:szCs w:val="20"/>
        </w:rPr>
      </w:pPr>
      <w:r>
        <w:rPr>
          <w:color w:val="auto"/>
          <w:szCs w:val="20"/>
        </w:rPr>
        <w:t>GB/T</w:t>
      </w:r>
      <w:r>
        <w:rPr>
          <w:rFonts w:hint="eastAsia"/>
          <w:color w:val="auto"/>
          <w:szCs w:val="20"/>
          <w:lang w:val="en-US" w:eastAsia="zh-CN"/>
        </w:rPr>
        <w:t xml:space="preserve"> </w:t>
      </w:r>
      <w:r>
        <w:rPr>
          <w:color w:val="auto"/>
          <w:szCs w:val="20"/>
        </w:rPr>
        <w:t>5231 加工铜及铜合金化学成分和产品形状</w:t>
      </w:r>
    </w:p>
    <w:p>
      <w:pPr>
        <w:pStyle w:val="6"/>
        <w:ind w:firstLine="420" w:firstLineChars="200"/>
        <w:rPr>
          <w:color w:val="auto"/>
          <w:szCs w:val="20"/>
        </w:rPr>
      </w:pPr>
      <w:r>
        <w:rPr>
          <w:color w:val="auto"/>
          <w:szCs w:val="20"/>
        </w:rPr>
        <w:t>GB/T</w:t>
      </w:r>
      <w:r>
        <w:rPr>
          <w:rFonts w:hint="eastAsia"/>
          <w:color w:val="auto"/>
          <w:szCs w:val="20"/>
          <w:lang w:val="en-US" w:eastAsia="zh-CN"/>
        </w:rPr>
        <w:t xml:space="preserve"> </w:t>
      </w:r>
      <w:r>
        <w:rPr>
          <w:color w:val="auto"/>
          <w:szCs w:val="20"/>
        </w:rPr>
        <w:t>8888</w:t>
      </w:r>
      <w:r>
        <w:rPr>
          <w:color w:val="auto"/>
        </w:rPr>
        <w:t>重有色金属加工产品的包装、标志、运输、贮存和质量证明书</w:t>
      </w:r>
    </w:p>
    <w:p>
      <w:pPr>
        <w:pStyle w:val="6"/>
        <w:ind w:firstLine="420" w:firstLineChars="200"/>
        <w:rPr>
          <w:color w:val="auto"/>
        </w:rPr>
      </w:pPr>
      <w:r>
        <w:rPr>
          <w:color w:val="auto"/>
        </w:rPr>
        <w:t>GB/T 26303.3 铜及铜合金加工材外形尺寸检测方法  第3部分：板带材</w:t>
      </w:r>
    </w:p>
    <w:p>
      <w:pPr>
        <w:pStyle w:val="6"/>
        <w:ind w:firstLine="420" w:firstLineChars="200"/>
        <w:rPr>
          <w:color w:val="auto"/>
          <w:szCs w:val="20"/>
        </w:rPr>
      </w:pPr>
      <w:r>
        <w:rPr>
          <w:color w:val="auto"/>
          <w:szCs w:val="20"/>
        </w:rPr>
        <w:t>YS/T 347 铜及铜合金平均晶粒度测定方法</w:t>
      </w:r>
    </w:p>
    <w:p>
      <w:pPr>
        <w:pStyle w:val="34"/>
        <w:rPr>
          <w:rFonts w:ascii="Times New Roman"/>
          <w:color w:val="auto"/>
        </w:rPr>
      </w:pPr>
      <w:r>
        <w:rPr>
          <w:rFonts w:ascii="Times New Roman"/>
          <w:color w:val="auto"/>
        </w:rPr>
        <w:t>YS/T 482 铜及铜合金分析方法光电发射光谱法</w:t>
      </w:r>
    </w:p>
    <w:p>
      <w:pPr>
        <w:pStyle w:val="34"/>
        <w:rPr>
          <w:rFonts w:ascii="Times New Roman"/>
          <w:color w:val="auto"/>
        </w:rPr>
      </w:pPr>
      <w:r>
        <w:rPr>
          <w:rFonts w:ascii="Times New Roman"/>
          <w:color w:val="auto"/>
        </w:rPr>
        <w:t>YS/T 483铜及铜合金分析方法X射线荧光光谱法（波长色散型）</w:t>
      </w:r>
    </w:p>
    <w:p>
      <w:pPr>
        <w:pStyle w:val="6"/>
        <w:ind w:firstLine="420" w:firstLineChars="200"/>
        <w:outlineLvl w:val="0"/>
        <w:rPr>
          <w:color w:val="auto"/>
          <w:szCs w:val="20"/>
        </w:rPr>
      </w:pPr>
      <w:r>
        <w:rPr>
          <w:color w:val="auto"/>
          <w:szCs w:val="20"/>
        </w:rPr>
        <w:t>YS/T 668 铜及铜合金理化检测取样方法</w:t>
      </w:r>
    </w:p>
    <w:p>
      <w:pPr>
        <w:pStyle w:val="6"/>
        <w:ind w:firstLine="420" w:firstLineChars="200"/>
        <w:rPr>
          <w:color w:val="auto"/>
          <w:szCs w:val="20"/>
        </w:rPr>
      </w:pPr>
      <w:r>
        <w:rPr>
          <w:color w:val="auto"/>
          <w:szCs w:val="20"/>
        </w:rPr>
        <w:t>YS/T 815铜及铜合金力学性能和工艺性能试样的制备方法</w:t>
      </w:r>
    </w:p>
    <w:p>
      <w:pPr>
        <w:pStyle w:val="14"/>
        <w:rPr>
          <w:rFonts w:ascii="Times New Roman"/>
          <w:color w:val="auto"/>
        </w:rPr>
      </w:pPr>
      <w:r>
        <w:rPr>
          <w:rFonts w:ascii="Times New Roman"/>
          <w:color w:val="auto"/>
        </w:rPr>
        <w:t>3 要求</w:t>
      </w:r>
    </w:p>
    <w:p>
      <w:pPr>
        <w:adjustRightInd/>
        <w:spacing w:line="240" w:lineRule="auto"/>
        <w:jc w:val="both"/>
        <w:textAlignment w:val="auto"/>
        <w:rPr>
          <w:color w:val="auto"/>
          <w:kern w:val="2"/>
          <w:sz w:val="21"/>
          <w:szCs w:val="21"/>
        </w:rPr>
      </w:pPr>
      <w:r>
        <w:rPr>
          <w:color w:val="auto"/>
          <w:kern w:val="2"/>
          <w:sz w:val="21"/>
          <w:szCs w:val="21"/>
        </w:rPr>
        <w:t>3.1产品分类</w:t>
      </w:r>
    </w:p>
    <w:p>
      <w:pPr>
        <w:adjustRightInd/>
        <w:spacing w:line="240" w:lineRule="auto"/>
        <w:jc w:val="both"/>
        <w:textAlignment w:val="auto"/>
        <w:rPr>
          <w:color w:val="auto"/>
          <w:kern w:val="2"/>
          <w:sz w:val="21"/>
          <w:szCs w:val="21"/>
        </w:rPr>
      </w:pPr>
      <w:r>
        <w:rPr>
          <w:color w:val="auto"/>
          <w:kern w:val="2"/>
          <w:sz w:val="21"/>
          <w:szCs w:val="21"/>
        </w:rPr>
        <w:t>3.1.1牌号、状态、规格</w:t>
      </w:r>
    </w:p>
    <w:p>
      <w:pPr>
        <w:adjustRightInd/>
        <w:spacing w:line="240" w:lineRule="auto"/>
        <w:ind w:firstLine="420" w:firstLineChars="200"/>
        <w:jc w:val="both"/>
        <w:textAlignment w:val="auto"/>
        <w:rPr>
          <w:color w:val="auto"/>
          <w:kern w:val="2"/>
          <w:sz w:val="21"/>
          <w:szCs w:val="21"/>
        </w:rPr>
      </w:pPr>
      <w:r>
        <w:rPr>
          <w:color w:val="auto"/>
          <w:kern w:val="2"/>
          <w:sz w:val="21"/>
          <w:szCs w:val="21"/>
        </w:rPr>
        <w:t>板材的牌号、状态、规格应符合表1的规定。</w:t>
      </w:r>
    </w:p>
    <w:p>
      <w:pPr>
        <w:adjustRightInd/>
        <w:spacing w:beforeLines="50" w:line="240" w:lineRule="auto"/>
        <w:jc w:val="center"/>
        <w:textAlignment w:val="auto"/>
        <w:rPr>
          <w:b/>
          <w:bCs/>
          <w:color w:val="auto"/>
          <w:kern w:val="2"/>
          <w:sz w:val="21"/>
          <w:szCs w:val="21"/>
        </w:rPr>
      </w:pPr>
      <w:r>
        <w:rPr>
          <w:rFonts w:eastAsiaTheme="majorEastAsia"/>
          <w:b/>
          <w:bCs/>
          <w:color w:val="auto"/>
          <w:sz w:val="21"/>
          <w:szCs w:val="21"/>
        </w:rPr>
        <w:t>表1板材的牌号、状态、规格</w:t>
      </w:r>
    </w:p>
    <w:tbl>
      <w:tblPr>
        <w:tblStyle w:val="21"/>
        <w:tblpPr w:leftFromText="180" w:rightFromText="180" w:vertAnchor="text" w:horzAnchor="page" w:tblpX="1667" w:tblpY="255"/>
        <w:tblOverlap w:val="never"/>
        <w:tblW w:w="90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64"/>
        <w:gridCol w:w="2851"/>
        <w:gridCol w:w="1047"/>
        <w:gridCol w:w="1158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牌号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代号</w:t>
            </w:r>
          </w:p>
        </w:tc>
        <w:tc>
          <w:tcPr>
            <w:tcW w:w="285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状态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厚度/mm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宽度/mm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长度/mm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H62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27600</w:t>
            </w:r>
          </w:p>
        </w:tc>
        <w:tc>
          <w:tcPr>
            <w:tcW w:w="285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软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化退火</w:t>
            </w:r>
            <w:r>
              <w:rPr>
                <w:color w:val="auto"/>
                <w:sz w:val="18"/>
                <w:szCs w:val="18"/>
              </w:rPr>
              <w:t>（O60）、1/2硬（H02）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0.6-3.5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10-600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100-4000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H68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T26300</w:t>
            </w:r>
          </w:p>
        </w:tc>
        <w:tc>
          <w:tcPr>
            <w:tcW w:w="285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软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化退火</w:t>
            </w:r>
            <w:r>
              <w:rPr>
                <w:color w:val="auto"/>
                <w:sz w:val="18"/>
                <w:szCs w:val="18"/>
              </w:rPr>
              <w:t>（O60）、1/2硬（H02）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0.6-3.5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10-600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100-4000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QSn6.5-0.1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T51510</w:t>
            </w:r>
          </w:p>
        </w:tc>
        <w:tc>
          <w:tcPr>
            <w:tcW w:w="285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软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化退火</w:t>
            </w:r>
            <w:r>
              <w:rPr>
                <w:color w:val="auto"/>
                <w:sz w:val="18"/>
                <w:szCs w:val="18"/>
              </w:rPr>
              <w:t>（O60）、1/4硬(H01)、1/2硬（H02）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0.6-3.5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10-600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100-4000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QSn8-0.3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C52100</w:t>
            </w:r>
          </w:p>
        </w:tc>
        <w:tc>
          <w:tcPr>
            <w:tcW w:w="285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软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化退火</w:t>
            </w:r>
            <w:r>
              <w:rPr>
                <w:color w:val="auto"/>
                <w:sz w:val="18"/>
                <w:szCs w:val="18"/>
              </w:rPr>
              <w:t>（O60）、1/2硬（H02）</w:t>
            </w:r>
            <w:r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color w:val="auto"/>
                <w:sz w:val="18"/>
                <w:szCs w:val="18"/>
              </w:rPr>
              <w:t>硬（H0</w:t>
            </w:r>
            <w:r>
              <w:rPr>
                <w:rFonts w:hint="eastAsia"/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）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0.6-3.5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10-600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100-4000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QSn10-0.3</w:t>
            </w:r>
          </w:p>
        </w:tc>
        <w:tc>
          <w:tcPr>
            <w:tcW w:w="126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C52400</w:t>
            </w:r>
          </w:p>
        </w:tc>
        <w:tc>
          <w:tcPr>
            <w:tcW w:w="285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软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化退火</w:t>
            </w:r>
            <w:r>
              <w:rPr>
                <w:color w:val="auto"/>
                <w:sz w:val="18"/>
                <w:szCs w:val="18"/>
              </w:rPr>
              <w:t>（O60）、1/2硬（H02）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0.6-3.5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10-600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100-4000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050" w:type="dxa"/>
            <w:gridSpan w:val="6"/>
            <w:vAlign w:val="center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注：经供需双方协商，也可供应其它状态、规格的产品。</w:t>
            </w:r>
          </w:p>
        </w:tc>
      </w:tr>
    </w:tbl>
    <w:p>
      <w:pPr>
        <w:spacing w:line="240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br w:type="textWrapping" w:clear="all"/>
      </w:r>
    </w:p>
    <w:p>
      <w:pPr>
        <w:spacing w:line="240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3.1.2标记</w:t>
      </w:r>
      <w:r>
        <w:rPr>
          <w:rFonts w:hint="eastAsia"/>
          <w:color w:val="auto"/>
          <w:sz w:val="21"/>
          <w:szCs w:val="21"/>
          <w:lang w:eastAsia="zh-CN"/>
        </w:rPr>
        <w:t>示</w:t>
      </w:r>
      <w:r>
        <w:rPr>
          <w:color w:val="auto"/>
          <w:sz w:val="21"/>
          <w:szCs w:val="21"/>
        </w:rPr>
        <w:t>例</w:t>
      </w:r>
    </w:p>
    <w:p>
      <w:pPr>
        <w:spacing w:beforeLines="0" w:afterLines="0" w:line="240" w:lineRule="auto"/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产品标记按产品名称、标准编号、牌号、状态和规格的顺序表示。标记示例如下：</w:t>
      </w:r>
    </w:p>
    <w:p>
      <w:pPr>
        <w:spacing w:beforeLines="0" w:afterLines="0" w:line="240" w:lineRule="auto"/>
        <w:ind w:firstLine="360" w:firstLineChars="200"/>
        <w:rPr>
          <w:color w:val="auto"/>
          <w:sz w:val="21"/>
          <w:szCs w:val="21"/>
        </w:rPr>
      </w:pPr>
      <w:r>
        <w:rPr>
          <w:color w:val="auto"/>
          <w:sz w:val="18"/>
          <w:szCs w:val="18"/>
        </w:rPr>
        <w:t>示例：用QSn6.5-0.1制造的、H02状态、厚度为0.60mm、宽度为50mm、长度为1000mm的板材标记为：</w:t>
      </w:r>
    </w:p>
    <w:p>
      <w:pPr>
        <w:pStyle w:val="6"/>
        <w:spacing w:beforeLines="0" w:afterLines="0"/>
        <w:ind w:firstLine="810" w:firstLineChars="45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 xml:space="preserve">   </w:t>
      </w:r>
      <w:r>
        <w:rPr>
          <w:color w:val="auto"/>
          <w:sz w:val="18"/>
          <w:szCs w:val="18"/>
        </w:rPr>
        <w:t>铜板GB/T XXXX-QSn6.5-0.1H02-0.60×50×1000</w:t>
      </w:r>
    </w:p>
    <w:p>
      <w:pPr>
        <w:pStyle w:val="6"/>
        <w:spacing w:beforeLines="0" w:afterLines="0"/>
        <w:ind w:firstLine="810" w:firstLineChars="45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或</w:t>
      </w:r>
      <w:r>
        <w:rPr>
          <w:rFonts w:hint="eastAsia"/>
          <w:color w:val="auto"/>
          <w:sz w:val="18"/>
          <w:szCs w:val="18"/>
          <w:lang w:val="en-US" w:eastAsia="zh-CN"/>
        </w:rPr>
        <w:t xml:space="preserve"> </w:t>
      </w:r>
      <w:r>
        <w:rPr>
          <w:color w:val="auto"/>
          <w:sz w:val="18"/>
          <w:szCs w:val="18"/>
        </w:rPr>
        <w:t>铜板GB/T XXXX-T51510H02-0.60×50×1000</w:t>
      </w:r>
    </w:p>
    <w:p>
      <w:pPr>
        <w:spacing w:line="240" w:lineRule="auto"/>
        <w:rPr>
          <w:color w:val="auto"/>
          <w:sz w:val="21"/>
          <w:szCs w:val="21"/>
        </w:rPr>
      </w:pPr>
    </w:p>
    <w:p>
      <w:pPr>
        <w:spacing w:line="240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3.2化学成分</w:t>
      </w:r>
    </w:p>
    <w:p>
      <w:pPr>
        <w:pStyle w:val="34"/>
        <w:rPr>
          <w:rFonts w:ascii="Times New Roman"/>
          <w:color w:val="auto"/>
          <w:szCs w:val="21"/>
        </w:rPr>
      </w:pPr>
      <w:r>
        <w:rPr>
          <w:rFonts w:ascii="Times New Roman"/>
          <w:color w:val="auto"/>
        </w:rPr>
        <w:t>QSn10-0.3牌号的化学成分应符合表2规定，其余牌号化学成分应符合GB/T</w:t>
      </w:r>
      <w:r>
        <w:rPr>
          <w:rFonts w:hint="eastAsia" w:ascii="Times New Roman"/>
          <w:color w:val="auto"/>
          <w:lang w:val="en-US" w:eastAsia="zh-CN"/>
        </w:rPr>
        <w:t xml:space="preserve"> </w:t>
      </w:r>
      <w:r>
        <w:rPr>
          <w:rFonts w:ascii="Times New Roman"/>
          <w:color w:val="auto"/>
        </w:rPr>
        <w:t>5231的规定。</w:t>
      </w:r>
    </w:p>
    <w:p>
      <w:pPr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表</w:t>
      </w:r>
      <w:r>
        <w:rPr>
          <w:rFonts w:eastAsiaTheme="majorEastAsia"/>
          <w:b/>
          <w:bCs/>
          <w:color w:val="auto"/>
          <w:sz w:val="21"/>
          <w:szCs w:val="21"/>
        </w:rPr>
        <w:t>2</w:t>
      </w:r>
      <w:r>
        <w:rPr>
          <w:b/>
          <w:bCs/>
          <w:color w:val="auto"/>
          <w:sz w:val="21"/>
          <w:szCs w:val="21"/>
        </w:rPr>
        <w:t>化学成分</w:t>
      </w:r>
    </w:p>
    <w:tbl>
      <w:tblPr>
        <w:tblStyle w:val="21"/>
        <w:tblW w:w="8990" w:type="dxa"/>
        <w:jc w:val="center"/>
        <w:tblInd w:w="-7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042"/>
        <w:gridCol w:w="1042"/>
        <w:gridCol w:w="1042"/>
        <w:gridCol w:w="924"/>
        <w:gridCol w:w="1050"/>
        <w:gridCol w:w="900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牌号</w:t>
            </w:r>
          </w:p>
        </w:tc>
        <w:tc>
          <w:tcPr>
            <w:tcW w:w="7299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化学成分%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Cu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Fe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Pb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Sn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Zn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Cu+所列元素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QSn10-0.3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余量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≤</w:t>
            </w:r>
            <w:r>
              <w:rPr>
                <w:color w:val="auto"/>
                <w:sz w:val="18"/>
                <w:szCs w:val="18"/>
              </w:rPr>
              <w:t>0.10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0.03-0.35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≤</w:t>
            </w:r>
            <w:r>
              <w:rPr>
                <w:color w:val="auto"/>
                <w:sz w:val="18"/>
                <w:szCs w:val="18"/>
              </w:rPr>
              <w:t>0.05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9.0-11.0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≤</w:t>
            </w:r>
            <w:r>
              <w:rPr>
                <w:color w:val="auto"/>
                <w:sz w:val="18"/>
                <w:szCs w:val="18"/>
              </w:rPr>
              <w:t>0.20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≥99.5</w:t>
            </w:r>
          </w:p>
        </w:tc>
      </w:tr>
    </w:tbl>
    <w:p>
      <w:pPr>
        <w:adjustRightInd/>
        <w:spacing w:line="240" w:lineRule="auto"/>
        <w:jc w:val="both"/>
        <w:textAlignment w:val="auto"/>
        <w:rPr>
          <w:color w:val="auto"/>
          <w:kern w:val="2"/>
          <w:sz w:val="21"/>
          <w:szCs w:val="21"/>
        </w:rPr>
      </w:pPr>
    </w:p>
    <w:p>
      <w:pPr>
        <w:adjustRightInd/>
        <w:spacing w:line="240" w:lineRule="auto"/>
        <w:jc w:val="both"/>
        <w:textAlignment w:val="auto"/>
        <w:rPr>
          <w:color w:val="auto"/>
          <w:kern w:val="2"/>
          <w:sz w:val="21"/>
          <w:szCs w:val="21"/>
        </w:rPr>
      </w:pPr>
      <w:r>
        <w:rPr>
          <w:color w:val="auto"/>
          <w:kern w:val="2"/>
          <w:sz w:val="21"/>
          <w:szCs w:val="21"/>
        </w:rPr>
        <w:t>3.3外形尺寸及其允许偏差</w:t>
      </w:r>
    </w:p>
    <w:p>
      <w:pPr>
        <w:adjustRightInd/>
        <w:spacing w:line="240" w:lineRule="auto"/>
        <w:jc w:val="both"/>
        <w:textAlignment w:val="auto"/>
        <w:rPr>
          <w:rFonts w:eastAsia="黑体"/>
          <w:color w:val="auto"/>
          <w:sz w:val="18"/>
          <w:szCs w:val="18"/>
        </w:rPr>
      </w:pPr>
      <w:r>
        <w:rPr>
          <w:color w:val="auto"/>
          <w:kern w:val="2"/>
          <w:sz w:val="21"/>
          <w:szCs w:val="21"/>
        </w:rPr>
        <w:t>3.3.1板材的厚度及</w:t>
      </w:r>
      <w:r>
        <w:rPr>
          <w:rFonts w:hint="eastAsia"/>
          <w:color w:val="auto"/>
          <w:kern w:val="2"/>
          <w:sz w:val="21"/>
          <w:szCs w:val="21"/>
          <w:lang w:eastAsia="zh-CN"/>
        </w:rPr>
        <w:t>其</w:t>
      </w:r>
      <w:r>
        <w:rPr>
          <w:color w:val="auto"/>
          <w:kern w:val="2"/>
          <w:sz w:val="21"/>
          <w:szCs w:val="21"/>
        </w:rPr>
        <w:t>允许偏差应符合表3的规定。</w:t>
      </w:r>
      <w:r>
        <w:rPr>
          <w:rFonts w:eastAsia="黑体"/>
          <w:color w:val="auto"/>
          <w:sz w:val="18"/>
          <w:szCs w:val="18"/>
        </w:rPr>
        <w:tab/>
      </w:r>
    </w:p>
    <w:p>
      <w:pPr>
        <w:wordWrap/>
        <w:ind w:right="420"/>
        <w:jc w:val="center"/>
        <w:rPr>
          <w:color w:val="auto"/>
          <w:szCs w:val="21"/>
        </w:rPr>
      </w:pPr>
      <w:r>
        <w:rPr>
          <w:rFonts w:hint="eastAsia"/>
          <w:b/>
          <w:bCs/>
          <w:color w:val="auto"/>
          <w:kern w:val="2"/>
          <w:sz w:val="21"/>
          <w:szCs w:val="21"/>
          <w:lang w:val="en-US" w:eastAsia="zh-CN"/>
        </w:rPr>
        <w:t xml:space="preserve">                                   </w:t>
      </w:r>
      <w:r>
        <w:rPr>
          <w:b/>
          <w:bCs/>
          <w:color w:val="auto"/>
          <w:kern w:val="2"/>
          <w:sz w:val="21"/>
          <w:szCs w:val="21"/>
        </w:rPr>
        <w:t>表</w:t>
      </w:r>
      <w:r>
        <w:rPr>
          <w:rFonts w:eastAsiaTheme="minorEastAsia"/>
          <w:b/>
          <w:bCs/>
          <w:color w:val="auto"/>
          <w:kern w:val="2"/>
          <w:sz w:val="21"/>
          <w:szCs w:val="21"/>
        </w:rPr>
        <w:t>3</w:t>
      </w:r>
      <w:r>
        <w:rPr>
          <w:b/>
          <w:bCs/>
          <w:color w:val="auto"/>
          <w:kern w:val="2"/>
          <w:sz w:val="21"/>
          <w:szCs w:val="21"/>
        </w:rPr>
        <w:t>厚度及</w:t>
      </w:r>
      <w:r>
        <w:rPr>
          <w:rFonts w:hint="eastAsia"/>
          <w:b/>
          <w:bCs/>
          <w:color w:val="auto"/>
          <w:kern w:val="2"/>
          <w:sz w:val="21"/>
          <w:szCs w:val="21"/>
          <w:lang w:eastAsia="zh-CN"/>
        </w:rPr>
        <w:t>其</w:t>
      </w:r>
      <w:r>
        <w:rPr>
          <w:b/>
          <w:bCs/>
          <w:color w:val="auto"/>
          <w:kern w:val="2"/>
          <w:sz w:val="21"/>
          <w:szCs w:val="21"/>
        </w:rPr>
        <w:t xml:space="preserve">允许偏差 </w:t>
      </w:r>
      <w:r>
        <w:rPr>
          <w:rFonts w:hint="eastAsia"/>
          <w:b/>
          <w:bCs/>
          <w:color w:val="auto"/>
          <w:kern w:val="2"/>
          <w:sz w:val="21"/>
          <w:szCs w:val="21"/>
          <w:lang w:val="en-US" w:eastAsia="zh-CN"/>
        </w:rPr>
        <w:t xml:space="preserve">                    </w:t>
      </w:r>
      <w:r>
        <w:rPr>
          <w:color w:val="auto"/>
          <w:sz w:val="18"/>
          <w:szCs w:val="18"/>
        </w:rPr>
        <w:t>单位为毫米</w:t>
      </w:r>
    </w:p>
    <w:tbl>
      <w:tblPr>
        <w:tblStyle w:val="21"/>
        <w:tblW w:w="8947" w:type="dxa"/>
        <w:jc w:val="center"/>
        <w:tblInd w:w="-2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4486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厚度</w:t>
            </w:r>
          </w:p>
        </w:tc>
        <w:tc>
          <w:tcPr>
            <w:tcW w:w="4461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厚度允许偏差</w:t>
            </w:r>
            <w:r>
              <w:rPr>
                <w:rFonts w:hint="eastAsia" w:ascii="Times New Roman"/>
                <w:color w:val="auto"/>
                <w:sz w:val="18"/>
                <w:szCs w:val="18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0.6-1.0</w:t>
            </w:r>
          </w:p>
        </w:tc>
        <w:tc>
          <w:tcPr>
            <w:tcW w:w="4461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±0.015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＞1.0-1.5</w:t>
            </w:r>
          </w:p>
        </w:tc>
        <w:tc>
          <w:tcPr>
            <w:tcW w:w="4461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±0.020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＞1.5-2.0</w:t>
            </w:r>
          </w:p>
        </w:tc>
        <w:tc>
          <w:tcPr>
            <w:tcW w:w="4461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±0.025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＞2.0-2.5</w:t>
            </w:r>
          </w:p>
        </w:tc>
        <w:tc>
          <w:tcPr>
            <w:tcW w:w="4461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±0.030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6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＞2.5-3.5</w:t>
            </w:r>
          </w:p>
        </w:tc>
        <w:tc>
          <w:tcPr>
            <w:tcW w:w="4461" w:type="dxa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±0.035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7" w:type="dxa"/>
            <w:gridSpan w:val="2"/>
          </w:tcPr>
          <w:p>
            <w:pPr>
              <w:pStyle w:val="34"/>
              <w:ind w:firstLine="0" w:firstLineChars="0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default" w:ascii="Times New Roman"/>
                <w:color w:val="auto"/>
                <w:sz w:val="18"/>
                <w:szCs w:val="18"/>
              </w:rPr>
              <w:t>当需方要求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允许偏差全为（+）或全为（-）单向偏差时，其值为表中相应数值的2倍。</w:t>
            </w:r>
          </w:p>
        </w:tc>
      </w:tr>
    </w:tbl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/>
        <w:spacing w:line="240" w:lineRule="auto"/>
        <w:jc w:val="both"/>
        <w:textAlignment w:val="auto"/>
        <w:rPr>
          <w:color w:val="auto"/>
          <w:sz w:val="21"/>
          <w:szCs w:val="21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/>
        <w:spacing w:line="240" w:lineRule="auto"/>
        <w:jc w:val="both"/>
        <w:textAlignment w:val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3.3.2 板材的宽度及其允许偏差，应符合表4的规定。</w:t>
      </w:r>
    </w:p>
    <w:p>
      <w:pPr>
        <w:wordWrap w:val="0"/>
        <w:ind w:right="315"/>
        <w:jc w:val="center"/>
        <w:rPr>
          <w:color w:val="auto"/>
          <w:szCs w:val="21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                                </w:t>
      </w:r>
      <w:r>
        <w:rPr>
          <w:b/>
          <w:bCs/>
          <w:color w:val="auto"/>
          <w:sz w:val="21"/>
          <w:szCs w:val="21"/>
        </w:rPr>
        <w:t>表</w:t>
      </w:r>
      <w:r>
        <w:rPr>
          <w:rFonts w:eastAsiaTheme="minorEastAsia"/>
          <w:b/>
          <w:bCs/>
          <w:color w:val="auto"/>
          <w:sz w:val="21"/>
          <w:szCs w:val="21"/>
        </w:rPr>
        <w:t>4</w:t>
      </w:r>
      <w:r>
        <w:rPr>
          <w:b/>
          <w:bCs/>
          <w:color w:val="auto"/>
          <w:sz w:val="21"/>
          <w:szCs w:val="21"/>
        </w:rPr>
        <w:t>宽度及</w:t>
      </w:r>
      <w:r>
        <w:rPr>
          <w:rFonts w:hint="eastAsia"/>
          <w:b/>
          <w:bCs/>
          <w:color w:val="auto"/>
          <w:sz w:val="21"/>
          <w:szCs w:val="21"/>
          <w:lang w:eastAsia="zh-CN"/>
        </w:rPr>
        <w:t>其</w:t>
      </w:r>
      <w:r>
        <w:rPr>
          <w:b/>
          <w:bCs/>
          <w:color w:val="auto"/>
          <w:sz w:val="21"/>
          <w:szCs w:val="21"/>
        </w:rPr>
        <w:t>允许偏差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                      </w:t>
      </w:r>
      <w:r>
        <w:rPr>
          <w:color w:val="auto"/>
          <w:sz w:val="18"/>
          <w:szCs w:val="18"/>
        </w:rPr>
        <w:t>单位为毫米</w:t>
      </w:r>
    </w:p>
    <w:tbl>
      <w:tblPr>
        <w:tblStyle w:val="21"/>
        <w:tblW w:w="8913" w:type="dxa"/>
        <w:jc w:val="center"/>
        <w:tblInd w:w="-3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649"/>
        <w:gridCol w:w="1729"/>
        <w:gridCol w:w="1658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厚度</w:t>
            </w:r>
          </w:p>
        </w:tc>
        <w:tc>
          <w:tcPr>
            <w:tcW w:w="6829" w:type="dxa"/>
            <w:gridSpan w:val="4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宽度允许偏差</w:t>
            </w:r>
            <w:r>
              <w:rPr>
                <w:rFonts w:hint="eastAsia"/>
                <w:color w:val="auto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  <w:vMerge w:val="continue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49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10-50</w:t>
            </w:r>
          </w:p>
        </w:tc>
        <w:tc>
          <w:tcPr>
            <w:tcW w:w="1729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＞50-100</w:t>
            </w:r>
          </w:p>
        </w:tc>
        <w:tc>
          <w:tcPr>
            <w:tcW w:w="1658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＞100-200</w:t>
            </w:r>
          </w:p>
        </w:tc>
        <w:tc>
          <w:tcPr>
            <w:tcW w:w="1793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＞200-600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0.6-1.0</w:t>
            </w:r>
          </w:p>
        </w:tc>
        <w:tc>
          <w:tcPr>
            <w:tcW w:w="1649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±0.08</w:t>
            </w:r>
          </w:p>
        </w:tc>
        <w:tc>
          <w:tcPr>
            <w:tcW w:w="1729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58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±0.15</w:t>
            </w:r>
          </w:p>
        </w:tc>
        <w:tc>
          <w:tcPr>
            <w:tcW w:w="1793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＞1.0-1.8</w:t>
            </w:r>
          </w:p>
        </w:tc>
        <w:tc>
          <w:tcPr>
            <w:tcW w:w="1649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29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±0.15</w:t>
            </w:r>
          </w:p>
        </w:tc>
        <w:tc>
          <w:tcPr>
            <w:tcW w:w="1658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93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＞1.8-3.0</w:t>
            </w:r>
          </w:p>
        </w:tc>
        <w:tc>
          <w:tcPr>
            <w:tcW w:w="1649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29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58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93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±0.4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4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＞3.0-3.5</w:t>
            </w:r>
          </w:p>
        </w:tc>
        <w:tc>
          <w:tcPr>
            <w:tcW w:w="1649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29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58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±0.5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93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±0.6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3" w:type="dxa"/>
            <w:gridSpan w:val="5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eastAsia"/>
                <w:color w:val="auto"/>
                <w:sz w:val="18"/>
                <w:szCs w:val="18"/>
              </w:rPr>
              <w:t>当需方要求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允许偏差全为（+）或全为（-）单向偏差时，其值为表中相应数值的2倍。</w:t>
            </w:r>
          </w:p>
        </w:tc>
      </w:tr>
    </w:tbl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/>
        <w:spacing w:line="240" w:lineRule="auto"/>
        <w:jc w:val="both"/>
        <w:textAlignment w:val="auto"/>
        <w:rPr>
          <w:rFonts w:eastAsia="黑体"/>
          <w:color w:val="auto"/>
          <w:sz w:val="21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/>
        <w:spacing w:line="240" w:lineRule="auto"/>
        <w:jc w:val="both"/>
        <w:textAlignment w:val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3.3.3 板材的长度及其允许偏差，应符合表5的规定。</w:t>
      </w:r>
    </w:p>
    <w:p>
      <w:pPr>
        <w:wordWrap/>
        <w:ind w:right="315"/>
        <w:jc w:val="center"/>
        <w:rPr>
          <w:color w:val="auto"/>
          <w:szCs w:val="21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                                   </w:t>
      </w:r>
      <w:r>
        <w:rPr>
          <w:b/>
          <w:bCs/>
          <w:color w:val="auto"/>
          <w:sz w:val="21"/>
          <w:szCs w:val="21"/>
        </w:rPr>
        <w:t>表</w:t>
      </w:r>
      <w:r>
        <w:rPr>
          <w:rFonts w:eastAsiaTheme="minorEastAsia"/>
          <w:b/>
          <w:bCs/>
          <w:color w:val="auto"/>
          <w:sz w:val="21"/>
          <w:szCs w:val="21"/>
        </w:rPr>
        <w:t>5</w:t>
      </w:r>
      <w:r>
        <w:rPr>
          <w:b/>
          <w:bCs/>
          <w:color w:val="auto"/>
          <w:sz w:val="21"/>
          <w:szCs w:val="21"/>
        </w:rPr>
        <w:t>长度及</w:t>
      </w:r>
      <w:r>
        <w:rPr>
          <w:rFonts w:hint="eastAsia"/>
          <w:b/>
          <w:bCs/>
          <w:color w:val="auto"/>
          <w:sz w:val="21"/>
          <w:szCs w:val="21"/>
          <w:lang w:eastAsia="zh-CN"/>
        </w:rPr>
        <w:t>其</w:t>
      </w:r>
      <w:r>
        <w:rPr>
          <w:b/>
          <w:bCs/>
          <w:color w:val="auto"/>
          <w:sz w:val="21"/>
          <w:szCs w:val="21"/>
        </w:rPr>
        <w:t>允许偏差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                    </w:t>
      </w:r>
      <w:r>
        <w:rPr>
          <w:color w:val="auto"/>
          <w:sz w:val="18"/>
          <w:szCs w:val="18"/>
        </w:rPr>
        <w:t>单位为毫米</w:t>
      </w:r>
    </w:p>
    <w:tbl>
      <w:tblPr>
        <w:tblStyle w:val="21"/>
        <w:tblW w:w="8940" w:type="dxa"/>
        <w:jc w:val="center"/>
        <w:tblInd w:w="-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2732"/>
        <w:gridCol w:w="2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33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厚度</w:t>
            </w:r>
          </w:p>
        </w:tc>
        <w:tc>
          <w:tcPr>
            <w:tcW w:w="559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长度</w:t>
            </w:r>
            <w:r>
              <w:rPr>
                <w:color w:val="auto"/>
                <w:sz w:val="18"/>
                <w:szCs w:val="18"/>
              </w:rPr>
              <w:t>允许偏差</w:t>
            </w:r>
            <w:r>
              <w:rPr>
                <w:rFonts w:hint="eastAsia"/>
                <w:color w:val="auto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3345" w:type="dxa"/>
            <w:vMerge w:val="continue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32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≤</w:t>
            </w:r>
            <w:r>
              <w:rPr>
                <w:color w:val="auto"/>
                <w:sz w:val="18"/>
                <w:szCs w:val="18"/>
              </w:rPr>
              <w:t>2000</w:t>
            </w:r>
          </w:p>
        </w:tc>
        <w:tc>
          <w:tcPr>
            <w:tcW w:w="2863" w:type="dxa"/>
            <w:tcBorders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＞2000-4000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3345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0.60-1.0</w:t>
            </w:r>
          </w:p>
        </w:tc>
        <w:tc>
          <w:tcPr>
            <w:tcW w:w="2732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±5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.0</w:t>
            </w:r>
          </w:p>
        </w:tc>
        <w:tc>
          <w:tcPr>
            <w:tcW w:w="2863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±5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3345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＞1.0-1.8</w:t>
            </w:r>
          </w:p>
        </w:tc>
        <w:tc>
          <w:tcPr>
            <w:tcW w:w="2732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±5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.0</w:t>
            </w:r>
          </w:p>
        </w:tc>
        <w:tc>
          <w:tcPr>
            <w:tcW w:w="2863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3345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＞1.8-3.0</w:t>
            </w:r>
          </w:p>
        </w:tc>
        <w:tc>
          <w:tcPr>
            <w:tcW w:w="2732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±7.5</w:t>
            </w:r>
          </w:p>
        </w:tc>
        <w:tc>
          <w:tcPr>
            <w:tcW w:w="2863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3345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＞3.0-3.5</w:t>
            </w:r>
          </w:p>
        </w:tc>
        <w:tc>
          <w:tcPr>
            <w:tcW w:w="2732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±7.5</w:t>
            </w:r>
          </w:p>
        </w:tc>
        <w:tc>
          <w:tcPr>
            <w:tcW w:w="2863" w:type="dxa"/>
            <w:tcBorders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±7.5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eastAsia"/>
                <w:color w:val="auto"/>
                <w:sz w:val="18"/>
                <w:szCs w:val="18"/>
              </w:rPr>
              <w:t>当需方要求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允许偏差全为（+）或全为（-）单向偏差时，其值为表中相应数值的2倍。</w:t>
            </w:r>
          </w:p>
        </w:tc>
      </w:tr>
    </w:tbl>
    <w:p>
      <w:pPr>
        <w:adjustRightInd/>
        <w:spacing w:beforeLines="50" w:line="240" w:lineRule="auto"/>
        <w:textAlignment w:val="auto"/>
        <w:rPr>
          <w:rFonts w:eastAsia="黑体"/>
          <w:color w:val="auto"/>
          <w:sz w:val="21"/>
        </w:rPr>
      </w:pPr>
    </w:p>
    <w:p>
      <w:pPr>
        <w:adjustRightInd/>
        <w:spacing w:beforeLines="50" w:line="240" w:lineRule="auto"/>
        <w:textAlignment w:val="auto"/>
        <w:rPr>
          <w:color w:val="auto"/>
          <w:kern w:val="21"/>
          <w:sz w:val="21"/>
          <w:szCs w:val="21"/>
        </w:rPr>
      </w:pPr>
      <w:r>
        <w:rPr>
          <w:color w:val="auto"/>
          <w:kern w:val="21"/>
          <w:sz w:val="21"/>
          <w:szCs w:val="21"/>
        </w:rPr>
        <w:t>3.3.4  板材的</w:t>
      </w:r>
      <w:r>
        <w:rPr>
          <w:rFonts w:hint="eastAsia"/>
          <w:color w:val="auto"/>
          <w:kern w:val="21"/>
          <w:sz w:val="21"/>
          <w:szCs w:val="21"/>
          <w:lang w:eastAsia="zh-CN"/>
        </w:rPr>
        <w:t>平整度</w:t>
      </w:r>
      <w:r>
        <w:rPr>
          <w:color w:val="auto"/>
          <w:kern w:val="21"/>
          <w:sz w:val="21"/>
          <w:szCs w:val="21"/>
        </w:rPr>
        <w:t>度应符合表6的规定。</w:t>
      </w:r>
    </w:p>
    <w:p>
      <w:pPr>
        <w:jc w:val="center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表6</w:t>
      </w:r>
      <w:r>
        <w:rPr>
          <w:rFonts w:hint="eastAsia"/>
          <w:b/>
          <w:bCs/>
          <w:color w:val="auto"/>
          <w:sz w:val="21"/>
          <w:szCs w:val="21"/>
          <w:lang w:eastAsia="zh-CN"/>
        </w:rPr>
        <w:t>平整度</w:t>
      </w:r>
    </w:p>
    <w:tbl>
      <w:tblPr>
        <w:tblStyle w:val="21"/>
        <w:tblW w:w="9015" w:type="dxa"/>
        <w:jc w:val="center"/>
        <w:tblInd w:w="-5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6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宽度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/mm</w:t>
            </w:r>
          </w:p>
        </w:tc>
        <w:tc>
          <w:tcPr>
            <w:tcW w:w="6318" w:type="dxa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平整度</w:t>
            </w:r>
            <w:r>
              <w:rPr>
                <w:rFonts w:hint="eastAsia"/>
                <w:color w:val="auto"/>
                <w:sz w:val="18"/>
              </w:rPr>
              <w:t>/（</w:t>
            </w:r>
            <w:r>
              <w:rPr>
                <w:color w:val="auto"/>
                <w:sz w:val="18"/>
              </w:rPr>
              <w:t>mm/m</w:t>
            </w:r>
            <w:r>
              <w:rPr>
                <w:rFonts w:hint="eastAsia"/>
                <w:color w:val="auto"/>
                <w:sz w:val="18"/>
              </w:rPr>
              <w:t>）</w:t>
            </w:r>
            <w:r>
              <w:rPr>
                <w:color w:val="auto"/>
                <w:sz w:val="18"/>
              </w:rPr>
              <w:t>，不大于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  <w:vAlign w:val="center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10-50</w:t>
            </w:r>
          </w:p>
        </w:tc>
        <w:tc>
          <w:tcPr>
            <w:tcW w:w="6318" w:type="dxa"/>
            <w:vAlign w:val="center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4.0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  <w:vAlign w:val="center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＞50-100</w:t>
            </w:r>
          </w:p>
        </w:tc>
        <w:tc>
          <w:tcPr>
            <w:tcW w:w="6318" w:type="dxa"/>
            <w:vAlign w:val="center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  <w:vAlign w:val="center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＞100-200</w:t>
            </w:r>
          </w:p>
        </w:tc>
        <w:tc>
          <w:tcPr>
            <w:tcW w:w="6318" w:type="dxa"/>
            <w:vAlign w:val="center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  <w:vAlign w:val="center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＞200-600</w:t>
            </w:r>
          </w:p>
        </w:tc>
        <w:tc>
          <w:tcPr>
            <w:tcW w:w="6318" w:type="dxa"/>
            <w:vAlign w:val="center"/>
          </w:tcPr>
          <w:p>
            <w:pPr>
              <w:pStyle w:val="34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3.0</w:t>
            </w:r>
          </w:p>
        </w:tc>
      </w:tr>
    </w:tbl>
    <w:p>
      <w:pPr>
        <w:adjustRightInd/>
        <w:spacing w:line="240" w:lineRule="auto"/>
        <w:jc w:val="both"/>
        <w:textAlignment w:val="auto"/>
        <w:rPr>
          <w:color w:val="auto"/>
          <w:szCs w:val="21"/>
        </w:rPr>
      </w:pPr>
    </w:p>
    <w:p>
      <w:pPr>
        <w:adjustRightInd/>
        <w:spacing w:line="240" w:lineRule="auto"/>
        <w:jc w:val="both"/>
        <w:textAlignment w:val="auto"/>
        <w:rPr>
          <w:color w:val="auto"/>
          <w:kern w:val="2"/>
          <w:sz w:val="21"/>
          <w:szCs w:val="21"/>
        </w:rPr>
      </w:pPr>
      <w:r>
        <w:rPr>
          <w:color w:val="auto"/>
          <w:kern w:val="2"/>
          <w:sz w:val="21"/>
          <w:szCs w:val="21"/>
        </w:rPr>
        <w:t>3.4力学性能</w:t>
      </w:r>
    </w:p>
    <w:p>
      <w:pPr>
        <w:adjustRightInd/>
        <w:spacing w:line="240" w:lineRule="auto"/>
        <w:ind w:firstLine="420" w:firstLineChars="200"/>
        <w:jc w:val="both"/>
        <w:textAlignment w:val="auto"/>
        <w:rPr>
          <w:color w:val="auto"/>
          <w:kern w:val="2"/>
          <w:sz w:val="21"/>
          <w:szCs w:val="21"/>
        </w:rPr>
      </w:pPr>
      <w:r>
        <w:rPr>
          <w:color w:val="auto"/>
          <w:kern w:val="2"/>
          <w:sz w:val="21"/>
          <w:szCs w:val="21"/>
        </w:rPr>
        <w:t>板材的力学性能应符合表7的规定。</w:t>
      </w:r>
      <w:bookmarkStart w:id="11" w:name="_GoBack"/>
      <w:bookmarkEnd w:id="11"/>
    </w:p>
    <w:p>
      <w:pPr>
        <w:jc w:val="center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表7力学性能</w:t>
      </w:r>
    </w:p>
    <w:tbl>
      <w:tblPr>
        <w:tblStyle w:val="21"/>
        <w:tblW w:w="9036" w:type="dxa"/>
        <w:jc w:val="center"/>
        <w:tblInd w:w="-9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486"/>
        <w:gridCol w:w="2059"/>
        <w:gridCol w:w="2086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bookmarkStart w:id="9" w:name="OLE_LINK9"/>
            <w:bookmarkStart w:id="10" w:name="OLE_LINK10"/>
            <w:r>
              <w:rPr>
                <w:color w:val="auto"/>
                <w:sz w:val="18"/>
              </w:rPr>
              <w:t>牌号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状态</w:t>
            </w:r>
          </w:p>
        </w:tc>
        <w:tc>
          <w:tcPr>
            <w:tcW w:w="4145" w:type="dxa"/>
            <w:gridSpan w:val="2"/>
            <w:vAlign w:val="center"/>
          </w:tcPr>
          <w:p>
            <w:pPr>
              <w:tabs>
                <w:tab w:val="left" w:pos="2400"/>
              </w:tabs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  <w:szCs w:val="21"/>
              </w:rPr>
              <w:t>拉伸试验</w:t>
            </w:r>
          </w:p>
        </w:tc>
        <w:tc>
          <w:tcPr>
            <w:tcW w:w="1571" w:type="dxa"/>
            <w:vAlign w:val="center"/>
          </w:tcPr>
          <w:p>
            <w:pPr>
              <w:tabs>
                <w:tab w:val="left" w:pos="2400"/>
              </w:tabs>
              <w:spacing w:line="240" w:lineRule="auto"/>
              <w:jc w:val="center"/>
              <w:rPr>
                <w:color w:val="auto"/>
                <w:sz w:val="18"/>
                <w:szCs w:val="24"/>
              </w:rPr>
            </w:pPr>
            <w:r>
              <w:rPr>
                <w:rFonts w:hint="eastAsia"/>
                <w:color w:val="auto"/>
                <w:sz w:val="18"/>
              </w:rPr>
              <w:t>硬度</w:t>
            </w:r>
            <w:r>
              <w:rPr>
                <w:color w:val="auto"/>
                <w:sz w:val="18"/>
              </w:rPr>
              <w:t>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抗拉强度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R</w:t>
            </w:r>
            <w:r>
              <w:rPr>
                <w:rFonts w:hint="eastAsia"/>
                <w:color w:val="auto"/>
                <w:sz w:val="18"/>
                <w:vertAlign w:val="subscript"/>
                <w:lang w:val="en-US" w:eastAsia="zh-CN"/>
              </w:rPr>
              <w:t>m</w:t>
            </w:r>
          </w:p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MPa</w:t>
            </w:r>
          </w:p>
        </w:tc>
        <w:tc>
          <w:tcPr>
            <w:tcW w:w="2086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/>
                <w:caps w:val="0"/>
                <w:color w:val="auto"/>
                <w:sz w:val="18"/>
                <w:vertAlign w:val="subscript"/>
              </w:rPr>
            </w:pPr>
            <w:r>
              <w:rPr>
                <w:rFonts w:hint="eastAsia" w:ascii="Times New Roman" w:hAnsi="Times New Roman"/>
                <w:caps w:val="0"/>
                <w:color w:val="auto"/>
                <w:sz w:val="18"/>
                <w:lang w:val="en-US" w:eastAsia="zh-CN"/>
              </w:rPr>
              <w:t>断后</w:t>
            </w:r>
            <w:r>
              <w:rPr>
                <w:rFonts w:hint="eastAsia" w:ascii="Times New Roman" w:hAnsi="Times New Roman"/>
                <w:caps w:val="0"/>
                <w:color w:val="auto"/>
                <w:sz w:val="18"/>
              </w:rPr>
              <w:t>伸长</w:t>
            </w:r>
            <w:r>
              <w:rPr>
                <w:rFonts w:hint="eastAsia" w:ascii="Times New Roman" w:hAnsi="Times New Roman"/>
                <w:caps w:val="0"/>
                <w:color w:val="auto"/>
                <w:sz w:val="18"/>
                <w:lang w:val="en-US" w:eastAsia="zh-CN"/>
              </w:rPr>
              <w:t>率</w:t>
            </w:r>
            <w:r>
              <w:rPr>
                <w:rFonts w:hint="eastAsia" w:ascii="Times New Roman" w:hAnsi="Times New Roman"/>
                <w:caps w:val="0"/>
                <w:color w:val="auto"/>
                <w:sz w:val="18"/>
              </w:rPr>
              <w:t>A</w:t>
            </w:r>
            <w:r>
              <w:rPr>
                <w:rFonts w:hint="eastAsia" w:ascii="Times New Roman" w:hAnsi="Times New Roman"/>
                <w:caps w:val="0"/>
                <w:color w:val="auto"/>
                <w:sz w:val="18"/>
                <w:vertAlign w:val="subscript"/>
              </w:rPr>
              <w:t>11.3mm</w:t>
            </w:r>
          </w:p>
          <w:p>
            <w:pPr>
              <w:pStyle w:val="6"/>
              <w:jc w:val="center"/>
              <w:rPr>
                <w:color w:val="auto"/>
                <w:sz w:val="18"/>
              </w:rPr>
            </w:pPr>
            <w:r>
              <w:rPr>
                <w:rFonts w:hint="eastAsia" w:ascii="Times New Roman" w:hAnsi="Times New Roman"/>
                <w:caps w:val="0"/>
                <w:color w:val="auto"/>
                <w:sz w:val="18"/>
              </w:rPr>
              <w:t>％</w:t>
            </w:r>
          </w:p>
        </w:tc>
        <w:tc>
          <w:tcPr>
            <w:tcW w:w="1571" w:type="dxa"/>
            <w:vAlign w:val="center"/>
          </w:tcPr>
          <w:p>
            <w:pPr>
              <w:pStyle w:val="6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维氏硬度</w:t>
            </w:r>
          </w:p>
          <w:p>
            <w:pPr>
              <w:pStyle w:val="6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HV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8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H62</w:t>
            </w: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O60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≥</w:t>
            </w:r>
            <w:r>
              <w:rPr>
                <w:color w:val="auto"/>
                <w:sz w:val="18"/>
              </w:rPr>
              <w:t>290</w:t>
            </w:r>
          </w:p>
        </w:tc>
        <w:tc>
          <w:tcPr>
            <w:tcW w:w="2086" w:type="dxa"/>
            <w:vAlign w:val="center"/>
          </w:tcPr>
          <w:p>
            <w:pPr>
              <w:pStyle w:val="6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35</w:t>
            </w:r>
          </w:p>
        </w:tc>
        <w:tc>
          <w:tcPr>
            <w:tcW w:w="1571" w:type="dxa"/>
            <w:vAlign w:val="center"/>
          </w:tcPr>
          <w:p>
            <w:pPr>
              <w:pStyle w:val="6"/>
              <w:jc w:val="center"/>
              <w:rPr>
                <w:color w:val="auto"/>
                <w:sz w:val="1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≤</w:t>
            </w:r>
            <w:r>
              <w:rPr>
                <w:color w:val="auto"/>
                <w:sz w:val="18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8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H02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380-470</w:t>
            </w:r>
          </w:p>
        </w:tc>
        <w:tc>
          <w:tcPr>
            <w:tcW w:w="2086" w:type="dxa"/>
            <w:vAlign w:val="center"/>
          </w:tcPr>
          <w:p>
            <w:pPr>
              <w:pStyle w:val="6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20</w:t>
            </w:r>
          </w:p>
        </w:tc>
        <w:tc>
          <w:tcPr>
            <w:tcW w:w="1571" w:type="dxa"/>
            <w:vAlign w:val="center"/>
          </w:tcPr>
          <w:p>
            <w:pPr>
              <w:pStyle w:val="6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100-130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8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H68</w:t>
            </w: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O60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290</w:t>
            </w:r>
          </w:p>
        </w:tc>
        <w:tc>
          <w:tcPr>
            <w:tcW w:w="2086" w:type="dxa"/>
            <w:vAlign w:val="center"/>
          </w:tcPr>
          <w:p>
            <w:pPr>
              <w:pStyle w:val="6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40</w:t>
            </w:r>
          </w:p>
        </w:tc>
        <w:tc>
          <w:tcPr>
            <w:tcW w:w="1571" w:type="dxa"/>
            <w:vAlign w:val="center"/>
          </w:tcPr>
          <w:p>
            <w:pPr>
              <w:pStyle w:val="6"/>
              <w:jc w:val="center"/>
              <w:rPr>
                <w:color w:val="auto"/>
                <w:sz w:val="18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≤</w:t>
            </w:r>
            <w:r>
              <w:rPr>
                <w:color w:val="auto"/>
                <w:sz w:val="18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8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H02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355-460</w:t>
            </w:r>
          </w:p>
        </w:tc>
        <w:tc>
          <w:tcPr>
            <w:tcW w:w="2086" w:type="dxa"/>
            <w:vAlign w:val="center"/>
          </w:tcPr>
          <w:p>
            <w:pPr>
              <w:pStyle w:val="6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25</w:t>
            </w:r>
          </w:p>
        </w:tc>
        <w:tc>
          <w:tcPr>
            <w:tcW w:w="1571" w:type="dxa"/>
            <w:vAlign w:val="center"/>
          </w:tcPr>
          <w:p>
            <w:pPr>
              <w:pStyle w:val="6"/>
              <w:jc w:val="center"/>
              <w:rPr>
                <w:color w:val="auto"/>
                <w:sz w:val="18"/>
                <w:szCs w:val="24"/>
              </w:rPr>
            </w:pPr>
            <w:r>
              <w:rPr>
                <w:color w:val="auto"/>
                <w:sz w:val="18"/>
                <w:szCs w:val="24"/>
              </w:rPr>
              <w:t>100-130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QSn6.5-0.1</w:t>
            </w: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O60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330</w:t>
            </w:r>
          </w:p>
        </w:tc>
        <w:tc>
          <w:tcPr>
            <w:tcW w:w="20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40</w:t>
            </w: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≤</w:t>
            </w:r>
            <w:r>
              <w:rPr>
                <w:color w:val="auto"/>
                <w:sz w:val="1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H01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390-510</w:t>
            </w:r>
          </w:p>
        </w:tc>
        <w:tc>
          <w:tcPr>
            <w:tcW w:w="20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35</w:t>
            </w: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110-1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H02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490-610</w:t>
            </w:r>
          </w:p>
        </w:tc>
        <w:tc>
          <w:tcPr>
            <w:tcW w:w="20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10</w:t>
            </w: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150-190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QSn8-0.3</w:t>
            </w: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O60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345</w:t>
            </w:r>
          </w:p>
        </w:tc>
        <w:tc>
          <w:tcPr>
            <w:tcW w:w="20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45</w:t>
            </w: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≤</w:t>
            </w:r>
            <w:r>
              <w:rPr>
                <w:color w:val="auto"/>
                <w:sz w:val="1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H02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490-610</w:t>
            </w:r>
          </w:p>
        </w:tc>
        <w:tc>
          <w:tcPr>
            <w:tcW w:w="20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30</w:t>
            </w: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150-2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H04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590-705</w:t>
            </w:r>
          </w:p>
        </w:tc>
        <w:tc>
          <w:tcPr>
            <w:tcW w:w="20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rFonts w:hint="eastAsia"/>
                <w:color w:val="auto"/>
                <w:sz w:val="18"/>
              </w:rPr>
              <w:t>12</w:t>
            </w: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180-2</w:t>
            </w:r>
            <w:r>
              <w:rPr>
                <w:rFonts w:hint="eastAsia"/>
                <w:color w:val="auto"/>
                <w:sz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QSn10-0.3</w:t>
            </w: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O60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360</w:t>
            </w:r>
          </w:p>
        </w:tc>
        <w:tc>
          <w:tcPr>
            <w:tcW w:w="20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50</w:t>
            </w: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≤</w:t>
            </w:r>
            <w:r>
              <w:rPr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8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H02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525-625</w:t>
            </w:r>
          </w:p>
        </w:tc>
        <w:tc>
          <w:tcPr>
            <w:tcW w:w="208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-SA"/>
              </w:rPr>
              <w:t>≥</w:t>
            </w:r>
            <w:r>
              <w:rPr>
                <w:color w:val="auto"/>
                <w:sz w:val="18"/>
              </w:rPr>
              <w:t>30</w:t>
            </w: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160-210</w:t>
            </w:r>
          </w:p>
        </w:tc>
      </w:tr>
      <w:bookmarkEnd w:id="9"/>
      <w:bookmarkEnd w:id="10"/>
    </w:tbl>
    <w:p>
      <w:pPr>
        <w:rPr>
          <w:color w:val="auto"/>
          <w:sz w:val="21"/>
          <w:szCs w:val="21"/>
        </w:rPr>
      </w:pP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3.5晶粒度</w:t>
      </w:r>
    </w:p>
    <w:p>
      <w:pPr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O60</w:t>
      </w:r>
      <w:r>
        <w:rPr>
          <w:rFonts w:hint="eastAsia"/>
          <w:color w:val="auto"/>
          <w:sz w:val="21"/>
          <w:szCs w:val="21"/>
          <w:lang w:val="en-US" w:eastAsia="zh-CN"/>
        </w:rPr>
        <w:t>状态</w:t>
      </w:r>
      <w:r>
        <w:rPr>
          <w:color w:val="auto"/>
          <w:sz w:val="21"/>
          <w:szCs w:val="21"/>
        </w:rPr>
        <w:t>板材的晶粒度应符合表8的规定。</w:t>
      </w:r>
    </w:p>
    <w:p>
      <w:pPr>
        <w:ind w:right="315"/>
        <w:jc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 xml:space="preserve">                                    </w:t>
      </w:r>
      <w:r>
        <w:rPr>
          <w:color w:val="auto"/>
          <w:sz w:val="21"/>
          <w:szCs w:val="21"/>
        </w:rPr>
        <w:t>表8 O60</w:t>
      </w:r>
      <w:r>
        <w:rPr>
          <w:rFonts w:hint="eastAsia"/>
          <w:color w:val="auto"/>
          <w:sz w:val="21"/>
          <w:szCs w:val="21"/>
          <w:lang w:val="en-US" w:eastAsia="zh-CN"/>
        </w:rPr>
        <w:t>状态</w:t>
      </w:r>
      <w:r>
        <w:rPr>
          <w:rFonts w:hint="eastAsia"/>
          <w:color w:val="auto"/>
          <w:sz w:val="21"/>
          <w:szCs w:val="21"/>
          <w:lang w:eastAsia="zh-CN"/>
        </w:rPr>
        <w:t>板材的</w:t>
      </w:r>
      <w:r>
        <w:rPr>
          <w:color w:val="auto"/>
          <w:sz w:val="21"/>
          <w:szCs w:val="21"/>
        </w:rPr>
        <w:t>晶粒度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              </w:t>
      </w:r>
      <w:r>
        <w:rPr>
          <w:color w:val="auto"/>
          <w:sz w:val="18"/>
          <w:szCs w:val="18"/>
        </w:rPr>
        <w:t>单位为毫米</w:t>
      </w:r>
    </w:p>
    <w:tbl>
      <w:tblPr>
        <w:tblStyle w:val="22"/>
        <w:tblW w:w="9141" w:type="dxa"/>
        <w:jc w:val="center"/>
        <w:tblInd w:w="-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169"/>
        <w:gridCol w:w="1743"/>
        <w:gridCol w:w="1733"/>
        <w:gridCol w:w="1677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牌号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状态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级别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晶粒度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2"/>
                <w:szCs w:val="22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2"/>
                <w:szCs w:val="22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晶粒平均直径/mm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晶粒最小直径/mm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晶粒最大直径/mm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hint="default" w:ascii="Times New Roman" w:hAnsi="Times New Roman"/>
                <w:color w:val="auto"/>
                <w:kern w:val="2"/>
                <w:sz w:val="18"/>
                <w:szCs w:val="18"/>
              </w:rPr>
              <w:t>H62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22"/>
                <w:lang w:val="en-US" w:eastAsia="zh-CN"/>
              </w:rPr>
              <w:t>OS035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普通级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0.035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22"/>
                <w:lang w:val="en-US" w:eastAsia="zh-CN"/>
              </w:rPr>
              <w:t>OS030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高级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0.030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H68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hint="eastAsia"/>
                <w:color w:val="auto"/>
                <w:kern w:val="2"/>
                <w:sz w:val="18"/>
                <w:szCs w:val="22"/>
                <w:lang w:val="en-US" w:eastAsia="zh-CN"/>
              </w:rPr>
              <w:t>OS035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普通级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0.0</w:t>
            </w:r>
            <w:r>
              <w:rPr>
                <w:rFonts w:hint="default" w:ascii="Times New Roman" w:hAnsi="Times New Roman"/>
                <w:color w:val="auto"/>
                <w:kern w:val="2"/>
                <w:sz w:val="18"/>
                <w:szCs w:val="18"/>
              </w:rPr>
              <w:t>35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22"/>
                <w:lang w:val="en-US" w:eastAsia="zh-CN"/>
              </w:rPr>
              <w:t>OS030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高级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0.030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  <w:t>QSn6.5-0.1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hint="eastAsia"/>
                <w:color w:val="auto"/>
                <w:kern w:val="2"/>
                <w:sz w:val="18"/>
                <w:szCs w:val="22"/>
                <w:lang w:val="en-US" w:eastAsia="zh-CN"/>
              </w:rPr>
              <w:t>OS030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普通级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0.0</w:t>
            </w:r>
            <w:r>
              <w:rPr>
                <w:rFonts w:hint="default" w:ascii="Times New Roman" w:hAnsi="Times New Roman"/>
                <w:color w:val="auto"/>
                <w:kern w:val="2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hint="eastAsia"/>
                <w:color w:val="auto"/>
                <w:kern w:val="2"/>
                <w:sz w:val="18"/>
                <w:szCs w:val="22"/>
                <w:lang w:val="en-US" w:eastAsia="zh-CN"/>
              </w:rPr>
              <w:t>OS020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高级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0.015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  <w:t>QSn8-0.3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hint="eastAsia"/>
                <w:color w:val="auto"/>
                <w:kern w:val="2"/>
                <w:sz w:val="18"/>
                <w:szCs w:val="22"/>
                <w:lang w:val="en-US" w:eastAsia="zh-CN"/>
              </w:rPr>
              <w:t>OS030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普通级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0.0</w:t>
            </w:r>
            <w:r>
              <w:rPr>
                <w:rFonts w:hint="default" w:ascii="Times New Roman" w:hAnsi="Times New Roman"/>
                <w:color w:val="auto"/>
                <w:kern w:val="2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hint="eastAsia"/>
                <w:color w:val="auto"/>
                <w:kern w:val="2"/>
                <w:sz w:val="18"/>
                <w:szCs w:val="22"/>
                <w:lang w:val="en-US" w:eastAsia="zh-CN"/>
              </w:rPr>
              <w:t>OS020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高级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0.010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  <w:t>QSn10-0.3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2"/>
                <w:sz w:val="18"/>
                <w:szCs w:val="22"/>
              </w:rPr>
            </w:pPr>
            <w:r>
              <w:rPr>
                <w:rFonts w:hint="eastAsia"/>
                <w:color w:val="auto"/>
                <w:kern w:val="2"/>
                <w:sz w:val="18"/>
                <w:szCs w:val="22"/>
                <w:lang w:val="en-US" w:eastAsia="zh-CN"/>
              </w:rPr>
              <w:t>OS030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普通级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0.0</w:t>
            </w:r>
            <w:r>
              <w:rPr>
                <w:rFonts w:hint="default" w:ascii="Times New Roman" w:hAnsi="Times New Roman"/>
                <w:color w:val="auto"/>
                <w:kern w:val="2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hint="eastAsia"/>
                <w:color w:val="auto"/>
                <w:kern w:val="2"/>
                <w:sz w:val="18"/>
                <w:szCs w:val="22"/>
                <w:lang w:val="en-US" w:eastAsia="zh-CN"/>
              </w:rPr>
              <w:t>OS020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高级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0.010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0.030</w:t>
            </w:r>
          </w:p>
        </w:tc>
      </w:tr>
    </w:tbl>
    <w:p>
      <w:pPr>
        <w:spacing w:line="240" w:lineRule="auto"/>
        <w:rPr>
          <w:color w:val="auto"/>
          <w:sz w:val="21"/>
          <w:szCs w:val="21"/>
        </w:rPr>
      </w:pPr>
    </w:p>
    <w:p>
      <w:pPr>
        <w:spacing w:line="240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3.6 表面质量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3.6.1  板材的表面应光滑、清洁，不允许有分层、裂纹、起皮、起刺、气泡、压折、夹杂和绿锈。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3.6.2  板材的表面允许有轻微的、局部的、不使板材厚度超出其允许偏差的划伤、斑点、凹坑、压入物、辊印、氧化色、油迹、水迹和色差等缺陷。</w:t>
      </w:r>
    </w:p>
    <w:p>
      <w:pPr>
        <w:pStyle w:val="14"/>
        <w:rPr>
          <w:rFonts w:ascii="Times New Roman"/>
          <w:color w:val="auto"/>
        </w:rPr>
      </w:pPr>
      <w:r>
        <w:rPr>
          <w:rFonts w:ascii="Times New Roman"/>
          <w:color w:val="auto"/>
        </w:rPr>
        <w:t>4试验方法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4.1 化学成分</w:t>
      </w:r>
    </w:p>
    <w:p>
      <w:pPr>
        <w:ind w:firstLine="420" w:firstLineChars="20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板材化学成分的分析</w:t>
      </w:r>
      <w:r>
        <w:rPr>
          <w:rFonts w:hint="eastAsia"/>
          <w:color w:val="auto"/>
          <w:sz w:val="21"/>
          <w:szCs w:val="21"/>
          <w:lang w:eastAsia="zh-CN"/>
        </w:rPr>
        <w:t>方法</w:t>
      </w:r>
      <w:r>
        <w:rPr>
          <w:color w:val="auto"/>
          <w:sz w:val="21"/>
          <w:szCs w:val="21"/>
        </w:rPr>
        <w:t>按GB/T5121(所有部分)或YS/T482或YS/T483的规定进行，仲裁方法按GB/T5121</w:t>
      </w:r>
      <w:r>
        <w:rPr>
          <w:rFonts w:hint="eastAsia"/>
          <w:color w:val="auto"/>
          <w:sz w:val="21"/>
          <w:szCs w:val="21"/>
          <w:lang w:eastAsia="zh-CN"/>
        </w:rPr>
        <w:t>（所有部分）</w:t>
      </w:r>
      <w:r>
        <w:rPr>
          <w:color w:val="auto"/>
          <w:sz w:val="21"/>
          <w:szCs w:val="21"/>
        </w:rPr>
        <w:t>的规定进行。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4.2 外形尺寸及其允许偏差</w:t>
      </w:r>
    </w:p>
    <w:p>
      <w:pPr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板材</w:t>
      </w:r>
      <w:r>
        <w:rPr>
          <w:rFonts w:hint="eastAsia"/>
          <w:color w:val="auto"/>
          <w:sz w:val="21"/>
          <w:szCs w:val="21"/>
        </w:rPr>
        <w:t>厚度及其允许偏差、宽度及其允许偏差、长度及其允许偏差、</w:t>
      </w:r>
      <w:r>
        <w:rPr>
          <w:rFonts w:hint="eastAsia"/>
          <w:color w:val="auto"/>
          <w:sz w:val="21"/>
          <w:szCs w:val="21"/>
          <w:lang w:eastAsia="zh-CN"/>
        </w:rPr>
        <w:t>平整度</w:t>
      </w:r>
      <w:r>
        <w:rPr>
          <w:rFonts w:hint="eastAsia"/>
          <w:color w:val="auto"/>
          <w:sz w:val="21"/>
          <w:szCs w:val="21"/>
        </w:rPr>
        <w:t>的检测按GB/T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auto"/>
          <w:sz w:val="21"/>
          <w:szCs w:val="21"/>
        </w:rPr>
        <w:t>26303.3的规定进行。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4.3 力学性能</w:t>
      </w:r>
    </w:p>
    <w:p>
      <w:pPr>
        <w:ind w:firstLine="420" w:firstLineChars="20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板材</w:t>
      </w:r>
      <w:r>
        <w:rPr>
          <w:rFonts w:hint="eastAsia"/>
          <w:color w:val="auto"/>
          <w:sz w:val="21"/>
          <w:szCs w:val="21"/>
        </w:rPr>
        <w:t>的拉伸试验按GB/T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auto"/>
          <w:sz w:val="21"/>
          <w:szCs w:val="21"/>
        </w:rPr>
        <w:t>228.1-2010的规定进行。厚度为0.</w:t>
      </w:r>
      <w:r>
        <w:rPr>
          <w:rFonts w:hint="eastAsia"/>
          <w:color w:val="auto"/>
          <w:sz w:val="21"/>
          <w:szCs w:val="21"/>
          <w:lang w:val="en-US" w:eastAsia="zh-CN"/>
        </w:rPr>
        <w:t>6</w:t>
      </w:r>
      <w:r>
        <w:rPr>
          <w:rFonts w:hint="eastAsia"/>
          <w:color w:val="auto"/>
          <w:sz w:val="21"/>
          <w:szCs w:val="21"/>
        </w:rPr>
        <w:t>-3.0mm，选用试样号为GB/T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auto"/>
          <w:sz w:val="21"/>
          <w:szCs w:val="21"/>
        </w:rPr>
        <w:t>228.1-2010附录B表B</w:t>
      </w:r>
      <w:r>
        <w:rPr>
          <w:color w:val="auto"/>
          <w:sz w:val="21"/>
          <w:szCs w:val="21"/>
        </w:rPr>
        <w:t>.</w:t>
      </w:r>
      <w:r>
        <w:rPr>
          <w:rFonts w:hint="eastAsia"/>
          <w:color w:val="auto"/>
          <w:sz w:val="21"/>
          <w:szCs w:val="21"/>
        </w:rPr>
        <w:t>1中P02或P04；厚度为3.0-3.5mm，选用试样号为GB/T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auto"/>
          <w:sz w:val="21"/>
          <w:szCs w:val="21"/>
        </w:rPr>
        <w:t>228.1-2010附录D表D</w:t>
      </w:r>
      <w:r>
        <w:rPr>
          <w:color w:val="auto"/>
          <w:sz w:val="21"/>
          <w:szCs w:val="21"/>
        </w:rPr>
        <w:t>.</w:t>
      </w:r>
      <w:r>
        <w:rPr>
          <w:rFonts w:hint="eastAsia"/>
          <w:color w:val="auto"/>
          <w:sz w:val="21"/>
          <w:szCs w:val="21"/>
        </w:rPr>
        <w:t>2中P09。</w:t>
      </w:r>
      <w:r>
        <w:rPr>
          <w:rFonts w:hint="eastAsia"/>
          <w:color w:val="auto"/>
          <w:sz w:val="21"/>
          <w:szCs w:val="21"/>
          <w:lang w:val="en-US" w:eastAsia="zh-CN"/>
        </w:rPr>
        <w:t>板</w:t>
      </w:r>
      <w:r>
        <w:rPr>
          <w:rFonts w:hint="eastAsia"/>
          <w:color w:val="auto"/>
          <w:sz w:val="21"/>
          <w:szCs w:val="21"/>
        </w:rPr>
        <w:t>材的维氏硬度试验按GB/T4340.1的规定进行。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4.4 晶粒度</w:t>
      </w:r>
    </w:p>
    <w:p>
      <w:pPr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板材的晶粒度测定方法按YS/T 347的规定进行。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4.5 表面质量</w:t>
      </w:r>
    </w:p>
    <w:p>
      <w:pPr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板材的表面质量应用目视进行检验。</w:t>
      </w:r>
    </w:p>
    <w:p>
      <w:pPr>
        <w:pStyle w:val="14"/>
        <w:rPr>
          <w:rFonts w:ascii="Times New Roman"/>
          <w:color w:val="auto"/>
        </w:rPr>
      </w:pPr>
      <w:r>
        <w:rPr>
          <w:rFonts w:ascii="Times New Roman"/>
          <w:color w:val="auto"/>
        </w:rPr>
        <w:t xml:space="preserve">5检验规则 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5.1检查和验收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5.1.1板材</w:t>
      </w:r>
      <w:r>
        <w:rPr>
          <w:rFonts w:hint="eastAsia"/>
          <w:color w:val="auto"/>
          <w:sz w:val="21"/>
          <w:szCs w:val="21"/>
        </w:rPr>
        <w:t>应由供方技术监督部门进行检验，保证产品质量符合本标准及订货单(或合同)的要求，并填写质量证明书。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5.1.2</w:t>
      </w:r>
      <w:r>
        <w:rPr>
          <w:rFonts w:hint="eastAsia"/>
          <w:color w:val="auto"/>
          <w:sz w:val="21"/>
          <w:szCs w:val="21"/>
        </w:rPr>
        <w:t>需方对收到的产品按本标准的规定进行复验，如检验结果与本标准及订货单(或合同)的要求不符时，应以书面形式向供方提出，由供需双方协商解决。属于表面质量及尺寸偏差的异议，应在收到产品之日起一个月内提出；其他质量异议，应在收到产品三个月内提出。如需仲裁，仲裁取样应由供需双方共同进行。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5.2组批</w:t>
      </w:r>
    </w:p>
    <w:p>
      <w:pPr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板材应</w:t>
      </w:r>
      <w:r>
        <w:rPr>
          <w:rFonts w:hint="eastAsia"/>
          <w:color w:val="auto"/>
          <w:sz w:val="21"/>
          <w:szCs w:val="21"/>
        </w:rPr>
        <w:t>成批提交验收，每批由同一牌号、状态和规格组成。每批重量应不大于4500kg（如该批为同一熔次，则可不限定组批量）</w:t>
      </w:r>
      <w:r>
        <w:rPr>
          <w:color w:val="auto"/>
          <w:sz w:val="21"/>
          <w:szCs w:val="21"/>
        </w:rPr>
        <w:t>。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5.3检验项目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5.3.1</w:t>
      </w:r>
      <w:r>
        <w:rPr>
          <w:color w:val="auto"/>
          <w:sz w:val="21"/>
          <w:szCs w:val="21"/>
        </w:rPr>
        <w:t>每批板材应进行化学成份、外形尺寸及</w:t>
      </w:r>
      <w:r>
        <w:rPr>
          <w:rFonts w:hint="eastAsia"/>
          <w:color w:val="auto"/>
          <w:sz w:val="21"/>
          <w:szCs w:val="21"/>
          <w:lang w:eastAsia="zh-CN"/>
        </w:rPr>
        <w:t>其</w:t>
      </w:r>
      <w:r>
        <w:rPr>
          <w:color w:val="auto"/>
          <w:sz w:val="21"/>
          <w:szCs w:val="21"/>
        </w:rPr>
        <w:t>允许的偏差及表面质量的检验。</w:t>
      </w:r>
    </w:p>
    <w:p>
      <w:pPr>
        <w:pStyle w:val="6"/>
        <w:spacing w:line="320" w:lineRule="exact"/>
        <w:rPr>
          <w:rFonts w:hint="eastAsia" w:eastAsia="宋体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5.3.2</w:t>
      </w:r>
      <w:r>
        <w:rPr>
          <w:rFonts w:hint="eastAsia" w:ascii="Times New Roman" w:hAnsi="Times New Roman"/>
          <w:caps w:val="0"/>
          <w:color w:val="auto"/>
        </w:rPr>
        <w:t>每批</w:t>
      </w:r>
      <w:r>
        <w:rPr>
          <w:rFonts w:hint="eastAsia"/>
          <w:caps w:val="0"/>
          <w:color w:val="auto"/>
          <w:lang w:val="en-US" w:eastAsia="zh-CN"/>
        </w:rPr>
        <w:t>板</w:t>
      </w:r>
      <w:r>
        <w:rPr>
          <w:rFonts w:hint="eastAsia" w:ascii="Times New Roman" w:hAnsi="Times New Roman"/>
          <w:caps w:val="0"/>
          <w:color w:val="auto"/>
        </w:rPr>
        <w:t>材应进行力学性能（拉伸试验或硬度试验）检验。拉伸试验和硬度试验任选其一，未在合同中注明时，进行拉伸</w:t>
      </w:r>
      <w:r>
        <w:rPr>
          <w:rFonts w:ascii="Times New Roman" w:hAnsi="Times New Roman"/>
          <w:caps w:val="0"/>
          <w:color w:val="auto"/>
        </w:rPr>
        <w:t>试验。</w:t>
      </w:r>
      <w:r>
        <w:rPr>
          <w:rFonts w:hint="eastAsia" w:ascii="Times New Roman" w:hAnsi="Times New Roman"/>
          <w:caps w:val="0"/>
          <w:color w:val="auto"/>
        </w:rPr>
        <w:t>当选择拉伸试验时，如需方有要求硬度试验并在合同中注明时，还应进行硬度试验，硬度试验结果仅供参考；当选择硬度试验时，如需方有要求拉伸试验并在合同中注明时，还应进行拉伸试验，拉伸试验结果仅供参考。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5.3.3</w:t>
      </w:r>
      <w:r>
        <w:rPr>
          <w:rFonts w:hint="eastAsia"/>
          <w:color w:val="auto"/>
          <w:sz w:val="21"/>
          <w:szCs w:val="21"/>
        </w:rPr>
        <w:t>如需方有要求，并在合同中注明时，每批</w:t>
      </w:r>
      <w:r>
        <w:rPr>
          <w:rFonts w:hint="eastAsia"/>
          <w:color w:val="auto"/>
          <w:sz w:val="21"/>
          <w:szCs w:val="21"/>
          <w:lang w:val="en-US" w:eastAsia="zh-CN"/>
        </w:rPr>
        <w:t>板</w:t>
      </w:r>
      <w:r>
        <w:rPr>
          <w:rFonts w:hint="eastAsia"/>
          <w:color w:val="auto"/>
          <w:sz w:val="21"/>
          <w:szCs w:val="21"/>
        </w:rPr>
        <w:t>材</w:t>
      </w:r>
      <w:r>
        <w:rPr>
          <w:rFonts w:hint="eastAsia"/>
          <w:color w:val="auto"/>
          <w:sz w:val="21"/>
          <w:szCs w:val="21"/>
          <w:lang w:val="en-US" w:eastAsia="zh-CN"/>
        </w:rPr>
        <w:t>应</w:t>
      </w:r>
      <w:r>
        <w:rPr>
          <w:color w:val="auto"/>
          <w:sz w:val="21"/>
          <w:szCs w:val="21"/>
        </w:rPr>
        <w:t>进行晶粒度测定。</w:t>
      </w:r>
    </w:p>
    <w:p>
      <w:pPr>
        <w:outlineLvl w:val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5.4 取样</w:t>
      </w:r>
    </w:p>
    <w:p>
      <w:pPr>
        <w:ind w:firstLine="435"/>
        <w:outlineLvl w:val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板材取样应符合表9的规定。取样方法按YS/T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</w:t>
      </w:r>
      <w:r>
        <w:rPr>
          <w:color w:val="auto"/>
          <w:sz w:val="21"/>
          <w:szCs w:val="21"/>
        </w:rPr>
        <w:t>668的规定进行，力学性能和工艺性能试样的制备按YS/T815的规定进行。</w:t>
      </w:r>
    </w:p>
    <w:p>
      <w:pPr>
        <w:jc w:val="center"/>
        <w:outlineLvl w:val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表9 取样</w:t>
      </w:r>
    </w:p>
    <w:tbl>
      <w:tblPr>
        <w:tblStyle w:val="22"/>
        <w:tblW w:w="9084" w:type="dxa"/>
        <w:jc w:val="center"/>
        <w:tblInd w:w="-4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996"/>
        <w:gridCol w:w="4211"/>
        <w:gridCol w:w="1424"/>
        <w:gridCol w:w="1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检验项目</w:t>
            </w:r>
          </w:p>
        </w:tc>
        <w:tc>
          <w:tcPr>
            <w:tcW w:w="421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取样规定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要求的章条号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试验方法的章条号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化学成分</w:t>
            </w:r>
          </w:p>
        </w:tc>
        <w:tc>
          <w:tcPr>
            <w:tcW w:w="421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kern w:val="2"/>
                <w:sz w:val="18"/>
                <w:szCs w:val="18"/>
              </w:rPr>
              <w:t>供方每熔次取1个试样，需方每批取一个试样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3.2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外形尺寸及其允许的偏差</w:t>
            </w:r>
          </w:p>
        </w:tc>
        <w:tc>
          <w:tcPr>
            <w:tcW w:w="421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逐</w:t>
            </w:r>
            <w:r>
              <w:rPr>
                <w:rFonts w:hint="eastAsia"/>
                <w:color w:val="auto"/>
                <w:kern w:val="2"/>
                <w:sz w:val="18"/>
                <w:szCs w:val="18"/>
                <w:lang w:val="en-US" w:eastAsia="zh-CN"/>
              </w:rPr>
              <w:t>张</w:t>
            </w: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检验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3.3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力学性能</w:t>
            </w:r>
          </w:p>
        </w:tc>
        <w:tc>
          <w:tcPr>
            <w:tcW w:w="996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拉伸试验</w:t>
            </w:r>
          </w:p>
        </w:tc>
        <w:tc>
          <w:tcPr>
            <w:tcW w:w="421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kern w:val="2"/>
                <w:sz w:val="18"/>
                <w:szCs w:val="18"/>
              </w:rPr>
              <w:t>每批次任取2</w:t>
            </w:r>
            <w:r>
              <w:rPr>
                <w:rFonts w:hint="eastAsia"/>
                <w:caps w:val="0"/>
                <w:color w:val="auto"/>
                <w:kern w:val="2"/>
                <w:sz w:val="18"/>
                <w:szCs w:val="18"/>
                <w:lang w:val="en-US" w:eastAsia="zh-CN"/>
              </w:rPr>
              <w:t>张</w:t>
            </w:r>
            <w:r>
              <w:rPr>
                <w:rFonts w:ascii="Times New Roman" w:hAnsi="Times New Roman"/>
                <w:caps w:val="0"/>
                <w:color w:val="auto"/>
                <w:kern w:val="2"/>
                <w:sz w:val="18"/>
                <w:szCs w:val="18"/>
              </w:rPr>
              <w:t>，每</w:t>
            </w:r>
            <w:r>
              <w:rPr>
                <w:rFonts w:hint="eastAsia"/>
                <w:caps w:val="0"/>
                <w:color w:val="auto"/>
                <w:kern w:val="2"/>
                <w:sz w:val="18"/>
                <w:szCs w:val="18"/>
                <w:lang w:val="en-US" w:eastAsia="zh-CN"/>
              </w:rPr>
              <w:t>张</w:t>
            </w:r>
            <w:r>
              <w:rPr>
                <w:rFonts w:ascii="Times New Roman" w:hAnsi="Times New Roman"/>
                <w:caps w:val="0"/>
                <w:color w:val="auto"/>
                <w:kern w:val="2"/>
                <w:sz w:val="18"/>
                <w:szCs w:val="18"/>
              </w:rPr>
              <w:t>沿</w:t>
            </w:r>
            <w:r>
              <w:rPr>
                <w:rFonts w:hint="eastAsia"/>
                <w:caps w:val="0"/>
                <w:color w:val="auto"/>
                <w:kern w:val="2"/>
                <w:sz w:val="18"/>
                <w:szCs w:val="18"/>
                <w:lang w:val="en-US" w:eastAsia="zh-CN"/>
              </w:rPr>
              <w:t>垂直</w:t>
            </w:r>
            <w:r>
              <w:rPr>
                <w:rFonts w:ascii="Times New Roman" w:hAnsi="Times New Roman"/>
                <w:caps w:val="0"/>
                <w:color w:val="auto"/>
                <w:kern w:val="2"/>
                <w:sz w:val="18"/>
                <w:szCs w:val="18"/>
              </w:rPr>
              <w:t>轧制方向任取1个试样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3.4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硬度试验</w:t>
            </w:r>
          </w:p>
        </w:tc>
        <w:tc>
          <w:tcPr>
            <w:tcW w:w="421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kern w:val="2"/>
                <w:sz w:val="18"/>
                <w:szCs w:val="18"/>
              </w:rPr>
              <w:t>每批次任取2</w:t>
            </w:r>
            <w:r>
              <w:rPr>
                <w:rFonts w:hint="eastAsia"/>
                <w:caps w:val="0"/>
                <w:color w:val="auto"/>
                <w:kern w:val="2"/>
                <w:sz w:val="18"/>
                <w:szCs w:val="18"/>
                <w:lang w:val="en-US" w:eastAsia="zh-CN"/>
              </w:rPr>
              <w:t>张</w:t>
            </w:r>
            <w:r>
              <w:rPr>
                <w:rFonts w:ascii="Times New Roman" w:hAnsi="Times New Roman"/>
                <w:caps w:val="0"/>
                <w:color w:val="auto"/>
                <w:kern w:val="2"/>
                <w:sz w:val="18"/>
                <w:szCs w:val="18"/>
              </w:rPr>
              <w:t>，每</w:t>
            </w:r>
            <w:r>
              <w:rPr>
                <w:rFonts w:hint="eastAsia"/>
                <w:caps w:val="0"/>
                <w:color w:val="auto"/>
                <w:kern w:val="2"/>
                <w:sz w:val="18"/>
                <w:szCs w:val="18"/>
                <w:lang w:val="en-US" w:eastAsia="zh-CN"/>
              </w:rPr>
              <w:t>张</w:t>
            </w:r>
            <w:r>
              <w:rPr>
                <w:rFonts w:ascii="Times New Roman" w:hAnsi="Times New Roman"/>
                <w:caps w:val="0"/>
                <w:color w:val="auto"/>
                <w:kern w:val="2"/>
                <w:sz w:val="18"/>
                <w:szCs w:val="18"/>
              </w:rPr>
              <w:t>取1个试样</w:t>
            </w: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晶粒度</w:t>
            </w:r>
          </w:p>
        </w:tc>
        <w:tc>
          <w:tcPr>
            <w:tcW w:w="421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kern w:val="2"/>
                <w:sz w:val="18"/>
                <w:szCs w:val="18"/>
              </w:rPr>
              <w:t>每批次任取2</w:t>
            </w:r>
            <w:r>
              <w:rPr>
                <w:rFonts w:hint="eastAsia"/>
                <w:caps w:val="0"/>
                <w:color w:val="auto"/>
                <w:kern w:val="2"/>
                <w:sz w:val="18"/>
                <w:szCs w:val="18"/>
                <w:lang w:val="en-US" w:eastAsia="zh-CN"/>
              </w:rPr>
              <w:t>张</w:t>
            </w:r>
            <w:r>
              <w:rPr>
                <w:rFonts w:ascii="Times New Roman" w:hAnsi="Times New Roman"/>
                <w:caps w:val="0"/>
                <w:color w:val="auto"/>
                <w:kern w:val="2"/>
                <w:sz w:val="18"/>
                <w:szCs w:val="18"/>
              </w:rPr>
              <w:t>，每</w:t>
            </w:r>
            <w:r>
              <w:rPr>
                <w:rFonts w:hint="eastAsia"/>
                <w:caps w:val="0"/>
                <w:color w:val="auto"/>
                <w:kern w:val="2"/>
                <w:sz w:val="18"/>
                <w:szCs w:val="18"/>
                <w:lang w:val="en-US" w:eastAsia="zh-CN"/>
              </w:rPr>
              <w:t>张</w:t>
            </w:r>
            <w:r>
              <w:rPr>
                <w:rFonts w:ascii="Times New Roman" w:hAnsi="Times New Roman"/>
                <w:caps w:val="0"/>
                <w:color w:val="auto"/>
                <w:kern w:val="2"/>
                <w:sz w:val="18"/>
                <w:szCs w:val="18"/>
              </w:rPr>
              <w:t>取1个试样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3.5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表面质量</w:t>
            </w:r>
          </w:p>
        </w:tc>
        <w:tc>
          <w:tcPr>
            <w:tcW w:w="421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逐张检验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3.6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auto"/>
                <w:kern w:val="2"/>
                <w:sz w:val="18"/>
                <w:szCs w:val="22"/>
              </w:rPr>
            </w:pPr>
            <w:r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4.5</w:t>
            </w:r>
          </w:p>
        </w:tc>
      </w:tr>
    </w:tbl>
    <w:p>
      <w:pPr>
        <w:rPr>
          <w:color w:val="auto"/>
          <w:sz w:val="21"/>
          <w:szCs w:val="21"/>
        </w:rPr>
      </w:pP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5.5检验结果的判定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5.5.1化学成分试验结果不合格时，则</w:t>
      </w:r>
      <w:r>
        <w:rPr>
          <w:rFonts w:hint="eastAsia"/>
          <w:color w:val="auto"/>
          <w:sz w:val="21"/>
          <w:szCs w:val="21"/>
          <w:lang w:eastAsia="zh-CN"/>
        </w:rPr>
        <w:t>判该批</w:t>
      </w:r>
      <w:r>
        <w:rPr>
          <w:color w:val="auto"/>
          <w:sz w:val="21"/>
          <w:szCs w:val="21"/>
        </w:rPr>
        <w:t>为不合格。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5.5.2外形尺寸及其允许偏差和表面质量不合格时，按张判为不合格。</w:t>
      </w:r>
    </w:p>
    <w:p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5.5.3力学</w:t>
      </w:r>
      <w:r>
        <w:rPr>
          <w:color w:val="auto"/>
          <w:sz w:val="21"/>
          <w:szCs w:val="21"/>
        </w:rPr>
        <w:t>性能</w:t>
      </w:r>
      <w:r>
        <w:rPr>
          <w:rFonts w:hint="eastAsia"/>
          <w:color w:val="auto"/>
          <w:sz w:val="21"/>
          <w:szCs w:val="21"/>
          <w:lang w:val="en-US" w:eastAsia="zh-CN"/>
        </w:rPr>
        <w:t>及晶粒度</w:t>
      </w:r>
      <w:r>
        <w:rPr>
          <w:color w:val="auto"/>
          <w:sz w:val="21"/>
          <w:szCs w:val="21"/>
        </w:rPr>
        <w:t>试验结果中有试样不合格时，应从该批板材（包括原检验不合格的那张板材）中另取双倍数量的试样进行重复试验，如重复试验结果全部合格，则</w:t>
      </w:r>
      <w:r>
        <w:rPr>
          <w:rFonts w:hint="eastAsia"/>
          <w:color w:val="auto"/>
          <w:sz w:val="21"/>
          <w:szCs w:val="21"/>
          <w:lang w:eastAsia="zh-CN"/>
        </w:rPr>
        <w:t>判该批板材</w:t>
      </w:r>
      <w:r>
        <w:rPr>
          <w:color w:val="auto"/>
          <w:sz w:val="21"/>
          <w:szCs w:val="21"/>
        </w:rPr>
        <w:t>为合格。若重复试验仍有一个不合格，则判</w:t>
      </w:r>
      <w:r>
        <w:rPr>
          <w:rFonts w:hint="eastAsia"/>
          <w:color w:val="auto"/>
          <w:sz w:val="21"/>
          <w:szCs w:val="21"/>
          <w:lang w:eastAsia="zh-CN"/>
        </w:rPr>
        <w:t>该批板材</w:t>
      </w:r>
      <w:r>
        <w:rPr>
          <w:color w:val="auto"/>
          <w:sz w:val="21"/>
          <w:szCs w:val="21"/>
        </w:rPr>
        <w:t>为不合格，或由供方逐张检验，合格者交货。</w:t>
      </w:r>
    </w:p>
    <w:p>
      <w:pPr>
        <w:pStyle w:val="14"/>
        <w:rPr>
          <w:rFonts w:ascii="Times New Roman"/>
          <w:color w:val="auto"/>
        </w:rPr>
      </w:pPr>
      <w:r>
        <w:rPr>
          <w:rFonts w:ascii="Times New Roman"/>
          <w:color w:val="auto"/>
        </w:rPr>
        <w:t>6标志、包装、运输、贮存和质量证明书</w:t>
      </w:r>
    </w:p>
    <w:p>
      <w:pPr>
        <w:spacing w:line="240" w:lineRule="auto"/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产品的标志、包装、运输、贮存和质量证明书按GB/T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</w:t>
      </w:r>
      <w:r>
        <w:rPr>
          <w:color w:val="auto"/>
          <w:sz w:val="21"/>
          <w:szCs w:val="21"/>
        </w:rPr>
        <w:t>8888的规定进行。</w:t>
      </w:r>
    </w:p>
    <w:p>
      <w:pPr>
        <w:pStyle w:val="14"/>
        <w:rPr>
          <w:rFonts w:ascii="Times New Roman"/>
          <w:color w:val="auto"/>
        </w:rPr>
      </w:pPr>
      <w:r>
        <w:rPr>
          <w:rFonts w:ascii="Times New Roman"/>
          <w:color w:val="auto"/>
        </w:rPr>
        <w:t>7订货单(或合同)内容</w:t>
      </w:r>
    </w:p>
    <w:p>
      <w:pPr>
        <w:spacing w:line="240" w:lineRule="auto"/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本标准所列材料的订货单(或合同)内容应包括下列内容：</w:t>
      </w:r>
    </w:p>
    <w:p>
      <w:pPr>
        <w:numPr>
          <w:ilvl w:val="0"/>
          <w:numId w:val="5"/>
        </w:numPr>
        <w:spacing w:line="240" w:lineRule="auto"/>
        <w:ind w:hanging="144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产品名称；</w:t>
      </w:r>
    </w:p>
    <w:p>
      <w:pPr>
        <w:numPr>
          <w:ilvl w:val="0"/>
          <w:numId w:val="5"/>
        </w:numPr>
        <w:spacing w:line="240" w:lineRule="auto"/>
        <w:ind w:hanging="144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牌号；</w:t>
      </w:r>
    </w:p>
    <w:p>
      <w:pPr>
        <w:numPr>
          <w:ilvl w:val="0"/>
          <w:numId w:val="5"/>
        </w:numPr>
        <w:spacing w:line="240" w:lineRule="auto"/>
        <w:ind w:hanging="144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供应状态；</w:t>
      </w:r>
    </w:p>
    <w:p>
      <w:pPr>
        <w:numPr>
          <w:ilvl w:val="0"/>
          <w:numId w:val="5"/>
        </w:numPr>
        <w:spacing w:line="240" w:lineRule="auto"/>
        <w:ind w:hanging="144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重量；</w:t>
      </w:r>
    </w:p>
    <w:p>
      <w:pPr>
        <w:adjustRightInd/>
        <w:spacing w:line="240" w:lineRule="auto"/>
        <w:ind w:firstLine="420" w:firstLineChars="200"/>
        <w:jc w:val="both"/>
        <w:textAlignment w:val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e</w:t>
      </w:r>
      <w:r>
        <w:rPr>
          <w:color w:val="auto"/>
          <w:sz w:val="21"/>
          <w:szCs w:val="21"/>
        </w:rPr>
        <w:t>)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>拉伸试验或硬度试验(二选其一)；</w:t>
      </w:r>
    </w:p>
    <w:p>
      <w:pPr>
        <w:adjustRightInd/>
        <w:spacing w:line="240" w:lineRule="auto"/>
        <w:ind w:firstLine="420" w:firstLineChars="200"/>
        <w:jc w:val="both"/>
        <w:textAlignment w:val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f</w:t>
      </w:r>
      <w:r>
        <w:rPr>
          <w:color w:val="auto"/>
          <w:sz w:val="21"/>
          <w:szCs w:val="21"/>
        </w:rPr>
        <w:t>)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>晶粒度测定（</w:t>
      </w:r>
      <w:r>
        <w:rPr>
          <w:rFonts w:hint="eastAsia"/>
          <w:color w:val="auto"/>
          <w:sz w:val="21"/>
          <w:szCs w:val="21"/>
          <w:lang w:eastAsia="zh-CN"/>
        </w:rPr>
        <w:t>需方</w:t>
      </w:r>
      <w:r>
        <w:rPr>
          <w:color w:val="auto"/>
          <w:sz w:val="21"/>
          <w:szCs w:val="21"/>
        </w:rPr>
        <w:t>有要求时）；</w:t>
      </w:r>
    </w:p>
    <w:p>
      <w:pPr>
        <w:adjustRightInd/>
        <w:spacing w:line="240" w:lineRule="auto"/>
        <w:ind w:firstLine="420" w:firstLineChars="200"/>
        <w:jc w:val="both"/>
        <w:textAlignment w:val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g</w:t>
      </w:r>
      <w:r>
        <w:rPr>
          <w:color w:val="auto"/>
          <w:sz w:val="21"/>
          <w:szCs w:val="21"/>
        </w:rPr>
        <w:t>)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>本标准编号；</w:t>
      </w:r>
    </w:p>
    <w:p>
      <w:pPr>
        <w:adjustRightInd/>
        <w:spacing w:line="240" w:lineRule="auto"/>
        <w:ind w:firstLine="420" w:firstLineChars="200"/>
        <w:jc w:val="both"/>
        <w:textAlignment w:val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h</w:t>
      </w:r>
      <w:r>
        <w:rPr>
          <w:color w:val="auto"/>
          <w:sz w:val="21"/>
          <w:szCs w:val="21"/>
        </w:rPr>
        <w:t>)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>其他。</w:t>
      </w:r>
    </w:p>
    <w:p>
      <w:pPr>
        <w:spacing w:line="240" w:lineRule="auto"/>
        <w:ind w:left="426"/>
        <w:rPr>
          <w:color w:val="auto"/>
          <w:sz w:val="21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sectPr>
      <w:headerReference r:id="rId11" w:type="first"/>
      <w:footerReference r:id="rId12" w:type="first"/>
      <w:headerReference r:id="rId10" w:type="default"/>
      <w:pgSz w:w="11907" w:h="16840"/>
      <w:pgMar w:top="1440" w:right="1134" w:bottom="1440" w:left="1418" w:header="720" w:footer="720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6</w:t>
    </w:r>
    <w: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4</w:t>
    </w:r>
    <w:r>
      <w:fldChar w:fldCharType="end"/>
    </w:r>
  </w:p>
  <w:p>
    <w:pPr>
      <w:pStyle w:val="12"/>
      <w:ind w:right="360" w:firstLine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sz w:val="20"/>
      </w:rPr>
      <w:pict>
        <v:shape id="_x0000_s2052" o:spid="_x0000_s2052" o:spt="202" type="#_x0000_t202" style="position:absolute;left:0pt;margin-left:0pt;margin-top:-12.75pt;height:24.45pt;width:96pt;mso-wrap-distance-bottom:0pt;mso-wrap-distance-left:9pt;mso-wrap-distance-right:9pt;mso-wrap-distance-top:0pt;z-index:251658240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GB/T 8888－2002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suff w:val="space"/>
      <w:lvlText w:val="%1 "/>
      <w:lvlJc w:val="left"/>
      <w:pPr>
        <w:ind w:left="0" w:firstLine="0"/>
      </w:pPr>
      <w:rPr>
        <w:rFonts w:hint="default" w:ascii="Verdana" w:hAnsi="Verdana" w:eastAsia="黑体"/>
        <w:sz w:val="21"/>
      </w:rPr>
    </w:lvl>
    <w:lvl w:ilvl="1" w:tentative="0">
      <w:start w:val="1"/>
      <w:numFmt w:val="decimal"/>
      <w:suff w:val="space"/>
      <w:lvlText w:val="%1.%2 "/>
      <w:lvlJc w:val="left"/>
      <w:pPr>
        <w:ind w:left="0" w:firstLine="0"/>
      </w:pPr>
      <w:rPr>
        <w:rFonts w:hint="default" w:ascii="Verdana" w:hAnsi="Verdana" w:eastAsia="宋体"/>
        <w:sz w:val="21"/>
      </w:rPr>
    </w:lvl>
    <w:lvl w:ilvl="2" w:tentative="0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hint="default" w:ascii="Verdana" w:hAnsi="Verdana" w:eastAsia="宋体"/>
        <w:sz w:val="21"/>
      </w:rPr>
    </w:lvl>
    <w:lvl w:ilvl="3" w:tentative="0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 w:ascii="Verdana" w:hAnsi="Verdana" w:eastAsia="宋体"/>
        <w:sz w:val="21"/>
      </w:rPr>
    </w:lvl>
    <w:lvl w:ilvl="4" w:tentative="0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 w:ascii="Verdana" w:hAnsi="Verdana"/>
        <w:sz w:val="24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115E081A"/>
    <w:multiLevelType w:val="multilevel"/>
    <w:tmpl w:val="115E081A"/>
    <w:lvl w:ilvl="0" w:tentative="0">
      <w:start w:val="1"/>
      <w:numFmt w:val="decimal"/>
      <w:pStyle w:val="36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pStyle w:val="37"/>
      <w:suff w:val="nothing"/>
      <w:lvlText w:val="%1.%2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pStyle w:val="38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39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pStyle w:val="40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pStyle w:val="41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6D20D6E"/>
    <w:multiLevelType w:val="multilevel"/>
    <w:tmpl w:val="26D20D6E"/>
    <w:lvl w:ilvl="0" w:tentative="0">
      <w:start w:val="1"/>
      <w:numFmt w:val="decimal"/>
      <w:pStyle w:val="50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">
    <w:nsid w:val="55282730"/>
    <w:multiLevelType w:val="multilevel"/>
    <w:tmpl w:val="55282730"/>
    <w:lvl w:ilvl="0" w:tentative="0">
      <w:start w:val="1"/>
      <w:numFmt w:val="lowerLetter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128B"/>
    <w:rsid w:val="0001166C"/>
    <w:rsid w:val="00027549"/>
    <w:rsid w:val="000547FD"/>
    <w:rsid w:val="00084EEB"/>
    <w:rsid w:val="00097F78"/>
    <w:rsid w:val="000C3F4D"/>
    <w:rsid w:val="000C7EC5"/>
    <w:rsid w:val="000D49D8"/>
    <w:rsid w:val="00107C32"/>
    <w:rsid w:val="001433AA"/>
    <w:rsid w:val="001604CA"/>
    <w:rsid w:val="00164142"/>
    <w:rsid w:val="0017399E"/>
    <w:rsid w:val="00177186"/>
    <w:rsid w:val="001B3D85"/>
    <w:rsid w:val="001C17BD"/>
    <w:rsid w:val="001E2529"/>
    <w:rsid w:val="00223F5D"/>
    <w:rsid w:val="002335CB"/>
    <w:rsid w:val="002469B4"/>
    <w:rsid w:val="002627E8"/>
    <w:rsid w:val="002654D7"/>
    <w:rsid w:val="00285C91"/>
    <w:rsid w:val="002B4D8D"/>
    <w:rsid w:val="002B5501"/>
    <w:rsid w:val="002E1095"/>
    <w:rsid w:val="0031247A"/>
    <w:rsid w:val="00313590"/>
    <w:rsid w:val="00324D87"/>
    <w:rsid w:val="00360FBA"/>
    <w:rsid w:val="00367AB0"/>
    <w:rsid w:val="00391942"/>
    <w:rsid w:val="004031D1"/>
    <w:rsid w:val="004040BE"/>
    <w:rsid w:val="00406CC2"/>
    <w:rsid w:val="004139AC"/>
    <w:rsid w:val="00465AF4"/>
    <w:rsid w:val="004A3475"/>
    <w:rsid w:val="004D05A3"/>
    <w:rsid w:val="004D093A"/>
    <w:rsid w:val="004D0B5D"/>
    <w:rsid w:val="004E756C"/>
    <w:rsid w:val="004F18E9"/>
    <w:rsid w:val="004F49E8"/>
    <w:rsid w:val="00501010"/>
    <w:rsid w:val="00501BE3"/>
    <w:rsid w:val="005143BF"/>
    <w:rsid w:val="0055372F"/>
    <w:rsid w:val="00554E3C"/>
    <w:rsid w:val="005562FD"/>
    <w:rsid w:val="00560759"/>
    <w:rsid w:val="005808FF"/>
    <w:rsid w:val="00580C89"/>
    <w:rsid w:val="00586E3A"/>
    <w:rsid w:val="005B3D87"/>
    <w:rsid w:val="005D1E20"/>
    <w:rsid w:val="005E08B6"/>
    <w:rsid w:val="005E787F"/>
    <w:rsid w:val="00604884"/>
    <w:rsid w:val="006218A2"/>
    <w:rsid w:val="00634C92"/>
    <w:rsid w:val="00643190"/>
    <w:rsid w:val="00672332"/>
    <w:rsid w:val="00675901"/>
    <w:rsid w:val="006E066F"/>
    <w:rsid w:val="006E2A0C"/>
    <w:rsid w:val="007301F4"/>
    <w:rsid w:val="0074377C"/>
    <w:rsid w:val="007454C2"/>
    <w:rsid w:val="007F6FC9"/>
    <w:rsid w:val="00833357"/>
    <w:rsid w:val="008544B8"/>
    <w:rsid w:val="0086613A"/>
    <w:rsid w:val="00872799"/>
    <w:rsid w:val="008741F5"/>
    <w:rsid w:val="00891AA0"/>
    <w:rsid w:val="00897C6F"/>
    <w:rsid w:val="008B6A0F"/>
    <w:rsid w:val="008D165A"/>
    <w:rsid w:val="008E2777"/>
    <w:rsid w:val="009025B8"/>
    <w:rsid w:val="00902FD0"/>
    <w:rsid w:val="00920BA4"/>
    <w:rsid w:val="00931C8F"/>
    <w:rsid w:val="00937C3C"/>
    <w:rsid w:val="00953A4F"/>
    <w:rsid w:val="0095406C"/>
    <w:rsid w:val="00955C62"/>
    <w:rsid w:val="009627C7"/>
    <w:rsid w:val="009665A9"/>
    <w:rsid w:val="009774A4"/>
    <w:rsid w:val="00984421"/>
    <w:rsid w:val="00992429"/>
    <w:rsid w:val="009932EC"/>
    <w:rsid w:val="009B6523"/>
    <w:rsid w:val="009D4E58"/>
    <w:rsid w:val="00A10429"/>
    <w:rsid w:val="00A11225"/>
    <w:rsid w:val="00A320BD"/>
    <w:rsid w:val="00A33227"/>
    <w:rsid w:val="00A34AB6"/>
    <w:rsid w:val="00A53417"/>
    <w:rsid w:val="00B278A7"/>
    <w:rsid w:val="00B53BBD"/>
    <w:rsid w:val="00B6359F"/>
    <w:rsid w:val="00B738C7"/>
    <w:rsid w:val="00B82F3D"/>
    <w:rsid w:val="00B840D4"/>
    <w:rsid w:val="00B90C2D"/>
    <w:rsid w:val="00BA2131"/>
    <w:rsid w:val="00BC6905"/>
    <w:rsid w:val="00BF3A3D"/>
    <w:rsid w:val="00C15E58"/>
    <w:rsid w:val="00C212DA"/>
    <w:rsid w:val="00C52FB2"/>
    <w:rsid w:val="00C67AF0"/>
    <w:rsid w:val="00C70DF4"/>
    <w:rsid w:val="00C71FA9"/>
    <w:rsid w:val="00C94B2B"/>
    <w:rsid w:val="00CC1CFC"/>
    <w:rsid w:val="00CC6154"/>
    <w:rsid w:val="00CE74CC"/>
    <w:rsid w:val="00D21A33"/>
    <w:rsid w:val="00D4128B"/>
    <w:rsid w:val="00D41964"/>
    <w:rsid w:val="00D44E17"/>
    <w:rsid w:val="00D53C6B"/>
    <w:rsid w:val="00D95CF5"/>
    <w:rsid w:val="00DE653A"/>
    <w:rsid w:val="00DF0006"/>
    <w:rsid w:val="00E13D5F"/>
    <w:rsid w:val="00E70701"/>
    <w:rsid w:val="00EF0193"/>
    <w:rsid w:val="00F107AB"/>
    <w:rsid w:val="00F3653F"/>
    <w:rsid w:val="00F44ABB"/>
    <w:rsid w:val="00F54B5E"/>
    <w:rsid w:val="00F63118"/>
    <w:rsid w:val="00F76B0A"/>
    <w:rsid w:val="00F847E9"/>
    <w:rsid w:val="00FA3DEF"/>
    <w:rsid w:val="00FA40E6"/>
    <w:rsid w:val="00FC518D"/>
    <w:rsid w:val="00FE1C15"/>
    <w:rsid w:val="00FE5A69"/>
    <w:rsid w:val="00FF4580"/>
    <w:rsid w:val="028B75A1"/>
    <w:rsid w:val="03041DF6"/>
    <w:rsid w:val="04325255"/>
    <w:rsid w:val="0698648D"/>
    <w:rsid w:val="0A5242D5"/>
    <w:rsid w:val="0B3A2E51"/>
    <w:rsid w:val="101C63F4"/>
    <w:rsid w:val="10293130"/>
    <w:rsid w:val="16A22E98"/>
    <w:rsid w:val="17AA26BC"/>
    <w:rsid w:val="17D42ECD"/>
    <w:rsid w:val="184C067C"/>
    <w:rsid w:val="19065A67"/>
    <w:rsid w:val="1A0E7DC4"/>
    <w:rsid w:val="1F1075CE"/>
    <w:rsid w:val="1FA35DE0"/>
    <w:rsid w:val="1FEE5AF5"/>
    <w:rsid w:val="20773BF5"/>
    <w:rsid w:val="26442B0F"/>
    <w:rsid w:val="26551884"/>
    <w:rsid w:val="26F35B1D"/>
    <w:rsid w:val="2A8917B7"/>
    <w:rsid w:val="2CF82D17"/>
    <w:rsid w:val="2D2276BE"/>
    <w:rsid w:val="2D7D56D6"/>
    <w:rsid w:val="2DA75789"/>
    <w:rsid w:val="2E40765A"/>
    <w:rsid w:val="2EE144BD"/>
    <w:rsid w:val="2F792624"/>
    <w:rsid w:val="337E3488"/>
    <w:rsid w:val="360E301B"/>
    <w:rsid w:val="36430E12"/>
    <w:rsid w:val="37944317"/>
    <w:rsid w:val="38AE0C85"/>
    <w:rsid w:val="3A893728"/>
    <w:rsid w:val="3CF76C61"/>
    <w:rsid w:val="44837FF5"/>
    <w:rsid w:val="44AD405E"/>
    <w:rsid w:val="47B923A3"/>
    <w:rsid w:val="48733A6F"/>
    <w:rsid w:val="49C237D4"/>
    <w:rsid w:val="4AAF5858"/>
    <w:rsid w:val="4B397CB8"/>
    <w:rsid w:val="4B470820"/>
    <w:rsid w:val="55D870A8"/>
    <w:rsid w:val="58BA2E48"/>
    <w:rsid w:val="5A092416"/>
    <w:rsid w:val="5D3C365F"/>
    <w:rsid w:val="5EC70B0E"/>
    <w:rsid w:val="5F067EC1"/>
    <w:rsid w:val="5F1805DB"/>
    <w:rsid w:val="607459F2"/>
    <w:rsid w:val="6362501E"/>
    <w:rsid w:val="64731F32"/>
    <w:rsid w:val="70C4163B"/>
    <w:rsid w:val="70C76ECC"/>
    <w:rsid w:val="76D8695C"/>
    <w:rsid w:val="7871422C"/>
    <w:rsid w:val="79441175"/>
    <w:rsid w:val="7955196B"/>
    <w:rsid w:val="79964FD2"/>
    <w:rsid w:val="7997347B"/>
    <w:rsid w:val="7A245B17"/>
    <w:rsid w:val="7CEE03D8"/>
    <w:rsid w:val="7D7B29EF"/>
    <w:rsid w:val="7DDB3620"/>
    <w:rsid w:val="7E2028E8"/>
    <w:rsid w:val="7FBA57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2"/>
    <w:next w:val="1"/>
    <w:link w:val="25"/>
    <w:qFormat/>
    <w:uiPriority w:val="0"/>
    <w:pPr>
      <w:keepNext w:val="0"/>
      <w:keepLines w:val="0"/>
      <w:numPr>
        <w:ilvl w:val="2"/>
        <w:numId w:val="1"/>
      </w:numPr>
      <w:spacing w:before="0" w:after="0" w:line="240" w:lineRule="auto"/>
      <w:outlineLvl w:val="2"/>
    </w:pPr>
    <w:rPr>
      <w:rFonts w:ascii="宋体" w:hAnsi="Tahoma"/>
      <w:b w:val="0"/>
      <w:bCs w:val="0"/>
      <w:kern w:val="0"/>
      <w:sz w:val="21"/>
      <w:szCs w:val="20"/>
    </w:rPr>
  </w:style>
  <w:style w:type="character" w:default="1" w:styleId="17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2"/>
    <w:unhideWhenUsed/>
    <w:qFormat/>
    <w:uiPriority w:val="99"/>
    <w:rPr>
      <w:b/>
      <w:bCs/>
    </w:rPr>
  </w:style>
  <w:style w:type="paragraph" w:styleId="5">
    <w:name w:val="annotation text"/>
    <w:basedOn w:val="1"/>
    <w:link w:val="31"/>
    <w:unhideWhenUsed/>
    <w:qFormat/>
    <w:uiPriority w:val="99"/>
  </w:style>
  <w:style w:type="paragraph" w:styleId="6">
    <w:name w:val="Body Text First Indent"/>
    <w:basedOn w:val="7"/>
    <w:link w:val="27"/>
    <w:qFormat/>
    <w:uiPriority w:val="0"/>
    <w:pPr>
      <w:tabs>
        <w:tab w:val="left" w:pos="2400"/>
      </w:tabs>
      <w:spacing w:after="0" w:line="240" w:lineRule="auto"/>
      <w:jc w:val="both"/>
    </w:pPr>
    <w:rPr>
      <w:sz w:val="21"/>
      <w:szCs w:val="21"/>
    </w:rPr>
  </w:style>
  <w:style w:type="paragraph" w:styleId="7">
    <w:name w:val="Body Text"/>
    <w:basedOn w:val="1"/>
    <w:link w:val="26"/>
    <w:unhideWhenUsed/>
    <w:qFormat/>
    <w:uiPriority w:val="99"/>
    <w:pPr>
      <w:spacing w:after="120"/>
    </w:pPr>
  </w:style>
  <w:style w:type="paragraph" w:styleId="8">
    <w:name w:val="Normal Indent"/>
    <w:basedOn w:val="1"/>
    <w:qFormat/>
    <w:uiPriority w:val="0"/>
    <w:pPr>
      <w:spacing w:line="240" w:lineRule="auto"/>
      <w:ind w:firstLine="359" w:firstLineChars="171"/>
      <w:jc w:val="center"/>
    </w:pPr>
    <w:rPr>
      <w:rFonts w:ascii="黑体" w:eastAsia="黑体"/>
      <w:sz w:val="21"/>
    </w:rPr>
  </w:style>
  <w:style w:type="paragraph" w:styleId="9">
    <w:name w:val="caption"/>
    <w:basedOn w:val="1"/>
    <w:next w:val="1"/>
    <w:qFormat/>
    <w:uiPriority w:val="0"/>
    <w:pPr>
      <w:spacing w:before="152" w:after="160"/>
      <w:jc w:val="center"/>
    </w:pPr>
    <w:rPr>
      <w:rFonts w:ascii="Arial" w:hAnsi="Arial" w:eastAsia="黑体"/>
      <w:sz w:val="21"/>
    </w:rPr>
  </w:style>
  <w:style w:type="paragraph" w:styleId="10">
    <w:name w:val="Date"/>
    <w:basedOn w:val="1"/>
    <w:next w:val="1"/>
    <w:link w:val="42"/>
    <w:unhideWhenUsed/>
    <w:qFormat/>
    <w:uiPriority w:val="99"/>
    <w:pPr>
      <w:adjustRightInd/>
      <w:spacing w:line="240" w:lineRule="auto"/>
      <w:ind w:left="100" w:leftChars="2500"/>
      <w:jc w:val="both"/>
      <w:textAlignment w:val="auto"/>
    </w:pPr>
    <w:rPr>
      <w:rFonts w:ascii="Calibri" w:hAnsi="Calibri"/>
      <w:kern w:val="2"/>
      <w:sz w:val="21"/>
      <w:szCs w:val="22"/>
    </w:rPr>
  </w:style>
  <w:style w:type="paragraph" w:styleId="11">
    <w:name w:val="Balloon Text"/>
    <w:basedOn w:val="1"/>
    <w:link w:val="3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  <w:pPr>
      <w:spacing w:before="120" w:after="120"/>
    </w:pPr>
    <w:rPr>
      <w:rFonts w:ascii="黑体" w:eastAsia="黑体"/>
      <w:b/>
      <w:bCs/>
      <w:caps/>
      <w:sz w:val="21"/>
      <w:szCs w:val="21"/>
    </w:rPr>
  </w:style>
  <w:style w:type="paragraph" w:styleId="15">
    <w:name w:val="toc 2"/>
    <w:basedOn w:val="1"/>
    <w:next w:val="1"/>
    <w:qFormat/>
    <w:uiPriority w:val="0"/>
    <w:rPr>
      <w:rFonts w:ascii="宋体" w:hAnsi="宋体"/>
      <w:smallCaps/>
      <w:sz w:val="21"/>
      <w:szCs w:val="21"/>
    </w:rPr>
  </w:style>
  <w:style w:type="paragraph" w:styleId="16">
    <w:name w:val="HTML Preformatted"/>
    <w:basedOn w:val="1"/>
    <w:link w:val="5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宋体" w:hAnsi="宋体" w:cs="宋体"/>
      <w:szCs w:val="24"/>
    </w:r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styleId="20">
    <w:name w:val="annotation reference"/>
    <w:basedOn w:val="17"/>
    <w:unhideWhenUsed/>
    <w:qFormat/>
    <w:uiPriority w:val="99"/>
    <w:rPr>
      <w:sz w:val="21"/>
      <w:szCs w:val="21"/>
    </w:rPr>
  </w:style>
  <w:style w:type="table" w:styleId="22">
    <w:name w:val="Table Grid"/>
    <w:basedOn w:val="21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页眉 Char"/>
    <w:basedOn w:val="17"/>
    <w:link w:val="13"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17"/>
    <w:link w:val="12"/>
    <w:qFormat/>
    <w:uiPriority w:val="99"/>
    <w:rPr>
      <w:kern w:val="2"/>
      <w:sz w:val="18"/>
      <w:szCs w:val="18"/>
    </w:rPr>
  </w:style>
  <w:style w:type="character" w:customStyle="1" w:styleId="25">
    <w:name w:val="标题 3 Char"/>
    <w:basedOn w:val="17"/>
    <w:link w:val="3"/>
    <w:qFormat/>
    <w:uiPriority w:val="0"/>
    <w:rPr>
      <w:rFonts w:ascii="宋体" w:hAnsi="Tahoma"/>
      <w:sz w:val="21"/>
    </w:rPr>
  </w:style>
  <w:style w:type="character" w:customStyle="1" w:styleId="26">
    <w:name w:val="正文文本 Char"/>
    <w:basedOn w:val="17"/>
    <w:link w:val="7"/>
    <w:semiHidden/>
    <w:qFormat/>
    <w:uiPriority w:val="99"/>
    <w:rPr>
      <w:sz w:val="24"/>
    </w:rPr>
  </w:style>
  <w:style w:type="character" w:customStyle="1" w:styleId="27">
    <w:name w:val="正文首行缩进 Char"/>
    <w:basedOn w:val="26"/>
    <w:link w:val="6"/>
    <w:qFormat/>
    <w:uiPriority w:val="0"/>
    <w:rPr>
      <w:sz w:val="21"/>
      <w:szCs w:val="21"/>
    </w:rPr>
  </w:style>
  <w:style w:type="paragraph" w:customStyle="1" w:styleId="28">
    <w:name w:val="篇"/>
    <w:basedOn w:val="1"/>
    <w:next w:val="1"/>
    <w:qFormat/>
    <w:uiPriority w:val="0"/>
    <w:pPr>
      <w:jc w:val="center"/>
    </w:pPr>
    <w:rPr>
      <w:rFonts w:eastAsia="黑体"/>
    </w:rPr>
  </w:style>
  <w:style w:type="paragraph" w:customStyle="1" w:styleId="29">
    <w:name w:val="发布部门"/>
    <w:next w:val="1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30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批注文字 Char"/>
    <w:basedOn w:val="17"/>
    <w:link w:val="5"/>
    <w:semiHidden/>
    <w:qFormat/>
    <w:uiPriority w:val="99"/>
    <w:rPr>
      <w:sz w:val="24"/>
    </w:rPr>
  </w:style>
  <w:style w:type="character" w:customStyle="1" w:styleId="32">
    <w:name w:val="批注主题 Char"/>
    <w:basedOn w:val="31"/>
    <w:link w:val="4"/>
    <w:semiHidden/>
    <w:qFormat/>
    <w:uiPriority w:val="99"/>
    <w:rPr>
      <w:b/>
      <w:bCs/>
      <w:sz w:val="24"/>
    </w:rPr>
  </w:style>
  <w:style w:type="character" w:customStyle="1" w:styleId="33">
    <w:name w:val="批注框文本 Char"/>
    <w:basedOn w:val="17"/>
    <w:link w:val="11"/>
    <w:semiHidden/>
    <w:qFormat/>
    <w:uiPriority w:val="99"/>
    <w:rPr>
      <w:sz w:val="18"/>
      <w:szCs w:val="18"/>
    </w:rPr>
  </w:style>
  <w:style w:type="paragraph" w:customStyle="1" w:styleId="34">
    <w:name w:val="段"/>
    <w:link w:val="3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5">
    <w:name w:val="段 Char"/>
    <w:basedOn w:val="17"/>
    <w:link w:val="34"/>
    <w:qFormat/>
    <w:uiPriority w:val="0"/>
    <w:rPr>
      <w:rFonts w:ascii="宋体"/>
      <w:sz w:val="21"/>
    </w:rPr>
  </w:style>
  <w:style w:type="paragraph" w:customStyle="1" w:styleId="36">
    <w:name w:val="章"/>
    <w:basedOn w:val="1"/>
    <w:next w:val="1"/>
    <w:qFormat/>
    <w:uiPriority w:val="0"/>
    <w:pPr>
      <w:numPr>
        <w:ilvl w:val="0"/>
        <w:numId w:val="2"/>
      </w:numPr>
      <w:spacing w:before="160" w:after="160" w:line="240" w:lineRule="auto"/>
      <w:jc w:val="both"/>
      <w:textAlignment w:val="auto"/>
      <w:outlineLvl w:val="0"/>
    </w:pPr>
    <w:rPr>
      <w:rFonts w:ascii="黑体" w:eastAsia="黑体"/>
      <w:kern w:val="21"/>
      <w:sz w:val="21"/>
    </w:rPr>
  </w:style>
  <w:style w:type="paragraph" w:customStyle="1" w:styleId="37">
    <w:name w:val="条1"/>
    <w:basedOn w:val="1"/>
    <w:next w:val="1"/>
    <w:qFormat/>
    <w:uiPriority w:val="0"/>
    <w:pPr>
      <w:numPr>
        <w:ilvl w:val="1"/>
        <w:numId w:val="2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38">
    <w:name w:val="条2"/>
    <w:basedOn w:val="1"/>
    <w:next w:val="1"/>
    <w:qFormat/>
    <w:uiPriority w:val="0"/>
    <w:pPr>
      <w:numPr>
        <w:ilvl w:val="2"/>
        <w:numId w:val="2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39">
    <w:name w:val="条3"/>
    <w:basedOn w:val="1"/>
    <w:next w:val="1"/>
    <w:qFormat/>
    <w:uiPriority w:val="0"/>
    <w:pPr>
      <w:numPr>
        <w:ilvl w:val="3"/>
        <w:numId w:val="2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40">
    <w:name w:val="条4"/>
    <w:basedOn w:val="1"/>
    <w:next w:val="1"/>
    <w:qFormat/>
    <w:uiPriority w:val="0"/>
    <w:pPr>
      <w:numPr>
        <w:ilvl w:val="4"/>
        <w:numId w:val="2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41">
    <w:name w:val="条5"/>
    <w:basedOn w:val="1"/>
    <w:next w:val="1"/>
    <w:qFormat/>
    <w:uiPriority w:val="0"/>
    <w:pPr>
      <w:numPr>
        <w:ilvl w:val="5"/>
        <w:numId w:val="2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character" w:customStyle="1" w:styleId="42">
    <w:name w:val="日期 Char"/>
    <w:basedOn w:val="17"/>
    <w:link w:val="10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43">
    <w:name w:val="一级条标题"/>
    <w:next w:val="34"/>
    <w:qFormat/>
    <w:uiPriority w:val="0"/>
    <w:pPr>
      <w:numPr>
        <w:ilvl w:val="1"/>
        <w:numId w:val="3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4">
    <w:name w:val="章标题"/>
    <w:next w:val="34"/>
    <w:qFormat/>
    <w:uiPriority w:val="0"/>
    <w:pPr>
      <w:numPr>
        <w:ilvl w:val="0"/>
        <w:numId w:val="3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5">
    <w:name w:val="二级条标题"/>
    <w:basedOn w:val="43"/>
    <w:next w:val="34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6">
    <w:name w:val="三级条标题"/>
    <w:basedOn w:val="45"/>
    <w:next w:val="34"/>
    <w:qFormat/>
    <w:uiPriority w:val="0"/>
    <w:pPr>
      <w:numPr>
        <w:ilvl w:val="3"/>
      </w:numPr>
      <w:outlineLvl w:val="4"/>
    </w:pPr>
  </w:style>
  <w:style w:type="paragraph" w:customStyle="1" w:styleId="47">
    <w:name w:val="四级条标题"/>
    <w:basedOn w:val="46"/>
    <w:next w:val="34"/>
    <w:qFormat/>
    <w:uiPriority w:val="0"/>
    <w:pPr>
      <w:numPr>
        <w:ilvl w:val="4"/>
      </w:numPr>
      <w:outlineLvl w:val="5"/>
    </w:pPr>
  </w:style>
  <w:style w:type="paragraph" w:customStyle="1" w:styleId="48">
    <w:name w:val="五级条标题"/>
    <w:basedOn w:val="47"/>
    <w:next w:val="34"/>
    <w:qFormat/>
    <w:uiPriority w:val="0"/>
    <w:pPr>
      <w:numPr>
        <w:ilvl w:val="5"/>
      </w:numPr>
      <w:outlineLvl w:val="6"/>
    </w:pPr>
  </w:style>
  <w:style w:type="character" w:customStyle="1" w:styleId="49">
    <w:name w:val="正文首行缩进 Char1"/>
    <w:basedOn w:val="26"/>
    <w:semiHidden/>
    <w:qFormat/>
    <w:uiPriority w:val="99"/>
    <w:rPr>
      <w:kern w:val="2"/>
      <w:sz w:val="21"/>
      <w:szCs w:val="24"/>
    </w:rPr>
  </w:style>
  <w:style w:type="paragraph" w:customStyle="1" w:styleId="50">
    <w:name w:val="正文表标题"/>
    <w:next w:val="34"/>
    <w:qFormat/>
    <w:uiPriority w:val="0"/>
    <w:pPr>
      <w:numPr>
        <w:ilvl w:val="0"/>
        <w:numId w:val="4"/>
      </w:numPr>
      <w:tabs>
        <w:tab w:val="left" w:pos="360"/>
        <w:tab w:val="clear" w:pos="72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51">
    <w:name w:val="HTML 预设格式 Char"/>
    <w:basedOn w:val="17"/>
    <w:link w:val="16"/>
    <w:semiHidden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2.wmf"/><Relationship Id="rId16" Type="http://schemas.openxmlformats.org/officeDocument/2006/relationships/oleObject" Target="embeddings/oleObject2.bin"/><Relationship Id="rId15" Type="http://schemas.openxmlformats.org/officeDocument/2006/relationships/image" Target="media/image1.wmf"/><Relationship Id="rId14" Type="http://schemas.openxmlformats.org/officeDocument/2006/relationships/oleObject" Target="embeddings/oleObject1.bin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  <customShpInfo spid="_x0000_s1036"/>
    <customShpInfo spid="_x0000_s1038"/>
    <customShpInfo spid="_x0000_s1037"/>
    <customShpInfo spid="_x0000_s1039"/>
    <customShpInfo spid="_x0000_s1035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713</Words>
  <Characters>4066</Characters>
  <Lines>33</Lines>
  <Paragraphs>9</Paragraphs>
  <ScaleCrop>false</ScaleCrop>
  <LinksUpToDate>false</LinksUpToDate>
  <CharactersWithSpaces>4770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2015-01-30T04:47:00Z</dcterms:created>
  <dc:creator>YE SHAO</dc:creator>
  <cp:lastModifiedBy>Shuang丿烨</cp:lastModifiedBy>
  <cp:lastPrinted>2017-05-18T02:21:00Z</cp:lastPrinted>
  <dcterms:modified xsi:type="dcterms:W3CDTF">2018-03-08T01:13:50Z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