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0" w:line="240" w:lineRule="atLeast"/>
        <w:ind w:firstLine="0" w:firstLineChars="0"/>
        <w:rPr>
          <w:rFonts w:ascii="黑体" w:hAnsi="黑体" w:eastAsia="黑体"/>
          <w:color w:val="333300"/>
          <w:sz w:val="32"/>
          <w:szCs w:val="32"/>
        </w:rPr>
      </w:pPr>
      <w:r>
        <w:rPr>
          <w:rFonts w:hint="eastAsia" w:ascii="黑体" w:hAnsi="黑体" w:eastAsia="黑体" w:cs="黑体"/>
          <w:color w:val="333300"/>
          <w:sz w:val="32"/>
          <w:szCs w:val="32"/>
        </w:rPr>
        <w:t>铜阳极泥分银渣化学分析方法</w:t>
      </w:r>
    </w:p>
    <w:p>
      <w:pPr>
        <w:pStyle w:val="11"/>
        <w:spacing w:before="0" w:line="240" w:lineRule="atLeast"/>
        <w:ind w:firstLine="0" w:firstLineChars="0"/>
        <w:rPr>
          <w:rFonts w:ascii="黑体" w:hAnsi="黑体" w:eastAsia="黑体" w:cs="黑体"/>
          <w:color w:val="333300"/>
          <w:sz w:val="32"/>
          <w:szCs w:val="32"/>
        </w:rPr>
      </w:pPr>
      <w:r>
        <w:rPr>
          <w:rFonts w:hint="eastAsia" w:ascii="黑体" w:hAnsi="黑体" w:eastAsia="黑体" w:cs="黑体"/>
          <w:color w:val="333300"/>
          <w:sz w:val="32"/>
          <w:szCs w:val="32"/>
        </w:rPr>
        <w:t>第6部分：铜量的测定</w:t>
      </w:r>
    </w:p>
    <w:p>
      <w:pPr>
        <w:jc w:val="center"/>
        <w:rPr>
          <w:rFonts w:ascii="黑体" w:eastAsia="黑体"/>
          <w:color w:val="333300"/>
          <w:sz w:val="32"/>
          <w:szCs w:val="32"/>
        </w:rPr>
      </w:pPr>
      <w:r>
        <w:rPr>
          <w:rFonts w:hint="eastAsia" w:ascii="黑体" w:eastAsia="黑体" w:cs="黑体"/>
          <w:color w:val="333300"/>
          <w:sz w:val="32"/>
          <w:szCs w:val="32"/>
        </w:rPr>
        <w:t>碘量法</w:t>
      </w:r>
    </w:p>
    <w:p>
      <w:pPr>
        <w:pStyle w:val="11"/>
        <w:spacing w:before="0" w:line="0" w:lineRule="atLeast"/>
        <w:ind w:left="-176" w:leftChars="-170" w:hanging="181" w:hangingChars="60"/>
        <w:rPr>
          <w:b/>
          <w:sz w:val="32"/>
          <w:szCs w:val="32"/>
        </w:rPr>
      </w:pPr>
      <w:r>
        <w:rPr>
          <w:rFonts w:hint="eastAsia"/>
          <w:b/>
          <w:sz w:val="30"/>
          <w:szCs w:val="30"/>
        </w:rPr>
        <w:t xml:space="preserve">  编制说明</w:t>
      </w:r>
    </w:p>
    <w:p>
      <w:pPr>
        <w:pStyle w:val="12"/>
        <w:numPr>
          <w:ilvl w:val="0"/>
          <w:numId w:val="0"/>
        </w:numPr>
        <w:spacing w:beforeLines="0" w:afterLines="0" w:line="360" w:lineRule="auto"/>
        <w:jc w:val="left"/>
        <w:rPr>
          <w:rFonts w:hAnsi="黑体"/>
        </w:rPr>
      </w:pPr>
      <w:r>
        <w:rPr>
          <w:rFonts w:hint="eastAsia" w:hAnsi="黑体"/>
        </w:rPr>
        <w:t xml:space="preserve">1  </w:t>
      </w:r>
      <w:r>
        <w:rPr>
          <w:rFonts w:hAnsi="黑体"/>
        </w:rPr>
        <w:t>任务来源</w:t>
      </w:r>
    </w:p>
    <w:p>
      <w:pPr>
        <w:pStyle w:val="11"/>
        <w:spacing w:before="0" w:line="240" w:lineRule="auto"/>
        <w:ind w:firstLine="420"/>
        <w:jc w:val="left"/>
        <w:rPr>
          <w:rFonts w:ascii="宋体" w:hAnsi="宋体"/>
          <w:sz w:val="21"/>
          <w:szCs w:val="21"/>
        </w:rPr>
      </w:pPr>
      <w:r>
        <w:rPr>
          <w:rFonts w:hint="eastAsia" w:ascii="宋体" w:hAnsi="宋体"/>
          <w:sz w:val="21"/>
          <w:szCs w:val="21"/>
        </w:rPr>
        <w:t>根据工业和信息化部“关于印发2016年第一批行业标准制修订计划的通知”（工信厅科[2016]58号）的文件精神，以及全国有色金属标准化技术委员会“关于印发《铜阳极泥分银渣化学分析方法》等69项标准任务落实会会议的通知”（有色标委[2016]48号）及相关会议纪要的文件精神，《铜阳极泥分银渣化学分析方法  第6部分：铜量的测定 碘量法》由北矿检测技术有限公司、深圳市中金岭南有色金属股份有限公司韶关冶炼厂共同起草，广东韶关市质量计量监督检测所、阳谷祥光铜业有限公司、江西铜业股份有限公司、中条山有色金属集团有限公司、浙江江铜富冶和鼎铜业有限公司、中国检验认证集团广西有限公司、山东恒邦冶炼股份有限公司、大冶有色设计研究院有限公司、徐州北矿金属循环利用研究院等单位协助起草。项目计划编号：（待下计划），完成年限2018年。</w:t>
      </w:r>
    </w:p>
    <w:p>
      <w:pPr>
        <w:spacing w:line="360" w:lineRule="auto"/>
        <w:rPr>
          <w:rFonts w:ascii="黑体" w:hAnsi="黑体" w:eastAsia="黑体"/>
        </w:rPr>
      </w:pPr>
      <w:r>
        <w:rPr>
          <w:rFonts w:hint="eastAsia" w:ascii="黑体" w:hAnsi="黑体" w:eastAsia="黑体"/>
        </w:rPr>
        <w:t>2  工作过程</w:t>
      </w:r>
    </w:p>
    <w:p>
      <w:pPr>
        <w:pStyle w:val="13"/>
        <w:ind w:right="140"/>
      </w:pPr>
      <w:r>
        <w:rPr>
          <w:rFonts w:hint="eastAsia"/>
        </w:rPr>
        <w:t xml:space="preserve">    2016年9月21日～23日全国有色金属标准化技术委员会在安徽省蚌埠市组织召开了《</w:t>
      </w:r>
      <w:r>
        <w:rPr>
          <w:rFonts w:hint="eastAsia" w:ascii="宋体" w:hAnsi="宋体"/>
          <w:szCs w:val="21"/>
        </w:rPr>
        <w:t>铜阳极泥分银渣化学分析方法</w:t>
      </w:r>
      <w:r>
        <w:rPr>
          <w:rFonts w:hint="eastAsia"/>
        </w:rPr>
        <w:t>》等69项标准任务落实会议，会议确定了标准制定的起草单位和参与验证单位，落实了标准计划项目的进度安排和分工。</w:t>
      </w:r>
    </w:p>
    <w:p>
      <w:pPr>
        <w:pStyle w:val="13"/>
        <w:ind w:right="140"/>
        <w:rPr>
          <w:rFonts w:hAnsi="宋体"/>
          <w:szCs w:val="21"/>
        </w:rPr>
      </w:pPr>
      <w:r>
        <w:rPr>
          <w:rFonts w:hint="eastAsia"/>
        </w:rPr>
        <w:t xml:space="preserve">    2017年8月22日~8月24日全国有色金属标准化技术委员会在山东泰安召开《铜阳极泥分银渣化学分析方法》行业标准讨论会议。会议对八个分标准讨论稿、试验报告及验证报告进行分析和讨论，并对此系列标准研究接下来的工作进行安排。</w:t>
      </w:r>
    </w:p>
    <w:p>
      <w:pPr>
        <w:pStyle w:val="12"/>
        <w:numPr>
          <w:ilvl w:val="0"/>
          <w:numId w:val="0"/>
        </w:numPr>
        <w:spacing w:beforeLines="0" w:afterLines="0" w:line="360" w:lineRule="auto"/>
        <w:rPr>
          <w:rFonts w:hAnsi="黑体"/>
        </w:rPr>
      </w:pPr>
      <w:r>
        <w:rPr>
          <w:rFonts w:hint="eastAsia" w:hAnsi="黑体"/>
        </w:rPr>
        <w:t xml:space="preserve">3  </w:t>
      </w:r>
      <w:r>
        <w:rPr>
          <w:rFonts w:hAnsi="黑体"/>
        </w:rPr>
        <w:t>准编写原则和编写格式</w:t>
      </w:r>
    </w:p>
    <w:p>
      <w:pPr>
        <w:pStyle w:val="14"/>
        <w:tabs>
          <w:tab w:val="center" w:pos="4201"/>
          <w:tab w:val="right" w:leader="dot" w:pos="9298"/>
        </w:tabs>
        <w:ind w:firstLine="420"/>
        <w:rPr>
          <w:rFonts w:ascii="Times New Roman" w:hAnsi="Times New Roman"/>
        </w:rPr>
      </w:pPr>
      <w:r>
        <w:rPr>
          <w:rFonts w:ascii="Times New Roman" w:hAnsi="Times New Roman"/>
        </w:rPr>
        <w:t>本标准是根据GB/T1.1-2009《标准化工作导则 第1部分：标准的结构和编写规则》和GB/T20001.4-2001《标准编写规则 第4部分：化学分析方法》的要求进行编写的。</w:t>
      </w:r>
    </w:p>
    <w:p>
      <w:pPr>
        <w:pStyle w:val="12"/>
        <w:numPr>
          <w:ilvl w:val="0"/>
          <w:numId w:val="0"/>
        </w:numPr>
        <w:spacing w:beforeLines="0" w:afterLines="0" w:line="360" w:lineRule="auto"/>
        <w:rPr>
          <w:rFonts w:hAnsi="黑体"/>
        </w:rPr>
      </w:pPr>
      <w:r>
        <w:rPr>
          <w:rFonts w:hint="eastAsia" w:hAnsi="黑体"/>
        </w:rPr>
        <w:t xml:space="preserve">4  </w:t>
      </w:r>
      <w:r>
        <w:rPr>
          <w:rFonts w:hAnsi="黑体"/>
        </w:rPr>
        <w:t>标准编写的目的和意义</w:t>
      </w:r>
    </w:p>
    <w:p>
      <w:pPr>
        <w:rPr>
          <w:rFonts w:ascii="Arial" w:hAnsi="Arial" w:cs="Arial"/>
          <w:szCs w:val="21"/>
          <w:shd w:val="clear" w:color="auto" w:fill="FFFFFF"/>
        </w:rPr>
      </w:pPr>
      <w:r>
        <w:rPr>
          <w:rFonts w:hint="eastAsia" w:ascii="Arial" w:hAnsi="Arial" w:cs="Arial"/>
          <w:color w:val="333333"/>
          <w:szCs w:val="21"/>
          <w:shd w:val="clear" w:color="auto" w:fill="FFFFFF"/>
        </w:rPr>
        <w:t xml:space="preserve">   </w:t>
      </w:r>
      <w:r>
        <w:rPr>
          <w:rFonts w:hint="eastAsia" w:ascii="Arial" w:hAnsi="Arial" w:cs="Arial"/>
          <w:szCs w:val="21"/>
          <w:shd w:val="clear" w:color="auto" w:fill="FFFFFF"/>
        </w:rPr>
        <w:t xml:space="preserve"> 铜阳极泥分银渣是铜阳极泥经过硫酸化焙烧、分铜浸出、氯化分金和氨浸分银等步骤处理后的主要副产品。我国是铜的生产和消费大国，精炼铜产量超过</w:t>
      </w:r>
      <w:r>
        <w:rPr>
          <w:szCs w:val="21"/>
          <w:shd w:val="clear" w:color="auto" w:fill="FFFFFF"/>
        </w:rPr>
        <w:t>400</w:t>
      </w:r>
      <w:r>
        <w:rPr>
          <w:rFonts w:hAnsi="Arial"/>
          <w:szCs w:val="21"/>
          <w:shd w:val="clear" w:color="auto" w:fill="FFFFFF"/>
        </w:rPr>
        <w:t>万</w:t>
      </w:r>
      <w:r>
        <w:rPr>
          <w:szCs w:val="21"/>
          <w:shd w:val="clear" w:color="auto" w:fill="FFFFFF"/>
        </w:rPr>
        <w:t>t</w:t>
      </w:r>
      <w:r>
        <w:rPr>
          <w:rFonts w:hint="eastAsia" w:ascii="Arial" w:hAnsi="Arial" w:cs="Arial"/>
          <w:szCs w:val="21"/>
          <w:shd w:val="clear" w:color="auto" w:fill="FFFFFF"/>
        </w:rPr>
        <w:t>，随之每年将产生数万吨阳极泥分银渣。随着经济社会的快速发展，国家对铜的需求量将进一步加大，也将会产生更多的分银渣。分银渣中含有大量重金属铅，如不妥善处理， 不但会造成资源浪费， 而且将对自然环境及人们生活造成严重影响。同时，分银渣还含有锡、锑、铋、铜和金、银等贵金属，铜含量较高，可以作为二次资源回收利用。在矿产资源日趋枯竭的今天，考虑以阳极泥分银渣作为二次资源，探索开发环境友好、高效经济的工艺技术，最大化地提取有价金属，富集回收贵金属，实现资源循环利用及有价金属材料生产，已成为有色金属再生循环领域研究中的热点。</w:t>
      </w:r>
    </w:p>
    <w:p>
      <w:pPr>
        <w:ind w:firstLine="420" w:firstLineChars="200"/>
      </w:pPr>
      <w:r>
        <w:rPr>
          <w:rFonts w:hint="eastAsia"/>
        </w:rPr>
        <w:t>经标准查新，目前国内尚无统一的铜阳极泥分银渣化学分析方法，导致贸易时常有争议。因此制定相应的铜阳极泥分银渣化学分析方法，对促进生产和指导贸易具有重要的意义。</w:t>
      </w:r>
    </w:p>
    <w:p>
      <w:pPr>
        <w:pStyle w:val="12"/>
        <w:numPr>
          <w:ilvl w:val="0"/>
          <w:numId w:val="0"/>
        </w:numPr>
        <w:spacing w:beforeLines="0" w:afterLines="0" w:line="360" w:lineRule="auto"/>
        <w:rPr>
          <w:rFonts w:hAnsi="黑体"/>
        </w:rPr>
      </w:pPr>
      <w:r>
        <w:rPr>
          <w:rFonts w:hint="eastAsia" w:hAnsi="黑体"/>
        </w:rPr>
        <w:t xml:space="preserve">5  </w:t>
      </w:r>
      <w:r>
        <w:rPr>
          <w:rFonts w:hAnsi="黑体"/>
        </w:rPr>
        <w:t>国内外有关工作情况</w:t>
      </w:r>
    </w:p>
    <w:p>
      <w:pPr>
        <w:pStyle w:val="14"/>
        <w:tabs>
          <w:tab w:val="center" w:pos="4201"/>
          <w:tab w:val="right" w:leader="dot" w:pos="9298"/>
        </w:tabs>
        <w:ind w:firstLine="420"/>
        <w:rPr>
          <w:rFonts w:ascii="Times New Roman" w:hAnsi="Times New Roman"/>
        </w:rPr>
      </w:pPr>
      <w:r>
        <w:rPr>
          <w:rFonts w:hint="eastAsia" w:ascii="Times New Roman" w:hAnsi="Times New Roman"/>
          <w:szCs w:val="21"/>
        </w:rPr>
        <w:t>高含量铜</w:t>
      </w:r>
      <w:r>
        <w:rPr>
          <w:rFonts w:ascii="Times New Roman" w:hAnsi="Times New Roman"/>
          <w:szCs w:val="21"/>
        </w:rPr>
        <w:t>的分析方法主要</w:t>
      </w:r>
      <w:r>
        <w:rPr>
          <w:rFonts w:hint="eastAsia" w:ascii="Times New Roman" w:hAnsi="Times New Roman"/>
          <w:szCs w:val="21"/>
        </w:rPr>
        <w:t>有碘量法、电解法</w:t>
      </w:r>
      <w:r>
        <w:rPr>
          <w:rFonts w:ascii="Times New Roman" w:hAnsi="Times New Roman"/>
          <w:szCs w:val="21"/>
        </w:rPr>
        <w:t>等</w:t>
      </w:r>
      <w:r>
        <w:rPr>
          <w:rFonts w:hint="eastAsia" w:ascii="Times New Roman" w:hAnsi="Times New Roman"/>
          <w:szCs w:val="21"/>
        </w:rPr>
        <w:t>。</w:t>
      </w:r>
      <w:r>
        <w:rPr>
          <w:rFonts w:ascii="Times New Roman" w:hAnsi="Times New Roman"/>
        </w:rPr>
        <w:t>现</w:t>
      </w:r>
      <w:r>
        <w:rPr>
          <w:rFonts w:hint="eastAsia" w:ascii="Times New Roman" w:hAnsi="Times New Roman"/>
        </w:rPr>
        <w:t>行</w:t>
      </w:r>
      <w:r>
        <w:rPr>
          <w:rFonts w:ascii="Times New Roman" w:hAnsi="Times New Roman"/>
        </w:rPr>
        <w:t>的</w:t>
      </w:r>
      <w:r>
        <w:rPr>
          <w:rFonts w:hint="eastAsia" w:ascii="Times New Roman" w:hAnsi="Times New Roman"/>
        </w:rPr>
        <w:t>测定铜</w:t>
      </w:r>
      <w:r>
        <w:rPr>
          <w:rFonts w:ascii="Times New Roman" w:hAnsi="Times New Roman"/>
        </w:rPr>
        <w:t>的国家和行业标准主要有：</w:t>
      </w:r>
      <w:r>
        <w:rPr>
          <w:rFonts w:hint="eastAsia" w:ascii="Times New Roman" w:hAnsi="Times New Roman"/>
        </w:rPr>
        <w:t>GB/T 3884.1-2012《铜精矿化学分析方法 第1部分：铜量的测定</w:t>
      </w:r>
      <w:r>
        <w:rPr>
          <w:rFonts w:ascii="Times New Roman" w:hAnsi="Times New Roman"/>
        </w:rPr>
        <w:t xml:space="preserve"> </w:t>
      </w:r>
      <w:r>
        <w:rPr>
          <w:rFonts w:hint="eastAsia" w:ascii="Times New Roman" w:hAnsi="Times New Roman"/>
        </w:rPr>
        <w:t>碘量法》、</w:t>
      </w:r>
      <w:r>
        <w:rPr>
          <w:rFonts w:ascii="Times New Roman" w:hAnsi="Times New Roman"/>
        </w:rPr>
        <w:t xml:space="preserve">GB/T </w:t>
      </w:r>
      <w:r>
        <w:rPr>
          <w:rFonts w:hint="eastAsia" w:ascii="Times New Roman" w:hAnsi="Times New Roman"/>
        </w:rPr>
        <w:t>3884.13</w:t>
      </w:r>
      <w:r>
        <w:rPr>
          <w:rFonts w:ascii="Times New Roman" w:hAnsi="Times New Roman"/>
        </w:rPr>
        <w:t>-2012《</w:t>
      </w:r>
      <w:r>
        <w:rPr>
          <w:rFonts w:hint="eastAsia" w:ascii="Times New Roman" w:hAnsi="Times New Roman"/>
        </w:rPr>
        <w:t>铜</w:t>
      </w:r>
      <w:r>
        <w:rPr>
          <w:rFonts w:ascii="Times New Roman" w:hAnsi="Times New Roman"/>
        </w:rPr>
        <w:t>精矿化学分析方法 第</w:t>
      </w:r>
      <w:r>
        <w:rPr>
          <w:rFonts w:hint="eastAsia" w:ascii="Times New Roman" w:hAnsi="Times New Roman"/>
        </w:rPr>
        <w:t>13</w:t>
      </w:r>
      <w:r>
        <w:rPr>
          <w:rFonts w:ascii="Times New Roman" w:hAnsi="Times New Roman"/>
        </w:rPr>
        <w:t>部分：</w:t>
      </w:r>
      <w:r>
        <w:rPr>
          <w:rFonts w:hint="eastAsia" w:ascii="Times New Roman" w:hAnsi="Times New Roman"/>
        </w:rPr>
        <w:t>铜</w:t>
      </w:r>
      <w:r>
        <w:rPr>
          <w:rFonts w:ascii="Times New Roman" w:hAnsi="Times New Roman"/>
        </w:rPr>
        <w:t>量的测定</w:t>
      </w:r>
      <w:r>
        <w:rPr>
          <w:rFonts w:hint="eastAsia" w:ascii="Times New Roman" w:hAnsi="Times New Roman"/>
        </w:rPr>
        <w:t xml:space="preserve"> </w:t>
      </w:r>
      <w:r>
        <w:rPr>
          <w:rFonts w:hint="eastAsia"/>
        </w:rPr>
        <w:t>电解法</w:t>
      </w:r>
      <w:r>
        <w:rPr>
          <w:rFonts w:ascii="Times New Roman" w:hAnsi="Times New Roman"/>
        </w:rPr>
        <w:t>》、</w:t>
      </w:r>
      <w:r>
        <w:rPr>
          <w:rFonts w:hint="eastAsia" w:ascii="Times New Roman" w:hAnsi="Times New Roman"/>
        </w:rPr>
        <w:t>YS/T 745.1-2010《铜阳极泥化学分析方法 第1部分：铜量的测定 碘量法》、YS/T 521.1-2009《粗铜化学分析方法 第1部分：铜量的测定 碘量法》、</w:t>
      </w:r>
      <w:r>
        <w:rPr>
          <w:rFonts w:ascii="Times New Roman" w:hAnsi="Times New Roman"/>
        </w:rPr>
        <w:t xml:space="preserve">GB/T </w:t>
      </w:r>
      <w:r>
        <w:rPr>
          <w:rFonts w:hint="eastAsia" w:ascii="Times New Roman" w:hAnsi="Times New Roman"/>
        </w:rPr>
        <w:t>14353.1</w:t>
      </w:r>
      <w:r>
        <w:rPr>
          <w:rFonts w:ascii="Times New Roman" w:hAnsi="Times New Roman"/>
        </w:rPr>
        <w:t>-201</w:t>
      </w:r>
      <w:r>
        <w:rPr>
          <w:rFonts w:hint="eastAsia" w:ascii="Times New Roman" w:hAnsi="Times New Roman"/>
        </w:rPr>
        <w:t>0</w:t>
      </w:r>
      <w:r>
        <w:rPr>
          <w:rFonts w:ascii="Times New Roman" w:hAnsi="Times New Roman"/>
        </w:rPr>
        <w:t>《</w:t>
      </w:r>
      <w:r>
        <w:rPr>
          <w:rFonts w:hint="eastAsia" w:ascii="Times New Roman" w:hAnsi="Times New Roman"/>
        </w:rPr>
        <w:t>铜矿石、铅矿石和锌矿石</w:t>
      </w:r>
      <w:r>
        <w:rPr>
          <w:rFonts w:ascii="Times New Roman" w:hAnsi="Times New Roman"/>
        </w:rPr>
        <w:t>化学分析方法 第</w:t>
      </w:r>
      <w:r>
        <w:rPr>
          <w:rFonts w:hint="eastAsia" w:ascii="Times New Roman" w:hAnsi="Times New Roman"/>
        </w:rPr>
        <w:t>1</w:t>
      </w:r>
      <w:r>
        <w:rPr>
          <w:rFonts w:ascii="Times New Roman" w:hAnsi="Times New Roman"/>
        </w:rPr>
        <w:t>部分：</w:t>
      </w:r>
      <w:r>
        <w:rPr>
          <w:rFonts w:hint="eastAsia" w:ascii="Times New Roman" w:hAnsi="Times New Roman"/>
        </w:rPr>
        <w:t>铜量的测定</w:t>
      </w:r>
      <w:r>
        <w:rPr>
          <w:rFonts w:hint="eastAsia"/>
        </w:rPr>
        <w:t xml:space="preserve"> 火焰原子吸收分光光度法和氯化铵-氨水分离碘量法</w:t>
      </w:r>
      <w:r>
        <w:rPr>
          <w:rFonts w:ascii="Times New Roman" w:hAnsi="Times New Roman"/>
        </w:rPr>
        <w:t>》</w:t>
      </w:r>
      <w:r>
        <w:rPr>
          <w:rFonts w:hint="eastAsia" w:ascii="Times New Roman" w:hAnsi="Times New Roman"/>
        </w:rPr>
        <w:t>等。</w:t>
      </w:r>
      <w:r>
        <w:rPr>
          <w:rFonts w:hint="eastAsia"/>
        </w:rPr>
        <w:t>国家标</w:t>
      </w:r>
      <w:r>
        <w:rPr>
          <w:rFonts w:ascii="Times New Roman"/>
        </w:rPr>
        <w:t>准</w:t>
      </w:r>
      <w:r>
        <w:rPr>
          <w:rFonts w:ascii="Times New Roman" w:hAnsi="Times New Roman"/>
        </w:rPr>
        <w:t>GB/T3884.1-2012</w:t>
      </w:r>
      <w:r>
        <w:rPr>
          <w:rFonts w:ascii="Times New Roman"/>
        </w:rPr>
        <w:t>中</w:t>
      </w:r>
      <w:r>
        <w:rPr>
          <w:rFonts w:hint="eastAsia"/>
        </w:rPr>
        <w:t>规定了铜精矿中铜</w:t>
      </w:r>
      <w:r>
        <w:t>量的测定</w:t>
      </w:r>
      <w:r>
        <w:rPr>
          <w:rFonts w:hint="eastAsia"/>
        </w:rPr>
        <w:t>，采用的是碘量</w:t>
      </w:r>
      <w:r>
        <w:t>法</w:t>
      </w:r>
      <w:r>
        <w:rPr>
          <w:rFonts w:hint="eastAsia"/>
        </w:rPr>
        <w:t>，测定范围为</w:t>
      </w:r>
      <w:r>
        <w:rPr>
          <w:rFonts w:hint="eastAsia" w:ascii="Times New Roman" w:hAnsi="Times New Roman"/>
        </w:rPr>
        <w:t>13.00</w:t>
      </w:r>
      <w:r>
        <w:rPr>
          <w:rFonts w:ascii="Times New Roman" w:hAnsi="Times New Roman"/>
        </w:rPr>
        <w:t>%~</w:t>
      </w:r>
      <w:r>
        <w:rPr>
          <w:rFonts w:hint="eastAsia" w:ascii="Times New Roman" w:hAnsi="Times New Roman"/>
        </w:rPr>
        <w:t>50.00</w:t>
      </w:r>
      <w:r>
        <w:rPr>
          <w:rFonts w:ascii="Times New Roman" w:hAnsi="Times New Roman"/>
        </w:rPr>
        <w:t>%，此方法可以借鉴，但</w:t>
      </w:r>
      <w:r>
        <w:rPr>
          <w:rFonts w:hint="eastAsia" w:ascii="Times New Roman" w:hAnsi="Times New Roman"/>
        </w:rPr>
        <w:t>铜阳极泥分银渣</w:t>
      </w:r>
      <w:r>
        <w:rPr>
          <w:rFonts w:ascii="Times New Roman" w:hAnsi="Times New Roman"/>
        </w:rPr>
        <w:t>中</w:t>
      </w:r>
      <w:r>
        <w:rPr>
          <w:rFonts w:hint="eastAsia" w:ascii="Times New Roman" w:hAnsi="Times New Roman"/>
        </w:rPr>
        <w:t>铜</w:t>
      </w:r>
      <w:r>
        <w:rPr>
          <w:rFonts w:ascii="Times New Roman" w:hAnsi="Times New Roman"/>
        </w:rPr>
        <w:t>的含量范围</w:t>
      </w:r>
      <w:r>
        <w:rPr>
          <w:rFonts w:hint="eastAsia" w:ascii="Times New Roman" w:hAnsi="Times New Roman"/>
        </w:rPr>
        <w:t>不同</w:t>
      </w:r>
      <w:r>
        <w:rPr>
          <w:rFonts w:ascii="Times New Roman" w:hAnsi="Times New Roman"/>
        </w:rPr>
        <w:t>，成分更加复杂，采用GB/T</w:t>
      </w:r>
      <w:r>
        <w:rPr>
          <w:rFonts w:hint="eastAsia" w:ascii="Times New Roman" w:hAnsi="Times New Roman"/>
        </w:rPr>
        <w:t>3884.1-2012</w:t>
      </w:r>
      <w:r>
        <w:rPr>
          <w:rFonts w:ascii="Times New Roman" w:hAnsi="Times New Roman"/>
        </w:rPr>
        <w:t>不能完全满足</w:t>
      </w:r>
      <w:r>
        <w:rPr>
          <w:rFonts w:hint="eastAsia" w:ascii="Times New Roman" w:hAnsi="Times New Roman"/>
        </w:rPr>
        <w:t>铜阳极泥分银渣</w:t>
      </w:r>
      <w:r>
        <w:rPr>
          <w:rFonts w:ascii="Times New Roman" w:hAnsi="Times New Roman"/>
        </w:rPr>
        <w:t>中</w:t>
      </w:r>
      <w:r>
        <w:rPr>
          <w:rFonts w:hint="eastAsia" w:ascii="Times New Roman" w:hAnsi="Times New Roman"/>
        </w:rPr>
        <w:t>铜</w:t>
      </w:r>
      <w:r>
        <w:rPr>
          <w:rFonts w:ascii="Times New Roman" w:hAnsi="Times New Roman"/>
        </w:rPr>
        <w:t>的分析要求，如样品消解方式、共存元素干扰情况，都不能等同采用，本研究采用</w:t>
      </w:r>
      <w:r>
        <w:rPr>
          <w:rFonts w:hint="eastAsia" w:ascii="Times New Roman" w:hAnsi="Times New Roman"/>
        </w:rPr>
        <w:t>碘量</w:t>
      </w:r>
      <w:r>
        <w:rPr>
          <w:rFonts w:ascii="Times New Roman" w:hAnsi="Times New Roman"/>
        </w:rPr>
        <w:t>法，就样品消解方式及共存元素干扰情况进行了深入研究，最终确定了分析步骤。</w:t>
      </w:r>
    </w:p>
    <w:p>
      <w:pPr>
        <w:pStyle w:val="12"/>
        <w:numPr>
          <w:ilvl w:val="0"/>
          <w:numId w:val="0"/>
        </w:numPr>
        <w:spacing w:beforeLines="0" w:afterLines="0" w:line="360" w:lineRule="auto"/>
        <w:rPr>
          <w:rFonts w:hAnsi="黑体"/>
        </w:rPr>
      </w:pPr>
      <w:r>
        <w:rPr>
          <w:rFonts w:hint="eastAsia" w:hAnsi="黑体"/>
        </w:rPr>
        <w:t xml:space="preserve">6  </w:t>
      </w:r>
      <w:r>
        <w:rPr>
          <w:rFonts w:hAnsi="黑体"/>
        </w:rPr>
        <w:t>标准适用范围</w:t>
      </w:r>
    </w:p>
    <w:p>
      <w:pPr>
        <w:ind w:firstLine="420" w:firstLineChars="200"/>
        <w:rPr>
          <w:rFonts w:ascii="宋体"/>
        </w:rPr>
      </w:pPr>
      <w:r>
        <w:rPr>
          <w:kern w:val="0"/>
          <w:szCs w:val="21"/>
        </w:rPr>
        <w:t>本标准</w:t>
      </w:r>
      <w:r>
        <w:rPr>
          <w:rFonts w:hint="eastAsia" w:ascii="宋体" w:hAnsi="宋体" w:cs="宋体"/>
        </w:rPr>
        <w:t>适用于铜阳极泥分银渣</w:t>
      </w:r>
      <w:r>
        <w:rPr>
          <w:rFonts w:hint="eastAsia" w:cs="宋体"/>
        </w:rPr>
        <w:t>中铜含量的测定</w:t>
      </w:r>
      <w:r>
        <w:rPr>
          <w:rFonts w:hint="eastAsia" w:ascii="宋体" w:hAnsi="宋体" w:cs="宋体"/>
        </w:rPr>
        <w:t>。测定范围：6.00</w:t>
      </w:r>
      <w:r>
        <w:rPr>
          <w:rFonts w:ascii="宋体" w:hAnsi="宋体" w:cs="宋体"/>
        </w:rPr>
        <w:t xml:space="preserve">% </w:t>
      </w:r>
      <w:r>
        <w:rPr>
          <w:rFonts w:hint="eastAsia" w:cs="宋体"/>
        </w:rPr>
        <w:t>～</w:t>
      </w:r>
      <w:r>
        <w:rPr>
          <w:rFonts w:hint="eastAsia" w:ascii="宋体" w:hAnsi="宋体" w:cs="宋体"/>
        </w:rPr>
        <w:t>27.00</w:t>
      </w:r>
      <w:r>
        <w:rPr>
          <w:rFonts w:ascii="宋体" w:hAnsi="宋体" w:cs="宋体"/>
        </w:rPr>
        <w:t>%</w:t>
      </w:r>
      <w:r>
        <w:rPr>
          <w:rFonts w:hint="eastAsia" w:ascii="宋体" w:hAnsi="宋体" w:cs="宋体"/>
        </w:rPr>
        <w:t>。</w:t>
      </w:r>
    </w:p>
    <w:p>
      <w:pPr>
        <w:pStyle w:val="12"/>
        <w:numPr>
          <w:ilvl w:val="0"/>
          <w:numId w:val="0"/>
        </w:numPr>
        <w:spacing w:beforeLines="0" w:afterLines="0" w:line="360" w:lineRule="auto"/>
        <w:rPr>
          <w:rFonts w:hAnsi="黑体"/>
        </w:rPr>
      </w:pPr>
      <w:r>
        <w:rPr>
          <w:rFonts w:hint="eastAsia" w:hAnsi="黑体"/>
        </w:rPr>
        <w:t>7  试验报告</w:t>
      </w:r>
    </w:p>
    <w:p>
      <w:pPr>
        <w:ind w:firstLine="420" w:firstLineChars="200"/>
        <w:rPr>
          <w:szCs w:val="21"/>
        </w:rPr>
      </w:pPr>
      <w:r>
        <w:rPr>
          <w:szCs w:val="21"/>
        </w:rPr>
        <w:t>试验</w:t>
      </w:r>
      <w:r>
        <w:rPr>
          <w:rFonts w:hint="eastAsia"/>
          <w:szCs w:val="21"/>
        </w:rPr>
        <w:t>报告</w:t>
      </w:r>
      <w:r>
        <w:rPr>
          <w:szCs w:val="21"/>
        </w:rPr>
        <w:t>见附件1。</w:t>
      </w:r>
    </w:p>
    <w:p>
      <w:pPr>
        <w:pStyle w:val="12"/>
        <w:numPr>
          <w:ilvl w:val="0"/>
          <w:numId w:val="0"/>
        </w:numPr>
        <w:spacing w:beforeLines="0" w:afterLines="0" w:line="360" w:lineRule="auto"/>
        <w:rPr>
          <w:rFonts w:hAnsi="黑体"/>
        </w:rPr>
      </w:pPr>
      <w:r>
        <w:rPr>
          <w:rFonts w:hint="eastAsia" w:hAnsi="黑体"/>
        </w:rPr>
        <w:t xml:space="preserve">8  </w:t>
      </w:r>
      <w:r>
        <w:rPr>
          <w:rFonts w:hAnsi="黑体"/>
        </w:rPr>
        <w:t>协同试验</w:t>
      </w:r>
    </w:p>
    <w:p>
      <w:pPr>
        <w:spacing w:line="360" w:lineRule="auto"/>
        <w:rPr>
          <w:rFonts w:ascii="黑体" w:hAnsi="黑体" w:eastAsia="黑体"/>
          <w:szCs w:val="21"/>
        </w:rPr>
      </w:pPr>
      <w:r>
        <w:rPr>
          <w:rFonts w:hint="eastAsia" w:ascii="黑体" w:hAnsi="黑体" w:eastAsia="黑体"/>
          <w:szCs w:val="21"/>
        </w:rPr>
        <w:t>8</w:t>
      </w:r>
      <w:r>
        <w:rPr>
          <w:rFonts w:ascii="黑体" w:hAnsi="黑体" w:eastAsia="黑体"/>
          <w:szCs w:val="21"/>
        </w:rPr>
        <w:t xml:space="preserve">.1 </w:t>
      </w:r>
      <w:r>
        <w:rPr>
          <w:rFonts w:hint="eastAsia" w:ascii="黑体" w:hAnsi="黑体" w:eastAsia="黑体"/>
          <w:szCs w:val="21"/>
        </w:rPr>
        <w:t xml:space="preserve"> </w:t>
      </w:r>
      <w:r>
        <w:rPr>
          <w:rFonts w:ascii="黑体" w:hAnsi="黑体" w:eastAsia="黑体"/>
          <w:szCs w:val="21"/>
        </w:rPr>
        <w:t>样品的准备</w:t>
      </w:r>
    </w:p>
    <w:p>
      <w:pPr>
        <w:ind w:firstLine="420" w:firstLineChars="200"/>
        <w:rPr>
          <w:szCs w:val="21"/>
        </w:rPr>
      </w:pPr>
      <w:r>
        <w:rPr>
          <w:rFonts w:hAnsi="宋体"/>
          <w:kern w:val="0"/>
        </w:rPr>
        <w:t>由</w:t>
      </w:r>
      <w:r>
        <w:rPr>
          <w:rFonts w:hint="eastAsia"/>
        </w:rPr>
        <w:t>中金岭南韶关冶炼厂、</w:t>
      </w:r>
      <w:r>
        <w:rPr>
          <w:rFonts w:hint="eastAsia" w:ascii="宋体" w:hAnsi="宋体"/>
          <w:szCs w:val="21"/>
        </w:rPr>
        <w:t>中条山有色金属集团有限公司</w:t>
      </w:r>
      <w:r>
        <w:rPr>
          <w:rFonts w:hint="eastAsia"/>
        </w:rPr>
        <w:t>、</w:t>
      </w:r>
      <w:r>
        <w:rPr>
          <w:rFonts w:hint="eastAsia" w:ascii="宋体" w:hAnsi="宋体"/>
          <w:szCs w:val="21"/>
        </w:rPr>
        <w:t>浙江江铜富冶和鼎铜业有限公司</w:t>
      </w:r>
      <w:r>
        <w:rPr>
          <w:rFonts w:hint="eastAsia"/>
        </w:rPr>
        <w:t>、山东阳谷祥光铜业有限公司、江西铜业股份有限公司等单位提供了</w:t>
      </w:r>
      <w:r>
        <w:rPr>
          <w:rFonts w:hint="eastAsia"/>
          <w:kern w:val="0"/>
        </w:rPr>
        <w:t>5</w:t>
      </w:r>
      <w:r>
        <w:rPr>
          <w:kern w:val="0"/>
        </w:rPr>
        <w:t>个水平的样品</w:t>
      </w:r>
      <w:r>
        <w:rPr>
          <w:rFonts w:hAnsi="宋体"/>
          <w:kern w:val="0"/>
        </w:rPr>
        <w:t>。</w:t>
      </w:r>
    </w:p>
    <w:p>
      <w:pPr>
        <w:spacing w:line="360" w:lineRule="auto"/>
        <w:rPr>
          <w:rFonts w:ascii="黑体" w:hAnsi="黑体" w:eastAsia="黑体"/>
          <w:szCs w:val="21"/>
        </w:rPr>
      </w:pPr>
      <w:r>
        <w:rPr>
          <w:rFonts w:hint="eastAsia" w:ascii="黑体" w:hAnsi="黑体" w:eastAsia="黑体"/>
          <w:szCs w:val="21"/>
        </w:rPr>
        <w:t>8</w:t>
      </w:r>
      <w:r>
        <w:rPr>
          <w:rFonts w:ascii="黑体" w:hAnsi="黑体" w:eastAsia="黑体"/>
          <w:szCs w:val="21"/>
        </w:rPr>
        <w:t>.2</w:t>
      </w:r>
      <w:r>
        <w:rPr>
          <w:rFonts w:hint="eastAsia" w:ascii="黑体" w:hAnsi="黑体" w:eastAsia="黑体"/>
          <w:szCs w:val="21"/>
        </w:rPr>
        <w:t xml:space="preserve"> </w:t>
      </w:r>
      <w:r>
        <w:rPr>
          <w:rFonts w:ascii="黑体" w:hAnsi="黑体" w:eastAsia="黑体"/>
          <w:szCs w:val="21"/>
        </w:rPr>
        <w:t xml:space="preserve"> 精密度试验</w:t>
      </w:r>
    </w:p>
    <w:p>
      <w:pPr>
        <w:jc w:val="left"/>
        <w:rPr>
          <w:szCs w:val="21"/>
        </w:rPr>
      </w:pPr>
      <w:r>
        <w:rPr>
          <w:kern w:val="0"/>
        </w:rPr>
        <w:t xml:space="preserve">   在精密度试验方面，</w:t>
      </w:r>
      <w:r>
        <w:rPr>
          <w:rFonts w:hint="eastAsia"/>
          <w:kern w:val="0"/>
        </w:rPr>
        <w:t>11</w:t>
      </w:r>
      <w:r>
        <w:rPr>
          <w:kern w:val="0"/>
        </w:rPr>
        <w:t>个实验室（见表1）对</w:t>
      </w:r>
      <w:r>
        <w:rPr>
          <w:rFonts w:hint="eastAsia"/>
          <w:kern w:val="0"/>
        </w:rPr>
        <w:t>5</w:t>
      </w:r>
      <w:r>
        <w:rPr>
          <w:kern w:val="0"/>
        </w:rPr>
        <w:t>个水平的样品进行试验，</w:t>
      </w:r>
      <w:r>
        <w:rPr>
          <w:szCs w:val="21"/>
        </w:rPr>
        <w:t>根据国家标准GB/T 6379.2-2004确定标准测量方法的重复性和再现性的基本方法（ISO 5725-2：1994，IDT）的规定，对收到的全部数据进行了统计分析。原始数据及统计结果见附件2。</w:t>
      </w:r>
    </w:p>
    <w:p>
      <w:pPr>
        <w:spacing w:line="360" w:lineRule="auto"/>
        <w:jc w:val="center"/>
        <w:rPr>
          <w:rFonts w:ascii="黑体" w:hAnsi="黑体" w:eastAsia="黑体"/>
          <w:szCs w:val="21"/>
        </w:rPr>
      </w:pPr>
      <w:r>
        <w:rPr>
          <w:rFonts w:ascii="黑体" w:hAnsi="黑体" w:eastAsia="黑体"/>
          <w:kern w:val="0"/>
        </w:rPr>
        <w:t xml:space="preserve">表1 </w:t>
      </w:r>
      <w:r>
        <w:rPr>
          <w:rFonts w:hint="eastAsia" w:ascii="黑体" w:hAnsi="黑体" w:eastAsia="黑体"/>
          <w:kern w:val="0"/>
        </w:rPr>
        <w:t xml:space="preserve"> </w:t>
      </w:r>
      <w:r>
        <w:rPr>
          <w:rFonts w:ascii="黑体" w:hAnsi="黑体" w:eastAsia="黑体"/>
          <w:kern w:val="0"/>
        </w:rPr>
        <w:t>协同试验的实验室编号</w:t>
      </w:r>
    </w:p>
    <w:tbl>
      <w:tblPr>
        <w:tblStyle w:val="9"/>
        <w:tblW w:w="6959" w:type="dxa"/>
        <w:jc w:val="center"/>
        <w:tblInd w:w="15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jc w:val="center"/>
              <w:rPr>
                <w:szCs w:val="21"/>
              </w:rPr>
            </w:pPr>
            <w:r>
              <w:rPr>
                <w:szCs w:val="21"/>
              </w:rPr>
              <w:t>编号</w:t>
            </w:r>
          </w:p>
        </w:tc>
        <w:tc>
          <w:tcPr>
            <w:tcW w:w="6015" w:type="dxa"/>
            <w:vAlign w:val="center"/>
          </w:tcPr>
          <w:p>
            <w:pPr>
              <w:jc w:val="center"/>
              <w:rPr>
                <w:szCs w:val="21"/>
              </w:rPr>
            </w:pPr>
            <w:r>
              <w:rPr>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jc w:val="center"/>
              <w:rPr>
                <w:szCs w:val="21"/>
              </w:rPr>
            </w:pPr>
            <w:r>
              <w:rPr>
                <w:szCs w:val="21"/>
              </w:rPr>
              <w:t>1</w:t>
            </w:r>
          </w:p>
        </w:tc>
        <w:tc>
          <w:tcPr>
            <w:tcW w:w="6015" w:type="dxa"/>
            <w:vAlign w:val="center"/>
          </w:tcPr>
          <w:p>
            <w:pPr>
              <w:jc w:val="center"/>
              <w:rPr>
                <w:szCs w:val="21"/>
              </w:rPr>
            </w:pPr>
            <w:r>
              <w:rPr>
                <w:rFonts w:hint="eastAsia" w:ascii="宋体" w:hAnsi="宋体"/>
                <w:szCs w:val="21"/>
              </w:rPr>
              <w:t>北矿检测技术有限公司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jc w:val="center"/>
              <w:rPr>
                <w:szCs w:val="21"/>
              </w:rPr>
            </w:pPr>
            <w:r>
              <w:rPr>
                <w:szCs w:val="21"/>
              </w:rPr>
              <w:t>2</w:t>
            </w:r>
          </w:p>
        </w:tc>
        <w:tc>
          <w:tcPr>
            <w:tcW w:w="6015" w:type="dxa"/>
            <w:vAlign w:val="center"/>
          </w:tcPr>
          <w:p>
            <w:pPr>
              <w:jc w:val="center"/>
              <w:rPr>
                <w:szCs w:val="21"/>
              </w:rPr>
            </w:pPr>
            <w:r>
              <w:rPr>
                <w:rFonts w:hint="eastAsia"/>
                <w:szCs w:val="21"/>
              </w:rPr>
              <w:t>深圳市中金岭南有色金属股份有限公司韶关冶炼厂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jc w:val="center"/>
              <w:rPr>
                <w:szCs w:val="21"/>
              </w:rPr>
            </w:pPr>
            <w:r>
              <w:rPr>
                <w:szCs w:val="21"/>
              </w:rPr>
              <w:t>3</w:t>
            </w:r>
          </w:p>
        </w:tc>
        <w:tc>
          <w:tcPr>
            <w:tcW w:w="6015" w:type="dxa"/>
            <w:vAlign w:val="center"/>
          </w:tcPr>
          <w:p>
            <w:pPr>
              <w:jc w:val="center"/>
              <w:rPr>
                <w:szCs w:val="21"/>
              </w:rPr>
            </w:pPr>
            <w:r>
              <w:rPr>
                <w:rFonts w:hint="eastAsia" w:ascii="宋体" w:hAnsi="宋体"/>
                <w:szCs w:val="21"/>
              </w:rPr>
              <w:t>广东韶关市质量计量监督检测所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jc w:val="center"/>
              <w:rPr>
                <w:szCs w:val="21"/>
              </w:rPr>
            </w:pPr>
            <w:r>
              <w:rPr>
                <w:szCs w:val="21"/>
              </w:rPr>
              <w:t>4</w:t>
            </w:r>
          </w:p>
        </w:tc>
        <w:tc>
          <w:tcPr>
            <w:tcW w:w="6015" w:type="dxa"/>
            <w:vAlign w:val="center"/>
          </w:tcPr>
          <w:p>
            <w:pPr>
              <w:jc w:val="center"/>
              <w:rPr>
                <w:szCs w:val="21"/>
              </w:rPr>
            </w:pPr>
            <w:r>
              <w:rPr>
                <w:rFonts w:hint="eastAsia" w:ascii="宋体" w:hAnsi="宋体"/>
                <w:szCs w:val="21"/>
              </w:rPr>
              <w:t>阳谷祥光铜业有限公司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jc w:val="center"/>
              <w:rPr>
                <w:szCs w:val="21"/>
              </w:rPr>
            </w:pPr>
            <w:r>
              <w:rPr>
                <w:szCs w:val="21"/>
              </w:rPr>
              <w:t>5</w:t>
            </w:r>
          </w:p>
        </w:tc>
        <w:tc>
          <w:tcPr>
            <w:tcW w:w="6015" w:type="dxa"/>
            <w:vAlign w:val="center"/>
          </w:tcPr>
          <w:p>
            <w:pPr>
              <w:jc w:val="center"/>
              <w:rPr>
                <w:szCs w:val="21"/>
              </w:rPr>
            </w:pPr>
            <w:r>
              <w:rPr>
                <w:rFonts w:hint="eastAsia" w:ascii="宋体" w:hAnsi="宋体"/>
                <w:szCs w:val="21"/>
              </w:rPr>
              <w:t>江西铜业股份有限公司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jc w:val="center"/>
              <w:rPr>
                <w:szCs w:val="21"/>
              </w:rPr>
            </w:pPr>
            <w:r>
              <w:rPr>
                <w:szCs w:val="21"/>
              </w:rPr>
              <w:t>6</w:t>
            </w:r>
          </w:p>
        </w:tc>
        <w:tc>
          <w:tcPr>
            <w:tcW w:w="6015" w:type="dxa"/>
            <w:vAlign w:val="center"/>
          </w:tcPr>
          <w:p>
            <w:pPr>
              <w:jc w:val="center"/>
              <w:rPr>
                <w:szCs w:val="21"/>
              </w:rPr>
            </w:pPr>
            <w:r>
              <w:rPr>
                <w:rFonts w:hint="eastAsia" w:ascii="宋体" w:hAnsi="宋体"/>
                <w:szCs w:val="21"/>
              </w:rPr>
              <w:t>中条山有色金属集团有限公司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jc w:val="center"/>
              <w:rPr>
                <w:szCs w:val="21"/>
              </w:rPr>
            </w:pPr>
            <w:r>
              <w:rPr>
                <w:szCs w:val="21"/>
              </w:rPr>
              <w:t>7</w:t>
            </w:r>
          </w:p>
        </w:tc>
        <w:tc>
          <w:tcPr>
            <w:tcW w:w="6015" w:type="dxa"/>
            <w:vAlign w:val="center"/>
          </w:tcPr>
          <w:p>
            <w:pPr>
              <w:jc w:val="center"/>
              <w:rPr>
                <w:szCs w:val="21"/>
              </w:rPr>
            </w:pPr>
            <w:r>
              <w:rPr>
                <w:rFonts w:hint="eastAsia" w:ascii="宋体" w:hAnsi="宋体"/>
                <w:szCs w:val="21"/>
              </w:rPr>
              <w:t>浙江江铜富冶和鼎铜业有限公司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944" w:type="dxa"/>
            <w:vAlign w:val="center"/>
          </w:tcPr>
          <w:p>
            <w:pPr>
              <w:jc w:val="center"/>
              <w:rPr>
                <w:szCs w:val="21"/>
              </w:rPr>
            </w:pPr>
            <w:r>
              <w:rPr>
                <w:rFonts w:hint="eastAsia"/>
                <w:szCs w:val="21"/>
              </w:rPr>
              <w:t>8</w:t>
            </w:r>
          </w:p>
        </w:tc>
        <w:tc>
          <w:tcPr>
            <w:tcW w:w="6015" w:type="dxa"/>
            <w:vAlign w:val="center"/>
          </w:tcPr>
          <w:p>
            <w:pPr>
              <w:jc w:val="center"/>
              <w:rPr>
                <w:szCs w:val="21"/>
              </w:rPr>
            </w:pPr>
            <w:r>
              <w:rPr>
                <w:rFonts w:hint="eastAsia" w:ascii="宋体" w:hAnsi="宋体"/>
                <w:szCs w:val="21"/>
              </w:rPr>
              <w:t>中国检验认证集团广西有限公司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jc w:val="center"/>
              <w:rPr>
                <w:szCs w:val="21"/>
              </w:rPr>
            </w:pPr>
            <w:r>
              <w:rPr>
                <w:rFonts w:hint="eastAsia"/>
                <w:szCs w:val="21"/>
              </w:rPr>
              <w:t>9</w:t>
            </w:r>
          </w:p>
        </w:tc>
        <w:tc>
          <w:tcPr>
            <w:tcW w:w="6015" w:type="dxa"/>
            <w:vAlign w:val="center"/>
          </w:tcPr>
          <w:p>
            <w:pPr>
              <w:jc w:val="center"/>
              <w:rPr>
                <w:rFonts w:ascii="宋体" w:hAnsi="宋体"/>
                <w:szCs w:val="21"/>
              </w:rPr>
            </w:pPr>
            <w:r>
              <w:rPr>
                <w:rFonts w:hint="eastAsia" w:ascii="宋体" w:hAnsi="宋体"/>
                <w:szCs w:val="21"/>
              </w:rPr>
              <w:t>山东恒邦冶炼股份有限公司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jc w:val="center"/>
              <w:rPr>
                <w:szCs w:val="21"/>
              </w:rPr>
            </w:pPr>
            <w:r>
              <w:rPr>
                <w:rFonts w:hint="eastAsia"/>
                <w:szCs w:val="21"/>
              </w:rPr>
              <w:t>10</w:t>
            </w:r>
          </w:p>
        </w:tc>
        <w:tc>
          <w:tcPr>
            <w:tcW w:w="6015" w:type="dxa"/>
            <w:vAlign w:val="center"/>
          </w:tcPr>
          <w:p>
            <w:pPr>
              <w:jc w:val="center"/>
              <w:rPr>
                <w:rFonts w:ascii="宋体" w:hAnsi="宋体"/>
                <w:szCs w:val="21"/>
              </w:rPr>
            </w:pPr>
            <w:r>
              <w:rPr>
                <w:rFonts w:hint="eastAsia" w:ascii="宋体" w:hAnsi="宋体"/>
                <w:szCs w:val="21"/>
              </w:rPr>
              <w:t>大冶有色设计研究院有限公司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jc w:val="center"/>
              <w:rPr>
                <w:szCs w:val="21"/>
              </w:rPr>
            </w:pPr>
            <w:r>
              <w:rPr>
                <w:rFonts w:hint="eastAsia"/>
                <w:szCs w:val="21"/>
              </w:rPr>
              <w:t>11</w:t>
            </w:r>
          </w:p>
        </w:tc>
        <w:tc>
          <w:tcPr>
            <w:tcW w:w="6015" w:type="dxa"/>
            <w:vAlign w:val="center"/>
          </w:tcPr>
          <w:p>
            <w:pPr>
              <w:jc w:val="center"/>
              <w:rPr>
                <w:rFonts w:ascii="宋体" w:hAnsi="宋体"/>
                <w:color w:val="FF0000"/>
                <w:szCs w:val="21"/>
              </w:rPr>
            </w:pPr>
            <w:r>
              <w:rPr>
                <w:rFonts w:hint="eastAsia" w:ascii="宋体" w:hAnsi="宋体"/>
                <w:szCs w:val="21"/>
              </w:rPr>
              <w:t>徐州北矿金属循环利用研究院</w:t>
            </w:r>
          </w:p>
        </w:tc>
      </w:tr>
    </w:tbl>
    <w:p>
      <w:pPr>
        <w:spacing w:line="360" w:lineRule="auto"/>
        <w:rPr>
          <w:rFonts w:ascii="黑体" w:hAnsi="黑体" w:eastAsia="黑体"/>
          <w:szCs w:val="21"/>
        </w:rPr>
      </w:pPr>
      <w:r>
        <w:rPr>
          <w:rFonts w:hint="eastAsia" w:ascii="黑体" w:hAnsi="黑体" w:eastAsia="黑体"/>
          <w:szCs w:val="21"/>
        </w:rPr>
        <w:t xml:space="preserve">8.3 </w:t>
      </w:r>
      <w:r>
        <w:rPr>
          <w:rFonts w:ascii="黑体" w:hAnsi="黑体" w:eastAsia="黑体"/>
          <w:szCs w:val="21"/>
        </w:rPr>
        <w:t xml:space="preserve"> 重复性</w:t>
      </w:r>
    </w:p>
    <w:p>
      <w:pPr>
        <w:adjustRightInd w:val="0"/>
        <w:snapToGrid w:val="0"/>
        <w:spacing w:before="50" w:after="50"/>
        <w:ind w:firstLine="444" w:firstLineChars="200"/>
      </w:pPr>
      <w:r>
        <w:rPr>
          <w:spacing w:val="6"/>
        </w:rPr>
        <w:t>在重复性条件下获得的两次独立测试结果的测定值，在以下给出的平均值范围内，这两个测试结果的绝对差值不超过重复性限（</w:t>
      </w:r>
      <w:r>
        <w:rPr>
          <w:i/>
          <w:spacing w:val="6"/>
        </w:rPr>
        <w:t>r</w:t>
      </w:r>
      <w:r>
        <w:rPr>
          <w:spacing w:val="6"/>
        </w:rPr>
        <w:t>），超过重复性限（</w:t>
      </w:r>
      <w:r>
        <w:rPr>
          <w:i/>
          <w:spacing w:val="6"/>
        </w:rPr>
        <w:t>r</w:t>
      </w:r>
      <w:r>
        <w:rPr>
          <w:spacing w:val="6"/>
        </w:rPr>
        <w:t>）的情况不超过5%，重复性限（</w:t>
      </w:r>
      <w:r>
        <w:rPr>
          <w:i/>
          <w:spacing w:val="6"/>
        </w:rPr>
        <w:t>r</w:t>
      </w:r>
      <w:r>
        <w:rPr>
          <w:spacing w:val="6"/>
        </w:rPr>
        <w:t>）按表2数据采用线性内插法求得：</w:t>
      </w:r>
    </w:p>
    <w:p>
      <w:pPr>
        <w:pStyle w:val="2"/>
        <w:spacing w:line="360" w:lineRule="auto"/>
        <w:ind w:firstLine="0" w:firstLineChars="0"/>
        <w:jc w:val="center"/>
        <w:rPr>
          <w:rFonts w:ascii="黑体" w:hAnsi="黑体" w:eastAsia="黑体"/>
          <w:bCs/>
          <w:color w:val="000000"/>
          <w:szCs w:val="21"/>
        </w:rPr>
      </w:pPr>
    </w:p>
    <w:p>
      <w:pPr>
        <w:pStyle w:val="2"/>
        <w:spacing w:line="360" w:lineRule="auto"/>
        <w:ind w:firstLine="0" w:firstLineChars="0"/>
        <w:jc w:val="center"/>
        <w:rPr>
          <w:rFonts w:ascii="黑体" w:hAnsi="黑体" w:eastAsia="黑体"/>
          <w:bCs/>
          <w:color w:val="000000"/>
          <w:szCs w:val="21"/>
        </w:rPr>
      </w:pPr>
      <w:r>
        <w:rPr>
          <w:rFonts w:ascii="黑体" w:hAnsi="黑体" w:eastAsia="黑体"/>
          <w:bCs/>
          <w:color w:val="000000"/>
          <w:szCs w:val="21"/>
        </w:rPr>
        <w:t xml:space="preserve">表2 </w:t>
      </w:r>
      <w:r>
        <w:rPr>
          <w:rFonts w:hint="eastAsia" w:ascii="黑体" w:hAnsi="黑体" w:eastAsia="黑体"/>
          <w:bCs/>
          <w:color w:val="000000"/>
          <w:szCs w:val="21"/>
        </w:rPr>
        <w:t xml:space="preserve"> </w:t>
      </w:r>
      <w:r>
        <w:rPr>
          <w:rFonts w:ascii="黑体" w:hAnsi="黑体" w:eastAsia="黑体"/>
          <w:bCs/>
          <w:color w:val="000000"/>
          <w:szCs w:val="21"/>
        </w:rPr>
        <w:t>重复性限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0"/>
        <w:gridCol w:w="1421"/>
        <w:gridCol w:w="1420"/>
        <w:gridCol w:w="141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1" w:type="dxa"/>
            <w:vAlign w:val="center"/>
          </w:tcPr>
          <w:p>
            <w:pPr>
              <w:pStyle w:val="14"/>
              <w:widowControl w:val="0"/>
              <w:tabs>
                <w:tab w:val="center" w:pos="4201"/>
                <w:tab w:val="right" w:leader="dot" w:pos="9298"/>
              </w:tabs>
              <w:ind w:firstLine="0" w:firstLineChars="0"/>
              <w:jc w:val="center"/>
              <w:rPr>
                <w:rFonts w:ascii="Times New Roman" w:hAnsi="Times New Roman"/>
                <w:sz w:val="18"/>
                <w:szCs w:val="18"/>
              </w:rPr>
            </w:pPr>
            <w:r>
              <w:rPr>
                <w:rFonts w:ascii="Times New Roman" w:hAnsi="Times New Roman"/>
                <w:i/>
                <w:sz w:val="18"/>
                <w:szCs w:val="18"/>
              </w:rPr>
              <w:t>w</w:t>
            </w:r>
            <w:r>
              <w:rPr>
                <w:rFonts w:hint="eastAsia" w:ascii="Times New Roman" w:hAnsi="Times New Roman"/>
                <w:i/>
                <w:sz w:val="18"/>
                <w:szCs w:val="18"/>
                <w:vertAlign w:val="subscript"/>
              </w:rPr>
              <w:t>Cu</w:t>
            </w:r>
            <w:r>
              <w:rPr>
                <w:rFonts w:hint="eastAsia" w:ascii="Times New Roman" w:hAnsi="Times New Roman"/>
                <w:sz w:val="18"/>
                <w:szCs w:val="18"/>
              </w:rPr>
              <w:t>/</w:t>
            </w:r>
            <w:r>
              <w:rPr>
                <w:rFonts w:ascii="Times New Roman" w:hAnsi="Times New Roman"/>
                <w:sz w:val="18"/>
                <w:szCs w:val="18"/>
              </w:rPr>
              <w:t xml:space="preserve"> %</w:t>
            </w:r>
          </w:p>
        </w:tc>
        <w:tc>
          <w:tcPr>
            <w:tcW w:w="1420" w:type="dxa"/>
            <w:vAlign w:val="center"/>
          </w:tcPr>
          <w:p>
            <w:pPr>
              <w:jc w:val="center"/>
            </w:pPr>
            <w:r>
              <w:t>6.26</w:t>
            </w:r>
          </w:p>
        </w:tc>
        <w:tc>
          <w:tcPr>
            <w:tcW w:w="1421" w:type="dxa"/>
            <w:vAlign w:val="center"/>
          </w:tcPr>
          <w:p>
            <w:pPr>
              <w:jc w:val="center"/>
            </w:pPr>
            <w:r>
              <w:t>12.25</w:t>
            </w:r>
          </w:p>
        </w:tc>
        <w:tc>
          <w:tcPr>
            <w:tcW w:w="1420" w:type="dxa"/>
            <w:vAlign w:val="center"/>
          </w:tcPr>
          <w:p>
            <w:pPr>
              <w:jc w:val="center"/>
            </w:pPr>
            <w:r>
              <w:t>16.60</w:t>
            </w:r>
          </w:p>
        </w:tc>
        <w:tc>
          <w:tcPr>
            <w:tcW w:w="1419" w:type="dxa"/>
            <w:vAlign w:val="center"/>
          </w:tcPr>
          <w:p>
            <w:pPr>
              <w:jc w:val="center"/>
            </w:pPr>
            <w:r>
              <w:t>21.23</w:t>
            </w:r>
          </w:p>
        </w:tc>
        <w:tc>
          <w:tcPr>
            <w:tcW w:w="1421" w:type="dxa"/>
            <w:vAlign w:val="center"/>
          </w:tcPr>
          <w:p>
            <w:pPr>
              <w:jc w:val="center"/>
            </w:pPr>
            <w:r>
              <w:t>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1" w:type="dxa"/>
            <w:vAlign w:val="center"/>
          </w:tcPr>
          <w:p>
            <w:pPr>
              <w:pStyle w:val="14"/>
              <w:widowControl w:val="0"/>
              <w:tabs>
                <w:tab w:val="center" w:pos="4201"/>
                <w:tab w:val="right" w:leader="dot" w:pos="9298"/>
              </w:tabs>
              <w:ind w:firstLine="0" w:firstLineChars="0"/>
              <w:jc w:val="center"/>
              <w:rPr>
                <w:rFonts w:ascii="Times New Roman" w:hAnsi="Times New Roman"/>
                <w:sz w:val="18"/>
                <w:szCs w:val="18"/>
              </w:rPr>
            </w:pPr>
            <w:r>
              <w:rPr>
                <w:rFonts w:ascii="Times New Roman" w:hAnsi="Times New Roman"/>
                <w:i/>
                <w:sz w:val="18"/>
                <w:szCs w:val="18"/>
              </w:rPr>
              <w:t>r</w:t>
            </w:r>
            <w:r>
              <w:rPr>
                <w:rFonts w:hint="eastAsia" w:ascii="Times New Roman" w:hAnsi="Times New Roman"/>
                <w:sz w:val="18"/>
                <w:szCs w:val="18"/>
              </w:rPr>
              <w:t xml:space="preserve">/ </w:t>
            </w:r>
            <w:r>
              <w:rPr>
                <w:rFonts w:ascii="Times New Roman" w:hAnsi="Times New Roman"/>
                <w:sz w:val="18"/>
                <w:szCs w:val="18"/>
              </w:rPr>
              <w:t>%</w:t>
            </w:r>
          </w:p>
        </w:tc>
        <w:tc>
          <w:tcPr>
            <w:tcW w:w="1420" w:type="dxa"/>
            <w:vAlign w:val="center"/>
          </w:tcPr>
          <w:p>
            <w:pPr>
              <w:jc w:val="center"/>
            </w:pPr>
            <w:r>
              <w:t>0.15</w:t>
            </w:r>
          </w:p>
        </w:tc>
        <w:tc>
          <w:tcPr>
            <w:tcW w:w="1421" w:type="dxa"/>
            <w:vAlign w:val="center"/>
          </w:tcPr>
          <w:p>
            <w:pPr>
              <w:jc w:val="center"/>
            </w:pPr>
            <w:r>
              <w:t>0.17</w:t>
            </w:r>
          </w:p>
        </w:tc>
        <w:tc>
          <w:tcPr>
            <w:tcW w:w="1420" w:type="dxa"/>
            <w:vAlign w:val="center"/>
          </w:tcPr>
          <w:p>
            <w:pPr>
              <w:jc w:val="center"/>
            </w:pPr>
            <w:r>
              <w:t>0.23</w:t>
            </w:r>
          </w:p>
        </w:tc>
        <w:tc>
          <w:tcPr>
            <w:tcW w:w="1419" w:type="dxa"/>
            <w:vAlign w:val="center"/>
          </w:tcPr>
          <w:p>
            <w:pPr>
              <w:jc w:val="center"/>
            </w:pPr>
            <w:r>
              <w:t>0.22</w:t>
            </w:r>
          </w:p>
        </w:tc>
        <w:tc>
          <w:tcPr>
            <w:tcW w:w="1421" w:type="dxa"/>
            <w:vAlign w:val="center"/>
          </w:tcPr>
          <w:p>
            <w:pPr>
              <w:jc w:val="center"/>
            </w:pPr>
            <w:r>
              <w:t>0.21</w:t>
            </w:r>
          </w:p>
        </w:tc>
      </w:tr>
    </w:tbl>
    <w:p>
      <w:pPr>
        <w:spacing w:line="360" w:lineRule="auto"/>
        <w:rPr>
          <w:rFonts w:ascii="黑体" w:hAnsi="黑体" w:eastAsia="黑体"/>
          <w:szCs w:val="21"/>
        </w:rPr>
      </w:pPr>
      <w:r>
        <w:rPr>
          <w:rFonts w:hint="eastAsia" w:ascii="黑体" w:hAnsi="黑体" w:eastAsia="黑体"/>
          <w:szCs w:val="21"/>
        </w:rPr>
        <w:t>8</w:t>
      </w:r>
      <w:r>
        <w:rPr>
          <w:rFonts w:ascii="黑体" w:hAnsi="黑体" w:eastAsia="黑体"/>
          <w:szCs w:val="21"/>
        </w:rPr>
        <w:t>.</w:t>
      </w:r>
      <w:r>
        <w:rPr>
          <w:rFonts w:hint="eastAsia" w:ascii="黑体" w:hAnsi="黑体" w:eastAsia="黑体"/>
          <w:szCs w:val="21"/>
        </w:rPr>
        <w:t>4</w:t>
      </w:r>
      <w:r>
        <w:rPr>
          <w:rFonts w:ascii="黑体" w:hAnsi="黑体" w:eastAsia="黑体"/>
          <w:szCs w:val="21"/>
        </w:rPr>
        <w:t xml:space="preserve">  再现性</w:t>
      </w:r>
    </w:p>
    <w:p>
      <w:pPr>
        <w:adjustRightInd w:val="0"/>
        <w:snapToGrid w:val="0"/>
        <w:spacing w:before="50" w:after="50"/>
        <w:ind w:firstLine="444" w:firstLineChars="200"/>
        <w:rPr>
          <w:spacing w:val="6"/>
        </w:rPr>
      </w:pPr>
      <w:r>
        <w:rPr>
          <w:spacing w:val="6"/>
        </w:rPr>
        <w:t>在再现性条件下获得的两次独立测试结果的测定值，在以下给出的平均值范围内，这两个测试结果的绝对差值不超过再现性限（</w:t>
      </w:r>
      <w:r>
        <w:rPr>
          <w:i/>
          <w:spacing w:val="6"/>
        </w:rPr>
        <w:t>R</w:t>
      </w:r>
      <w:r>
        <w:rPr>
          <w:spacing w:val="6"/>
        </w:rPr>
        <w:t>），超过再现性限（</w:t>
      </w:r>
      <w:r>
        <w:rPr>
          <w:i/>
          <w:spacing w:val="6"/>
        </w:rPr>
        <w:t>R</w:t>
      </w:r>
      <w:r>
        <w:rPr>
          <w:spacing w:val="6"/>
        </w:rPr>
        <w:t>）的情况不超过5%，再现性限（</w:t>
      </w:r>
      <w:r>
        <w:rPr>
          <w:i/>
          <w:spacing w:val="6"/>
        </w:rPr>
        <w:t>R</w:t>
      </w:r>
      <w:r>
        <w:rPr>
          <w:spacing w:val="6"/>
        </w:rPr>
        <w:t>）按表3数据采用线性内插法求得：</w:t>
      </w:r>
    </w:p>
    <w:p>
      <w:pPr>
        <w:pStyle w:val="2"/>
        <w:spacing w:line="360" w:lineRule="auto"/>
        <w:ind w:firstLine="0" w:firstLineChars="0"/>
        <w:jc w:val="center"/>
        <w:rPr>
          <w:rFonts w:ascii="黑体" w:hAnsi="黑体" w:eastAsia="黑体"/>
          <w:bCs/>
          <w:color w:val="000000"/>
          <w:szCs w:val="21"/>
        </w:rPr>
      </w:pPr>
      <w:r>
        <w:rPr>
          <w:rFonts w:ascii="黑体" w:hAnsi="黑体" w:eastAsia="黑体"/>
          <w:bCs/>
          <w:color w:val="000000"/>
          <w:szCs w:val="21"/>
        </w:rPr>
        <w:t>表3</w:t>
      </w:r>
      <w:r>
        <w:rPr>
          <w:rFonts w:hint="eastAsia" w:ascii="黑体" w:hAnsi="黑体" w:eastAsia="黑体"/>
          <w:bCs/>
          <w:color w:val="000000"/>
          <w:szCs w:val="21"/>
        </w:rPr>
        <w:t xml:space="preserve">  </w:t>
      </w:r>
      <w:r>
        <w:rPr>
          <w:rFonts w:ascii="黑体" w:hAnsi="黑体" w:eastAsia="黑体"/>
          <w:bCs/>
          <w:color w:val="000000"/>
          <w:szCs w:val="21"/>
        </w:rPr>
        <w:t>再现性限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0" w:type="dxa"/>
            <w:vAlign w:val="center"/>
          </w:tcPr>
          <w:p>
            <w:pPr>
              <w:pStyle w:val="14"/>
              <w:widowControl w:val="0"/>
              <w:tabs>
                <w:tab w:val="center" w:pos="4201"/>
                <w:tab w:val="right" w:leader="dot" w:pos="9298"/>
              </w:tabs>
              <w:ind w:firstLine="0" w:firstLineChars="0"/>
              <w:jc w:val="center"/>
              <w:rPr>
                <w:rFonts w:ascii="Times New Roman" w:hAnsi="Times New Roman"/>
                <w:sz w:val="18"/>
                <w:szCs w:val="18"/>
              </w:rPr>
            </w:pPr>
            <w:r>
              <w:rPr>
                <w:rFonts w:ascii="Times New Roman" w:hAnsi="Times New Roman"/>
                <w:i/>
                <w:sz w:val="18"/>
                <w:szCs w:val="18"/>
              </w:rPr>
              <w:t>w</w:t>
            </w:r>
            <w:r>
              <w:rPr>
                <w:rFonts w:hint="eastAsia" w:ascii="Times New Roman" w:hAnsi="Times New Roman"/>
                <w:i/>
                <w:sz w:val="18"/>
                <w:szCs w:val="18"/>
                <w:vertAlign w:val="subscript"/>
              </w:rPr>
              <w:t>Cu</w:t>
            </w:r>
            <w:r>
              <w:rPr>
                <w:rFonts w:ascii="Times New Roman" w:hAnsi="Times New Roman"/>
                <w:sz w:val="18"/>
                <w:szCs w:val="18"/>
                <w:vertAlign w:val="subscript"/>
              </w:rPr>
              <w:t xml:space="preserve"> </w:t>
            </w:r>
            <w:r>
              <w:rPr>
                <w:rFonts w:hint="eastAsia" w:ascii="Times New Roman" w:hAnsi="Times New Roman"/>
                <w:szCs w:val="21"/>
              </w:rPr>
              <w:t xml:space="preserve">/ </w:t>
            </w:r>
            <w:r>
              <w:rPr>
                <w:rFonts w:ascii="Times New Roman" w:hAnsi="Times New Roman"/>
                <w:sz w:val="18"/>
                <w:szCs w:val="18"/>
              </w:rPr>
              <w:t>%</w:t>
            </w:r>
          </w:p>
        </w:tc>
        <w:tc>
          <w:tcPr>
            <w:tcW w:w="1420" w:type="dxa"/>
            <w:vAlign w:val="center"/>
          </w:tcPr>
          <w:p>
            <w:pPr>
              <w:jc w:val="center"/>
            </w:pPr>
            <w:r>
              <w:t>6.26</w:t>
            </w:r>
          </w:p>
        </w:tc>
        <w:tc>
          <w:tcPr>
            <w:tcW w:w="1421" w:type="dxa"/>
            <w:vAlign w:val="center"/>
          </w:tcPr>
          <w:p>
            <w:pPr>
              <w:jc w:val="center"/>
            </w:pPr>
            <w:r>
              <w:t>12.25</w:t>
            </w:r>
          </w:p>
        </w:tc>
        <w:tc>
          <w:tcPr>
            <w:tcW w:w="1420" w:type="dxa"/>
            <w:vAlign w:val="center"/>
          </w:tcPr>
          <w:p>
            <w:pPr>
              <w:jc w:val="center"/>
            </w:pPr>
            <w:r>
              <w:t>16.60</w:t>
            </w:r>
          </w:p>
        </w:tc>
        <w:tc>
          <w:tcPr>
            <w:tcW w:w="1420" w:type="dxa"/>
            <w:vAlign w:val="center"/>
          </w:tcPr>
          <w:p>
            <w:pPr>
              <w:jc w:val="center"/>
            </w:pPr>
            <w:r>
              <w:t>21.23</w:t>
            </w:r>
          </w:p>
        </w:tc>
        <w:tc>
          <w:tcPr>
            <w:tcW w:w="1421" w:type="dxa"/>
            <w:vAlign w:val="center"/>
          </w:tcPr>
          <w:p>
            <w:pPr>
              <w:jc w:val="center"/>
            </w:pPr>
            <w:r>
              <w:t>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0" w:type="dxa"/>
            <w:vAlign w:val="center"/>
          </w:tcPr>
          <w:p>
            <w:pPr>
              <w:pStyle w:val="14"/>
              <w:widowControl w:val="0"/>
              <w:tabs>
                <w:tab w:val="center" w:pos="4201"/>
                <w:tab w:val="right" w:leader="dot" w:pos="9298"/>
              </w:tabs>
              <w:ind w:firstLine="0" w:firstLineChars="0"/>
              <w:jc w:val="center"/>
              <w:rPr>
                <w:rFonts w:ascii="Times New Roman" w:hAnsi="Times New Roman"/>
                <w:sz w:val="18"/>
                <w:szCs w:val="18"/>
              </w:rPr>
            </w:pPr>
            <w:r>
              <w:rPr>
                <w:rFonts w:ascii="Times New Roman" w:hAnsi="Times New Roman"/>
                <w:i/>
                <w:sz w:val="18"/>
                <w:szCs w:val="18"/>
              </w:rPr>
              <w:t>R</w:t>
            </w:r>
            <w:r>
              <w:rPr>
                <w:rFonts w:hint="eastAsia" w:ascii="Times New Roman" w:hAnsi="Times New Roman"/>
                <w:szCs w:val="21"/>
              </w:rPr>
              <w:t>/</w:t>
            </w:r>
            <w:r>
              <w:rPr>
                <w:rFonts w:ascii="Times New Roman" w:hAnsi="Times New Roman"/>
                <w:i/>
                <w:sz w:val="18"/>
                <w:szCs w:val="18"/>
              </w:rPr>
              <w:t xml:space="preserve"> </w:t>
            </w:r>
            <w:r>
              <w:rPr>
                <w:rFonts w:ascii="Times New Roman" w:hAnsi="Times New Roman"/>
                <w:sz w:val="18"/>
                <w:szCs w:val="18"/>
              </w:rPr>
              <w:t>%</w:t>
            </w:r>
          </w:p>
        </w:tc>
        <w:tc>
          <w:tcPr>
            <w:tcW w:w="1420" w:type="dxa"/>
            <w:vAlign w:val="center"/>
          </w:tcPr>
          <w:p>
            <w:pPr>
              <w:jc w:val="center"/>
            </w:pPr>
            <w:r>
              <w:t>0.2</w:t>
            </w:r>
            <w:r>
              <w:rPr>
                <w:rFonts w:hint="eastAsia"/>
              </w:rPr>
              <w:t>2</w:t>
            </w:r>
          </w:p>
        </w:tc>
        <w:tc>
          <w:tcPr>
            <w:tcW w:w="1421" w:type="dxa"/>
            <w:vAlign w:val="center"/>
          </w:tcPr>
          <w:p>
            <w:pPr>
              <w:jc w:val="center"/>
            </w:pPr>
            <w:r>
              <w:t>0.2</w:t>
            </w:r>
            <w:r>
              <w:rPr>
                <w:rFonts w:hint="eastAsia"/>
              </w:rPr>
              <w:t>2</w:t>
            </w:r>
          </w:p>
        </w:tc>
        <w:tc>
          <w:tcPr>
            <w:tcW w:w="1420" w:type="dxa"/>
            <w:vAlign w:val="center"/>
          </w:tcPr>
          <w:p>
            <w:pPr>
              <w:jc w:val="center"/>
            </w:pPr>
            <w:r>
              <w:t>0.26</w:t>
            </w:r>
          </w:p>
        </w:tc>
        <w:tc>
          <w:tcPr>
            <w:tcW w:w="1420" w:type="dxa"/>
            <w:vAlign w:val="center"/>
          </w:tcPr>
          <w:p>
            <w:pPr>
              <w:jc w:val="center"/>
            </w:pPr>
            <w:r>
              <w:t>0.</w:t>
            </w:r>
            <w:r>
              <w:rPr>
                <w:rFonts w:hint="eastAsia"/>
              </w:rPr>
              <w:t>30</w:t>
            </w:r>
          </w:p>
        </w:tc>
        <w:tc>
          <w:tcPr>
            <w:tcW w:w="1421" w:type="dxa"/>
            <w:vAlign w:val="center"/>
          </w:tcPr>
          <w:p>
            <w:pPr>
              <w:jc w:val="center"/>
            </w:pPr>
            <w:r>
              <w:t>0.2</w:t>
            </w:r>
            <w:r>
              <w:rPr>
                <w:rFonts w:hint="eastAsia"/>
              </w:rPr>
              <w:t>7</w:t>
            </w:r>
          </w:p>
        </w:tc>
      </w:tr>
    </w:tbl>
    <w:p>
      <w:pPr>
        <w:pStyle w:val="12"/>
        <w:numPr>
          <w:ilvl w:val="0"/>
          <w:numId w:val="0"/>
        </w:numPr>
        <w:spacing w:beforeLines="0" w:afterLines="0" w:line="360" w:lineRule="auto"/>
        <w:rPr>
          <w:rFonts w:hAnsi="黑体"/>
        </w:rPr>
      </w:pPr>
      <w:r>
        <w:rPr>
          <w:rFonts w:hint="eastAsia" w:hAnsi="黑体"/>
        </w:rPr>
        <w:t xml:space="preserve">9  </w:t>
      </w:r>
      <w:r>
        <w:rPr>
          <w:rFonts w:hAnsi="黑体"/>
        </w:rPr>
        <w:t>标准征求意见稿意见汇总与处理</w:t>
      </w:r>
    </w:p>
    <w:p>
      <w:pPr>
        <w:pStyle w:val="14"/>
        <w:tabs>
          <w:tab w:val="center" w:pos="4201"/>
          <w:tab w:val="right" w:leader="dot" w:pos="9298"/>
        </w:tabs>
        <w:ind w:firstLine="420"/>
        <w:rPr>
          <w:rFonts w:ascii="Times New Roman" w:hAnsi="Times New Roman"/>
          <w:szCs w:val="21"/>
        </w:rPr>
      </w:pPr>
      <w:r>
        <w:rPr>
          <w:rFonts w:ascii="Times New Roman" w:hAnsi="Times New Roman"/>
          <w:szCs w:val="21"/>
        </w:rPr>
        <w:t>在协同试验和标准</w:t>
      </w:r>
      <w:r>
        <w:rPr>
          <w:rFonts w:hint="eastAsia" w:ascii="Times New Roman" w:hAnsi="Times New Roman"/>
          <w:szCs w:val="21"/>
        </w:rPr>
        <w:t>预</w:t>
      </w:r>
      <w:r>
        <w:rPr>
          <w:rFonts w:ascii="Times New Roman" w:hAnsi="Times New Roman"/>
          <w:szCs w:val="21"/>
        </w:rPr>
        <w:t>审过程中，征求</w:t>
      </w:r>
      <w:r>
        <w:rPr>
          <w:rFonts w:hint="eastAsia" w:ascii="Times New Roman" w:hAnsi="Times New Roman"/>
          <w:szCs w:val="21"/>
        </w:rPr>
        <w:t>的</w:t>
      </w:r>
      <w:r>
        <w:rPr>
          <w:rFonts w:ascii="Times New Roman" w:hAnsi="Times New Roman"/>
          <w:szCs w:val="21"/>
        </w:rPr>
        <w:t>意见</w:t>
      </w:r>
      <w:r>
        <w:rPr>
          <w:rFonts w:hint="eastAsia" w:ascii="Times New Roman" w:hAnsi="Times New Roman"/>
          <w:szCs w:val="21"/>
        </w:rPr>
        <w:t>以及</w:t>
      </w:r>
      <w:r>
        <w:rPr>
          <w:rFonts w:ascii="Times New Roman" w:hAnsi="Times New Roman"/>
          <w:szCs w:val="21"/>
        </w:rPr>
        <w:t>对意见</w:t>
      </w:r>
      <w:r>
        <w:rPr>
          <w:rFonts w:hint="eastAsia" w:ascii="Times New Roman" w:hAnsi="Times New Roman"/>
          <w:szCs w:val="21"/>
        </w:rPr>
        <w:t>的</w:t>
      </w:r>
      <w:r>
        <w:rPr>
          <w:rFonts w:ascii="Times New Roman" w:hAnsi="Times New Roman"/>
          <w:szCs w:val="21"/>
        </w:rPr>
        <w:t>分析处理，详见</w:t>
      </w:r>
      <w:r>
        <w:rPr>
          <w:rFonts w:hint="eastAsia" w:ascii="Times New Roman" w:hAnsi="Times New Roman"/>
          <w:szCs w:val="21"/>
        </w:rPr>
        <w:t>意见汇总表</w:t>
      </w:r>
      <w:r>
        <w:rPr>
          <w:rFonts w:ascii="Times New Roman" w:hAnsi="Times New Roman"/>
          <w:szCs w:val="21"/>
        </w:rPr>
        <w:t>。</w:t>
      </w:r>
    </w:p>
    <w:p>
      <w:pPr>
        <w:pStyle w:val="12"/>
        <w:numPr>
          <w:ilvl w:val="0"/>
          <w:numId w:val="0"/>
        </w:numPr>
        <w:spacing w:beforeLines="0" w:afterLines="0" w:line="360" w:lineRule="auto"/>
        <w:rPr>
          <w:rFonts w:hAnsi="黑体"/>
        </w:rPr>
      </w:pPr>
      <w:r>
        <w:rPr>
          <w:rFonts w:hint="eastAsia" w:hAnsi="黑体"/>
        </w:rPr>
        <w:t xml:space="preserve">10  </w:t>
      </w:r>
      <w:r>
        <w:rPr>
          <w:rFonts w:hAnsi="黑体"/>
        </w:rPr>
        <w:t>预期效果</w:t>
      </w:r>
    </w:p>
    <w:p>
      <w:pPr>
        <w:ind w:firstLine="437"/>
        <w:jc w:val="left"/>
        <w:rPr>
          <w:kern w:val="0"/>
        </w:rPr>
      </w:pPr>
      <w:r>
        <w:rPr>
          <w:kern w:val="0"/>
        </w:rPr>
        <w:t>经研究、讨论和审定后，所制定的</w:t>
      </w:r>
      <w:r>
        <w:rPr>
          <w:rFonts w:hint="eastAsia"/>
        </w:rPr>
        <w:t>《</w:t>
      </w:r>
      <w:r>
        <w:rPr>
          <w:rFonts w:hint="eastAsia" w:ascii="宋体" w:hAnsi="宋体"/>
          <w:szCs w:val="21"/>
        </w:rPr>
        <w:t>铜阳极泥分银渣化学分析方法  第6部分：铜量的测定 碘量法</w:t>
      </w:r>
      <w:r>
        <w:rPr>
          <w:rFonts w:hint="eastAsia"/>
        </w:rPr>
        <w:t>》</w:t>
      </w:r>
      <w:r>
        <w:rPr>
          <w:kern w:val="0"/>
        </w:rPr>
        <w:t>标准为推荐性有色金属</w:t>
      </w:r>
      <w:r>
        <w:rPr>
          <w:rFonts w:hint="eastAsia"/>
          <w:kern w:val="0"/>
        </w:rPr>
        <w:t>化学分析方法</w:t>
      </w:r>
      <w:r>
        <w:rPr>
          <w:kern w:val="0"/>
        </w:rPr>
        <w:t>行业标准，为国内首次制定、发行。</w:t>
      </w:r>
    </w:p>
    <w:p>
      <w:pPr>
        <w:ind w:firstLine="437"/>
        <w:jc w:val="left"/>
        <w:rPr>
          <w:kern w:val="0"/>
        </w:rPr>
      </w:pPr>
    </w:p>
    <w:p>
      <w:pPr>
        <w:ind w:right="315" w:firstLine="437"/>
        <w:jc w:val="center"/>
        <w:rPr>
          <w:rFonts w:ascii="黑体" w:hAnsi="黑体" w:eastAsia="黑体"/>
          <w:kern w:val="0"/>
          <w:sz w:val="28"/>
          <w:szCs w:val="28"/>
        </w:rPr>
      </w:pPr>
      <w:r>
        <w:rPr>
          <w:rFonts w:hint="eastAsia" w:ascii="黑体" w:hAnsi="黑体" w:eastAsia="黑体"/>
          <w:kern w:val="0"/>
          <w:sz w:val="28"/>
          <w:szCs w:val="28"/>
        </w:rPr>
        <w:t xml:space="preserve">                                北矿检测技术有限公司</w:t>
      </w:r>
    </w:p>
    <w:p>
      <w:pPr>
        <w:ind w:right="315" w:firstLine="437"/>
        <w:rPr>
          <w:rFonts w:ascii="黑体" w:hAnsi="黑体" w:eastAsia="黑体"/>
          <w:kern w:val="0"/>
          <w:sz w:val="28"/>
          <w:szCs w:val="28"/>
        </w:rPr>
      </w:pPr>
      <w:r>
        <w:rPr>
          <w:rFonts w:hint="eastAsia" w:ascii="黑体" w:hAnsi="黑体" w:eastAsia="黑体"/>
          <w:kern w:val="0"/>
          <w:sz w:val="28"/>
          <w:szCs w:val="28"/>
        </w:rPr>
        <w:t xml:space="preserve">     </w:t>
      </w:r>
      <w:r>
        <w:rPr>
          <w:rFonts w:ascii="黑体" w:hAnsi="黑体" w:eastAsia="黑体"/>
          <w:kern w:val="0"/>
          <w:sz w:val="28"/>
          <w:szCs w:val="28"/>
        </w:rPr>
        <w:t xml:space="preserve">                             201</w:t>
      </w:r>
      <w:r>
        <w:rPr>
          <w:rFonts w:hint="eastAsia" w:ascii="黑体" w:hAnsi="黑体" w:eastAsia="黑体"/>
          <w:kern w:val="0"/>
          <w:sz w:val="28"/>
          <w:szCs w:val="28"/>
        </w:rPr>
        <w:t>7</w:t>
      </w:r>
      <w:r>
        <w:rPr>
          <w:rFonts w:ascii="黑体" w:hAnsi="黑体" w:eastAsia="黑体"/>
          <w:kern w:val="0"/>
          <w:sz w:val="28"/>
          <w:szCs w:val="28"/>
        </w:rPr>
        <w:t>年</w:t>
      </w:r>
      <w:r>
        <w:rPr>
          <w:rFonts w:hint="eastAsia" w:ascii="黑体" w:hAnsi="黑体" w:eastAsia="黑体"/>
          <w:kern w:val="0"/>
          <w:sz w:val="28"/>
          <w:szCs w:val="28"/>
        </w:rPr>
        <w:t>11</w:t>
      </w:r>
      <w:r>
        <w:rPr>
          <w:rFonts w:ascii="黑体" w:hAnsi="黑体" w:eastAsia="黑体"/>
          <w:kern w:val="0"/>
          <w:sz w:val="28"/>
          <w:szCs w:val="28"/>
        </w:rPr>
        <w:t>月</w:t>
      </w:r>
      <w:r>
        <w:rPr>
          <w:rFonts w:hint="eastAsia" w:ascii="黑体" w:hAnsi="黑体" w:eastAsia="黑体"/>
          <w:kern w:val="0"/>
          <w:sz w:val="28"/>
          <w:szCs w:val="28"/>
        </w:rPr>
        <w:t>1</w:t>
      </w:r>
      <w:r>
        <w:rPr>
          <w:rFonts w:ascii="黑体" w:hAnsi="黑体" w:eastAsia="黑体"/>
          <w:kern w:val="0"/>
          <w:sz w:val="28"/>
          <w:szCs w:val="28"/>
        </w:rPr>
        <w:t>日</w:t>
      </w:r>
    </w:p>
    <w:p>
      <w:pPr>
        <w:widowControl/>
        <w:jc w:val="left"/>
        <w:rPr>
          <w:rFonts w:ascii="黑体" w:hAnsi="黑体" w:eastAsia="黑体"/>
          <w:kern w:val="0"/>
          <w:sz w:val="28"/>
          <w:szCs w:val="28"/>
        </w:rPr>
      </w:pPr>
      <w:r>
        <w:rPr>
          <w:rFonts w:ascii="黑体" w:hAnsi="黑体" w:eastAsia="黑体"/>
          <w:kern w:val="0"/>
          <w:sz w:val="28"/>
          <w:szCs w:val="28"/>
        </w:rPr>
        <w:br w:type="page"/>
      </w:r>
    </w:p>
    <w:p>
      <w:pPr>
        <w:jc w:val="left"/>
        <w:rPr>
          <w:szCs w:val="21"/>
        </w:rPr>
      </w:pPr>
      <w:r>
        <w:rPr>
          <w:szCs w:val="21"/>
        </w:rPr>
        <w:t>附件1：</w:t>
      </w:r>
    </w:p>
    <w:p>
      <w:pPr>
        <w:jc w:val="center"/>
        <w:rPr>
          <w:rFonts w:eastAsia="黑体"/>
          <w:bCs/>
          <w:color w:val="000000"/>
          <w:sz w:val="32"/>
          <w:szCs w:val="32"/>
        </w:rPr>
      </w:pPr>
      <w:r>
        <w:rPr>
          <w:rFonts w:hint="eastAsia" w:eastAsia="黑体"/>
          <w:bCs/>
          <w:color w:val="000000"/>
          <w:sz w:val="32"/>
          <w:szCs w:val="32"/>
        </w:rPr>
        <w:t>分银渣</w:t>
      </w:r>
      <w:r>
        <w:rPr>
          <w:rFonts w:eastAsia="黑体"/>
          <w:bCs/>
          <w:color w:val="000000"/>
          <w:sz w:val="32"/>
          <w:szCs w:val="32"/>
        </w:rPr>
        <w:t>化学分析方法</w:t>
      </w:r>
    </w:p>
    <w:p>
      <w:pPr>
        <w:jc w:val="center"/>
        <w:rPr>
          <w:rFonts w:eastAsia="黑体"/>
          <w:bCs/>
          <w:color w:val="000000"/>
          <w:sz w:val="32"/>
          <w:szCs w:val="32"/>
        </w:rPr>
      </w:pPr>
      <w:r>
        <w:rPr>
          <w:rFonts w:hint="eastAsia" w:eastAsia="黑体"/>
          <w:bCs/>
          <w:color w:val="000000"/>
          <w:sz w:val="32"/>
          <w:szCs w:val="32"/>
        </w:rPr>
        <w:t>第6部分：铜</w:t>
      </w:r>
      <w:r>
        <w:rPr>
          <w:rFonts w:eastAsia="黑体"/>
          <w:bCs/>
          <w:color w:val="000000"/>
          <w:sz w:val="32"/>
          <w:szCs w:val="32"/>
        </w:rPr>
        <w:t>量的测定</w:t>
      </w:r>
    </w:p>
    <w:p>
      <w:pPr>
        <w:jc w:val="center"/>
        <w:rPr>
          <w:rFonts w:eastAsia="黑体"/>
          <w:bCs/>
          <w:color w:val="000000"/>
          <w:sz w:val="32"/>
          <w:szCs w:val="32"/>
        </w:rPr>
      </w:pPr>
      <w:r>
        <w:rPr>
          <w:rFonts w:hint="eastAsia" w:eastAsia="黑体"/>
          <w:bCs/>
          <w:color w:val="000000"/>
          <w:sz w:val="32"/>
          <w:szCs w:val="32"/>
        </w:rPr>
        <w:t>碘量法</w:t>
      </w:r>
    </w:p>
    <w:p>
      <w:pPr>
        <w:jc w:val="center"/>
        <w:rPr>
          <w:rFonts w:eastAsia="黑体"/>
          <w:bCs/>
          <w:color w:val="000000"/>
          <w:sz w:val="32"/>
          <w:szCs w:val="32"/>
        </w:rPr>
      </w:pPr>
      <w:r>
        <w:rPr>
          <w:rFonts w:eastAsia="黑体"/>
          <w:bCs/>
          <w:color w:val="000000"/>
          <w:sz w:val="32"/>
          <w:szCs w:val="32"/>
        </w:rPr>
        <w:t>试 验 报 告</w:t>
      </w:r>
    </w:p>
    <w:p>
      <w:pPr>
        <w:snapToGrid w:val="0"/>
        <w:spacing w:line="340" w:lineRule="atLeast"/>
        <w:rPr>
          <w:rFonts w:eastAsia="黑体"/>
          <w:color w:val="000000"/>
          <w:sz w:val="30"/>
          <w:szCs w:val="30"/>
        </w:rPr>
      </w:pPr>
      <w:bookmarkStart w:id="0" w:name="_Toc64356953"/>
      <w:bookmarkStart w:id="1" w:name="_Toc66237952"/>
      <w:bookmarkStart w:id="2" w:name="_Toc64356674"/>
      <w:bookmarkStart w:id="3" w:name="_Toc64357460"/>
      <w:bookmarkStart w:id="4" w:name="_Toc66238156"/>
      <w:bookmarkStart w:id="5" w:name="_Toc64690970"/>
      <w:bookmarkStart w:id="6" w:name="_Toc66237719"/>
      <w:bookmarkStart w:id="7" w:name="_Toc64356031"/>
      <w:r>
        <w:rPr>
          <w:rFonts w:eastAsia="黑体"/>
          <w:color w:val="000000"/>
          <w:sz w:val="30"/>
          <w:szCs w:val="30"/>
        </w:rPr>
        <w:t>1 实验部分</w:t>
      </w:r>
    </w:p>
    <w:bookmarkEnd w:id="0"/>
    <w:bookmarkEnd w:id="1"/>
    <w:bookmarkEnd w:id="2"/>
    <w:bookmarkEnd w:id="3"/>
    <w:bookmarkEnd w:id="4"/>
    <w:bookmarkEnd w:id="5"/>
    <w:bookmarkEnd w:id="6"/>
    <w:bookmarkEnd w:id="7"/>
    <w:p>
      <w:pPr>
        <w:ind w:firstLine="420" w:firstLineChars="200"/>
        <w:rPr>
          <w:rFonts w:hAnsi="宋体"/>
          <w:szCs w:val="21"/>
        </w:rPr>
      </w:pPr>
      <w:r>
        <w:t>除非另有说明，</w:t>
      </w:r>
      <w:r>
        <w:rPr>
          <w:rFonts w:hAnsi="宋体"/>
          <w:szCs w:val="21"/>
        </w:rPr>
        <w:t>分析中仅使用确认为</w:t>
      </w:r>
      <w:r>
        <w:rPr>
          <w:rFonts w:hint="eastAsia" w:hAnsi="宋体"/>
          <w:szCs w:val="21"/>
        </w:rPr>
        <w:t>分析纯</w:t>
      </w:r>
      <w:r>
        <w:rPr>
          <w:rFonts w:hAnsi="宋体"/>
          <w:szCs w:val="21"/>
        </w:rPr>
        <w:t>的试剂</w:t>
      </w:r>
      <w:r>
        <w:rPr>
          <w:rFonts w:hint="eastAsia"/>
          <w:spacing w:val="6"/>
        </w:rPr>
        <w:t>，</w:t>
      </w:r>
      <w:r>
        <w:rPr>
          <w:rFonts w:hAnsi="宋体"/>
          <w:szCs w:val="21"/>
        </w:rPr>
        <w:t>所用水均为蒸馏水或去离子水或相当纯度的水。</w:t>
      </w:r>
    </w:p>
    <w:p>
      <w:pPr>
        <w:rPr>
          <w:rFonts w:eastAsia="黑体"/>
          <w:bCs/>
          <w:color w:val="000000"/>
          <w:szCs w:val="21"/>
        </w:rPr>
      </w:pPr>
      <w:r>
        <w:rPr>
          <w:rFonts w:hint="eastAsia" w:eastAsia="黑体"/>
          <w:bCs/>
          <w:color w:val="000000"/>
          <w:szCs w:val="21"/>
        </w:rPr>
        <w:t>1.1  试剂</w:t>
      </w:r>
    </w:p>
    <w:p>
      <w:pPr>
        <w:rPr>
          <w:color w:val="000000" w:themeColor="text1"/>
        </w:rPr>
      </w:pPr>
      <w:r>
        <w:rPr>
          <w:rFonts w:eastAsiaTheme="minorEastAsia"/>
          <w:bCs/>
          <w:color w:val="000000" w:themeColor="text1"/>
          <w:szCs w:val="21"/>
        </w:rPr>
        <w:t>1.1.1</w:t>
      </w:r>
      <w:r>
        <w:rPr>
          <w:rFonts w:eastAsiaTheme="minorEastAsia"/>
          <w:color w:val="000000" w:themeColor="text1"/>
        </w:rPr>
        <w:t xml:space="preserve">  </w:t>
      </w:r>
      <w:r>
        <w:rPr>
          <w:color w:val="000000" w:themeColor="text1"/>
        </w:rPr>
        <w:t>金属铜（</w:t>
      </w:r>
      <w:r>
        <w:rPr>
          <w:i/>
          <w:color w:val="000000" w:themeColor="text1"/>
        </w:rPr>
        <w:t>w</w:t>
      </w:r>
      <w:r>
        <w:rPr>
          <w:color w:val="000000" w:themeColor="text1"/>
          <w:vertAlign w:val="subscript"/>
        </w:rPr>
        <w:t>Cu</w:t>
      </w:r>
      <w:r>
        <w:rPr>
          <w:rFonts w:hint="eastAsia" w:ascii="宋体" w:hAnsi="宋体" w:cs="宋体"/>
          <w:color w:val="000000" w:themeColor="text1"/>
        </w:rPr>
        <w:t>≥</w:t>
      </w:r>
      <w:r>
        <w:rPr>
          <w:color w:val="000000" w:themeColor="text1"/>
        </w:rPr>
        <w:t>99.99%）：将金属铜</w:t>
      </w:r>
      <w:r>
        <w:rPr>
          <w:rFonts w:hint="eastAsia"/>
          <w:color w:val="000000" w:themeColor="text1"/>
        </w:rPr>
        <w:t>置于</w:t>
      </w:r>
      <w:r>
        <w:rPr>
          <w:color w:val="000000" w:themeColor="text1"/>
        </w:rPr>
        <w:t>微沸的乙酸（</w:t>
      </w:r>
      <w:r>
        <w:rPr>
          <w:rFonts w:hint="eastAsia"/>
          <w:color w:val="000000" w:themeColor="text1"/>
        </w:rPr>
        <w:t>1.1</w:t>
      </w:r>
      <w:r>
        <w:rPr>
          <w:color w:val="000000" w:themeColor="text1"/>
        </w:rPr>
        <w:t>.1</w:t>
      </w:r>
      <w:r>
        <w:rPr>
          <w:rFonts w:hint="eastAsia"/>
          <w:color w:val="000000" w:themeColor="text1"/>
        </w:rPr>
        <w:t>3</w:t>
      </w:r>
      <w:r>
        <w:rPr>
          <w:color w:val="000000" w:themeColor="text1"/>
        </w:rPr>
        <w:t>）中，微沸1min，取出后用水和无水乙醇（</w:t>
      </w:r>
      <w:r>
        <w:rPr>
          <w:rFonts w:hint="eastAsia"/>
          <w:color w:val="000000" w:themeColor="text1"/>
        </w:rPr>
        <w:t>1.1</w:t>
      </w:r>
      <w:r>
        <w:rPr>
          <w:color w:val="000000" w:themeColor="text1"/>
        </w:rPr>
        <w:t>.3）分别冲洗</w:t>
      </w:r>
      <w:r>
        <w:rPr>
          <w:rFonts w:hint="eastAsia"/>
          <w:color w:val="000000" w:themeColor="text1"/>
        </w:rPr>
        <w:t>两</w:t>
      </w:r>
      <w:r>
        <w:rPr>
          <w:color w:val="000000" w:themeColor="text1"/>
        </w:rPr>
        <w:t>次以上，在</w:t>
      </w:r>
      <w:r>
        <w:rPr>
          <w:rFonts w:hint="eastAsia"/>
          <w:color w:val="000000" w:themeColor="text1"/>
        </w:rPr>
        <w:t>100℃~105℃</w:t>
      </w:r>
      <w:r>
        <w:rPr>
          <w:color w:val="000000" w:themeColor="text1"/>
        </w:rPr>
        <w:t>烘箱中烘4min，冷却，置于磨口瓶中备用。</w:t>
      </w:r>
    </w:p>
    <w:p>
      <w:pPr>
        <w:rPr>
          <w:szCs w:val="21"/>
        </w:rPr>
      </w:pPr>
      <w:r>
        <w:rPr>
          <w:rFonts w:eastAsiaTheme="majorEastAsia"/>
          <w:bCs/>
          <w:color w:val="000000" w:themeColor="text1"/>
          <w:szCs w:val="21"/>
        </w:rPr>
        <w:t>1.1.2</w:t>
      </w:r>
      <w:r>
        <w:rPr>
          <w:rFonts w:eastAsia="黑体"/>
          <w:bCs/>
          <w:color w:val="000000" w:themeColor="text1"/>
          <w:szCs w:val="21"/>
        </w:rPr>
        <w:t xml:space="preserve">  </w:t>
      </w:r>
      <w:r>
        <w:rPr>
          <w:szCs w:val="21"/>
        </w:rPr>
        <w:t>碘化钾。</w:t>
      </w:r>
    </w:p>
    <w:p>
      <w:pPr>
        <w:rPr>
          <w:szCs w:val="21"/>
        </w:rPr>
      </w:pPr>
      <w:r>
        <w:rPr>
          <w:rFonts w:eastAsiaTheme="majorEastAsia"/>
          <w:bCs/>
          <w:color w:val="000000" w:themeColor="text1"/>
          <w:szCs w:val="21"/>
        </w:rPr>
        <w:t xml:space="preserve">1.1.3 </w:t>
      </w:r>
      <w:r>
        <w:rPr>
          <w:szCs w:val="21"/>
        </w:rPr>
        <w:t xml:space="preserve"> 无水乙醇。</w:t>
      </w:r>
    </w:p>
    <w:p>
      <w:pPr>
        <w:rPr>
          <w:rFonts w:eastAsiaTheme="majorEastAsia"/>
          <w:bCs/>
          <w:color w:val="000000" w:themeColor="text1"/>
          <w:szCs w:val="21"/>
        </w:rPr>
      </w:pPr>
      <w:r>
        <w:rPr>
          <w:rFonts w:eastAsiaTheme="majorEastAsia"/>
          <w:bCs/>
          <w:color w:val="000000" w:themeColor="text1"/>
          <w:szCs w:val="21"/>
        </w:rPr>
        <w:t>1.1.</w:t>
      </w:r>
      <w:r>
        <w:rPr>
          <w:rFonts w:hint="eastAsia" w:eastAsiaTheme="majorEastAsia"/>
          <w:bCs/>
          <w:color w:val="000000" w:themeColor="text1"/>
          <w:szCs w:val="21"/>
        </w:rPr>
        <w:t>4</w:t>
      </w:r>
      <w:r>
        <w:rPr>
          <w:rFonts w:eastAsiaTheme="majorEastAsia"/>
          <w:bCs/>
          <w:color w:val="000000" w:themeColor="text1"/>
          <w:szCs w:val="21"/>
        </w:rPr>
        <w:t xml:space="preserve">  盐酸（ρ 1.19g/mL）。</w:t>
      </w:r>
    </w:p>
    <w:p>
      <w:pPr>
        <w:rPr>
          <w:rFonts w:eastAsiaTheme="majorEastAsia"/>
          <w:bCs/>
          <w:color w:val="000000" w:themeColor="text1"/>
          <w:szCs w:val="21"/>
        </w:rPr>
      </w:pPr>
      <w:r>
        <w:rPr>
          <w:rFonts w:eastAsiaTheme="majorEastAsia"/>
          <w:bCs/>
          <w:color w:val="000000" w:themeColor="text1"/>
          <w:szCs w:val="21"/>
        </w:rPr>
        <w:t>1.1.</w:t>
      </w:r>
      <w:r>
        <w:rPr>
          <w:rFonts w:hint="eastAsia" w:eastAsiaTheme="majorEastAsia"/>
          <w:bCs/>
          <w:color w:val="000000" w:themeColor="text1"/>
          <w:szCs w:val="21"/>
        </w:rPr>
        <w:t>5</w:t>
      </w:r>
      <w:r>
        <w:rPr>
          <w:rFonts w:eastAsiaTheme="majorEastAsia"/>
          <w:bCs/>
          <w:color w:val="000000" w:themeColor="text1"/>
          <w:szCs w:val="21"/>
        </w:rPr>
        <w:t xml:space="preserve">  硝酸（ρ 1.42g/mL）。</w:t>
      </w:r>
    </w:p>
    <w:p>
      <w:pPr>
        <w:rPr>
          <w:rFonts w:eastAsiaTheme="majorEastAsia"/>
          <w:bCs/>
          <w:color w:val="000000" w:themeColor="text1"/>
          <w:szCs w:val="21"/>
        </w:rPr>
      </w:pPr>
      <w:r>
        <w:rPr>
          <w:rFonts w:eastAsiaTheme="majorEastAsia"/>
          <w:bCs/>
          <w:color w:val="000000" w:themeColor="text1"/>
          <w:szCs w:val="21"/>
        </w:rPr>
        <w:t>1.1.</w:t>
      </w:r>
      <w:r>
        <w:rPr>
          <w:rFonts w:hint="eastAsia" w:eastAsiaTheme="majorEastAsia"/>
          <w:bCs/>
          <w:color w:val="000000" w:themeColor="text1"/>
          <w:szCs w:val="21"/>
        </w:rPr>
        <w:t>6</w:t>
      </w:r>
      <w:r>
        <w:rPr>
          <w:rFonts w:eastAsiaTheme="majorEastAsia"/>
          <w:bCs/>
          <w:color w:val="000000" w:themeColor="text1"/>
          <w:szCs w:val="21"/>
        </w:rPr>
        <w:t xml:space="preserve">  硫酸（ρ 1.84g/mL）。</w:t>
      </w:r>
    </w:p>
    <w:p>
      <w:pPr>
        <w:rPr>
          <w:rFonts w:eastAsiaTheme="majorEastAsia"/>
          <w:bCs/>
          <w:color w:val="000000" w:themeColor="text1"/>
          <w:szCs w:val="21"/>
        </w:rPr>
      </w:pPr>
      <w:r>
        <w:rPr>
          <w:rFonts w:eastAsiaTheme="majorEastAsia"/>
          <w:bCs/>
          <w:color w:val="000000" w:themeColor="text1"/>
          <w:szCs w:val="21"/>
        </w:rPr>
        <w:t>1.1.</w:t>
      </w:r>
      <w:r>
        <w:rPr>
          <w:rFonts w:hint="eastAsia" w:eastAsiaTheme="majorEastAsia"/>
          <w:bCs/>
          <w:color w:val="000000" w:themeColor="text1"/>
          <w:szCs w:val="21"/>
        </w:rPr>
        <w:t>7</w:t>
      </w:r>
      <w:r>
        <w:rPr>
          <w:rFonts w:eastAsiaTheme="majorEastAsia"/>
          <w:bCs/>
          <w:color w:val="000000" w:themeColor="text1"/>
          <w:szCs w:val="21"/>
        </w:rPr>
        <w:t xml:space="preserve">  高氯酸（ρ 1.</w:t>
      </w:r>
      <w:r>
        <w:rPr>
          <w:rFonts w:hint="eastAsia" w:eastAsiaTheme="majorEastAsia"/>
          <w:bCs/>
          <w:color w:val="000000" w:themeColor="text1"/>
          <w:szCs w:val="21"/>
        </w:rPr>
        <w:t>76</w:t>
      </w:r>
      <w:r>
        <w:rPr>
          <w:rFonts w:eastAsiaTheme="majorEastAsia"/>
          <w:bCs/>
          <w:color w:val="000000" w:themeColor="text1"/>
          <w:szCs w:val="21"/>
        </w:rPr>
        <w:t>g/mL）。</w:t>
      </w:r>
    </w:p>
    <w:p>
      <w:pPr>
        <w:rPr>
          <w:rFonts w:eastAsiaTheme="majorEastAsia"/>
          <w:bCs/>
          <w:color w:val="000000" w:themeColor="text1"/>
          <w:szCs w:val="21"/>
        </w:rPr>
      </w:pPr>
      <w:r>
        <w:rPr>
          <w:rFonts w:eastAsiaTheme="majorEastAsia"/>
          <w:bCs/>
          <w:color w:val="000000" w:themeColor="text1"/>
          <w:szCs w:val="21"/>
        </w:rPr>
        <w:t>1.1.</w:t>
      </w:r>
      <w:r>
        <w:rPr>
          <w:rFonts w:hint="eastAsia" w:eastAsiaTheme="majorEastAsia"/>
          <w:bCs/>
          <w:color w:val="000000" w:themeColor="text1"/>
          <w:szCs w:val="21"/>
        </w:rPr>
        <w:t>8</w:t>
      </w:r>
      <w:r>
        <w:rPr>
          <w:rFonts w:eastAsiaTheme="majorEastAsia"/>
          <w:bCs/>
          <w:color w:val="000000" w:themeColor="text1"/>
          <w:szCs w:val="21"/>
        </w:rPr>
        <w:t xml:space="preserve">  氢溴酸（ρ 1.</w:t>
      </w:r>
      <w:r>
        <w:rPr>
          <w:rFonts w:hint="eastAsia" w:eastAsiaTheme="majorEastAsia"/>
          <w:bCs/>
          <w:color w:val="000000" w:themeColor="text1"/>
          <w:szCs w:val="21"/>
        </w:rPr>
        <w:t>49</w:t>
      </w:r>
      <w:r>
        <w:rPr>
          <w:rFonts w:eastAsiaTheme="majorEastAsia"/>
          <w:bCs/>
          <w:color w:val="000000" w:themeColor="text1"/>
          <w:szCs w:val="21"/>
        </w:rPr>
        <w:t>g/mL）。</w:t>
      </w:r>
    </w:p>
    <w:p>
      <w:pPr>
        <w:rPr>
          <w:rFonts w:eastAsiaTheme="majorEastAsia"/>
          <w:bCs/>
          <w:color w:val="000000" w:themeColor="text1"/>
          <w:szCs w:val="21"/>
        </w:rPr>
      </w:pPr>
      <w:r>
        <w:rPr>
          <w:rFonts w:eastAsiaTheme="majorEastAsia"/>
          <w:bCs/>
          <w:color w:val="000000" w:themeColor="text1"/>
          <w:szCs w:val="21"/>
        </w:rPr>
        <w:t>1.1.</w:t>
      </w:r>
      <w:r>
        <w:rPr>
          <w:rFonts w:hint="eastAsia" w:eastAsiaTheme="majorEastAsia"/>
          <w:bCs/>
          <w:color w:val="000000" w:themeColor="text1"/>
          <w:szCs w:val="21"/>
        </w:rPr>
        <w:t>9</w:t>
      </w:r>
      <w:r>
        <w:rPr>
          <w:rFonts w:eastAsiaTheme="majorEastAsia"/>
          <w:bCs/>
          <w:color w:val="000000" w:themeColor="text1"/>
          <w:szCs w:val="21"/>
        </w:rPr>
        <w:t xml:space="preserve">  氨水（ρ 0.90g/mL）。</w:t>
      </w:r>
    </w:p>
    <w:p>
      <w:pPr>
        <w:rPr>
          <w:rFonts w:eastAsiaTheme="majorEastAsia"/>
          <w:bCs/>
          <w:color w:val="000000" w:themeColor="text1"/>
          <w:szCs w:val="21"/>
        </w:rPr>
      </w:pPr>
      <w:r>
        <w:rPr>
          <w:rFonts w:eastAsiaTheme="majorEastAsia"/>
          <w:bCs/>
          <w:color w:val="000000" w:themeColor="text1"/>
          <w:szCs w:val="21"/>
        </w:rPr>
        <w:t>1.1.1</w:t>
      </w:r>
      <w:r>
        <w:rPr>
          <w:rFonts w:hint="eastAsia" w:eastAsiaTheme="majorEastAsia"/>
          <w:bCs/>
          <w:color w:val="000000" w:themeColor="text1"/>
          <w:szCs w:val="21"/>
        </w:rPr>
        <w:t>0</w:t>
      </w:r>
      <w:r>
        <w:rPr>
          <w:rFonts w:eastAsiaTheme="majorEastAsia"/>
          <w:bCs/>
          <w:color w:val="000000" w:themeColor="text1"/>
          <w:szCs w:val="21"/>
        </w:rPr>
        <w:t xml:space="preserve">  冰乙酸（ρ 1.05g/mL）。</w:t>
      </w:r>
    </w:p>
    <w:p>
      <w:pPr>
        <w:rPr>
          <w:rFonts w:eastAsiaTheme="majorEastAsia"/>
          <w:bCs/>
          <w:color w:val="000000" w:themeColor="text1"/>
          <w:szCs w:val="21"/>
        </w:rPr>
      </w:pPr>
      <w:r>
        <w:rPr>
          <w:rFonts w:eastAsiaTheme="majorEastAsia"/>
          <w:bCs/>
          <w:color w:val="000000" w:themeColor="text1"/>
          <w:szCs w:val="21"/>
        </w:rPr>
        <w:t>1.1.1</w:t>
      </w:r>
      <w:r>
        <w:rPr>
          <w:rFonts w:hint="eastAsia" w:eastAsiaTheme="majorEastAsia"/>
          <w:bCs/>
          <w:color w:val="000000" w:themeColor="text1"/>
          <w:szCs w:val="21"/>
        </w:rPr>
        <w:t>1</w:t>
      </w:r>
      <w:r>
        <w:rPr>
          <w:rFonts w:eastAsiaTheme="majorEastAsia"/>
          <w:bCs/>
          <w:color w:val="000000" w:themeColor="text1"/>
          <w:szCs w:val="21"/>
        </w:rPr>
        <w:t xml:space="preserve">  硝酸（1+1）</w:t>
      </w:r>
    </w:p>
    <w:p>
      <w:pPr>
        <w:rPr>
          <w:szCs w:val="21"/>
        </w:rPr>
      </w:pPr>
      <w:r>
        <w:rPr>
          <w:rFonts w:eastAsiaTheme="majorEastAsia"/>
          <w:bCs/>
          <w:color w:val="000000" w:themeColor="text1"/>
          <w:szCs w:val="21"/>
        </w:rPr>
        <w:t>1.1.1</w:t>
      </w:r>
      <w:r>
        <w:rPr>
          <w:rFonts w:hint="eastAsia" w:eastAsiaTheme="majorEastAsia"/>
          <w:bCs/>
          <w:color w:val="000000" w:themeColor="text1"/>
          <w:szCs w:val="21"/>
        </w:rPr>
        <w:t>2</w:t>
      </w:r>
      <w:r>
        <w:rPr>
          <w:rFonts w:eastAsiaTheme="majorEastAsia"/>
          <w:bCs/>
          <w:color w:val="000000" w:themeColor="text1"/>
          <w:szCs w:val="21"/>
        </w:rPr>
        <w:t xml:space="preserve">  </w:t>
      </w:r>
      <w:r>
        <w:rPr>
          <w:szCs w:val="21"/>
        </w:rPr>
        <w:t>硫酸（1+1）</w:t>
      </w:r>
    </w:p>
    <w:p>
      <w:pPr>
        <w:rPr>
          <w:rFonts w:asciiTheme="minorEastAsia" w:hAnsiTheme="minorEastAsia" w:eastAsiaTheme="minorEastAsia"/>
          <w:szCs w:val="21"/>
        </w:rPr>
      </w:pPr>
      <w:r>
        <w:rPr>
          <w:rFonts w:hint="eastAsia"/>
          <w:szCs w:val="21"/>
        </w:rPr>
        <w:t xml:space="preserve">1.1.13  乙酸 </w:t>
      </w:r>
      <w:r>
        <w:rPr>
          <w:rFonts w:hint="eastAsia" w:asciiTheme="minorEastAsia" w:hAnsiTheme="minorEastAsia" w:eastAsiaTheme="minorEastAsia"/>
          <w:szCs w:val="21"/>
        </w:rPr>
        <w:t>(</w:t>
      </w:r>
      <w:r>
        <w:rPr>
          <w:rFonts w:hint="eastAsia"/>
          <w:szCs w:val="21"/>
        </w:rPr>
        <w:t>1+4</w:t>
      </w:r>
      <w:r>
        <w:rPr>
          <w:rFonts w:hint="eastAsia" w:asciiTheme="minorEastAsia" w:hAnsiTheme="minorEastAsia" w:eastAsiaTheme="minorEastAsia"/>
          <w:szCs w:val="21"/>
        </w:rPr>
        <w:t>)</w:t>
      </w:r>
    </w:p>
    <w:p>
      <w:pPr>
        <w:rPr>
          <w:rFonts w:eastAsiaTheme="majorEastAsia"/>
          <w:bCs/>
          <w:color w:val="000000" w:themeColor="text1"/>
          <w:szCs w:val="21"/>
        </w:rPr>
      </w:pPr>
      <w:r>
        <w:rPr>
          <w:rFonts w:eastAsiaTheme="majorEastAsia"/>
          <w:bCs/>
          <w:color w:val="000000" w:themeColor="text1"/>
          <w:szCs w:val="21"/>
        </w:rPr>
        <w:t>1.1.1</w:t>
      </w:r>
      <w:r>
        <w:rPr>
          <w:rFonts w:hint="eastAsia" w:eastAsiaTheme="majorEastAsia"/>
          <w:bCs/>
          <w:color w:val="000000" w:themeColor="text1"/>
          <w:szCs w:val="21"/>
        </w:rPr>
        <w:t>4</w:t>
      </w:r>
      <w:r>
        <w:rPr>
          <w:rFonts w:eastAsiaTheme="majorEastAsia"/>
          <w:bCs/>
          <w:color w:val="000000" w:themeColor="text1"/>
          <w:szCs w:val="21"/>
        </w:rPr>
        <w:t xml:space="preserve">  铜标准溶液：称取5.0000g金属铜（</w:t>
      </w:r>
      <w:r>
        <w:rPr>
          <w:rFonts w:hint="eastAsia" w:eastAsiaTheme="majorEastAsia"/>
          <w:bCs/>
          <w:color w:val="000000" w:themeColor="text1"/>
          <w:szCs w:val="21"/>
        </w:rPr>
        <w:t>1.1</w:t>
      </w:r>
      <w:r>
        <w:rPr>
          <w:rFonts w:eastAsiaTheme="majorEastAsia"/>
          <w:bCs/>
          <w:color w:val="000000" w:themeColor="text1"/>
          <w:szCs w:val="21"/>
        </w:rPr>
        <w:t>.1）置于400mL烧杯中，加入50mL硝酸（</w:t>
      </w:r>
      <w:r>
        <w:rPr>
          <w:rFonts w:hint="eastAsia" w:eastAsiaTheme="majorEastAsia"/>
          <w:bCs/>
          <w:color w:val="000000" w:themeColor="text1"/>
          <w:szCs w:val="21"/>
        </w:rPr>
        <w:t>1.1</w:t>
      </w:r>
      <w:r>
        <w:rPr>
          <w:rFonts w:eastAsiaTheme="majorEastAsia"/>
          <w:bCs/>
          <w:color w:val="000000" w:themeColor="text1"/>
          <w:szCs w:val="21"/>
        </w:rPr>
        <w:t>.1</w:t>
      </w:r>
      <w:r>
        <w:rPr>
          <w:rFonts w:hint="eastAsia" w:eastAsiaTheme="majorEastAsia"/>
          <w:bCs/>
          <w:color w:val="000000" w:themeColor="text1"/>
          <w:szCs w:val="21"/>
        </w:rPr>
        <w:t>1</w:t>
      </w:r>
      <w:r>
        <w:rPr>
          <w:rFonts w:eastAsiaTheme="majorEastAsia"/>
          <w:bCs/>
          <w:color w:val="000000" w:themeColor="text1"/>
          <w:szCs w:val="21"/>
        </w:rPr>
        <w:t>）加热至溶解完全，取下冷却至室温，移入1000mL容量瓶中，补加50mL硝酸（</w:t>
      </w:r>
      <w:r>
        <w:rPr>
          <w:rFonts w:hint="eastAsia" w:eastAsiaTheme="majorEastAsia"/>
          <w:bCs/>
          <w:color w:val="000000" w:themeColor="text1"/>
          <w:szCs w:val="21"/>
        </w:rPr>
        <w:t>1.1</w:t>
      </w:r>
      <w:r>
        <w:rPr>
          <w:rFonts w:eastAsiaTheme="majorEastAsia"/>
          <w:bCs/>
          <w:color w:val="000000" w:themeColor="text1"/>
          <w:szCs w:val="21"/>
        </w:rPr>
        <w:t>.1</w:t>
      </w:r>
      <w:r>
        <w:rPr>
          <w:rFonts w:hint="eastAsia" w:eastAsiaTheme="majorEastAsia"/>
          <w:bCs/>
          <w:color w:val="000000" w:themeColor="text1"/>
          <w:szCs w:val="21"/>
        </w:rPr>
        <w:t>1</w:t>
      </w:r>
      <w:r>
        <w:rPr>
          <w:rFonts w:eastAsiaTheme="majorEastAsia"/>
          <w:bCs/>
          <w:color w:val="000000" w:themeColor="text1"/>
          <w:szCs w:val="21"/>
        </w:rPr>
        <w:t>），用水稀释至刻度，混匀。此溶液1mL含5 mg铜。</w:t>
      </w:r>
    </w:p>
    <w:p>
      <w:pPr>
        <w:rPr>
          <w:rFonts w:eastAsiaTheme="majorEastAsia"/>
          <w:bCs/>
          <w:color w:val="000000" w:themeColor="text1"/>
          <w:szCs w:val="21"/>
        </w:rPr>
      </w:pPr>
      <w:r>
        <w:rPr>
          <w:rFonts w:eastAsiaTheme="majorEastAsia"/>
          <w:bCs/>
          <w:color w:val="000000" w:themeColor="text1"/>
          <w:szCs w:val="21"/>
        </w:rPr>
        <w:t>1.1.1</w:t>
      </w:r>
      <w:r>
        <w:rPr>
          <w:rFonts w:hint="eastAsia" w:eastAsiaTheme="majorEastAsia"/>
          <w:bCs/>
          <w:color w:val="000000" w:themeColor="text1"/>
          <w:szCs w:val="21"/>
        </w:rPr>
        <w:t>5</w:t>
      </w:r>
      <w:r>
        <w:rPr>
          <w:rFonts w:eastAsiaTheme="majorEastAsia"/>
          <w:bCs/>
          <w:color w:val="000000" w:themeColor="text1"/>
          <w:szCs w:val="21"/>
        </w:rPr>
        <w:t xml:space="preserve">  氟化氢铵饱和溶液（贮存于聚乙烯瓶中）。</w:t>
      </w:r>
    </w:p>
    <w:p>
      <w:pPr>
        <w:rPr>
          <w:rFonts w:eastAsiaTheme="majorEastAsia"/>
          <w:bCs/>
          <w:color w:val="000000" w:themeColor="text1"/>
          <w:szCs w:val="21"/>
        </w:rPr>
      </w:pPr>
      <w:r>
        <w:rPr>
          <w:rFonts w:eastAsiaTheme="majorEastAsia"/>
          <w:bCs/>
          <w:color w:val="000000" w:themeColor="text1"/>
          <w:szCs w:val="21"/>
        </w:rPr>
        <w:t>1.1.1</w:t>
      </w:r>
      <w:r>
        <w:rPr>
          <w:rFonts w:hint="eastAsia" w:eastAsiaTheme="majorEastAsia"/>
          <w:bCs/>
          <w:color w:val="000000" w:themeColor="text1"/>
          <w:szCs w:val="21"/>
        </w:rPr>
        <w:t>6</w:t>
      </w:r>
      <w:r>
        <w:rPr>
          <w:rFonts w:eastAsiaTheme="majorEastAsia"/>
          <w:bCs/>
          <w:color w:val="000000" w:themeColor="text1"/>
          <w:szCs w:val="21"/>
        </w:rPr>
        <w:t xml:space="preserve">  碘溶液（0.04mol/L）。</w:t>
      </w:r>
    </w:p>
    <w:p>
      <w:pPr>
        <w:rPr>
          <w:rFonts w:eastAsiaTheme="majorEastAsia"/>
          <w:bCs/>
          <w:color w:val="000000" w:themeColor="text1"/>
          <w:szCs w:val="21"/>
        </w:rPr>
      </w:pPr>
      <w:r>
        <w:rPr>
          <w:rFonts w:eastAsiaTheme="majorEastAsia"/>
          <w:bCs/>
          <w:color w:val="000000" w:themeColor="text1"/>
          <w:szCs w:val="21"/>
        </w:rPr>
        <w:t>1.1.1</w:t>
      </w:r>
      <w:r>
        <w:rPr>
          <w:rFonts w:hint="eastAsia" w:eastAsiaTheme="majorEastAsia"/>
          <w:bCs/>
          <w:color w:val="000000" w:themeColor="text1"/>
          <w:szCs w:val="21"/>
        </w:rPr>
        <w:t>7</w:t>
      </w:r>
      <w:r>
        <w:rPr>
          <w:rFonts w:eastAsiaTheme="majorEastAsia"/>
          <w:bCs/>
          <w:color w:val="000000" w:themeColor="text1"/>
          <w:szCs w:val="21"/>
        </w:rPr>
        <w:t xml:space="preserve">  三氯化铁</w:t>
      </w:r>
      <w:r>
        <w:rPr>
          <w:rFonts w:hint="eastAsia" w:eastAsiaTheme="majorEastAsia"/>
          <w:bCs/>
          <w:color w:val="000000" w:themeColor="text1"/>
          <w:szCs w:val="21"/>
        </w:rPr>
        <w:t>溶液</w:t>
      </w:r>
      <w:r>
        <w:rPr>
          <w:rFonts w:eastAsiaTheme="majorEastAsia"/>
          <w:bCs/>
          <w:color w:val="000000" w:themeColor="text1"/>
          <w:szCs w:val="21"/>
        </w:rPr>
        <w:t>（100g/L）</w:t>
      </w:r>
      <w:r>
        <w:rPr>
          <w:rFonts w:hint="eastAsia" w:eastAsiaTheme="majorEastAsia"/>
          <w:bCs/>
          <w:color w:val="000000" w:themeColor="text1"/>
          <w:szCs w:val="21"/>
        </w:rPr>
        <w:t>。</w:t>
      </w:r>
    </w:p>
    <w:p>
      <w:pPr>
        <w:rPr>
          <w:rFonts w:eastAsiaTheme="majorEastAsia"/>
          <w:bCs/>
          <w:color w:val="000000" w:themeColor="text1"/>
          <w:szCs w:val="21"/>
        </w:rPr>
      </w:pPr>
      <w:r>
        <w:rPr>
          <w:rFonts w:eastAsiaTheme="majorEastAsia"/>
          <w:bCs/>
          <w:color w:val="000000" w:themeColor="text1"/>
          <w:szCs w:val="21"/>
        </w:rPr>
        <w:t>1.1.1</w:t>
      </w:r>
      <w:r>
        <w:rPr>
          <w:rFonts w:hint="eastAsia" w:eastAsiaTheme="majorEastAsia"/>
          <w:bCs/>
          <w:color w:val="000000" w:themeColor="text1"/>
          <w:szCs w:val="21"/>
        </w:rPr>
        <w:t>8</w:t>
      </w:r>
      <w:r>
        <w:rPr>
          <w:rFonts w:eastAsiaTheme="majorEastAsia"/>
          <w:bCs/>
          <w:color w:val="000000" w:themeColor="text1"/>
          <w:szCs w:val="21"/>
        </w:rPr>
        <w:t xml:space="preserve">  淀粉溶液（5g/L）。</w:t>
      </w:r>
    </w:p>
    <w:p>
      <w:pPr>
        <w:rPr>
          <w:rFonts w:eastAsiaTheme="majorEastAsia"/>
          <w:bCs/>
          <w:color w:val="000000" w:themeColor="text1"/>
          <w:szCs w:val="21"/>
        </w:rPr>
      </w:pPr>
      <w:r>
        <w:rPr>
          <w:rFonts w:eastAsiaTheme="majorEastAsia"/>
          <w:bCs/>
          <w:color w:val="000000" w:themeColor="text1"/>
          <w:szCs w:val="21"/>
        </w:rPr>
        <w:t>1.1.1</w:t>
      </w:r>
      <w:r>
        <w:rPr>
          <w:rFonts w:hint="eastAsia" w:eastAsiaTheme="majorEastAsia"/>
          <w:bCs/>
          <w:color w:val="000000" w:themeColor="text1"/>
          <w:szCs w:val="21"/>
        </w:rPr>
        <w:t>9</w:t>
      </w:r>
      <w:r>
        <w:rPr>
          <w:rFonts w:eastAsiaTheme="majorEastAsia"/>
          <w:bCs/>
          <w:color w:val="000000" w:themeColor="text1"/>
          <w:szCs w:val="21"/>
        </w:rPr>
        <w:t xml:space="preserve">  </w:t>
      </w:r>
      <w:r>
        <w:rPr>
          <w:szCs w:val="21"/>
        </w:rPr>
        <w:t>硫氰酸钾溶液（100g/L）：称取10g硫氰酸钾于400mL烧杯中，加入100mL水溶解后，加入2g碘化钾（</w:t>
      </w:r>
      <w:r>
        <w:rPr>
          <w:rFonts w:hint="eastAsia" w:eastAsiaTheme="majorEastAsia"/>
          <w:bCs/>
          <w:color w:val="000000" w:themeColor="text1"/>
          <w:szCs w:val="21"/>
        </w:rPr>
        <w:t>1.1</w:t>
      </w:r>
      <w:r>
        <w:rPr>
          <w:szCs w:val="21"/>
        </w:rPr>
        <w:t>.2）溶解后，加入2ml淀粉溶液（</w:t>
      </w:r>
      <w:r>
        <w:rPr>
          <w:rFonts w:hint="eastAsia" w:eastAsiaTheme="majorEastAsia"/>
          <w:bCs/>
          <w:color w:val="000000" w:themeColor="text1"/>
          <w:szCs w:val="21"/>
        </w:rPr>
        <w:t>1.1</w:t>
      </w:r>
      <w:r>
        <w:rPr>
          <w:szCs w:val="21"/>
        </w:rPr>
        <w:t>.1</w:t>
      </w:r>
      <w:r>
        <w:rPr>
          <w:rFonts w:hint="eastAsia"/>
          <w:szCs w:val="21"/>
        </w:rPr>
        <w:t>9</w:t>
      </w:r>
      <w:r>
        <w:rPr>
          <w:szCs w:val="21"/>
        </w:rPr>
        <w:t>），滴加碘溶液（</w:t>
      </w:r>
      <w:r>
        <w:rPr>
          <w:rFonts w:hint="eastAsia" w:eastAsiaTheme="majorEastAsia"/>
          <w:bCs/>
          <w:color w:val="000000" w:themeColor="text1"/>
          <w:szCs w:val="21"/>
        </w:rPr>
        <w:t>1.1</w:t>
      </w:r>
      <w:r>
        <w:rPr>
          <w:szCs w:val="21"/>
        </w:rPr>
        <w:t>.1</w:t>
      </w:r>
      <w:r>
        <w:rPr>
          <w:rFonts w:hint="eastAsia"/>
          <w:szCs w:val="21"/>
        </w:rPr>
        <w:t>6</w:t>
      </w:r>
      <w:r>
        <w:rPr>
          <w:szCs w:val="21"/>
        </w:rPr>
        <w:t>）至恰好呈蓝色，再用硫代硫酸钠溶液（</w:t>
      </w:r>
      <w:r>
        <w:rPr>
          <w:rFonts w:hint="eastAsia" w:eastAsiaTheme="majorEastAsia"/>
          <w:bCs/>
          <w:color w:val="000000" w:themeColor="text1"/>
          <w:szCs w:val="21"/>
        </w:rPr>
        <w:t>1.1</w:t>
      </w:r>
      <w:r>
        <w:rPr>
          <w:szCs w:val="21"/>
        </w:rPr>
        <w:t>.2</w:t>
      </w:r>
      <w:r>
        <w:rPr>
          <w:rFonts w:hint="eastAsia"/>
          <w:szCs w:val="21"/>
        </w:rPr>
        <w:t>1</w:t>
      </w:r>
      <w:r>
        <w:rPr>
          <w:szCs w:val="21"/>
        </w:rPr>
        <w:t>）滴定至蓝色刚好消失。</w:t>
      </w:r>
    </w:p>
    <w:p>
      <w:pPr>
        <w:rPr>
          <w:szCs w:val="21"/>
        </w:rPr>
      </w:pPr>
      <w:r>
        <w:rPr>
          <w:rFonts w:eastAsiaTheme="majorEastAsia"/>
          <w:bCs/>
          <w:color w:val="000000" w:themeColor="text1"/>
          <w:szCs w:val="21"/>
        </w:rPr>
        <w:t>1.1.</w:t>
      </w:r>
      <w:r>
        <w:rPr>
          <w:rFonts w:hint="eastAsia" w:eastAsiaTheme="majorEastAsia"/>
          <w:bCs/>
          <w:color w:val="000000" w:themeColor="text1"/>
          <w:szCs w:val="21"/>
        </w:rPr>
        <w:t>20</w:t>
      </w:r>
      <w:r>
        <w:rPr>
          <w:rFonts w:eastAsiaTheme="majorEastAsia"/>
          <w:bCs/>
          <w:color w:val="000000" w:themeColor="text1"/>
          <w:szCs w:val="21"/>
        </w:rPr>
        <w:t>硫代硫酸钠标准滴定溶液[c(Na</w:t>
      </w:r>
      <w:r>
        <w:rPr>
          <w:rFonts w:eastAsiaTheme="majorEastAsia"/>
          <w:bCs/>
          <w:color w:val="000000" w:themeColor="text1"/>
          <w:szCs w:val="21"/>
          <w:vertAlign w:val="subscript"/>
        </w:rPr>
        <w:t>2</w:t>
      </w:r>
      <w:r>
        <w:rPr>
          <w:rFonts w:eastAsiaTheme="majorEastAsia"/>
          <w:bCs/>
          <w:color w:val="000000" w:themeColor="text1"/>
          <w:szCs w:val="21"/>
        </w:rPr>
        <w:t>S</w:t>
      </w:r>
      <w:r>
        <w:rPr>
          <w:rFonts w:eastAsiaTheme="majorEastAsia"/>
          <w:bCs/>
          <w:color w:val="000000" w:themeColor="text1"/>
          <w:szCs w:val="21"/>
          <w:vertAlign w:val="subscript"/>
        </w:rPr>
        <w:t>2</w:t>
      </w:r>
      <w:r>
        <w:rPr>
          <w:rFonts w:eastAsiaTheme="majorEastAsia"/>
          <w:bCs/>
          <w:color w:val="000000" w:themeColor="text1"/>
          <w:szCs w:val="21"/>
        </w:rPr>
        <w:t>O</w:t>
      </w:r>
      <w:r>
        <w:rPr>
          <w:rFonts w:eastAsiaTheme="majorEastAsia"/>
          <w:bCs/>
          <w:color w:val="000000" w:themeColor="text1"/>
          <w:szCs w:val="21"/>
          <w:vertAlign w:val="subscript"/>
        </w:rPr>
        <w:t>3</w:t>
      </w:r>
      <w:r>
        <w:rPr>
          <w:rFonts w:eastAsiaTheme="majorEastAsia"/>
          <w:bCs/>
          <w:color w:val="000000" w:themeColor="text1"/>
          <w:szCs w:val="21"/>
        </w:rPr>
        <w:t>·5H</w:t>
      </w:r>
      <w:r>
        <w:rPr>
          <w:rFonts w:eastAsiaTheme="majorEastAsia"/>
          <w:bCs/>
          <w:color w:val="000000" w:themeColor="text1"/>
          <w:szCs w:val="21"/>
          <w:vertAlign w:val="subscript"/>
        </w:rPr>
        <w:t>2</w:t>
      </w:r>
      <w:r>
        <w:rPr>
          <w:rFonts w:eastAsiaTheme="majorEastAsia"/>
          <w:bCs/>
          <w:color w:val="000000" w:themeColor="text1"/>
          <w:szCs w:val="21"/>
        </w:rPr>
        <w:t>O)≈0.03mol/L]</w:t>
      </w:r>
    </w:p>
    <w:p>
      <w:pPr>
        <w:rPr>
          <w:szCs w:val="21"/>
        </w:rPr>
      </w:pPr>
      <w:r>
        <w:rPr>
          <w:rFonts w:eastAsiaTheme="majorEastAsia"/>
          <w:bCs/>
          <w:color w:val="000000" w:themeColor="text1"/>
          <w:szCs w:val="21"/>
        </w:rPr>
        <w:t>1.1.2</w:t>
      </w:r>
      <w:r>
        <w:rPr>
          <w:rFonts w:hint="eastAsia" w:eastAsiaTheme="majorEastAsia"/>
          <w:bCs/>
          <w:color w:val="000000" w:themeColor="text1"/>
          <w:szCs w:val="21"/>
        </w:rPr>
        <w:t>0</w:t>
      </w:r>
      <w:r>
        <w:rPr>
          <w:rFonts w:eastAsiaTheme="majorEastAsia"/>
          <w:bCs/>
          <w:color w:val="000000" w:themeColor="text1"/>
          <w:szCs w:val="21"/>
        </w:rPr>
        <w:t>.1</w:t>
      </w:r>
      <w:r>
        <w:rPr>
          <w:szCs w:val="21"/>
        </w:rPr>
        <w:t xml:space="preserve">  制备：称取7</w:t>
      </w:r>
      <w:r>
        <w:rPr>
          <w:rFonts w:hint="eastAsia"/>
          <w:szCs w:val="21"/>
        </w:rPr>
        <w:t>4</w:t>
      </w:r>
      <w:r>
        <w:rPr>
          <w:szCs w:val="21"/>
        </w:rPr>
        <w:t>g硫代硫酸钠（Na</w:t>
      </w:r>
      <w:r>
        <w:rPr>
          <w:szCs w:val="21"/>
          <w:vertAlign w:val="subscript"/>
        </w:rPr>
        <w:t>2</w:t>
      </w:r>
      <w:r>
        <w:rPr>
          <w:szCs w:val="21"/>
        </w:rPr>
        <w:t>S</w:t>
      </w:r>
      <w:r>
        <w:rPr>
          <w:szCs w:val="21"/>
          <w:vertAlign w:val="subscript"/>
        </w:rPr>
        <w:t>2</w:t>
      </w:r>
      <w:r>
        <w:rPr>
          <w:szCs w:val="21"/>
        </w:rPr>
        <w:t>O</w:t>
      </w:r>
      <w:r>
        <w:rPr>
          <w:szCs w:val="21"/>
          <w:vertAlign w:val="subscript"/>
        </w:rPr>
        <w:t>3</w:t>
      </w:r>
      <w:r>
        <w:rPr>
          <w:szCs w:val="21"/>
        </w:rPr>
        <w:t>·5H</w:t>
      </w:r>
      <w:r>
        <w:rPr>
          <w:szCs w:val="21"/>
          <w:vertAlign w:val="subscript"/>
        </w:rPr>
        <w:t>2</w:t>
      </w:r>
      <w:r>
        <w:rPr>
          <w:szCs w:val="21"/>
        </w:rPr>
        <w:t>O）置于</w:t>
      </w:r>
      <w:r>
        <w:rPr>
          <w:rFonts w:hint="eastAsia"/>
          <w:szCs w:val="21"/>
        </w:rPr>
        <w:t>2</w:t>
      </w:r>
      <w:r>
        <w:rPr>
          <w:szCs w:val="21"/>
        </w:rPr>
        <w:t>000mL烧杯中，加入</w:t>
      </w:r>
      <w:r>
        <w:rPr>
          <w:rFonts w:hint="eastAsia"/>
          <w:szCs w:val="21"/>
        </w:rPr>
        <w:t>10</w:t>
      </w:r>
      <w:r>
        <w:rPr>
          <w:szCs w:val="21"/>
        </w:rPr>
        <w:t>00mL</w:t>
      </w:r>
      <w:r>
        <w:rPr>
          <w:rFonts w:hint="eastAsia"/>
          <w:szCs w:val="21"/>
        </w:rPr>
        <w:t>煮沸并冷却至室温的去离子水溶解</w:t>
      </w:r>
      <w:r>
        <w:rPr>
          <w:szCs w:val="21"/>
        </w:rPr>
        <w:t>，移入10L棕色试剂瓶中。用煮沸并冷却</w:t>
      </w:r>
      <w:r>
        <w:rPr>
          <w:rFonts w:hint="eastAsia"/>
          <w:szCs w:val="21"/>
        </w:rPr>
        <w:t>至室温</w:t>
      </w:r>
      <w:r>
        <w:rPr>
          <w:szCs w:val="21"/>
        </w:rPr>
        <w:t>的</w:t>
      </w:r>
      <w:r>
        <w:rPr>
          <w:rFonts w:hint="eastAsia"/>
          <w:szCs w:val="21"/>
        </w:rPr>
        <w:t>去离子</w:t>
      </w:r>
      <w:r>
        <w:rPr>
          <w:szCs w:val="21"/>
        </w:rPr>
        <w:t>水稀释至约10L，</w:t>
      </w:r>
      <w:r>
        <w:rPr>
          <w:rFonts w:hint="eastAsia"/>
          <w:szCs w:val="21"/>
        </w:rPr>
        <w:t>摇匀，</w:t>
      </w:r>
      <w:r>
        <w:rPr>
          <w:szCs w:val="21"/>
        </w:rPr>
        <w:t>静置两周</w:t>
      </w:r>
      <w:r>
        <w:rPr>
          <w:rFonts w:hint="eastAsia"/>
          <w:szCs w:val="21"/>
        </w:rPr>
        <w:t>。如出现沉淀，需过滤。</w:t>
      </w:r>
    </w:p>
    <w:p>
      <w:pPr>
        <w:rPr>
          <w:szCs w:val="21"/>
        </w:rPr>
      </w:pPr>
      <w:r>
        <w:rPr>
          <w:rFonts w:eastAsiaTheme="majorEastAsia"/>
          <w:bCs/>
          <w:color w:val="000000" w:themeColor="text1"/>
          <w:szCs w:val="21"/>
        </w:rPr>
        <w:t>1.1.2</w:t>
      </w:r>
      <w:r>
        <w:rPr>
          <w:rFonts w:hint="eastAsia" w:eastAsiaTheme="majorEastAsia"/>
          <w:bCs/>
          <w:color w:val="000000" w:themeColor="text1"/>
          <w:szCs w:val="21"/>
        </w:rPr>
        <w:t>0</w:t>
      </w:r>
      <w:r>
        <w:rPr>
          <w:rFonts w:eastAsiaTheme="majorEastAsia"/>
          <w:bCs/>
          <w:color w:val="000000" w:themeColor="text1"/>
          <w:szCs w:val="21"/>
        </w:rPr>
        <w:t xml:space="preserve">.2 </w:t>
      </w:r>
      <w:r>
        <w:rPr>
          <w:szCs w:val="21"/>
        </w:rPr>
        <w:t xml:space="preserve"> 标定：移取四份10.00mL铜标准溶液（</w:t>
      </w:r>
      <w:r>
        <w:rPr>
          <w:rFonts w:hint="eastAsia" w:eastAsiaTheme="majorEastAsia"/>
          <w:bCs/>
          <w:color w:val="000000" w:themeColor="text1"/>
          <w:szCs w:val="21"/>
        </w:rPr>
        <w:t>1.1</w:t>
      </w:r>
      <w:r>
        <w:rPr>
          <w:szCs w:val="21"/>
        </w:rPr>
        <w:t>.1</w:t>
      </w:r>
      <w:r>
        <w:rPr>
          <w:rFonts w:hint="eastAsia"/>
          <w:szCs w:val="21"/>
        </w:rPr>
        <w:t>4</w:t>
      </w:r>
      <w:r>
        <w:rPr>
          <w:szCs w:val="21"/>
        </w:rPr>
        <w:t>）于250mL三角烧杯中，用水吹洗杯壁，加入5mL硫酸（</w:t>
      </w:r>
      <w:r>
        <w:rPr>
          <w:rFonts w:hint="eastAsia" w:eastAsiaTheme="majorEastAsia"/>
          <w:bCs/>
          <w:color w:val="000000" w:themeColor="text1"/>
          <w:szCs w:val="21"/>
        </w:rPr>
        <w:t>1.1</w:t>
      </w:r>
      <w:r>
        <w:rPr>
          <w:szCs w:val="21"/>
        </w:rPr>
        <w:t>.1</w:t>
      </w:r>
      <w:r>
        <w:rPr>
          <w:rFonts w:hint="eastAsia"/>
          <w:szCs w:val="21"/>
        </w:rPr>
        <w:t>2</w:t>
      </w:r>
      <w:r>
        <w:rPr>
          <w:szCs w:val="21"/>
        </w:rPr>
        <w:t>），加热蒸至近干，取下稍冷，加入5mL盐酸（</w:t>
      </w:r>
      <w:r>
        <w:rPr>
          <w:rFonts w:hint="eastAsia" w:eastAsiaTheme="majorEastAsia"/>
          <w:bCs/>
          <w:color w:val="000000" w:themeColor="text1"/>
          <w:szCs w:val="21"/>
        </w:rPr>
        <w:t>1.1</w:t>
      </w:r>
      <w:r>
        <w:rPr>
          <w:szCs w:val="21"/>
        </w:rPr>
        <w:t>.</w:t>
      </w:r>
      <w:r>
        <w:rPr>
          <w:rFonts w:hint="eastAsia"/>
          <w:szCs w:val="21"/>
        </w:rPr>
        <w:t>4</w:t>
      </w:r>
      <w:r>
        <w:rPr>
          <w:szCs w:val="21"/>
        </w:rPr>
        <w:t>），用40mL水吹洗杯壁，加热煮沸，使盐类完全溶解，取下冷至室温，加入1mL三氯化铁溶液（</w:t>
      </w:r>
      <w:r>
        <w:rPr>
          <w:rFonts w:hint="eastAsia" w:eastAsiaTheme="majorEastAsia"/>
          <w:bCs/>
          <w:color w:val="000000" w:themeColor="text1"/>
          <w:szCs w:val="21"/>
        </w:rPr>
        <w:t>1.1</w:t>
      </w:r>
      <w:r>
        <w:rPr>
          <w:szCs w:val="21"/>
        </w:rPr>
        <w:t>.1</w:t>
      </w:r>
      <w:r>
        <w:rPr>
          <w:rFonts w:hint="eastAsia"/>
          <w:szCs w:val="21"/>
        </w:rPr>
        <w:t>7</w:t>
      </w:r>
      <w:r>
        <w:rPr>
          <w:szCs w:val="21"/>
        </w:rPr>
        <w:t>），滴加氨水（</w:t>
      </w:r>
      <w:r>
        <w:rPr>
          <w:rFonts w:hint="eastAsia" w:eastAsiaTheme="majorEastAsia"/>
          <w:bCs/>
          <w:color w:val="000000" w:themeColor="text1"/>
          <w:szCs w:val="21"/>
        </w:rPr>
        <w:t>1.1</w:t>
      </w:r>
      <w:r>
        <w:rPr>
          <w:szCs w:val="21"/>
        </w:rPr>
        <w:t>.</w:t>
      </w:r>
      <w:r>
        <w:rPr>
          <w:rFonts w:hint="eastAsia"/>
          <w:szCs w:val="21"/>
        </w:rPr>
        <w:t>9</w:t>
      </w:r>
      <w:r>
        <w:rPr>
          <w:szCs w:val="21"/>
        </w:rPr>
        <w:t>）至氢氧化铁沉淀出现，加入3mL冰乙酸（</w:t>
      </w:r>
      <w:r>
        <w:rPr>
          <w:rFonts w:hint="eastAsia" w:eastAsiaTheme="majorEastAsia"/>
          <w:bCs/>
          <w:color w:val="000000" w:themeColor="text1"/>
          <w:szCs w:val="21"/>
        </w:rPr>
        <w:t>1.1</w:t>
      </w:r>
      <w:r>
        <w:rPr>
          <w:szCs w:val="21"/>
        </w:rPr>
        <w:t>.1</w:t>
      </w:r>
      <w:r>
        <w:rPr>
          <w:rFonts w:hint="eastAsia"/>
          <w:szCs w:val="21"/>
        </w:rPr>
        <w:t>0</w:t>
      </w:r>
      <w:r>
        <w:rPr>
          <w:szCs w:val="21"/>
        </w:rPr>
        <w:t>），然后滴加氟化氢铵饱和溶液（</w:t>
      </w:r>
      <w:r>
        <w:rPr>
          <w:rFonts w:hint="eastAsia" w:eastAsiaTheme="majorEastAsia"/>
          <w:bCs/>
          <w:color w:val="000000" w:themeColor="text1"/>
          <w:szCs w:val="21"/>
        </w:rPr>
        <w:t>1.1</w:t>
      </w:r>
      <w:r>
        <w:rPr>
          <w:szCs w:val="21"/>
        </w:rPr>
        <w:t>.1</w:t>
      </w:r>
      <w:r>
        <w:rPr>
          <w:rFonts w:hint="eastAsia"/>
          <w:szCs w:val="21"/>
        </w:rPr>
        <w:t>5</w:t>
      </w:r>
      <w:r>
        <w:rPr>
          <w:szCs w:val="21"/>
        </w:rPr>
        <w:t>）至红棕色消失并过量1mL，摇匀。加入2g碘化钾（</w:t>
      </w:r>
      <w:r>
        <w:rPr>
          <w:rFonts w:hint="eastAsia" w:eastAsiaTheme="majorEastAsia"/>
          <w:bCs/>
          <w:color w:val="000000" w:themeColor="text1"/>
          <w:szCs w:val="21"/>
        </w:rPr>
        <w:t>1.1</w:t>
      </w:r>
      <w:r>
        <w:rPr>
          <w:szCs w:val="21"/>
        </w:rPr>
        <w:t>.2），摇动溶解，加入2mL淀粉溶液（</w:t>
      </w:r>
      <w:r>
        <w:rPr>
          <w:rFonts w:hint="eastAsia" w:eastAsiaTheme="majorEastAsia"/>
          <w:bCs/>
          <w:szCs w:val="21"/>
        </w:rPr>
        <w:t>1.1</w:t>
      </w:r>
      <w:r>
        <w:rPr>
          <w:szCs w:val="21"/>
        </w:rPr>
        <w:t>.1</w:t>
      </w:r>
      <w:r>
        <w:rPr>
          <w:rFonts w:hint="eastAsia"/>
          <w:szCs w:val="21"/>
        </w:rPr>
        <w:t>8</w:t>
      </w:r>
      <w:r>
        <w:rPr>
          <w:szCs w:val="21"/>
        </w:rPr>
        <w:t>），立即用硫代硫酸钠标准滴定溶液（</w:t>
      </w:r>
      <w:r>
        <w:rPr>
          <w:rFonts w:hint="eastAsia" w:eastAsiaTheme="majorEastAsia"/>
          <w:bCs/>
          <w:szCs w:val="21"/>
        </w:rPr>
        <w:t>1.1</w:t>
      </w:r>
      <w:r>
        <w:rPr>
          <w:szCs w:val="21"/>
        </w:rPr>
        <w:t>.</w:t>
      </w:r>
      <w:r>
        <w:rPr>
          <w:rFonts w:hint="eastAsia"/>
          <w:szCs w:val="21"/>
        </w:rPr>
        <w:t>20</w:t>
      </w:r>
      <w:r>
        <w:rPr>
          <w:szCs w:val="21"/>
        </w:rPr>
        <w:t>）滴定至浅蓝色，加入5mL硫氰酸钾溶液（</w:t>
      </w:r>
      <w:r>
        <w:rPr>
          <w:rFonts w:hint="eastAsia" w:eastAsiaTheme="majorEastAsia"/>
          <w:bCs/>
          <w:color w:val="000000" w:themeColor="text1"/>
          <w:szCs w:val="21"/>
        </w:rPr>
        <w:t>1.1</w:t>
      </w:r>
      <w:r>
        <w:rPr>
          <w:szCs w:val="21"/>
        </w:rPr>
        <w:t>.</w:t>
      </w:r>
      <w:r>
        <w:rPr>
          <w:rFonts w:hint="eastAsia"/>
          <w:szCs w:val="21"/>
        </w:rPr>
        <w:t>19</w:t>
      </w:r>
      <w:r>
        <w:rPr>
          <w:szCs w:val="21"/>
        </w:rPr>
        <w:t>），激烈摇振至蓝色加深，</w:t>
      </w:r>
      <w:r>
        <w:rPr>
          <w:rFonts w:hint="eastAsia"/>
          <w:szCs w:val="21"/>
        </w:rPr>
        <w:t>继续</w:t>
      </w:r>
      <w:r>
        <w:rPr>
          <w:szCs w:val="21"/>
        </w:rPr>
        <w:t>滴定至蓝色刚好消失为终点。随同标定做空白试验。</w:t>
      </w:r>
    </w:p>
    <w:p>
      <w:pPr>
        <w:ind w:firstLine="405"/>
        <w:rPr>
          <w:szCs w:val="21"/>
        </w:rPr>
      </w:pPr>
      <w:r>
        <w:rPr>
          <w:szCs w:val="21"/>
        </w:rPr>
        <w:t>按</w:t>
      </w:r>
      <w:r>
        <w:rPr>
          <w:rFonts w:hint="eastAsia"/>
          <w:szCs w:val="21"/>
        </w:rPr>
        <w:t>公</w:t>
      </w:r>
      <w:r>
        <w:rPr>
          <w:szCs w:val="21"/>
        </w:rPr>
        <w:t>式（1）计算硫代硫酸钠标准滴定溶液对铜的</w:t>
      </w:r>
      <w:r>
        <w:rPr>
          <w:rFonts w:hint="eastAsia"/>
          <w:szCs w:val="21"/>
        </w:rPr>
        <w:t>计算因子</w:t>
      </w:r>
      <w:r>
        <w:rPr>
          <w:rFonts w:eastAsiaTheme="minorEastAsia"/>
          <w:i/>
          <w:szCs w:val="21"/>
        </w:rPr>
        <w:t>f</w:t>
      </w:r>
      <w:r>
        <w:rPr>
          <w:szCs w:val="21"/>
        </w:rPr>
        <w:t>：</w:t>
      </w:r>
    </w:p>
    <w:p>
      <w:pPr>
        <w:ind w:firstLine="405"/>
        <w:jc w:val="center"/>
        <w:rPr>
          <w:color w:val="FF0000"/>
          <w:sz w:val="24"/>
        </w:rPr>
      </w:pPr>
      <w:r>
        <w:rPr>
          <w:position w:val="-24"/>
          <w:sz w:val="28"/>
          <w:szCs w:val="28"/>
        </w:rPr>
        <w:object>
          <v:shape id="_x0000_i1025" o:spt="75" type="#_x0000_t75" style="height:30.65pt;width:70.9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szCs w:val="21"/>
        </w:rPr>
        <w:t>………………………………（1）</w:t>
      </w:r>
    </w:p>
    <w:p>
      <w:pPr>
        <w:pStyle w:val="17"/>
        <w:ind w:firstLine="420" w:firstLineChars="200"/>
        <w:rPr>
          <w:rFonts w:ascii="Times New Roman" w:hAnsi="Times New Roman"/>
          <w:sz w:val="21"/>
          <w:szCs w:val="21"/>
          <w:lang w:eastAsia="zh-CN"/>
        </w:rPr>
      </w:pPr>
      <w:r>
        <w:rPr>
          <w:rFonts w:ascii="Times New Roman" w:hAnsi="Times New Roman"/>
          <w:sz w:val="21"/>
          <w:szCs w:val="21"/>
          <w:lang w:eastAsia="zh-CN"/>
        </w:rPr>
        <w:t>式中：</w:t>
      </w:r>
    </w:p>
    <w:p>
      <w:pPr>
        <w:adjustRightInd w:val="0"/>
        <w:snapToGrid w:val="0"/>
        <w:spacing w:before="50" w:after="50"/>
        <w:ind w:firstLine="420" w:firstLineChars="200"/>
        <w:rPr>
          <w:rFonts w:eastAsiaTheme="minorEastAsia"/>
          <w:spacing w:val="6"/>
          <w:szCs w:val="20"/>
        </w:rPr>
      </w:pPr>
      <w:r>
        <w:rPr>
          <w:position w:val="-10"/>
        </w:rPr>
        <w:object>
          <v:shape id="_x0000_i1026" o:spt="75" type="#_x0000_t75" style="height:16.1pt;width:11.8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Theme="minorEastAsia"/>
          <w:spacing w:val="6"/>
        </w:rPr>
        <w:t>——硫代硫酸钠标准滴定溶液对铜的</w:t>
      </w:r>
      <w:r>
        <w:rPr>
          <w:rFonts w:hint="eastAsia" w:eastAsiaTheme="minorEastAsia"/>
          <w:spacing w:val="6"/>
        </w:rPr>
        <w:t>计算因子</w:t>
      </w:r>
      <w:r>
        <w:rPr>
          <w:rFonts w:eastAsiaTheme="minorEastAsia"/>
          <w:spacing w:val="6"/>
        </w:rPr>
        <w:t>，单位为毫克每毫升（mg/mL）；</w:t>
      </w:r>
    </w:p>
    <w:p>
      <w:pPr>
        <w:ind w:firstLine="405"/>
        <w:rPr>
          <w:spacing w:val="6"/>
        </w:rPr>
      </w:pPr>
      <w:r>
        <w:rPr>
          <w:position w:val="-10"/>
        </w:rPr>
        <w:object>
          <v:shape id="_x0000_i1027" o:spt="75" type="#_x0000_t75" style="height:12.9pt;width:10.7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spacing w:val="6"/>
        </w:rPr>
        <w:t>——铜标准溶液的浓度，单位为毫克每毫升（mg/mL）；</w:t>
      </w:r>
    </w:p>
    <w:p>
      <w:pPr>
        <w:ind w:firstLine="405"/>
        <w:rPr>
          <w:spacing w:val="6"/>
        </w:rPr>
      </w:pPr>
      <w:r>
        <w:rPr>
          <w:i/>
          <w:spacing w:val="6"/>
        </w:rPr>
        <w:t>V</w:t>
      </w:r>
      <w:r>
        <w:rPr>
          <w:spacing w:val="6"/>
          <w:vertAlign w:val="subscript"/>
        </w:rPr>
        <w:t>1</w:t>
      </w:r>
      <w:r>
        <w:rPr>
          <w:spacing w:val="6"/>
        </w:rPr>
        <w:t>——移取铜标准溶液的体积，单位为毫升（mL）；</w:t>
      </w:r>
    </w:p>
    <w:p>
      <w:pPr>
        <w:ind w:firstLine="405"/>
        <w:rPr>
          <w:spacing w:val="6"/>
        </w:rPr>
      </w:pPr>
      <w:r>
        <w:rPr>
          <w:i/>
          <w:spacing w:val="6"/>
        </w:rPr>
        <w:t>V</w:t>
      </w:r>
      <w:r>
        <w:rPr>
          <w:spacing w:val="6"/>
          <w:vertAlign w:val="subscript"/>
        </w:rPr>
        <w:t>2</w:t>
      </w:r>
      <w:r>
        <w:rPr>
          <w:spacing w:val="6"/>
        </w:rPr>
        <w:t>——</w:t>
      </w:r>
      <w:r>
        <w:rPr>
          <w:rFonts w:hint="eastAsia"/>
          <w:spacing w:val="6"/>
        </w:rPr>
        <w:t>标定时</w:t>
      </w:r>
      <w:r>
        <w:rPr>
          <w:spacing w:val="6"/>
        </w:rPr>
        <w:t>消耗硫代硫酸钠标准滴定溶液的体积，单位为毫升（mL）；</w:t>
      </w:r>
    </w:p>
    <w:p>
      <w:pPr>
        <w:ind w:firstLine="405"/>
        <w:rPr>
          <w:spacing w:val="6"/>
        </w:rPr>
      </w:pPr>
      <w:r>
        <w:rPr>
          <w:i/>
          <w:spacing w:val="6"/>
        </w:rPr>
        <w:t>V</w:t>
      </w:r>
      <w:r>
        <w:rPr>
          <w:spacing w:val="6"/>
          <w:vertAlign w:val="subscript"/>
        </w:rPr>
        <w:t>0</w:t>
      </w:r>
      <w:r>
        <w:rPr>
          <w:spacing w:val="6"/>
        </w:rPr>
        <w:t>——</w:t>
      </w:r>
      <w:r>
        <w:rPr>
          <w:rFonts w:hint="eastAsia"/>
          <w:spacing w:val="6"/>
        </w:rPr>
        <w:t>标定时滴定空白试液</w:t>
      </w:r>
      <w:r>
        <w:rPr>
          <w:spacing w:val="6"/>
        </w:rPr>
        <w:t>消耗硫代硫酸钠标准滴定溶液的体积，单位为毫升（mL）。</w:t>
      </w:r>
    </w:p>
    <w:p>
      <w:pPr>
        <w:ind w:firstLine="420" w:firstLineChars="200"/>
      </w:pPr>
      <w:r>
        <w:rPr>
          <w:rFonts w:hint="eastAsia"/>
        </w:rPr>
        <w:t>平行标定</w:t>
      </w:r>
      <w:r>
        <w:rPr>
          <w:rFonts w:hint="eastAsia" w:ascii="宋体" w:hAnsi="宋体" w:cs="宋体"/>
        </w:rPr>
        <w:t>4</w:t>
      </w:r>
      <w:r>
        <w:rPr>
          <w:rFonts w:hint="eastAsia"/>
        </w:rPr>
        <w:t>份，结果保留</w:t>
      </w:r>
      <w:r>
        <w:rPr>
          <w:rFonts w:hint="eastAsia" w:ascii="宋体" w:hAnsi="宋体" w:cs="宋体"/>
        </w:rPr>
        <w:t>4</w:t>
      </w:r>
      <w:r>
        <w:rPr>
          <w:rFonts w:hint="eastAsia"/>
        </w:rPr>
        <w:t>位有效数字，其极差值不大于</w:t>
      </w:r>
      <w:r>
        <w:t>0.010 mg/mL</w:t>
      </w:r>
      <w:r>
        <w:rPr>
          <w:rFonts w:hint="eastAsia"/>
        </w:rPr>
        <w:t>时，取其平均值。否则重新标定。</w:t>
      </w:r>
    </w:p>
    <w:p>
      <w:pPr>
        <w:rPr>
          <w:rFonts w:ascii="黑体" w:eastAsia="黑体"/>
          <w:bCs/>
          <w:color w:val="000000"/>
          <w:szCs w:val="21"/>
        </w:rPr>
      </w:pPr>
      <w:r>
        <w:rPr>
          <w:rFonts w:hint="eastAsia" w:ascii="黑体" w:eastAsia="黑体"/>
          <w:bCs/>
          <w:color w:val="000000"/>
          <w:szCs w:val="21"/>
        </w:rPr>
        <w:t>1.2  实验方法</w:t>
      </w:r>
    </w:p>
    <w:p>
      <w:pPr>
        <w:spacing w:line="360" w:lineRule="auto"/>
        <w:rPr>
          <w:bCs/>
          <w:color w:val="000000"/>
          <w:szCs w:val="21"/>
        </w:rPr>
      </w:pPr>
      <w:r>
        <w:rPr>
          <w:bCs/>
          <w:color w:val="000000"/>
          <w:szCs w:val="21"/>
        </w:rPr>
        <w:t>1.2.1 试样的分解及测定</w:t>
      </w:r>
    </w:p>
    <w:p>
      <w:pPr>
        <w:rPr>
          <w:rFonts w:eastAsiaTheme="minorEastAsia"/>
          <w:szCs w:val="21"/>
        </w:rPr>
      </w:pPr>
      <w:r>
        <w:rPr>
          <w:rFonts w:eastAsia="黑体"/>
          <w:bCs/>
          <w:color w:val="000000"/>
          <w:szCs w:val="21"/>
        </w:rPr>
        <w:t xml:space="preserve">   </w:t>
      </w:r>
      <w:r>
        <w:rPr>
          <w:rFonts w:eastAsiaTheme="minorEastAsia"/>
          <w:bCs/>
          <w:color w:val="000000"/>
          <w:szCs w:val="21"/>
        </w:rPr>
        <w:t xml:space="preserve"> </w:t>
      </w:r>
      <w:r>
        <w:rPr>
          <w:color w:val="000000"/>
          <w:spacing w:val="6"/>
        </w:rPr>
        <w:t>称取样品0.3</w:t>
      </w:r>
      <w:r>
        <w:rPr>
          <w:rFonts w:hint="eastAsia"/>
          <w:color w:val="000000"/>
          <w:spacing w:val="6"/>
        </w:rPr>
        <w:t>0</w:t>
      </w:r>
      <w:r>
        <w:rPr>
          <w:color w:val="000000"/>
          <w:spacing w:val="6"/>
        </w:rPr>
        <w:t>g</w:t>
      </w:r>
      <w:r>
        <w:rPr>
          <w:color w:val="000000"/>
          <w:szCs w:val="21"/>
        </w:rPr>
        <w:t>（精确至0.0001g），</w:t>
      </w:r>
      <w:r>
        <w:rPr>
          <w:rFonts w:eastAsiaTheme="minorEastAsia"/>
          <w:bCs/>
          <w:color w:val="000000"/>
          <w:szCs w:val="21"/>
        </w:rPr>
        <w:t>置于250mL三角烧杯中，用少量水润湿，加入10mL盐酸（</w:t>
      </w:r>
      <w:r>
        <w:rPr>
          <w:rFonts w:hint="eastAsia" w:eastAsiaTheme="majorEastAsia"/>
          <w:bCs/>
          <w:color w:val="000000" w:themeColor="text1"/>
          <w:szCs w:val="21"/>
        </w:rPr>
        <w:t>1.1</w:t>
      </w:r>
      <w:r>
        <w:rPr>
          <w:rFonts w:eastAsiaTheme="minorEastAsia"/>
          <w:bCs/>
          <w:color w:val="000000"/>
          <w:szCs w:val="21"/>
        </w:rPr>
        <w:t>.</w:t>
      </w:r>
      <w:r>
        <w:rPr>
          <w:rFonts w:hint="eastAsia" w:eastAsiaTheme="minorEastAsia"/>
          <w:bCs/>
          <w:color w:val="000000"/>
          <w:szCs w:val="21"/>
        </w:rPr>
        <w:t>4</w:t>
      </w:r>
      <w:r>
        <w:rPr>
          <w:rFonts w:eastAsiaTheme="minorEastAsia"/>
          <w:bCs/>
          <w:color w:val="000000"/>
          <w:szCs w:val="21"/>
        </w:rPr>
        <w:t>），低温加热3min~5min，加入5mL硝酸（</w:t>
      </w:r>
      <w:r>
        <w:rPr>
          <w:rFonts w:hint="eastAsia" w:eastAsiaTheme="majorEastAsia"/>
          <w:bCs/>
          <w:color w:val="000000" w:themeColor="text1"/>
          <w:szCs w:val="21"/>
        </w:rPr>
        <w:t>1.1</w:t>
      </w:r>
      <w:r>
        <w:rPr>
          <w:rFonts w:eastAsiaTheme="minorEastAsia"/>
          <w:bCs/>
          <w:color w:val="000000"/>
          <w:szCs w:val="21"/>
        </w:rPr>
        <w:t>.</w:t>
      </w:r>
      <w:r>
        <w:rPr>
          <w:rFonts w:hint="eastAsia" w:eastAsiaTheme="minorEastAsia"/>
          <w:bCs/>
          <w:color w:val="000000"/>
          <w:szCs w:val="21"/>
        </w:rPr>
        <w:t>5</w:t>
      </w:r>
      <w:r>
        <w:rPr>
          <w:rFonts w:eastAsiaTheme="minorEastAsia"/>
          <w:bCs/>
          <w:color w:val="000000"/>
          <w:szCs w:val="21"/>
        </w:rPr>
        <w:t>）、5mL高氯酸（</w:t>
      </w:r>
      <w:r>
        <w:rPr>
          <w:rFonts w:hint="eastAsia" w:eastAsiaTheme="majorEastAsia"/>
          <w:bCs/>
          <w:color w:val="000000" w:themeColor="text1"/>
          <w:szCs w:val="21"/>
        </w:rPr>
        <w:t>1.1</w:t>
      </w:r>
      <w:r>
        <w:rPr>
          <w:rFonts w:eastAsiaTheme="minorEastAsia"/>
          <w:bCs/>
          <w:color w:val="000000"/>
          <w:szCs w:val="21"/>
        </w:rPr>
        <w:t>.</w:t>
      </w:r>
      <w:r>
        <w:rPr>
          <w:rFonts w:hint="eastAsia" w:eastAsiaTheme="minorEastAsia"/>
          <w:bCs/>
          <w:color w:val="000000"/>
          <w:szCs w:val="21"/>
        </w:rPr>
        <w:t>7</w:t>
      </w:r>
      <w:r>
        <w:rPr>
          <w:rFonts w:eastAsiaTheme="minorEastAsia"/>
          <w:bCs/>
          <w:color w:val="000000"/>
          <w:szCs w:val="21"/>
        </w:rPr>
        <w:t>），盖上表</w:t>
      </w:r>
      <w:r>
        <w:rPr>
          <w:rFonts w:hint="eastAsia" w:eastAsiaTheme="minorEastAsia"/>
          <w:bCs/>
          <w:color w:val="000000"/>
          <w:szCs w:val="21"/>
        </w:rPr>
        <w:t>面</w:t>
      </w:r>
      <w:r>
        <w:rPr>
          <w:rFonts w:eastAsiaTheme="minorEastAsia"/>
          <w:bCs/>
          <w:color w:val="000000"/>
          <w:szCs w:val="21"/>
        </w:rPr>
        <w:t>皿</w:t>
      </w:r>
      <w:r>
        <w:rPr>
          <w:rFonts w:hint="eastAsia" w:eastAsiaTheme="minorEastAsia"/>
          <w:bCs/>
          <w:color w:val="000000"/>
          <w:szCs w:val="21"/>
        </w:rPr>
        <w:t>，继续</w:t>
      </w:r>
      <w:r>
        <w:rPr>
          <w:rFonts w:eastAsiaTheme="minorEastAsia"/>
          <w:bCs/>
          <w:color w:val="000000"/>
          <w:szCs w:val="21"/>
        </w:rPr>
        <w:t>加热至冒高氯酸浓白烟</w:t>
      </w:r>
      <w:r>
        <w:rPr>
          <w:rFonts w:eastAsiaTheme="minorEastAsia"/>
          <w:bCs/>
          <w:szCs w:val="21"/>
        </w:rPr>
        <w:t>，取下稍冷</w:t>
      </w:r>
      <w:r>
        <w:rPr>
          <w:rFonts w:hint="eastAsia" w:eastAsiaTheme="minorEastAsia"/>
          <w:bCs/>
          <w:szCs w:val="21"/>
        </w:rPr>
        <w:t>。</w:t>
      </w:r>
      <w:r>
        <w:rPr>
          <w:rFonts w:eastAsiaTheme="minorEastAsia"/>
          <w:bCs/>
          <w:szCs w:val="21"/>
        </w:rPr>
        <w:t>用水吹洗表</w:t>
      </w:r>
      <w:r>
        <w:rPr>
          <w:rFonts w:hint="eastAsia" w:eastAsiaTheme="minorEastAsia"/>
          <w:bCs/>
          <w:szCs w:val="21"/>
        </w:rPr>
        <w:t>面</w:t>
      </w:r>
      <w:r>
        <w:rPr>
          <w:rFonts w:eastAsiaTheme="minorEastAsia"/>
          <w:bCs/>
          <w:szCs w:val="21"/>
        </w:rPr>
        <w:t>皿，加入10mL氢溴酸（</w:t>
      </w:r>
      <w:r>
        <w:rPr>
          <w:rFonts w:hint="eastAsia" w:eastAsiaTheme="majorEastAsia"/>
          <w:bCs/>
          <w:szCs w:val="21"/>
        </w:rPr>
        <w:t>1.1</w:t>
      </w:r>
      <w:r>
        <w:rPr>
          <w:rFonts w:eastAsiaTheme="minorEastAsia"/>
          <w:bCs/>
          <w:szCs w:val="21"/>
        </w:rPr>
        <w:t>.</w:t>
      </w:r>
      <w:r>
        <w:rPr>
          <w:rFonts w:hint="eastAsia" w:eastAsiaTheme="minorEastAsia"/>
          <w:bCs/>
          <w:szCs w:val="21"/>
        </w:rPr>
        <w:t>8</w:t>
      </w:r>
      <w:r>
        <w:rPr>
          <w:rFonts w:eastAsiaTheme="minorEastAsia"/>
          <w:bCs/>
          <w:szCs w:val="21"/>
        </w:rPr>
        <w:t>），低温加热至</w:t>
      </w:r>
      <w:r>
        <w:rPr>
          <w:rFonts w:hint="eastAsia" w:eastAsiaTheme="minorEastAsia"/>
          <w:bCs/>
          <w:szCs w:val="21"/>
        </w:rPr>
        <w:t>氢溴酸挥</w:t>
      </w:r>
      <w:r>
        <w:rPr>
          <w:rFonts w:hint="eastAsia" w:hAnsiTheme="minorEastAsia" w:eastAsiaTheme="minorEastAsia"/>
          <w:bCs/>
          <w:color w:val="000000"/>
          <w:szCs w:val="21"/>
        </w:rPr>
        <w:t>尽，继续加热至</w:t>
      </w:r>
      <w:r>
        <w:rPr>
          <w:rFonts w:eastAsiaTheme="minorEastAsia"/>
          <w:bCs/>
          <w:szCs w:val="21"/>
        </w:rPr>
        <w:t>冒高氯酸烟，取下稍冷</w:t>
      </w:r>
      <w:r>
        <w:rPr>
          <w:rFonts w:hint="eastAsia" w:eastAsiaTheme="minorEastAsia"/>
          <w:bCs/>
          <w:szCs w:val="21"/>
        </w:rPr>
        <w:t>。</w:t>
      </w:r>
      <w:r>
        <w:rPr>
          <w:rFonts w:eastAsiaTheme="minorEastAsia"/>
          <w:bCs/>
          <w:szCs w:val="21"/>
        </w:rPr>
        <w:t>加入5mL硫酸（</w:t>
      </w:r>
      <w:r>
        <w:rPr>
          <w:rFonts w:hint="eastAsia" w:eastAsiaTheme="majorEastAsia"/>
          <w:bCs/>
          <w:szCs w:val="21"/>
        </w:rPr>
        <w:t>1.1</w:t>
      </w:r>
      <w:r>
        <w:rPr>
          <w:rFonts w:eastAsiaTheme="minorEastAsia"/>
          <w:bCs/>
          <w:szCs w:val="21"/>
        </w:rPr>
        <w:t>.1</w:t>
      </w:r>
      <w:r>
        <w:rPr>
          <w:rFonts w:hint="eastAsia" w:eastAsiaTheme="minorEastAsia"/>
          <w:bCs/>
          <w:szCs w:val="21"/>
        </w:rPr>
        <w:t>2</w:t>
      </w:r>
      <w:r>
        <w:rPr>
          <w:rFonts w:eastAsiaTheme="minorEastAsia"/>
          <w:bCs/>
          <w:szCs w:val="21"/>
        </w:rPr>
        <w:t>），加热至近干</w:t>
      </w:r>
      <w:r>
        <w:rPr>
          <w:rFonts w:hint="eastAsia" w:eastAsiaTheme="minorEastAsia"/>
          <w:bCs/>
          <w:szCs w:val="21"/>
        </w:rPr>
        <w:t>，</w:t>
      </w:r>
      <w:r>
        <w:rPr>
          <w:rFonts w:eastAsiaTheme="minorEastAsia"/>
          <w:szCs w:val="21"/>
        </w:rPr>
        <w:t>取下</w:t>
      </w:r>
      <w:r>
        <w:rPr>
          <w:rFonts w:hint="eastAsia" w:eastAsiaTheme="minorEastAsia"/>
          <w:szCs w:val="21"/>
        </w:rPr>
        <w:t>稍冷。</w:t>
      </w:r>
      <w:r>
        <w:rPr>
          <w:rFonts w:eastAsiaTheme="minorEastAsia"/>
          <w:szCs w:val="21"/>
        </w:rPr>
        <w:t>加入5mL盐酸（</w:t>
      </w:r>
      <w:r>
        <w:rPr>
          <w:rFonts w:hint="eastAsia" w:eastAsiaTheme="majorEastAsia"/>
          <w:bCs/>
          <w:szCs w:val="21"/>
        </w:rPr>
        <w:t>1.1</w:t>
      </w:r>
      <w:r>
        <w:rPr>
          <w:rFonts w:eastAsiaTheme="minorEastAsia"/>
          <w:szCs w:val="21"/>
        </w:rPr>
        <w:t>.</w:t>
      </w:r>
      <w:r>
        <w:rPr>
          <w:rFonts w:hint="eastAsia" w:eastAsiaTheme="minorEastAsia"/>
          <w:szCs w:val="21"/>
        </w:rPr>
        <w:t>4</w:t>
      </w:r>
      <w:r>
        <w:rPr>
          <w:rFonts w:eastAsiaTheme="minorEastAsia"/>
          <w:szCs w:val="21"/>
        </w:rPr>
        <w:t>），用40mL水吹洗杯壁，加热煮沸，使盐类完全溶解，取下冷至室温</w:t>
      </w:r>
      <w:r>
        <w:rPr>
          <w:rFonts w:hint="eastAsia" w:eastAsiaTheme="minorEastAsia"/>
          <w:szCs w:val="21"/>
        </w:rPr>
        <w:t>（若铁含量极少时，需补加1mL三氯化铁溶液（1.1.17））。</w:t>
      </w:r>
      <w:r>
        <w:rPr>
          <w:rFonts w:eastAsiaTheme="minorEastAsia"/>
          <w:szCs w:val="21"/>
        </w:rPr>
        <w:t>滴加氨水（</w:t>
      </w:r>
      <w:r>
        <w:rPr>
          <w:rFonts w:hint="eastAsia" w:eastAsiaTheme="majorEastAsia"/>
          <w:bCs/>
          <w:color w:val="000000" w:themeColor="text1"/>
          <w:szCs w:val="21"/>
        </w:rPr>
        <w:t>1.1</w:t>
      </w:r>
      <w:r>
        <w:rPr>
          <w:rFonts w:eastAsiaTheme="minorEastAsia"/>
          <w:szCs w:val="21"/>
        </w:rPr>
        <w:t>.</w:t>
      </w:r>
      <w:r>
        <w:rPr>
          <w:rFonts w:hint="eastAsia" w:eastAsiaTheme="minorEastAsia"/>
          <w:szCs w:val="21"/>
        </w:rPr>
        <w:t>9</w:t>
      </w:r>
      <w:r>
        <w:rPr>
          <w:rFonts w:eastAsiaTheme="minorEastAsia"/>
          <w:szCs w:val="21"/>
        </w:rPr>
        <w:t>）至氢氧化铁沉淀出现，加入3mL冰乙酸（</w:t>
      </w:r>
      <w:r>
        <w:rPr>
          <w:rFonts w:hint="eastAsia" w:eastAsiaTheme="majorEastAsia"/>
          <w:bCs/>
          <w:color w:val="000000" w:themeColor="text1"/>
          <w:szCs w:val="21"/>
        </w:rPr>
        <w:t>1.1</w:t>
      </w:r>
      <w:r>
        <w:rPr>
          <w:rFonts w:eastAsiaTheme="minorEastAsia"/>
          <w:szCs w:val="21"/>
        </w:rPr>
        <w:t>.1</w:t>
      </w:r>
      <w:r>
        <w:rPr>
          <w:rFonts w:hint="eastAsia" w:eastAsiaTheme="minorEastAsia"/>
          <w:szCs w:val="21"/>
        </w:rPr>
        <w:t>0</w:t>
      </w:r>
      <w:r>
        <w:rPr>
          <w:rFonts w:eastAsiaTheme="minorEastAsia"/>
          <w:szCs w:val="21"/>
        </w:rPr>
        <w:t>），然后滴加氟化氢铵饱和溶液（</w:t>
      </w:r>
      <w:r>
        <w:rPr>
          <w:rFonts w:hint="eastAsia" w:eastAsiaTheme="majorEastAsia"/>
          <w:bCs/>
          <w:color w:val="000000" w:themeColor="text1"/>
          <w:szCs w:val="21"/>
        </w:rPr>
        <w:t>1.1</w:t>
      </w:r>
      <w:r>
        <w:rPr>
          <w:rFonts w:eastAsiaTheme="minorEastAsia"/>
          <w:szCs w:val="21"/>
        </w:rPr>
        <w:t>.1</w:t>
      </w:r>
      <w:r>
        <w:rPr>
          <w:rFonts w:hint="eastAsia" w:eastAsiaTheme="minorEastAsia"/>
          <w:szCs w:val="21"/>
        </w:rPr>
        <w:t>5</w:t>
      </w:r>
      <w:r>
        <w:rPr>
          <w:rFonts w:eastAsiaTheme="minorEastAsia"/>
          <w:szCs w:val="21"/>
        </w:rPr>
        <w:t>）至红棕色消失并过量1mL，摇匀。加入2g碘化钾（</w:t>
      </w:r>
      <w:r>
        <w:rPr>
          <w:rFonts w:hint="eastAsia" w:eastAsiaTheme="majorEastAsia"/>
          <w:bCs/>
          <w:color w:val="000000" w:themeColor="text1"/>
          <w:szCs w:val="21"/>
        </w:rPr>
        <w:t>1.1</w:t>
      </w:r>
      <w:r>
        <w:rPr>
          <w:rFonts w:eastAsiaTheme="minorEastAsia"/>
          <w:szCs w:val="21"/>
        </w:rPr>
        <w:t>.2），摇动溶解，加入2mL淀粉溶液（</w:t>
      </w:r>
      <w:r>
        <w:rPr>
          <w:rFonts w:hint="eastAsia" w:eastAsiaTheme="majorEastAsia"/>
          <w:bCs/>
          <w:color w:val="000000" w:themeColor="text1"/>
          <w:szCs w:val="21"/>
        </w:rPr>
        <w:t>1.1</w:t>
      </w:r>
      <w:r>
        <w:rPr>
          <w:rFonts w:eastAsiaTheme="minorEastAsia"/>
          <w:szCs w:val="21"/>
        </w:rPr>
        <w:t>.1</w:t>
      </w:r>
      <w:r>
        <w:rPr>
          <w:rFonts w:hint="eastAsia" w:eastAsiaTheme="minorEastAsia"/>
          <w:szCs w:val="21"/>
        </w:rPr>
        <w:t>8</w:t>
      </w:r>
      <w:r>
        <w:rPr>
          <w:rFonts w:eastAsiaTheme="minorEastAsia"/>
          <w:szCs w:val="21"/>
        </w:rPr>
        <w:t>），立即用硫代硫酸钠标准滴定溶液（</w:t>
      </w:r>
      <w:r>
        <w:rPr>
          <w:rFonts w:hint="eastAsia" w:eastAsiaTheme="majorEastAsia"/>
          <w:bCs/>
          <w:color w:val="000000" w:themeColor="text1"/>
          <w:szCs w:val="21"/>
        </w:rPr>
        <w:t>1.1</w:t>
      </w:r>
      <w:r>
        <w:rPr>
          <w:rFonts w:eastAsiaTheme="minorEastAsia"/>
          <w:szCs w:val="21"/>
        </w:rPr>
        <w:t>.2</w:t>
      </w:r>
      <w:r>
        <w:rPr>
          <w:rFonts w:hint="eastAsia" w:eastAsiaTheme="minorEastAsia"/>
          <w:szCs w:val="21"/>
        </w:rPr>
        <w:t>0</w:t>
      </w:r>
      <w:r>
        <w:rPr>
          <w:rFonts w:eastAsiaTheme="minorEastAsia"/>
          <w:szCs w:val="21"/>
        </w:rPr>
        <w:t>）滴定至浅</w:t>
      </w:r>
      <w:r>
        <w:rPr>
          <w:rFonts w:hint="eastAsia" w:eastAsiaTheme="minorEastAsia"/>
          <w:szCs w:val="21"/>
        </w:rPr>
        <w:t>蓝</w:t>
      </w:r>
      <w:r>
        <w:rPr>
          <w:rFonts w:eastAsiaTheme="minorEastAsia"/>
          <w:szCs w:val="21"/>
        </w:rPr>
        <w:t>色，加入5mL硫氰酸钾溶液（</w:t>
      </w:r>
      <w:r>
        <w:rPr>
          <w:rFonts w:hint="eastAsia" w:eastAsiaTheme="majorEastAsia"/>
          <w:bCs/>
          <w:color w:val="000000" w:themeColor="text1"/>
          <w:szCs w:val="21"/>
        </w:rPr>
        <w:t>1.1</w:t>
      </w:r>
      <w:r>
        <w:rPr>
          <w:rFonts w:eastAsiaTheme="minorEastAsia"/>
          <w:szCs w:val="21"/>
        </w:rPr>
        <w:t>.</w:t>
      </w:r>
      <w:r>
        <w:rPr>
          <w:rFonts w:hint="eastAsia" w:eastAsiaTheme="minorEastAsia"/>
          <w:szCs w:val="21"/>
        </w:rPr>
        <w:t>19</w:t>
      </w:r>
      <w:r>
        <w:rPr>
          <w:rFonts w:eastAsiaTheme="minorEastAsia"/>
          <w:szCs w:val="21"/>
        </w:rPr>
        <w:t>），激烈摇振至蓝色加深，</w:t>
      </w:r>
      <w:r>
        <w:rPr>
          <w:rFonts w:hint="eastAsia" w:eastAsiaTheme="minorEastAsia"/>
          <w:szCs w:val="21"/>
        </w:rPr>
        <w:t>继续</w:t>
      </w:r>
      <w:r>
        <w:rPr>
          <w:rFonts w:eastAsiaTheme="minorEastAsia"/>
          <w:szCs w:val="21"/>
        </w:rPr>
        <w:t>滴定至蓝色刚好消失为终点。随同标定做空白试验。</w:t>
      </w:r>
    </w:p>
    <w:p>
      <w:pPr>
        <w:spacing w:line="360" w:lineRule="auto"/>
        <w:rPr>
          <w:bCs/>
          <w:color w:val="000000"/>
          <w:szCs w:val="21"/>
        </w:rPr>
      </w:pPr>
      <w:r>
        <w:rPr>
          <w:color w:val="000000"/>
          <w:szCs w:val="21"/>
        </w:rPr>
        <w:t>1.2.2</w:t>
      </w:r>
      <w:r>
        <w:rPr>
          <w:bCs/>
          <w:color w:val="000000"/>
          <w:szCs w:val="21"/>
        </w:rPr>
        <w:t>分析结果的计算</w:t>
      </w:r>
    </w:p>
    <w:p>
      <w:pPr>
        <w:rPr>
          <w:rFonts w:eastAsiaTheme="minorEastAsia"/>
        </w:rPr>
      </w:pPr>
      <w:r>
        <w:rPr>
          <w:szCs w:val="21"/>
        </w:rPr>
        <w:t xml:space="preserve"> </w:t>
      </w:r>
      <w:r>
        <w:rPr>
          <w:rFonts w:eastAsiaTheme="minorEastAsia"/>
          <w:szCs w:val="21"/>
        </w:rPr>
        <w:t xml:space="preserve">  铜量以铜的质量分数</w:t>
      </w:r>
      <w:r>
        <w:rPr>
          <w:rFonts w:eastAsiaTheme="minorEastAsia"/>
          <w:i/>
          <w:szCs w:val="21"/>
        </w:rPr>
        <w:t>w</w:t>
      </w:r>
      <w:r>
        <w:rPr>
          <w:rFonts w:eastAsiaTheme="minorEastAsia"/>
          <w:i/>
          <w:szCs w:val="21"/>
          <w:vertAlign w:val="subscript"/>
        </w:rPr>
        <w:t>Cu</w:t>
      </w:r>
      <w:r>
        <w:rPr>
          <w:rFonts w:eastAsiaTheme="minorEastAsia"/>
          <w:szCs w:val="21"/>
        </w:rPr>
        <w:t>计，</w:t>
      </w:r>
      <w:r>
        <w:rPr>
          <w:rFonts w:eastAsiaTheme="minorEastAsia"/>
        </w:rPr>
        <w:t>数值以%表示，</w:t>
      </w:r>
      <w:r>
        <w:rPr>
          <w:rFonts w:eastAsiaTheme="minorEastAsia"/>
          <w:szCs w:val="21"/>
        </w:rPr>
        <w:t>按公式（2）计算</w:t>
      </w:r>
      <w:r>
        <w:rPr>
          <w:rFonts w:eastAsiaTheme="minorEastAsia"/>
        </w:rPr>
        <w:t>：</w:t>
      </w:r>
    </w:p>
    <w:p>
      <w:pPr>
        <w:rPr>
          <w:szCs w:val="21"/>
        </w:rPr>
      </w:pPr>
      <w:r>
        <w:rPr>
          <w:szCs w:val="21"/>
        </w:rPr>
        <w:t xml:space="preserve">               </w:t>
      </w:r>
      <w:r>
        <w:rPr>
          <w:position w:val="-28"/>
          <w:sz w:val="28"/>
          <w:szCs w:val="28"/>
        </w:rPr>
        <w:object>
          <v:shape id="_x0000_i1028" o:spt="75" type="#_x0000_t75" style="height:34.95pt;width:156.3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szCs w:val="21"/>
        </w:rPr>
        <w:t>………………………………（2）</w:t>
      </w:r>
    </w:p>
    <w:p>
      <w:pPr>
        <w:adjustRightInd w:val="0"/>
        <w:snapToGrid w:val="0"/>
        <w:spacing w:before="50" w:after="50"/>
        <w:ind w:firstLine="444" w:firstLineChars="200"/>
        <w:rPr>
          <w:rFonts w:eastAsiaTheme="minorEastAsia"/>
          <w:spacing w:val="6"/>
        </w:rPr>
      </w:pPr>
      <w:r>
        <w:rPr>
          <w:rFonts w:eastAsiaTheme="minorEastAsia"/>
          <w:spacing w:val="6"/>
        </w:rPr>
        <w:t>式中：</w:t>
      </w:r>
    </w:p>
    <w:p>
      <w:pPr>
        <w:adjustRightInd w:val="0"/>
        <w:snapToGrid w:val="0"/>
        <w:spacing w:before="50" w:after="50"/>
        <w:ind w:firstLine="420" w:firstLineChars="200"/>
        <w:rPr>
          <w:rFonts w:eastAsiaTheme="minorEastAsia"/>
          <w:spacing w:val="6"/>
        </w:rPr>
      </w:pPr>
      <w:r>
        <w:rPr>
          <w:position w:val="-10"/>
        </w:rPr>
        <w:object>
          <v:shape id="_x0000_i1029" o:spt="75" type="#_x0000_t75" style="height:16.1pt;width:11.8pt;" o:ole="t" filled="f" o:preferrelative="t" stroked="f" coordsize="21600,21600">
            <v:path/>
            <v:fill on="f" focussize="0,0"/>
            <v:stroke on="f" joinstyle="miter"/>
            <v:imagedata r:id="rId7" o:title=""/>
            <o:lock v:ext="edit" aspectratio="t"/>
            <w10:wrap type="none"/>
            <w10:anchorlock/>
          </v:shape>
          <o:OLEObject Type="Embed" ProgID="Equation.3" ShapeID="_x0000_i1029" DrawAspect="Content" ObjectID="_1468075729" r:id="rId12">
            <o:LockedField>false</o:LockedField>
          </o:OLEObject>
        </w:object>
      </w:r>
      <w:r>
        <w:rPr>
          <w:rFonts w:eastAsiaTheme="minorEastAsia"/>
          <w:spacing w:val="6"/>
        </w:rPr>
        <w:t>——硫代硫酸钠标准滴定溶液对铜的</w:t>
      </w:r>
      <w:r>
        <w:rPr>
          <w:rFonts w:hint="eastAsia" w:eastAsiaTheme="minorEastAsia"/>
          <w:spacing w:val="6"/>
        </w:rPr>
        <w:t>计算因子</w:t>
      </w:r>
      <w:r>
        <w:rPr>
          <w:rFonts w:eastAsiaTheme="minorEastAsia"/>
          <w:spacing w:val="6"/>
        </w:rPr>
        <w:t>，单位为毫克每毫升（mg/mL）；</w:t>
      </w:r>
    </w:p>
    <w:p>
      <w:pPr>
        <w:adjustRightInd w:val="0"/>
        <w:snapToGrid w:val="0"/>
        <w:spacing w:before="50" w:after="50"/>
        <w:ind w:firstLine="444" w:firstLineChars="200"/>
        <w:rPr>
          <w:rFonts w:eastAsiaTheme="minorEastAsia"/>
          <w:spacing w:val="6"/>
        </w:rPr>
      </w:pPr>
      <w:r>
        <w:rPr>
          <w:rFonts w:eastAsiaTheme="minorEastAsia"/>
          <w:i/>
          <w:spacing w:val="6"/>
        </w:rPr>
        <w:t>V</w:t>
      </w:r>
      <w:r>
        <w:rPr>
          <w:rFonts w:eastAsiaTheme="minorEastAsia"/>
          <w:spacing w:val="6"/>
          <w:vertAlign w:val="subscript"/>
        </w:rPr>
        <w:t>3</w:t>
      </w:r>
      <w:r>
        <w:rPr>
          <w:rFonts w:eastAsiaTheme="minorEastAsia"/>
          <w:spacing w:val="6"/>
        </w:rPr>
        <w:t>——</w:t>
      </w:r>
      <w:r>
        <w:rPr>
          <w:rFonts w:hint="eastAsia" w:eastAsiaTheme="minorEastAsia"/>
          <w:spacing w:val="6"/>
        </w:rPr>
        <w:t>滴定</w:t>
      </w:r>
      <w:r>
        <w:rPr>
          <w:rFonts w:eastAsiaTheme="minorEastAsia"/>
          <w:spacing w:val="6"/>
        </w:rPr>
        <w:t>试</w:t>
      </w:r>
      <w:r>
        <w:rPr>
          <w:rFonts w:hint="eastAsia" w:eastAsiaTheme="minorEastAsia"/>
          <w:spacing w:val="6"/>
        </w:rPr>
        <w:t>液</w:t>
      </w:r>
      <w:r>
        <w:rPr>
          <w:rFonts w:eastAsiaTheme="minorEastAsia"/>
          <w:spacing w:val="6"/>
        </w:rPr>
        <w:t>消耗硫代硫酸钠标准滴定溶液的体积，单位为毫升（mL）；</w:t>
      </w:r>
    </w:p>
    <w:p>
      <w:pPr>
        <w:adjustRightInd w:val="0"/>
        <w:snapToGrid w:val="0"/>
        <w:spacing w:before="50" w:after="50"/>
        <w:ind w:firstLine="444" w:firstLineChars="200"/>
        <w:rPr>
          <w:rFonts w:eastAsiaTheme="minorEastAsia"/>
          <w:spacing w:val="6"/>
        </w:rPr>
      </w:pPr>
      <w:r>
        <w:rPr>
          <w:rFonts w:eastAsiaTheme="minorEastAsia"/>
          <w:i/>
          <w:spacing w:val="6"/>
        </w:rPr>
        <w:t>V</w:t>
      </w:r>
      <w:r>
        <w:rPr>
          <w:rFonts w:eastAsiaTheme="minorEastAsia"/>
          <w:spacing w:val="6"/>
          <w:vertAlign w:val="subscript"/>
        </w:rPr>
        <w:t>4</w:t>
      </w:r>
      <w:r>
        <w:rPr>
          <w:rFonts w:eastAsiaTheme="minorEastAsia"/>
          <w:spacing w:val="6"/>
        </w:rPr>
        <w:t>——</w:t>
      </w:r>
      <w:r>
        <w:rPr>
          <w:rFonts w:hint="eastAsia" w:eastAsiaTheme="minorEastAsia"/>
          <w:spacing w:val="6"/>
        </w:rPr>
        <w:t>滴定空白试液</w:t>
      </w:r>
      <w:r>
        <w:rPr>
          <w:rFonts w:eastAsiaTheme="minorEastAsia"/>
          <w:spacing w:val="6"/>
        </w:rPr>
        <w:t>消耗硫代硫酸钠标准滴定溶液的体积，单位为毫升（mL）；</w:t>
      </w:r>
    </w:p>
    <w:p>
      <w:pPr>
        <w:adjustRightInd w:val="0"/>
        <w:snapToGrid w:val="0"/>
        <w:spacing w:before="50" w:after="50"/>
        <w:ind w:firstLine="444" w:firstLineChars="200"/>
        <w:rPr>
          <w:rFonts w:eastAsiaTheme="minorEastAsia"/>
          <w:spacing w:val="6"/>
        </w:rPr>
      </w:pPr>
      <w:r>
        <w:rPr>
          <w:rFonts w:eastAsiaTheme="minorEastAsia"/>
          <w:i/>
          <w:spacing w:val="6"/>
        </w:rPr>
        <w:t>m</w:t>
      </w:r>
      <w:r>
        <w:rPr>
          <w:rFonts w:eastAsiaTheme="minorEastAsia"/>
          <w:spacing w:val="6"/>
        </w:rPr>
        <w:t>——试料质量，单位为克（g）；</w:t>
      </w:r>
    </w:p>
    <w:p>
      <w:pPr>
        <w:ind w:firstLine="444" w:firstLineChars="200"/>
        <w:rPr>
          <w:rFonts w:eastAsiaTheme="minorEastAsia"/>
          <w:spacing w:val="6"/>
        </w:rPr>
      </w:pPr>
      <w:r>
        <w:rPr>
          <w:rFonts w:eastAsiaTheme="minorEastAsia"/>
          <w:spacing w:val="6"/>
        </w:rPr>
        <w:t>计算结果表示至小数点后两位。</w:t>
      </w:r>
    </w:p>
    <w:p>
      <w:pPr>
        <w:rPr>
          <w:rFonts w:eastAsia="黑体"/>
          <w:color w:val="000000"/>
          <w:sz w:val="30"/>
          <w:szCs w:val="30"/>
        </w:rPr>
      </w:pPr>
      <w:r>
        <w:rPr>
          <w:rFonts w:eastAsia="黑体"/>
          <w:color w:val="000000"/>
          <w:sz w:val="30"/>
          <w:szCs w:val="30"/>
        </w:rPr>
        <w:t>2 实验结果及讨论</w:t>
      </w:r>
    </w:p>
    <w:p>
      <w:pPr>
        <w:spacing w:line="360" w:lineRule="auto"/>
        <w:rPr>
          <w:rFonts w:eastAsia="黑体"/>
          <w:bCs/>
          <w:color w:val="000000"/>
          <w:szCs w:val="21"/>
        </w:rPr>
      </w:pPr>
      <w:r>
        <w:rPr>
          <w:rFonts w:hint="eastAsia" w:eastAsia="黑体"/>
          <w:bCs/>
          <w:color w:val="000000"/>
          <w:szCs w:val="21"/>
        </w:rPr>
        <w:t>2.1 溶样方法的选择</w:t>
      </w:r>
    </w:p>
    <w:p>
      <w:r>
        <w:rPr>
          <w:rFonts w:hint="eastAsia"/>
        </w:rPr>
        <w:t>2.1.1 样品所含杂质元素</w:t>
      </w:r>
    </w:p>
    <w:p>
      <w:pPr>
        <w:ind w:firstLine="420" w:firstLineChars="200"/>
        <w:rPr>
          <w:color w:val="FF0000"/>
        </w:rPr>
      </w:pPr>
      <w:r>
        <w:rPr>
          <w:rFonts w:hint="eastAsia"/>
        </w:rPr>
        <w:t>对5个分银渣样品进行了碱熔-ICP-AES测定，所含杂质元素如表1所示。</w:t>
      </w:r>
    </w:p>
    <w:p>
      <w:pPr>
        <w:jc w:val="center"/>
      </w:pPr>
      <w:r>
        <w:rPr>
          <w:rFonts w:hint="eastAsia"/>
        </w:rPr>
        <w:t>表1 样品各共存元素及含量范围，%</w:t>
      </w:r>
    </w:p>
    <w:tbl>
      <w:tblPr>
        <w:tblStyle w:val="10"/>
        <w:tblW w:w="93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824"/>
        <w:gridCol w:w="825"/>
        <w:gridCol w:w="824"/>
        <w:gridCol w:w="825"/>
        <w:gridCol w:w="824"/>
        <w:gridCol w:w="825"/>
        <w:gridCol w:w="824"/>
        <w:gridCol w:w="825"/>
        <w:gridCol w:w="825"/>
        <w:gridCol w:w="8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pPr>
            <w:r>
              <w:rPr>
                <w:rFonts w:hint="eastAsia"/>
              </w:rPr>
              <w:t>样品编号</w:t>
            </w:r>
          </w:p>
        </w:tc>
        <w:tc>
          <w:tcPr>
            <w:tcW w:w="824" w:type="dxa"/>
            <w:vAlign w:val="center"/>
          </w:tcPr>
          <w:p>
            <w:pPr>
              <w:jc w:val="center"/>
            </w:pPr>
            <w:r>
              <w:rPr>
                <w:rFonts w:hint="eastAsia"/>
              </w:rPr>
              <w:t>As</w:t>
            </w:r>
          </w:p>
        </w:tc>
        <w:tc>
          <w:tcPr>
            <w:tcW w:w="825" w:type="dxa"/>
            <w:vAlign w:val="center"/>
          </w:tcPr>
          <w:p>
            <w:pPr>
              <w:jc w:val="center"/>
            </w:pPr>
            <w:r>
              <w:rPr>
                <w:rFonts w:hint="eastAsia"/>
              </w:rPr>
              <w:t>Ba</w:t>
            </w:r>
          </w:p>
        </w:tc>
        <w:tc>
          <w:tcPr>
            <w:tcW w:w="824" w:type="dxa"/>
            <w:vAlign w:val="center"/>
          </w:tcPr>
          <w:p>
            <w:pPr>
              <w:jc w:val="center"/>
            </w:pPr>
            <w:r>
              <w:rPr>
                <w:rFonts w:hint="eastAsia"/>
              </w:rPr>
              <w:t>Bi</w:t>
            </w:r>
          </w:p>
        </w:tc>
        <w:tc>
          <w:tcPr>
            <w:tcW w:w="825" w:type="dxa"/>
            <w:vAlign w:val="center"/>
          </w:tcPr>
          <w:p>
            <w:pPr>
              <w:jc w:val="center"/>
            </w:pPr>
            <w:r>
              <w:rPr>
                <w:rFonts w:hint="eastAsia"/>
              </w:rPr>
              <w:t>Ca</w:t>
            </w:r>
          </w:p>
        </w:tc>
        <w:tc>
          <w:tcPr>
            <w:tcW w:w="824" w:type="dxa"/>
            <w:vAlign w:val="center"/>
          </w:tcPr>
          <w:p>
            <w:pPr>
              <w:jc w:val="center"/>
            </w:pPr>
            <w:r>
              <w:rPr>
                <w:rFonts w:hint="eastAsia"/>
              </w:rPr>
              <w:t>Pb</w:t>
            </w:r>
          </w:p>
        </w:tc>
        <w:tc>
          <w:tcPr>
            <w:tcW w:w="825" w:type="dxa"/>
            <w:vAlign w:val="center"/>
          </w:tcPr>
          <w:p>
            <w:pPr>
              <w:jc w:val="center"/>
            </w:pPr>
            <w:r>
              <w:rPr>
                <w:rFonts w:hint="eastAsia"/>
              </w:rPr>
              <w:t>Sb</w:t>
            </w:r>
          </w:p>
        </w:tc>
        <w:tc>
          <w:tcPr>
            <w:tcW w:w="824" w:type="dxa"/>
            <w:vAlign w:val="center"/>
          </w:tcPr>
          <w:p>
            <w:pPr>
              <w:jc w:val="center"/>
            </w:pPr>
            <w:r>
              <w:rPr>
                <w:rFonts w:hint="eastAsia"/>
              </w:rPr>
              <w:t>Sn</w:t>
            </w:r>
          </w:p>
        </w:tc>
        <w:tc>
          <w:tcPr>
            <w:tcW w:w="825" w:type="dxa"/>
            <w:vAlign w:val="center"/>
          </w:tcPr>
          <w:p>
            <w:pPr>
              <w:jc w:val="center"/>
            </w:pPr>
            <w:r>
              <w:rPr>
                <w:rFonts w:hint="eastAsia"/>
              </w:rPr>
              <w:t>Fe</w:t>
            </w:r>
          </w:p>
        </w:tc>
        <w:tc>
          <w:tcPr>
            <w:tcW w:w="825" w:type="dxa"/>
            <w:vAlign w:val="center"/>
          </w:tcPr>
          <w:p>
            <w:pPr>
              <w:jc w:val="center"/>
            </w:pPr>
            <w:r>
              <w:rPr>
                <w:rFonts w:hint="eastAsia"/>
              </w:rPr>
              <w:t>Mg</w:t>
            </w:r>
          </w:p>
        </w:tc>
        <w:tc>
          <w:tcPr>
            <w:tcW w:w="825" w:type="dxa"/>
          </w:tcPr>
          <w:p>
            <w:pPr>
              <w:jc w:val="center"/>
            </w:pPr>
            <w:r>
              <w:rPr>
                <w:rFonts w:hint="eastAsia"/>
              </w:rPr>
              <w:t>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pPr>
            <w:r>
              <w:rPr>
                <w:rFonts w:hint="eastAsia"/>
              </w:rPr>
              <w:t>1#</w:t>
            </w:r>
          </w:p>
        </w:tc>
        <w:tc>
          <w:tcPr>
            <w:tcW w:w="824" w:type="dxa"/>
            <w:vAlign w:val="center"/>
          </w:tcPr>
          <w:p>
            <w:pPr>
              <w:jc w:val="center"/>
            </w:pPr>
            <w:r>
              <w:rPr>
                <w:rFonts w:hint="eastAsia"/>
              </w:rPr>
              <w:t>1.48</w:t>
            </w:r>
          </w:p>
        </w:tc>
        <w:tc>
          <w:tcPr>
            <w:tcW w:w="825" w:type="dxa"/>
            <w:vAlign w:val="center"/>
          </w:tcPr>
          <w:p>
            <w:pPr>
              <w:jc w:val="center"/>
            </w:pPr>
            <w:r>
              <w:rPr>
                <w:rFonts w:hint="eastAsia"/>
              </w:rPr>
              <w:t>6.44</w:t>
            </w:r>
          </w:p>
        </w:tc>
        <w:tc>
          <w:tcPr>
            <w:tcW w:w="824" w:type="dxa"/>
            <w:vAlign w:val="center"/>
          </w:tcPr>
          <w:p>
            <w:pPr>
              <w:jc w:val="center"/>
            </w:pPr>
            <w:r>
              <w:rPr>
                <w:rFonts w:hint="eastAsia"/>
              </w:rPr>
              <w:t>2.52</w:t>
            </w:r>
          </w:p>
        </w:tc>
        <w:tc>
          <w:tcPr>
            <w:tcW w:w="825" w:type="dxa"/>
            <w:vAlign w:val="center"/>
          </w:tcPr>
          <w:p>
            <w:pPr>
              <w:jc w:val="center"/>
            </w:pPr>
            <w:r>
              <w:rPr>
                <w:rFonts w:hint="eastAsia"/>
              </w:rPr>
              <w:t>3.00</w:t>
            </w:r>
          </w:p>
        </w:tc>
        <w:tc>
          <w:tcPr>
            <w:tcW w:w="824" w:type="dxa"/>
            <w:vAlign w:val="center"/>
          </w:tcPr>
          <w:p>
            <w:pPr>
              <w:jc w:val="center"/>
            </w:pPr>
            <w:r>
              <w:rPr>
                <w:rFonts w:hint="eastAsia"/>
              </w:rPr>
              <w:t>19.50</w:t>
            </w:r>
          </w:p>
        </w:tc>
        <w:tc>
          <w:tcPr>
            <w:tcW w:w="825" w:type="dxa"/>
            <w:vAlign w:val="center"/>
          </w:tcPr>
          <w:p>
            <w:pPr>
              <w:jc w:val="center"/>
            </w:pPr>
            <w:r>
              <w:rPr>
                <w:rFonts w:hint="eastAsia"/>
              </w:rPr>
              <w:t>18.37</w:t>
            </w:r>
          </w:p>
        </w:tc>
        <w:tc>
          <w:tcPr>
            <w:tcW w:w="824" w:type="dxa"/>
            <w:vAlign w:val="center"/>
          </w:tcPr>
          <w:p>
            <w:pPr>
              <w:jc w:val="center"/>
            </w:pPr>
            <w:r>
              <w:rPr>
                <w:rFonts w:hint="eastAsia"/>
              </w:rPr>
              <w:t>8.67</w:t>
            </w:r>
          </w:p>
        </w:tc>
        <w:tc>
          <w:tcPr>
            <w:tcW w:w="825" w:type="dxa"/>
            <w:vAlign w:val="center"/>
          </w:tcPr>
          <w:p>
            <w:pPr>
              <w:jc w:val="center"/>
            </w:pPr>
            <w:r>
              <w:rPr>
                <w:rFonts w:hint="eastAsia"/>
              </w:rPr>
              <w:t>2.51</w:t>
            </w:r>
          </w:p>
        </w:tc>
        <w:tc>
          <w:tcPr>
            <w:tcW w:w="825" w:type="dxa"/>
            <w:vAlign w:val="center"/>
          </w:tcPr>
          <w:p>
            <w:pPr>
              <w:jc w:val="center"/>
            </w:pPr>
            <w:r>
              <w:rPr>
                <w:rFonts w:hint="eastAsia"/>
              </w:rPr>
              <w:t>0.58</w:t>
            </w:r>
          </w:p>
        </w:tc>
        <w:tc>
          <w:tcPr>
            <w:tcW w:w="825" w:type="dxa"/>
          </w:tcPr>
          <w:p>
            <w:pPr>
              <w:jc w:val="center"/>
            </w:pPr>
            <w:r>
              <w:rPr>
                <w:rFonts w:hint="eastAsia"/>
              </w:rPr>
              <w:t>1.14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pPr>
            <w:r>
              <w:rPr>
                <w:rFonts w:hint="eastAsia"/>
              </w:rPr>
              <w:t>2#</w:t>
            </w:r>
          </w:p>
        </w:tc>
        <w:tc>
          <w:tcPr>
            <w:tcW w:w="824" w:type="dxa"/>
            <w:vAlign w:val="center"/>
          </w:tcPr>
          <w:p>
            <w:pPr>
              <w:jc w:val="center"/>
            </w:pPr>
            <w:r>
              <w:rPr>
                <w:rFonts w:hint="eastAsia"/>
              </w:rPr>
              <w:t>0.52</w:t>
            </w:r>
          </w:p>
        </w:tc>
        <w:tc>
          <w:tcPr>
            <w:tcW w:w="825" w:type="dxa"/>
            <w:vAlign w:val="center"/>
          </w:tcPr>
          <w:p>
            <w:pPr>
              <w:jc w:val="center"/>
            </w:pPr>
            <w:r>
              <w:rPr>
                <w:rFonts w:hint="eastAsia"/>
              </w:rPr>
              <w:t>10.55</w:t>
            </w:r>
          </w:p>
        </w:tc>
        <w:tc>
          <w:tcPr>
            <w:tcW w:w="824" w:type="dxa"/>
            <w:vAlign w:val="center"/>
          </w:tcPr>
          <w:p>
            <w:pPr>
              <w:jc w:val="center"/>
            </w:pPr>
            <w:r>
              <w:rPr>
                <w:rFonts w:hint="eastAsia"/>
              </w:rPr>
              <w:t>6.30</w:t>
            </w:r>
          </w:p>
        </w:tc>
        <w:tc>
          <w:tcPr>
            <w:tcW w:w="825" w:type="dxa"/>
            <w:vAlign w:val="center"/>
          </w:tcPr>
          <w:p>
            <w:pPr>
              <w:jc w:val="center"/>
            </w:pPr>
            <w:r>
              <w:rPr>
                <w:rFonts w:hint="eastAsia"/>
              </w:rPr>
              <w:t>3.71</w:t>
            </w:r>
          </w:p>
        </w:tc>
        <w:tc>
          <w:tcPr>
            <w:tcW w:w="824" w:type="dxa"/>
            <w:vAlign w:val="center"/>
          </w:tcPr>
          <w:p>
            <w:pPr>
              <w:jc w:val="center"/>
            </w:pPr>
            <w:r>
              <w:rPr>
                <w:rFonts w:hint="eastAsia"/>
              </w:rPr>
              <w:t>19.60</w:t>
            </w:r>
          </w:p>
        </w:tc>
        <w:tc>
          <w:tcPr>
            <w:tcW w:w="825" w:type="dxa"/>
            <w:vAlign w:val="center"/>
          </w:tcPr>
          <w:p>
            <w:pPr>
              <w:jc w:val="center"/>
            </w:pPr>
            <w:r>
              <w:rPr>
                <w:rFonts w:hint="eastAsia"/>
              </w:rPr>
              <w:t>13.92</w:t>
            </w:r>
          </w:p>
        </w:tc>
        <w:tc>
          <w:tcPr>
            <w:tcW w:w="824" w:type="dxa"/>
            <w:vAlign w:val="center"/>
          </w:tcPr>
          <w:p>
            <w:pPr>
              <w:jc w:val="center"/>
            </w:pPr>
            <w:r>
              <w:rPr>
                <w:rFonts w:hint="eastAsia"/>
              </w:rPr>
              <w:t>2.33</w:t>
            </w:r>
          </w:p>
        </w:tc>
        <w:tc>
          <w:tcPr>
            <w:tcW w:w="825" w:type="dxa"/>
            <w:vAlign w:val="center"/>
          </w:tcPr>
          <w:p>
            <w:pPr>
              <w:jc w:val="center"/>
            </w:pPr>
            <w:r>
              <w:rPr>
                <w:rFonts w:hint="eastAsia"/>
              </w:rPr>
              <w:t>1.29</w:t>
            </w:r>
          </w:p>
        </w:tc>
        <w:tc>
          <w:tcPr>
            <w:tcW w:w="825" w:type="dxa"/>
            <w:vAlign w:val="center"/>
          </w:tcPr>
          <w:p>
            <w:pPr>
              <w:jc w:val="center"/>
            </w:pPr>
            <w:r>
              <w:rPr>
                <w:rFonts w:hint="eastAsia"/>
              </w:rPr>
              <w:t>0.65</w:t>
            </w:r>
          </w:p>
        </w:tc>
        <w:tc>
          <w:tcPr>
            <w:tcW w:w="825" w:type="dxa"/>
          </w:tcPr>
          <w:p>
            <w:pPr>
              <w:jc w:val="center"/>
            </w:pPr>
            <w:r>
              <w:rPr>
                <w:rFonts w:hint="eastAsia"/>
              </w:rPr>
              <w:t>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pPr>
            <w:r>
              <w:rPr>
                <w:rFonts w:hint="eastAsia"/>
              </w:rPr>
              <w:t>3#</w:t>
            </w:r>
          </w:p>
        </w:tc>
        <w:tc>
          <w:tcPr>
            <w:tcW w:w="824" w:type="dxa"/>
            <w:vAlign w:val="center"/>
          </w:tcPr>
          <w:p>
            <w:pPr>
              <w:jc w:val="center"/>
            </w:pPr>
            <w:r>
              <w:rPr>
                <w:rFonts w:hint="eastAsia"/>
              </w:rPr>
              <w:t>1.14</w:t>
            </w:r>
          </w:p>
        </w:tc>
        <w:tc>
          <w:tcPr>
            <w:tcW w:w="825" w:type="dxa"/>
            <w:vAlign w:val="center"/>
          </w:tcPr>
          <w:p>
            <w:pPr>
              <w:jc w:val="center"/>
            </w:pPr>
            <w:r>
              <w:rPr>
                <w:rFonts w:hint="eastAsia"/>
              </w:rPr>
              <w:t>5.04</w:t>
            </w:r>
          </w:p>
        </w:tc>
        <w:tc>
          <w:tcPr>
            <w:tcW w:w="824" w:type="dxa"/>
            <w:vAlign w:val="center"/>
          </w:tcPr>
          <w:p>
            <w:pPr>
              <w:jc w:val="center"/>
            </w:pPr>
            <w:r>
              <w:rPr>
                <w:rFonts w:hint="eastAsia"/>
              </w:rPr>
              <w:t>5.91</w:t>
            </w:r>
          </w:p>
        </w:tc>
        <w:tc>
          <w:tcPr>
            <w:tcW w:w="825" w:type="dxa"/>
            <w:vAlign w:val="center"/>
          </w:tcPr>
          <w:p>
            <w:pPr>
              <w:jc w:val="center"/>
            </w:pPr>
            <w:r>
              <w:rPr>
                <w:rFonts w:hint="eastAsia"/>
              </w:rPr>
              <w:t>2.76</w:t>
            </w:r>
          </w:p>
        </w:tc>
        <w:tc>
          <w:tcPr>
            <w:tcW w:w="824" w:type="dxa"/>
            <w:vAlign w:val="center"/>
          </w:tcPr>
          <w:p>
            <w:pPr>
              <w:jc w:val="center"/>
            </w:pPr>
            <w:r>
              <w:rPr>
                <w:rFonts w:hint="eastAsia"/>
              </w:rPr>
              <w:t>12.66</w:t>
            </w:r>
          </w:p>
        </w:tc>
        <w:tc>
          <w:tcPr>
            <w:tcW w:w="825" w:type="dxa"/>
            <w:vAlign w:val="center"/>
          </w:tcPr>
          <w:p>
            <w:pPr>
              <w:jc w:val="center"/>
            </w:pPr>
            <w:r>
              <w:rPr>
                <w:rFonts w:hint="eastAsia"/>
              </w:rPr>
              <w:t>14.19</w:t>
            </w:r>
          </w:p>
        </w:tc>
        <w:tc>
          <w:tcPr>
            <w:tcW w:w="824" w:type="dxa"/>
            <w:vAlign w:val="center"/>
          </w:tcPr>
          <w:p>
            <w:pPr>
              <w:jc w:val="center"/>
            </w:pPr>
            <w:r>
              <w:rPr>
                <w:rFonts w:hint="eastAsia"/>
              </w:rPr>
              <w:t>6.57</w:t>
            </w:r>
          </w:p>
        </w:tc>
        <w:tc>
          <w:tcPr>
            <w:tcW w:w="825" w:type="dxa"/>
            <w:vAlign w:val="center"/>
          </w:tcPr>
          <w:p>
            <w:pPr>
              <w:jc w:val="center"/>
            </w:pPr>
            <w:r>
              <w:rPr>
                <w:rFonts w:hint="eastAsia"/>
              </w:rPr>
              <w:t>2.20</w:t>
            </w:r>
          </w:p>
        </w:tc>
        <w:tc>
          <w:tcPr>
            <w:tcW w:w="825" w:type="dxa"/>
            <w:vAlign w:val="center"/>
          </w:tcPr>
          <w:p>
            <w:pPr>
              <w:jc w:val="center"/>
            </w:pPr>
            <w:r>
              <w:rPr>
                <w:rFonts w:hint="eastAsia"/>
              </w:rPr>
              <w:t>0.50</w:t>
            </w:r>
          </w:p>
        </w:tc>
        <w:tc>
          <w:tcPr>
            <w:tcW w:w="825" w:type="dxa"/>
          </w:tcPr>
          <w:p>
            <w:pPr>
              <w:jc w:val="center"/>
            </w:pPr>
            <w:r>
              <w:rPr>
                <w:rFonts w:hint="eastAsia"/>
              </w:rPr>
              <w:t>0.78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pPr>
            <w:r>
              <w:rPr>
                <w:rFonts w:hint="eastAsia"/>
              </w:rPr>
              <w:t>4#</w:t>
            </w:r>
          </w:p>
        </w:tc>
        <w:tc>
          <w:tcPr>
            <w:tcW w:w="824" w:type="dxa"/>
            <w:vAlign w:val="center"/>
          </w:tcPr>
          <w:p>
            <w:pPr>
              <w:jc w:val="center"/>
            </w:pPr>
            <w:r>
              <w:rPr>
                <w:rFonts w:hint="eastAsia"/>
              </w:rPr>
              <w:t>1.00</w:t>
            </w:r>
          </w:p>
        </w:tc>
        <w:tc>
          <w:tcPr>
            <w:tcW w:w="825" w:type="dxa"/>
            <w:vAlign w:val="center"/>
          </w:tcPr>
          <w:p>
            <w:pPr>
              <w:jc w:val="center"/>
            </w:pPr>
            <w:r>
              <w:rPr>
                <w:rFonts w:hint="eastAsia"/>
              </w:rPr>
              <w:t>4.31</w:t>
            </w:r>
          </w:p>
        </w:tc>
        <w:tc>
          <w:tcPr>
            <w:tcW w:w="824" w:type="dxa"/>
            <w:vAlign w:val="center"/>
          </w:tcPr>
          <w:p>
            <w:pPr>
              <w:jc w:val="center"/>
            </w:pPr>
            <w:r>
              <w:rPr>
                <w:rFonts w:hint="eastAsia"/>
              </w:rPr>
              <w:t>7.04</w:t>
            </w:r>
          </w:p>
        </w:tc>
        <w:tc>
          <w:tcPr>
            <w:tcW w:w="825" w:type="dxa"/>
            <w:vAlign w:val="center"/>
          </w:tcPr>
          <w:p>
            <w:pPr>
              <w:jc w:val="center"/>
            </w:pPr>
            <w:r>
              <w:rPr>
                <w:rFonts w:hint="eastAsia"/>
              </w:rPr>
              <w:t>2.96</w:t>
            </w:r>
          </w:p>
        </w:tc>
        <w:tc>
          <w:tcPr>
            <w:tcW w:w="824" w:type="dxa"/>
            <w:vAlign w:val="center"/>
          </w:tcPr>
          <w:p>
            <w:pPr>
              <w:jc w:val="center"/>
            </w:pPr>
            <w:r>
              <w:rPr>
                <w:rFonts w:hint="eastAsia"/>
              </w:rPr>
              <w:t>10.99</w:t>
            </w:r>
          </w:p>
        </w:tc>
        <w:tc>
          <w:tcPr>
            <w:tcW w:w="825" w:type="dxa"/>
            <w:vAlign w:val="center"/>
          </w:tcPr>
          <w:p>
            <w:pPr>
              <w:jc w:val="center"/>
            </w:pPr>
            <w:r>
              <w:rPr>
                <w:rFonts w:hint="eastAsia"/>
              </w:rPr>
              <w:t>12.18</w:t>
            </w:r>
          </w:p>
        </w:tc>
        <w:tc>
          <w:tcPr>
            <w:tcW w:w="824" w:type="dxa"/>
            <w:vAlign w:val="center"/>
          </w:tcPr>
          <w:p>
            <w:pPr>
              <w:jc w:val="center"/>
            </w:pPr>
            <w:r>
              <w:rPr>
                <w:rFonts w:hint="eastAsia"/>
              </w:rPr>
              <w:t>5.53</w:t>
            </w:r>
          </w:p>
        </w:tc>
        <w:tc>
          <w:tcPr>
            <w:tcW w:w="825" w:type="dxa"/>
            <w:vAlign w:val="center"/>
          </w:tcPr>
          <w:p>
            <w:pPr>
              <w:jc w:val="center"/>
            </w:pPr>
            <w:r>
              <w:rPr>
                <w:rFonts w:hint="eastAsia"/>
              </w:rPr>
              <w:t>1.64</w:t>
            </w:r>
          </w:p>
        </w:tc>
        <w:tc>
          <w:tcPr>
            <w:tcW w:w="825" w:type="dxa"/>
            <w:vAlign w:val="center"/>
          </w:tcPr>
          <w:p>
            <w:pPr>
              <w:jc w:val="center"/>
            </w:pPr>
            <w:r>
              <w:rPr>
                <w:rFonts w:hint="eastAsia"/>
              </w:rPr>
              <w:t>0.43</w:t>
            </w:r>
          </w:p>
        </w:tc>
        <w:tc>
          <w:tcPr>
            <w:tcW w:w="825" w:type="dxa"/>
          </w:tcPr>
          <w:p>
            <w:pPr>
              <w:jc w:val="center"/>
            </w:pPr>
            <w:r>
              <w:rPr>
                <w:rFonts w:hint="eastAsia"/>
              </w:rPr>
              <w:t>0.72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pPr>
            <w:r>
              <w:rPr>
                <w:rFonts w:hint="eastAsia"/>
              </w:rPr>
              <w:t>5#</w:t>
            </w:r>
          </w:p>
        </w:tc>
        <w:tc>
          <w:tcPr>
            <w:tcW w:w="824" w:type="dxa"/>
            <w:vAlign w:val="center"/>
          </w:tcPr>
          <w:p>
            <w:pPr>
              <w:jc w:val="center"/>
            </w:pPr>
            <w:r>
              <w:rPr>
                <w:rFonts w:hint="eastAsia"/>
              </w:rPr>
              <w:t>1.72</w:t>
            </w:r>
          </w:p>
        </w:tc>
        <w:tc>
          <w:tcPr>
            <w:tcW w:w="825" w:type="dxa"/>
            <w:vAlign w:val="center"/>
          </w:tcPr>
          <w:p>
            <w:pPr>
              <w:jc w:val="center"/>
            </w:pPr>
            <w:r>
              <w:rPr>
                <w:rFonts w:hint="eastAsia"/>
              </w:rPr>
              <w:t>5.66</w:t>
            </w:r>
          </w:p>
        </w:tc>
        <w:tc>
          <w:tcPr>
            <w:tcW w:w="824" w:type="dxa"/>
            <w:vAlign w:val="center"/>
          </w:tcPr>
          <w:p>
            <w:pPr>
              <w:jc w:val="center"/>
            </w:pPr>
            <w:r>
              <w:rPr>
                <w:rFonts w:hint="eastAsia"/>
              </w:rPr>
              <w:t>8.96</w:t>
            </w:r>
          </w:p>
        </w:tc>
        <w:tc>
          <w:tcPr>
            <w:tcW w:w="825" w:type="dxa"/>
            <w:vAlign w:val="center"/>
          </w:tcPr>
          <w:p>
            <w:pPr>
              <w:jc w:val="center"/>
            </w:pPr>
            <w:r>
              <w:rPr>
                <w:rFonts w:hint="eastAsia"/>
              </w:rPr>
              <w:t>2.75</w:t>
            </w:r>
          </w:p>
        </w:tc>
        <w:tc>
          <w:tcPr>
            <w:tcW w:w="824" w:type="dxa"/>
            <w:vAlign w:val="center"/>
          </w:tcPr>
          <w:p>
            <w:pPr>
              <w:jc w:val="center"/>
            </w:pPr>
            <w:r>
              <w:rPr>
                <w:rFonts w:hint="eastAsia"/>
              </w:rPr>
              <w:t>17.83</w:t>
            </w:r>
          </w:p>
        </w:tc>
        <w:tc>
          <w:tcPr>
            <w:tcW w:w="825" w:type="dxa"/>
            <w:vAlign w:val="center"/>
          </w:tcPr>
          <w:p>
            <w:pPr>
              <w:jc w:val="center"/>
            </w:pPr>
            <w:r>
              <w:rPr>
                <w:rFonts w:hint="eastAsia"/>
              </w:rPr>
              <w:t>7.02</w:t>
            </w:r>
          </w:p>
        </w:tc>
        <w:tc>
          <w:tcPr>
            <w:tcW w:w="824" w:type="dxa"/>
            <w:vAlign w:val="center"/>
          </w:tcPr>
          <w:p>
            <w:pPr>
              <w:jc w:val="center"/>
            </w:pPr>
            <w:r>
              <w:rPr>
                <w:rFonts w:hint="eastAsia"/>
              </w:rPr>
              <w:t>1.96</w:t>
            </w:r>
          </w:p>
        </w:tc>
        <w:tc>
          <w:tcPr>
            <w:tcW w:w="825" w:type="dxa"/>
            <w:vAlign w:val="center"/>
          </w:tcPr>
          <w:p>
            <w:pPr>
              <w:jc w:val="center"/>
            </w:pPr>
            <w:r>
              <w:rPr>
                <w:rFonts w:hint="eastAsia"/>
              </w:rPr>
              <w:t>0.51</w:t>
            </w:r>
          </w:p>
        </w:tc>
        <w:tc>
          <w:tcPr>
            <w:tcW w:w="825" w:type="dxa"/>
            <w:vAlign w:val="center"/>
          </w:tcPr>
          <w:p>
            <w:pPr>
              <w:jc w:val="center"/>
            </w:pPr>
            <w:r>
              <w:rPr>
                <w:rFonts w:hint="eastAsia"/>
              </w:rPr>
              <w:t>0.32</w:t>
            </w:r>
          </w:p>
        </w:tc>
        <w:tc>
          <w:tcPr>
            <w:tcW w:w="825" w:type="dxa"/>
          </w:tcPr>
          <w:p>
            <w:pPr>
              <w:jc w:val="center"/>
            </w:pPr>
            <w:r>
              <w:rPr>
                <w:rFonts w:hint="eastAsia"/>
              </w:rPr>
              <w:t>0.21</w:t>
            </w:r>
          </w:p>
        </w:tc>
      </w:tr>
    </w:tbl>
    <w:p>
      <w:pPr>
        <w:ind w:firstLine="420" w:firstLineChars="200"/>
      </w:pPr>
      <w:r>
        <w:rPr>
          <w:rFonts w:hint="eastAsia"/>
        </w:rPr>
        <w:t>样品中所含的As、Sb、Sn等是变价元素，参与氧化还原反应，干扰铜的测定；As、Bi、Sb、Sn等元素易水解；Ba、Ca、Pb等元素在硫酸体系下易形成沉淀。后面的实验选择总杂质元素含量比较高的1#和2#做条件实验。</w:t>
      </w:r>
    </w:p>
    <w:p>
      <w:r>
        <w:rPr>
          <w:rFonts w:hint="eastAsia"/>
        </w:rPr>
        <w:t>2.1.2 不同处理方式后所残留的共存元素含量</w:t>
      </w:r>
    </w:p>
    <w:p>
      <w:r>
        <w:rPr>
          <w:rFonts w:hint="eastAsia"/>
        </w:rPr>
        <w:t xml:space="preserve">    对分银渣样品1#和2#，采用不同的溶样方式后，在盐酸体系下，采样ICP-AES法测定共存元素含量，结果如表2所示。</w:t>
      </w:r>
    </w:p>
    <w:p>
      <w:pPr>
        <w:jc w:val="center"/>
      </w:pPr>
      <w:r>
        <w:rPr>
          <w:rFonts w:hint="eastAsia"/>
        </w:rPr>
        <w:t>表2 不同处理方式后共存元素含量，%</w:t>
      </w:r>
    </w:p>
    <w:tbl>
      <w:tblPr>
        <w:tblStyle w:val="10"/>
        <w:tblW w:w="93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99"/>
        <w:gridCol w:w="463"/>
        <w:gridCol w:w="600"/>
        <w:gridCol w:w="675"/>
        <w:gridCol w:w="700"/>
        <w:gridCol w:w="712"/>
        <w:gridCol w:w="750"/>
        <w:gridCol w:w="795"/>
        <w:gridCol w:w="681"/>
        <w:gridCol w:w="687"/>
        <w:gridCol w:w="10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9" w:type="dxa"/>
            <w:vAlign w:val="center"/>
          </w:tcPr>
          <w:p>
            <w:pPr>
              <w:jc w:val="center"/>
            </w:pPr>
            <w:r>
              <w:rPr>
                <w:rFonts w:hint="eastAsia"/>
              </w:rPr>
              <w:t>处理步骤</w:t>
            </w:r>
          </w:p>
        </w:tc>
        <w:tc>
          <w:tcPr>
            <w:tcW w:w="463" w:type="dxa"/>
            <w:vAlign w:val="center"/>
          </w:tcPr>
          <w:p>
            <w:pPr>
              <w:jc w:val="center"/>
            </w:pPr>
            <w:r>
              <w:rPr>
                <w:rFonts w:hint="eastAsia"/>
              </w:rPr>
              <w:t>编号</w:t>
            </w:r>
          </w:p>
        </w:tc>
        <w:tc>
          <w:tcPr>
            <w:tcW w:w="600" w:type="dxa"/>
            <w:vAlign w:val="center"/>
          </w:tcPr>
          <w:p>
            <w:pPr>
              <w:jc w:val="center"/>
            </w:pPr>
            <w:r>
              <w:rPr>
                <w:rFonts w:hint="eastAsia"/>
              </w:rPr>
              <w:t>As</w:t>
            </w:r>
          </w:p>
        </w:tc>
        <w:tc>
          <w:tcPr>
            <w:tcW w:w="675" w:type="dxa"/>
            <w:vAlign w:val="center"/>
          </w:tcPr>
          <w:p>
            <w:pPr>
              <w:jc w:val="center"/>
            </w:pPr>
            <w:r>
              <w:rPr>
                <w:rFonts w:hint="eastAsia"/>
              </w:rPr>
              <w:t>Ba</w:t>
            </w:r>
          </w:p>
        </w:tc>
        <w:tc>
          <w:tcPr>
            <w:tcW w:w="700" w:type="dxa"/>
            <w:vAlign w:val="center"/>
          </w:tcPr>
          <w:p>
            <w:pPr>
              <w:jc w:val="center"/>
            </w:pPr>
            <w:r>
              <w:rPr>
                <w:rFonts w:hint="eastAsia"/>
              </w:rPr>
              <w:t>Bi</w:t>
            </w:r>
          </w:p>
        </w:tc>
        <w:tc>
          <w:tcPr>
            <w:tcW w:w="712" w:type="dxa"/>
            <w:vAlign w:val="center"/>
          </w:tcPr>
          <w:p>
            <w:pPr>
              <w:jc w:val="center"/>
            </w:pPr>
            <w:r>
              <w:rPr>
                <w:rFonts w:hint="eastAsia"/>
              </w:rPr>
              <w:t>Ca</w:t>
            </w:r>
          </w:p>
        </w:tc>
        <w:tc>
          <w:tcPr>
            <w:tcW w:w="750" w:type="dxa"/>
            <w:vAlign w:val="center"/>
          </w:tcPr>
          <w:p>
            <w:pPr>
              <w:jc w:val="center"/>
            </w:pPr>
            <w:r>
              <w:rPr>
                <w:rFonts w:hint="eastAsia"/>
              </w:rPr>
              <w:t>Pb</w:t>
            </w:r>
          </w:p>
        </w:tc>
        <w:tc>
          <w:tcPr>
            <w:tcW w:w="795" w:type="dxa"/>
            <w:vAlign w:val="center"/>
          </w:tcPr>
          <w:p>
            <w:pPr>
              <w:jc w:val="center"/>
            </w:pPr>
            <w:r>
              <w:rPr>
                <w:rFonts w:hint="eastAsia"/>
              </w:rPr>
              <w:t>Sb</w:t>
            </w:r>
          </w:p>
        </w:tc>
        <w:tc>
          <w:tcPr>
            <w:tcW w:w="681" w:type="dxa"/>
            <w:vAlign w:val="center"/>
          </w:tcPr>
          <w:p>
            <w:pPr>
              <w:jc w:val="center"/>
            </w:pPr>
            <w:r>
              <w:rPr>
                <w:rFonts w:hint="eastAsia"/>
              </w:rPr>
              <w:t>Sn</w:t>
            </w:r>
          </w:p>
        </w:tc>
        <w:tc>
          <w:tcPr>
            <w:tcW w:w="687" w:type="dxa"/>
            <w:vAlign w:val="center"/>
          </w:tcPr>
          <w:p>
            <w:pPr>
              <w:jc w:val="center"/>
            </w:pPr>
            <w:r>
              <w:rPr>
                <w:rFonts w:hint="eastAsia"/>
              </w:rPr>
              <w:t>Mg</w:t>
            </w:r>
          </w:p>
        </w:tc>
        <w:tc>
          <w:tcPr>
            <w:tcW w:w="1060" w:type="dxa"/>
            <w:vAlign w:val="center"/>
          </w:tcPr>
          <w:p>
            <w:pPr>
              <w:jc w:val="center"/>
            </w:pPr>
            <w:r>
              <w:rPr>
                <w:rFonts w:hint="eastAsia"/>
              </w:rPr>
              <w:t>试液情况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7" w:hRule="atLeast"/>
        </w:trPr>
        <w:tc>
          <w:tcPr>
            <w:tcW w:w="2199" w:type="dxa"/>
            <w:vMerge w:val="restart"/>
            <w:vAlign w:val="center"/>
          </w:tcPr>
          <w:p>
            <w:pPr>
              <w:jc w:val="left"/>
            </w:pPr>
            <w:r>
              <w:rPr>
                <w:rFonts w:hint="eastAsia"/>
              </w:rPr>
              <w:t>①10mL盐酸+5mL硝酸+5mL高氯酸</w:t>
            </w:r>
          </w:p>
          <w:p>
            <w:pPr>
              <w:jc w:val="left"/>
            </w:pPr>
            <w:r>
              <w:rPr>
                <w:rFonts w:hint="eastAsia"/>
              </w:rPr>
              <w:t>②10mL氢溴酸除杂</w:t>
            </w:r>
          </w:p>
        </w:tc>
        <w:tc>
          <w:tcPr>
            <w:tcW w:w="463" w:type="dxa"/>
            <w:vAlign w:val="center"/>
          </w:tcPr>
          <w:p>
            <w:pPr>
              <w:jc w:val="center"/>
            </w:pPr>
            <w:r>
              <w:rPr>
                <w:rFonts w:hint="eastAsia"/>
              </w:rPr>
              <w:t>1#</w:t>
            </w:r>
          </w:p>
        </w:tc>
        <w:tc>
          <w:tcPr>
            <w:tcW w:w="600" w:type="dxa"/>
            <w:vAlign w:val="center"/>
          </w:tcPr>
          <w:p>
            <w:pPr>
              <w:jc w:val="center"/>
            </w:pPr>
            <w:r>
              <w:rPr>
                <w:rFonts w:hint="eastAsia"/>
              </w:rPr>
              <w:t>0</w:t>
            </w:r>
          </w:p>
        </w:tc>
        <w:tc>
          <w:tcPr>
            <w:tcW w:w="675" w:type="dxa"/>
            <w:vAlign w:val="center"/>
          </w:tcPr>
          <w:p>
            <w:pPr>
              <w:jc w:val="center"/>
            </w:pPr>
            <w:r>
              <w:rPr>
                <w:rFonts w:hint="eastAsia"/>
              </w:rPr>
              <w:t>4.15</w:t>
            </w:r>
          </w:p>
        </w:tc>
        <w:tc>
          <w:tcPr>
            <w:tcW w:w="700" w:type="dxa"/>
            <w:vAlign w:val="center"/>
          </w:tcPr>
          <w:p>
            <w:pPr>
              <w:jc w:val="center"/>
            </w:pPr>
            <w:r>
              <w:rPr>
                <w:rFonts w:hint="eastAsia"/>
              </w:rPr>
              <w:t>2.01</w:t>
            </w:r>
          </w:p>
        </w:tc>
        <w:tc>
          <w:tcPr>
            <w:tcW w:w="712" w:type="dxa"/>
            <w:vAlign w:val="center"/>
          </w:tcPr>
          <w:p>
            <w:pPr>
              <w:jc w:val="center"/>
            </w:pPr>
            <w:r>
              <w:rPr>
                <w:rFonts w:hint="eastAsia"/>
              </w:rPr>
              <w:t>0.17</w:t>
            </w:r>
          </w:p>
        </w:tc>
        <w:tc>
          <w:tcPr>
            <w:tcW w:w="750" w:type="dxa"/>
            <w:vAlign w:val="center"/>
          </w:tcPr>
          <w:p>
            <w:pPr>
              <w:jc w:val="center"/>
            </w:pPr>
            <w:r>
              <w:rPr>
                <w:rFonts w:hint="eastAsia"/>
              </w:rPr>
              <w:t>16.92</w:t>
            </w:r>
          </w:p>
        </w:tc>
        <w:tc>
          <w:tcPr>
            <w:tcW w:w="795" w:type="dxa"/>
            <w:vAlign w:val="center"/>
          </w:tcPr>
          <w:p>
            <w:pPr>
              <w:jc w:val="center"/>
            </w:pPr>
            <w:r>
              <w:rPr>
                <w:rFonts w:hint="eastAsia"/>
              </w:rPr>
              <w:t>6.33</w:t>
            </w:r>
          </w:p>
        </w:tc>
        <w:tc>
          <w:tcPr>
            <w:tcW w:w="681" w:type="dxa"/>
            <w:vAlign w:val="center"/>
          </w:tcPr>
          <w:p>
            <w:pPr>
              <w:jc w:val="center"/>
            </w:pPr>
            <w:r>
              <w:rPr>
                <w:rFonts w:hint="eastAsia"/>
              </w:rPr>
              <w:t>0.97</w:t>
            </w:r>
          </w:p>
        </w:tc>
        <w:tc>
          <w:tcPr>
            <w:tcW w:w="687" w:type="dxa"/>
            <w:vAlign w:val="center"/>
          </w:tcPr>
          <w:p>
            <w:pPr>
              <w:jc w:val="center"/>
            </w:pPr>
            <w:r>
              <w:rPr>
                <w:rFonts w:hint="eastAsia"/>
              </w:rPr>
              <w:t>0.12</w:t>
            </w:r>
          </w:p>
        </w:tc>
        <w:tc>
          <w:tcPr>
            <w:tcW w:w="1060" w:type="dxa"/>
            <w:vAlign w:val="center"/>
          </w:tcPr>
          <w:p>
            <w:pPr>
              <w:ind w:firstLine="105" w:firstLineChars="50"/>
              <w:jc w:val="center"/>
            </w:pPr>
            <w:r>
              <w:rPr>
                <w:rFonts w:hint="eastAsia"/>
              </w:rPr>
              <w:t>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9" w:type="dxa"/>
            <w:vMerge w:val="continue"/>
            <w:vAlign w:val="center"/>
          </w:tcPr>
          <w:p>
            <w:pPr>
              <w:jc w:val="left"/>
            </w:pPr>
          </w:p>
        </w:tc>
        <w:tc>
          <w:tcPr>
            <w:tcW w:w="463" w:type="dxa"/>
            <w:vAlign w:val="center"/>
          </w:tcPr>
          <w:p>
            <w:pPr>
              <w:jc w:val="center"/>
            </w:pPr>
            <w:r>
              <w:rPr>
                <w:rFonts w:hint="eastAsia"/>
              </w:rPr>
              <w:t>2#</w:t>
            </w:r>
          </w:p>
        </w:tc>
        <w:tc>
          <w:tcPr>
            <w:tcW w:w="600" w:type="dxa"/>
            <w:vAlign w:val="center"/>
          </w:tcPr>
          <w:p>
            <w:pPr>
              <w:jc w:val="center"/>
            </w:pPr>
            <w:r>
              <w:rPr>
                <w:rFonts w:hint="eastAsia"/>
              </w:rPr>
              <w:t>0</w:t>
            </w:r>
          </w:p>
        </w:tc>
        <w:tc>
          <w:tcPr>
            <w:tcW w:w="675" w:type="dxa"/>
            <w:vAlign w:val="center"/>
          </w:tcPr>
          <w:p>
            <w:pPr>
              <w:jc w:val="center"/>
            </w:pPr>
            <w:r>
              <w:rPr>
                <w:rFonts w:hint="eastAsia"/>
              </w:rPr>
              <w:t>3.25</w:t>
            </w:r>
          </w:p>
        </w:tc>
        <w:tc>
          <w:tcPr>
            <w:tcW w:w="700" w:type="dxa"/>
            <w:vAlign w:val="center"/>
          </w:tcPr>
          <w:p>
            <w:pPr>
              <w:jc w:val="center"/>
            </w:pPr>
            <w:r>
              <w:rPr>
                <w:rFonts w:hint="eastAsia"/>
              </w:rPr>
              <w:t>5.66</w:t>
            </w:r>
          </w:p>
        </w:tc>
        <w:tc>
          <w:tcPr>
            <w:tcW w:w="712" w:type="dxa"/>
            <w:vAlign w:val="center"/>
          </w:tcPr>
          <w:p>
            <w:pPr>
              <w:jc w:val="center"/>
            </w:pPr>
            <w:r>
              <w:rPr>
                <w:rFonts w:hint="eastAsia"/>
              </w:rPr>
              <w:t>0.27</w:t>
            </w:r>
          </w:p>
        </w:tc>
        <w:tc>
          <w:tcPr>
            <w:tcW w:w="750" w:type="dxa"/>
            <w:vAlign w:val="center"/>
          </w:tcPr>
          <w:p>
            <w:pPr>
              <w:jc w:val="center"/>
            </w:pPr>
            <w:r>
              <w:rPr>
                <w:rFonts w:hint="eastAsia"/>
              </w:rPr>
              <w:t>17.79</w:t>
            </w:r>
          </w:p>
        </w:tc>
        <w:tc>
          <w:tcPr>
            <w:tcW w:w="795" w:type="dxa"/>
            <w:vAlign w:val="center"/>
          </w:tcPr>
          <w:p>
            <w:pPr>
              <w:jc w:val="center"/>
            </w:pPr>
            <w:r>
              <w:rPr>
                <w:rFonts w:hint="eastAsia"/>
              </w:rPr>
              <w:t>1.75</w:t>
            </w:r>
          </w:p>
        </w:tc>
        <w:tc>
          <w:tcPr>
            <w:tcW w:w="681" w:type="dxa"/>
            <w:vAlign w:val="center"/>
          </w:tcPr>
          <w:p>
            <w:pPr>
              <w:jc w:val="center"/>
            </w:pPr>
            <w:r>
              <w:rPr>
                <w:rFonts w:hint="eastAsia"/>
              </w:rPr>
              <w:t>0.26</w:t>
            </w:r>
          </w:p>
        </w:tc>
        <w:tc>
          <w:tcPr>
            <w:tcW w:w="687" w:type="dxa"/>
            <w:vAlign w:val="center"/>
          </w:tcPr>
          <w:p>
            <w:pPr>
              <w:jc w:val="center"/>
            </w:pPr>
            <w:r>
              <w:rPr>
                <w:rFonts w:hint="eastAsia"/>
              </w:rPr>
              <w:t>0.39</w:t>
            </w:r>
          </w:p>
        </w:tc>
        <w:tc>
          <w:tcPr>
            <w:tcW w:w="1060" w:type="dxa"/>
            <w:vAlign w:val="center"/>
          </w:tcPr>
          <w:p>
            <w:pPr>
              <w:jc w:val="center"/>
            </w:pPr>
            <w:r>
              <w:rPr>
                <w:rFonts w:hint="eastAsia"/>
              </w:rPr>
              <w:t xml:space="preserve"> 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5" w:hRule="atLeast"/>
        </w:trPr>
        <w:tc>
          <w:tcPr>
            <w:tcW w:w="2199" w:type="dxa"/>
            <w:vMerge w:val="restart"/>
            <w:vAlign w:val="center"/>
          </w:tcPr>
          <w:p>
            <w:pPr>
              <w:jc w:val="left"/>
            </w:pPr>
            <w:r>
              <w:rPr>
                <w:rFonts w:hint="eastAsia"/>
              </w:rPr>
              <w:t>①10mL盐酸+5mL硝酸+5mL高氯酸</w:t>
            </w:r>
          </w:p>
          <w:p>
            <w:pPr>
              <w:jc w:val="left"/>
            </w:pPr>
            <w:r>
              <w:rPr>
                <w:rFonts w:hint="eastAsia"/>
              </w:rPr>
              <w:t>②10mL氢溴酸除杂</w:t>
            </w:r>
          </w:p>
          <w:p>
            <w:pPr>
              <w:jc w:val="left"/>
            </w:pPr>
            <w:r>
              <w:rPr>
                <w:rFonts w:hint="eastAsia"/>
              </w:rPr>
              <w:t>③5mL硫酸（1+1）</w:t>
            </w:r>
          </w:p>
        </w:tc>
        <w:tc>
          <w:tcPr>
            <w:tcW w:w="463" w:type="dxa"/>
            <w:vAlign w:val="center"/>
          </w:tcPr>
          <w:p>
            <w:pPr>
              <w:jc w:val="center"/>
            </w:pPr>
            <w:r>
              <w:rPr>
                <w:rFonts w:hint="eastAsia"/>
              </w:rPr>
              <w:t>1#</w:t>
            </w:r>
          </w:p>
        </w:tc>
        <w:tc>
          <w:tcPr>
            <w:tcW w:w="600" w:type="dxa"/>
            <w:vAlign w:val="center"/>
          </w:tcPr>
          <w:p>
            <w:pPr>
              <w:jc w:val="center"/>
            </w:pPr>
            <w:r>
              <w:rPr>
                <w:rFonts w:hint="eastAsia"/>
              </w:rPr>
              <w:t>0</w:t>
            </w:r>
          </w:p>
        </w:tc>
        <w:tc>
          <w:tcPr>
            <w:tcW w:w="675" w:type="dxa"/>
            <w:vAlign w:val="center"/>
          </w:tcPr>
          <w:p>
            <w:pPr>
              <w:jc w:val="center"/>
            </w:pPr>
            <w:r>
              <w:rPr>
                <w:rFonts w:hint="eastAsia"/>
              </w:rPr>
              <w:t>3.15</w:t>
            </w:r>
          </w:p>
        </w:tc>
        <w:tc>
          <w:tcPr>
            <w:tcW w:w="700" w:type="dxa"/>
            <w:vAlign w:val="center"/>
          </w:tcPr>
          <w:p>
            <w:pPr>
              <w:jc w:val="center"/>
            </w:pPr>
            <w:r>
              <w:rPr>
                <w:rFonts w:hint="eastAsia"/>
              </w:rPr>
              <w:t>2.33</w:t>
            </w:r>
          </w:p>
        </w:tc>
        <w:tc>
          <w:tcPr>
            <w:tcW w:w="712" w:type="dxa"/>
            <w:vAlign w:val="center"/>
          </w:tcPr>
          <w:p>
            <w:pPr>
              <w:jc w:val="center"/>
            </w:pPr>
            <w:r>
              <w:rPr>
                <w:rFonts w:hint="eastAsia"/>
              </w:rPr>
              <w:t>0.21</w:t>
            </w:r>
          </w:p>
        </w:tc>
        <w:tc>
          <w:tcPr>
            <w:tcW w:w="750" w:type="dxa"/>
            <w:vAlign w:val="center"/>
          </w:tcPr>
          <w:p>
            <w:pPr>
              <w:jc w:val="center"/>
            </w:pPr>
            <w:r>
              <w:rPr>
                <w:rFonts w:hint="eastAsia"/>
              </w:rPr>
              <w:t>19.38</w:t>
            </w:r>
          </w:p>
        </w:tc>
        <w:tc>
          <w:tcPr>
            <w:tcW w:w="795" w:type="dxa"/>
            <w:vAlign w:val="center"/>
          </w:tcPr>
          <w:p>
            <w:pPr>
              <w:jc w:val="center"/>
            </w:pPr>
            <w:r>
              <w:rPr>
                <w:rFonts w:hint="eastAsia"/>
              </w:rPr>
              <w:t>0.10</w:t>
            </w:r>
          </w:p>
        </w:tc>
        <w:tc>
          <w:tcPr>
            <w:tcW w:w="681" w:type="dxa"/>
            <w:vAlign w:val="center"/>
          </w:tcPr>
          <w:p>
            <w:pPr>
              <w:jc w:val="center"/>
            </w:pPr>
            <w:r>
              <w:rPr>
                <w:rFonts w:hint="eastAsia"/>
              </w:rPr>
              <w:t>0.37</w:t>
            </w:r>
          </w:p>
        </w:tc>
        <w:tc>
          <w:tcPr>
            <w:tcW w:w="687" w:type="dxa"/>
            <w:vAlign w:val="center"/>
          </w:tcPr>
          <w:p>
            <w:pPr>
              <w:jc w:val="center"/>
            </w:pPr>
            <w:r>
              <w:rPr>
                <w:rFonts w:hint="eastAsia"/>
              </w:rPr>
              <w:t>0.14</w:t>
            </w:r>
          </w:p>
        </w:tc>
        <w:tc>
          <w:tcPr>
            <w:tcW w:w="1060" w:type="dxa"/>
            <w:vAlign w:val="center"/>
          </w:tcPr>
          <w:p>
            <w:pPr>
              <w:ind w:firstLine="105" w:firstLineChars="50"/>
              <w:jc w:val="center"/>
            </w:pPr>
            <w:r>
              <w:rPr>
                <w:rFonts w:hint="eastAsia"/>
              </w:rPr>
              <w:t>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9" w:type="dxa"/>
            <w:vMerge w:val="continue"/>
            <w:vAlign w:val="center"/>
          </w:tcPr>
          <w:p>
            <w:pPr>
              <w:jc w:val="left"/>
            </w:pPr>
          </w:p>
        </w:tc>
        <w:tc>
          <w:tcPr>
            <w:tcW w:w="463" w:type="dxa"/>
            <w:vAlign w:val="center"/>
          </w:tcPr>
          <w:p>
            <w:pPr>
              <w:jc w:val="center"/>
            </w:pPr>
            <w:r>
              <w:rPr>
                <w:rFonts w:hint="eastAsia"/>
              </w:rPr>
              <w:t>2#</w:t>
            </w:r>
          </w:p>
        </w:tc>
        <w:tc>
          <w:tcPr>
            <w:tcW w:w="600" w:type="dxa"/>
            <w:vAlign w:val="center"/>
          </w:tcPr>
          <w:p>
            <w:pPr>
              <w:jc w:val="center"/>
            </w:pPr>
            <w:r>
              <w:rPr>
                <w:rFonts w:hint="eastAsia"/>
              </w:rPr>
              <w:t>0</w:t>
            </w:r>
          </w:p>
        </w:tc>
        <w:tc>
          <w:tcPr>
            <w:tcW w:w="675" w:type="dxa"/>
            <w:vAlign w:val="center"/>
          </w:tcPr>
          <w:p>
            <w:pPr>
              <w:jc w:val="center"/>
            </w:pPr>
            <w:r>
              <w:rPr>
                <w:rFonts w:hint="eastAsia"/>
              </w:rPr>
              <w:t>3.18</w:t>
            </w:r>
          </w:p>
        </w:tc>
        <w:tc>
          <w:tcPr>
            <w:tcW w:w="700" w:type="dxa"/>
            <w:vAlign w:val="center"/>
          </w:tcPr>
          <w:p>
            <w:pPr>
              <w:jc w:val="center"/>
            </w:pPr>
            <w:r>
              <w:rPr>
                <w:rFonts w:hint="eastAsia"/>
              </w:rPr>
              <w:t>6.29</w:t>
            </w:r>
          </w:p>
        </w:tc>
        <w:tc>
          <w:tcPr>
            <w:tcW w:w="712" w:type="dxa"/>
            <w:vAlign w:val="center"/>
          </w:tcPr>
          <w:p>
            <w:pPr>
              <w:jc w:val="center"/>
            </w:pPr>
            <w:r>
              <w:rPr>
                <w:rFonts w:hint="eastAsia"/>
              </w:rPr>
              <w:t>0.32</w:t>
            </w:r>
          </w:p>
        </w:tc>
        <w:tc>
          <w:tcPr>
            <w:tcW w:w="750" w:type="dxa"/>
            <w:vAlign w:val="center"/>
          </w:tcPr>
          <w:p>
            <w:pPr>
              <w:jc w:val="center"/>
            </w:pPr>
            <w:r>
              <w:rPr>
                <w:rFonts w:hint="eastAsia"/>
              </w:rPr>
              <w:t>19.32</w:t>
            </w:r>
          </w:p>
        </w:tc>
        <w:tc>
          <w:tcPr>
            <w:tcW w:w="795" w:type="dxa"/>
            <w:vAlign w:val="center"/>
          </w:tcPr>
          <w:p>
            <w:pPr>
              <w:jc w:val="center"/>
            </w:pPr>
            <w:r>
              <w:rPr>
                <w:rFonts w:hint="eastAsia"/>
              </w:rPr>
              <w:t>0.08</w:t>
            </w:r>
          </w:p>
        </w:tc>
        <w:tc>
          <w:tcPr>
            <w:tcW w:w="681" w:type="dxa"/>
            <w:vAlign w:val="center"/>
          </w:tcPr>
          <w:p>
            <w:pPr>
              <w:jc w:val="center"/>
            </w:pPr>
            <w:r>
              <w:rPr>
                <w:rFonts w:hint="eastAsia"/>
              </w:rPr>
              <w:t>0.25</w:t>
            </w:r>
          </w:p>
        </w:tc>
        <w:tc>
          <w:tcPr>
            <w:tcW w:w="687" w:type="dxa"/>
            <w:vAlign w:val="center"/>
          </w:tcPr>
          <w:p>
            <w:pPr>
              <w:jc w:val="center"/>
            </w:pPr>
            <w:r>
              <w:rPr>
                <w:rFonts w:hint="eastAsia"/>
              </w:rPr>
              <w:t>0.30</w:t>
            </w:r>
          </w:p>
        </w:tc>
        <w:tc>
          <w:tcPr>
            <w:tcW w:w="1060" w:type="dxa"/>
            <w:vAlign w:val="center"/>
          </w:tcPr>
          <w:p>
            <w:pPr>
              <w:ind w:firstLine="105" w:firstLineChars="50"/>
              <w:jc w:val="center"/>
            </w:pPr>
            <w:r>
              <w:rPr>
                <w:rFonts w:hint="eastAsia"/>
              </w:rPr>
              <w:t>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4" w:hRule="atLeast"/>
        </w:trPr>
        <w:tc>
          <w:tcPr>
            <w:tcW w:w="2199" w:type="dxa"/>
            <w:vMerge w:val="restart"/>
            <w:vAlign w:val="center"/>
          </w:tcPr>
          <w:p>
            <w:pPr>
              <w:jc w:val="left"/>
            </w:pPr>
            <w:r>
              <w:rPr>
                <w:rFonts w:hint="eastAsia"/>
              </w:rPr>
              <w:t>①10mL盐酸+5mL硝酸+5mL高氯酸</w:t>
            </w:r>
          </w:p>
          <w:p>
            <w:pPr>
              <w:jc w:val="left"/>
            </w:pPr>
            <w:r>
              <w:rPr>
                <w:rFonts w:hint="eastAsia"/>
              </w:rPr>
              <w:t>②10mL氢溴酸+10mL氢溴酸除杂</w:t>
            </w:r>
          </w:p>
          <w:p>
            <w:pPr>
              <w:jc w:val="left"/>
            </w:pPr>
            <w:r>
              <w:rPr>
                <w:rFonts w:hint="eastAsia"/>
              </w:rPr>
              <w:t>③5mL硫酸（1+1）</w:t>
            </w:r>
          </w:p>
        </w:tc>
        <w:tc>
          <w:tcPr>
            <w:tcW w:w="463" w:type="dxa"/>
            <w:vAlign w:val="center"/>
          </w:tcPr>
          <w:p>
            <w:pPr>
              <w:jc w:val="center"/>
            </w:pPr>
            <w:r>
              <w:rPr>
                <w:rFonts w:hint="eastAsia"/>
              </w:rPr>
              <w:t>1#</w:t>
            </w:r>
          </w:p>
        </w:tc>
        <w:tc>
          <w:tcPr>
            <w:tcW w:w="600" w:type="dxa"/>
            <w:vAlign w:val="center"/>
          </w:tcPr>
          <w:p>
            <w:pPr>
              <w:jc w:val="center"/>
            </w:pPr>
            <w:r>
              <w:rPr>
                <w:rFonts w:hint="eastAsia"/>
              </w:rPr>
              <w:t>0</w:t>
            </w:r>
          </w:p>
        </w:tc>
        <w:tc>
          <w:tcPr>
            <w:tcW w:w="675" w:type="dxa"/>
            <w:vAlign w:val="center"/>
          </w:tcPr>
          <w:p>
            <w:pPr>
              <w:jc w:val="center"/>
            </w:pPr>
            <w:r>
              <w:rPr>
                <w:rFonts w:hint="eastAsia"/>
              </w:rPr>
              <w:t>2.42</w:t>
            </w:r>
          </w:p>
        </w:tc>
        <w:tc>
          <w:tcPr>
            <w:tcW w:w="700" w:type="dxa"/>
            <w:vAlign w:val="center"/>
          </w:tcPr>
          <w:p>
            <w:pPr>
              <w:jc w:val="center"/>
            </w:pPr>
            <w:r>
              <w:rPr>
                <w:rFonts w:hint="eastAsia"/>
              </w:rPr>
              <w:t>2.26</w:t>
            </w:r>
          </w:p>
        </w:tc>
        <w:tc>
          <w:tcPr>
            <w:tcW w:w="712" w:type="dxa"/>
            <w:vAlign w:val="center"/>
          </w:tcPr>
          <w:p>
            <w:pPr>
              <w:jc w:val="center"/>
            </w:pPr>
            <w:r>
              <w:rPr>
                <w:rFonts w:hint="eastAsia"/>
              </w:rPr>
              <w:t>0.27</w:t>
            </w:r>
          </w:p>
        </w:tc>
        <w:tc>
          <w:tcPr>
            <w:tcW w:w="750" w:type="dxa"/>
            <w:vAlign w:val="center"/>
          </w:tcPr>
          <w:p>
            <w:pPr>
              <w:jc w:val="center"/>
            </w:pPr>
            <w:r>
              <w:rPr>
                <w:rFonts w:hint="eastAsia"/>
              </w:rPr>
              <w:t>19.03</w:t>
            </w:r>
          </w:p>
        </w:tc>
        <w:tc>
          <w:tcPr>
            <w:tcW w:w="795" w:type="dxa"/>
            <w:vAlign w:val="center"/>
          </w:tcPr>
          <w:p>
            <w:pPr>
              <w:jc w:val="center"/>
            </w:pPr>
            <w:r>
              <w:rPr>
                <w:rFonts w:hint="eastAsia"/>
              </w:rPr>
              <w:t>0</w:t>
            </w:r>
          </w:p>
        </w:tc>
        <w:tc>
          <w:tcPr>
            <w:tcW w:w="681" w:type="dxa"/>
            <w:vAlign w:val="center"/>
          </w:tcPr>
          <w:p>
            <w:pPr>
              <w:jc w:val="center"/>
            </w:pPr>
            <w:r>
              <w:rPr>
                <w:rFonts w:hint="eastAsia"/>
              </w:rPr>
              <w:t>0.95</w:t>
            </w:r>
          </w:p>
        </w:tc>
        <w:tc>
          <w:tcPr>
            <w:tcW w:w="687" w:type="dxa"/>
            <w:vAlign w:val="center"/>
          </w:tcPr>
          <w:p>
            <w:pPr>
              <w:jc w:val="center"/>
            </w:pPr>
            <w:r>
              <w:rPr>
                <w:rFonts w:hint="eastAsia"/>
              </w:rPr>
              <w:t>0.16</w:t>
            </w:r>
          </w:p>
        </w:tc>
        <w:tc>
          <w:tcPr>
            <w:tcW w:w="1060" w:type="dxa"/>
            <w:vAlign w:val="center"/>
          </w:tcPr>
          <w:p>
            <w:pPr>
              <w:ind w:firstLine="105" w:firstLineChars="50"/>
              <w:jc w:val="center"/>
            </w:pPr>
            <w:r>
              <w:rPr>
                <w:rFonts w:hint="eastAsia"/>
              </w:rPr>
              <w:t>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9" w:type="dxa"/>
            <w:vMerge w:val="continue"/>
            <w:vAlign w:val="center"/>
          </w:tcPr>
          <w:p>
            <w:pPr>
              <w:jc w:val="left"/>
            </w:pPr>
          </w:p>
        </w:tc>
        <w:tc>
          <w:tcPr>
            <w:tcW w:w="463" w:type="dxa"/>
            <w:vAlign w:val="center"/>
          </w:tcPr>
          <w:p>
            <w:pPr>
              <w:jc w:val="center"/>
            </w:pPr>
            <w:r>
              <w:rPr>
                <w:rFonts w:hint="eastAsia"/>
              </w:rPr>
              <w:t>2#</w:t>
            </w:r>
          </w:p>
        </w:tc>
        <w:tc>
          <w:tcPr>
            <w:tcW w:w="600" w:type="dxa"/>
            <w:vAlign w:val="center"/>
          </w:tcPr>
          <w:p>
            <w:pPr>
              <w:jc w:val="center"/>
            </w:pPr>
            <w:r>
              <w:rPr>
                <w:rFonts w:hint="eastAsia"/>
              </w:rPr>
              <w:t>0</w:t>
            </w:r>
          </w:p>
        </w:tc>
        <w:tc>
          <w:tcPr>
            <w:tcW w:w="675" w:type="dxa"/>
            <w:vAlign w:val="center"/>
          </w:tcPr>
          <w:p>
            <w:pPr>
              <w:jc w:val="center"/>
            </w:pPr>
            <w:r>
              <w:rPr>
                <w:rFonts w:hint="eastAsia"/>
              </w:rPr>
              <w:t>1.45</w:t>
            </w:r>
          </w:p>
        </w:tc>
        <w:tc>
          <w:tcPr>
            <w:tcW w:w="700" w:type="dxa"/>
            <w:vAlign w:val="center"/>
          </w:tcPr>
          <w:p>
            <w:pPr>
              <w:jc w:val="center"/>
            </w:pPr>
            <w:r>
              <w:rPr>
                <w:rFonts w:hint="eastAsia"/>
              </w:rPr>
              <w:t>6.20</w:t>
            </w:r>
          </w:p>
        </w:tc>
        <w:tc>
          <w:tcPr>
            <w:tcW w:w="712" w:type="dxa"/>
            <w:vAlign w:val="center"/>
          </w:tcPr>
          <w:p>
            <w:pPr>
              <w:jc w:val="center"/>
            </w:pPr>
            <w:r>
              <w:rPr>
                <w:rFonts w:hint="eastAsia"/>
              </w:rPr>
              <w:t>0.34</w:t>
            </w:r>
          </w:p>
        </w:tc>
        <w:tc>
          <w:tcPr>
            <w:tcW w:w="750" w:type="dxa"/>
            <w:vAlign w:val="center"/>
          </w:tcPr>
          <w:p>
            <w:pPr>
              <w:jc w:val="center"/>
            </w:pPr>
            <w:r>
              <w:rPr>
                <w:rFonts w:hint="eastAsia"/>
              </w:rPr>
              <w:t>19.52</w:t>
            </w:r>
          </w:p>
        </w:tc>
        <w:tc>
          <w:tcPr>
            <w:tcW w:w="795" w:type="dxa"/>
            <w:vAlign w:val="center"/>
          </w:tcPr>
          <w:p>
            <w:pPr>
              <w:jc w:val="center"/>
            </w:pPr>
            <w:r>
              <w:rPr>
                <w:rFonts w:hint="eastAsia"/>
              </w:rPr>
              <w:t>0</w:t>
            </w:r>
          </w:p>
        </w:tc>
        <w:tc>
          <w:tcPr>
            <w:tcW w:w="681" w:type="dxa"/>
            <w:vAlign w:val="center"/>
          </w:tcPr>
          <w:p>
            <w:pPr>
              <w:jc w:val="center"/>
            </w:pPr>
            <w:r>
              <w:rPr>
                <w:rFonts w:hint="eastAsia"/>
              </w:rPr>
              <w:t>0.20</w:t>
            </w:r>
          </w:p>
        </w:tc>
        <w:tc>
          <w:tcPr>
            <w:tcW w:w="687" w:type="dxa"/>
            <w:vAlign w:val="center"/>
          </w:tcPr>
          <w:p>
            <w:pPr>
              <w:jc w:val="center"/>
            </w:pPr>
            <w:r>
              <w:rPr>
                <w:rFonts w:hint="eastAsia"/>
              </w:rPr>
              <w:t>0.30</w:t>
            </w:r>
          </w:p>
        </w:tc>
        <w:tc>
          <w:tcPr>
            <w:tcW w:w="1060" w:type="dxa"/>
            <w:vAlign w:val="center"/>
          </w:tcPr>
          <w:p>
            <w:pPr>
              <w:ind w:firstLine="105" w:firstLineChars="50"/>
              <w:jc w:val="center"/>
            </w:pPr>
            <w:r>
              <w:rPr>
                <w:rFonts w:hint="eastAsia"/>
              </w:rPr>
              <w:t>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9" w:hRule="atLeast"/>
        </w:trPr>
        <w:tc>
          <w:tcPr>
            <w:tcW w:w="2199" w:type="dxa"/>
            <w:vMerge w:val="restart"/>
            <w:vAlign w:val="center"/>
          </w:tcPr>
          <w:p>
            <w:pPr>
              <w:jc w:val="left"/>
            </w:pPr>
            <w:r>
              <w:rPr>
                <w:rFonts w:hint="eastAsia"/>
              </w:rPr>
              <w:t>10mL盐酸+5mL硝酸+5mL高氯酸+5mL硫酸（1+1）</w:t>
            </w:r>
          </w:p>
        </w:tc>
        <w:tc>
          <w:tcPr>
            <w:tcW w:w="463" w:type="dxa"/>
            <w:vAlign w:val="center"/>
          </w:tcPr>
          <w:p>
            <w:pPr>
              <w:jc w:val="center"/>
            </w:pPr>
            <w:r>
              <w:rPr>
                <w:rFonts w:hint="eastAsia"/>
              </w:rPr>
              <w:t>1#</w:t>
            </w:r>
          </w:p>
        </w:tc>
        <w:tc>
          <w:tcPr>
            <w:tcW w:w="600" w:type="dxa"/>
            <w:vAlign w:val="center"/>
          </w:tcPr>
          <w:p>
            <w:pPr>
              <w:jc w:val="center"/>
            </w:pPr>
            <w:r>
              <w:rPr>
                <w:rFonts w:hint="eastAsia"/>
              </w:rPr>
              <w:t>1.24</w:t>
            </w:r>
          </w:p>
        </w:tc>
        <w:tc>
          <w:tcPr>
            <w:tcW w:w="675" w:type="dxa"/>
            <w:vAlign w:val="center"/>
          </w:tcPr>
          <w:p>
            <w:pPr>
              <w:jc w:val="center"/>
            </w:pPr>
            <w:r>
              <w:rPr>
                <w:rFonts w:hint="eastAsia"/>
              </w:rPr>
              <w:t>0.28</w:t>
            </w:r>
          </w:p>
        </w:tc>
        <w:tc>
          <w:tcPr>
            <w:tcW w:w="700" w:type="dxa"/>
            <w:vAlign w:val="center"/>
          </w:tcPr>
          <w:p>
            <w:pPr>
              <w:jc w:val="center"/>
            </w:pPr>
            <w:r>
              <w:rPr>
                <w:rFonts w:hint="eastAsia"/>
              </w:rPr>
              <w:t>1.89</w:t>
            </w:r>
          </w:p>
        </w:tc>
        <w:tc>
          <w:tcPr>
            <w:tcW w:w="712" w:type="dxa"/>
            <w:vAlign w:val="center"/>
          </w:tcPr>
          <w:p>
            <w:pPr>
              <w:jc w:val="center"/>
            </w:pPr>
            <w:r>
              <w:rPr>
                <w:rFonts w:hint="eastAsia"/>
              </w:rPr>
              <w:t>0.18</w:t>
            </w:r>
          </w:p>
        </w:tc>
        <w:tc>
          <w:tcPr>
            <w:tcW w:w="750" w:type="dxa"/>
            <w:vAlign w:val="center"/>
          </w:tcPr>
          <w:p>
            <w:pPr>
              <w:jc w:val="center"/>
            </w:pPr>
            <w:r>
              <w:rPr>
                <w:rFonts w:hint="eastAsia"/>
              </w:rPr>
              <w:t>15.63</w:t>
            </w:r>
          </w:p>
        </w:tc>
        <w:tc>
          <w:tcPr>
            <w:tcW w:w="795" w:type="dxa"/>
            <w:vAlign w:val="center"/>
          </w:tcPr>
          <w:p>
            <w:pPr>
              <w:jc w:val="center"/>
            </w:pPr>
            <w:r>
              <w:rPr>
                <w:rFonts w:hint="eastAsia"/>
              </w:rPr>
              <w:t>8.91</w:t>
            </w:r>
          </w:p>
        </w:tc>
        <w:tc>
          <w:tcPr>
            <w:tcW w:w="681" w:type="dxa"/>
            <w:vAlign w:val="center"/>
          </w:tcPr>
          <w:p>
            <w:pPr>
              <w:jc w:val="center"/>
            </w:pPr>
            <w:r>
              <w:rPr>
                <w:rFonts w:hint="eastAsia"/>
              </w:rPr>
              <w:t>1.26</w:t>
            </w:r>
          </w:p>
        </w:tc>
        <w:tc>
          <w:tcPr>
            <w:tcW w:w="687" w:type="dxa"/>
            <w:vAlign w:val="center"/>
          </w:tcPr>
          <w:p>
            <w:pPr>
              <w:jc w:val="center"/>
            </w:pPr>
            <w:r>
              <w:rPr>
                <w:rFonts w:hint="eastAsia"/>
              </w:rPr>
              <w:t>0.20</w:t>
            </w:r>
          </w:p>
        </w:tc>
        <w:tc>
          <w:tcPr>
            <w:tcW w:w="1060" w:type="dxa"/>
            <w:vAlign w:val="center"/>
          </w:tcPr>
          <w:p>
            <w:pPr>
              <w:jc w:val="center"/>
            </w:pPr>
            <w:r>
              <w:rPr>
                <w:rFonts w:hint="eastAsia"/>
              </w:rPr>
              <w:t>有不溶渣，浑浊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9" w:type="dxa"/>
            <w:vMerge w:val="continue"/>
            <w:vAlign w:val="center"/>
          </w:tcPr>
          <w:p>
            <w:pPr>
              <w:jc w:val="left"/>
            </w:pPr>
          </w:p>
        </w:tc>
        <w:tc>
          <w:tcPr>
            <w:tcW w:w="463" w:type="dxa"/>
            <w:vAlign w:val="center"/>
          </w:tcPr>
          <w:p>
            <w:pPr>
              <w:jc w:val="center"/>
            </w:pPr>
            <w:r>
              <w:rPr>
                <w:rFonts w:hint="eastAsia"/>
              </w:rPr>
              <w:t>2#</w:t>
            </w:r>
          </w:p>
        </w:tc>
        <w:tc>
          <w:tcPr>
            <w:tcW w:w="600" w:type="dxa"/>
            <w:vAlign w:val="center"/>
          </w:tcPr>
          <w:p>
            <w:pPr>
              <w:jc w:val="center"/>
            </w:pPr>
            <w:r>
              <w:rPr>
                <w:rFonts w:hint="eastAsia"/>
              </w:rPr>
              <w:t>0.51</w:t>
            </w:r>
          </w:p>
        </w:tc>
        <w:tc>
          <w:tcPr>
            <w:tcW w:w="675" w:type="dxa"/>
            <w:vAlign w:val="center"/>
          </w:tcPr>
          <w:p>
            <w:pPr>
              <w:jc w:val="center"/>
            </w:pPr>
            <w:r>
              <w:rPr>
                <w:rFonts w:hint="eastAsia"/>
              </w:rPr>
              <w:t>0.71</w:t>
            </w:r>
          </w:p>
        </w:tc>
        <w:tc>
          <w:tcPr>
            <w:tcW w:w="700" w:type="dxa"/>
            <w:vAlign w:val="center"/>
          </w:tcPr>
          <w:p>
            <w:pPr>
              <w:jc w:val="center"/>
            </w:pPr>
            <w:r>
              <w:rPr>
                <w:rFonts w:hint="eastAsia"/>
              </w:rPr>
              <w:t>4.19</w:t>
            </w:r>
          </w:p>
        </w:tc>
        <w:tc>
          <w:tcPr>
            <w:tcW w:w="712" w:type="dxa"/>
            <w:vAlign w:val="center"/>
          </w:tcPr>
          <w:p>
            <w:pPr>
              <w:jc w:val="center"/>
            </w:pPr>
            <w:r>
              <w:rPr>
                <w:rFonts w:hint="eastAsia"/>
              </w:rPr>
              <w:t>0.16</w:t>
            </w:r>
          </w:p>
        </w:tc>
        <w:tc>
          <w:tcPr>
            <w:tcW w:w="750" w:type="dxa"/>
            <w:vAlign w:val="center"/>
          </w:tcPr>
          <w:p>
            <w:pPr>
              <w:jc w:val="center"/>
            </w:pPr>
            <w:r>
              <w:rPr>
                <w:rFonts w:hint="eastAsia"/>
              </w:rPr>
              <w:t>14.93</w:t>
            </w:r>
          </w:p>
        </w:tc>
        <w:tc>
          <w:tcPr>
            <w:tcW w:w="795" w:type="dxa"/>
            <w:vAlign w:val="center"/>
          </w:tcPr>
          <w:p>
            <w:pPr>
              <w:jc w:val="center"/>
            </w:pPr>
            <w:r>
              <w:rPr>
                <w:rFonts w:hint="eastAsia"/>
              </w:rPr>
              <w:t>11.41</w:t>
            </w:r>
          </w:p>
        </w:tc>
        <w:tc>
          <w:tcPr>
            <w:tcW w:w="681" w:type="dxa"/>
            <w:vAlign w:val="center"/>
          </w:tcPr>
          <w:p>
            <w:pPr>
              <w:jc w:val="center"/>
            </w:pPr>
            <w:r>
              <w:rPr>
                <w:rFonts w:hint="eastAsia"/>
              </w:rPr>
              <w:t>0.54</w:t>
            </w:r>
          </w:p>
        </w:tc>
        <w:tc>
          <w:tcPr>
            <w:tcW w:w="687" w:type="dxa"/>
            <w:vAlign w:val="center"/>
          </w:tcPr>
          <w:p>
            <w:pPr>
              <w:jc w:val="center"/>
            </w:pPr>
            <w:r>
              <w:rPr>
                <w:rFonts w:hint="eastAsia"/>
              </w:rPr>
              <w:t>0.23</w:t>
            </w:r>
          </w:p>
        </w:tc>
        <w:tc>
          <w:tcPr>
            <w:tcW w:w="1060" w:type="dxa"/>
            <w:vAlign w:val="center"/>
          </w:tcPr>
          <w:p>
            <w:pPr>
              <w:jc w:val="center"/>
            </w:pPr>
            <w:r>
              <w:rPr>
                <w:rFonts w:hint="eastAsia"/>
              </w:rPr>
              <w:t>有不溶渣，浑浊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9" w:type="dxa"/>
            <w:vMerge w:val="restart"/>
            <w:vAlign w:val="center"/>
          </w:tcPr>
          <w:p>
            <w:pPr>
              <w:jc w:val="left"/>
            </w:pPr>
            <w:r>
              <w:rPr>
                <w:rFonts w:hint="eastAsia"/>
              </w:rPr>
              <w:t>①10mL盐酸+5mL硝酸+5mL高氯酸+5mL硫酸（1+1）</w:t>
            </w:r>
          </w:p>
          <w:p>
            <w:pPr>
              <w:jc w:val="left"/>
            </w:pPr>
            <w:r>
              <w:rPr>
                <w:rFonts w:hint="eastAsia"/>
              </w:rPr>
              <w:t>②10mL氢溴酸除杂</w:t>
            </w:r>
          </w:p>
        </w:tc>
        <w:tc>
          <w:tcPr>
            <w:tcW w:w="463" w:type="dxa"/>
            <w:vAlign w:val="center"/>
          </w:tcPr>
          <w:p>
            <w:pPr>
              <w:jc w:val="center"/>
            </w:pPr>
            <w:r>
              <w:rPr>
                <w:rFonts w:hint="eastAsia"/>
              </w:rPr>
              <w:t>1#</w:t>
            </w:r>
          </w:p>
        </w:tc>
        <w:tc>
          <w:tcPr>
            <w:tcW w:w="600" w:type="dxa"/>
            <w:vAlign w:val="center"/>
          </w:tcPr>
          <w:p>
            <w:pPr>
              <w:jc w:val="center"/>
            </w:pPr>
            <w:r>
              <w:rPr>
                <w:rFonts w:hint="eastAsia"/>
              </w:rPr>
              <w:t>0</w:t>
            </w:r>
          </w:p>
        </w:tc>
        <w:tc>
          <w:tcPr>
            <w:tcW w:w="675" w:type="dxa"/>
            <w:vAlign w:val="center"/>
          </w:tcPr>
          <w:p>
            <w:pPr>
              <w:jc w:val="center"/>
            </w:pPr>
            <w:r>
              <w:rPr>
                <w:rFonts w:hint="eastAsia"/>
              </w:rPr>
              <w:t>2.50</w:t>
            </w:r>
          </w:p>
        </w:tc>
        <w:tc>
          <w:tcPr>
            <w:tcW w:w="700" w:type="dxa"/>
            <w:vAlign w:val="center"/>
          </w:tcPr>
          <w:p>
            <w:pPr>
              <w:jc w:val="center"/>
            </w:pPr>
            <w:r>
              <w:rPr>
                <w:rFonts w:hint="eastAsia"/>
              </w:rPr>
              <w:t>2.44</w:t>
            </w:r>
          </w:p>
        </w:tc>
        <w:tc>
          <w:tcPr>
            <w:tcW w:w="712" w:type="dxa"/>
            <w:vAlign w:val="center"/>
          </w:tcPr>
          <w:p>
            <w:pPr>
              <w:jc w:val="center"/>
            </w:pPr>
            <w:r>
              <w:rPr>
                <w:rFonts w:hint="eastAsia"/>
              </w:rPr>
              <w:t>0.22</w:t>
            </w:r>
          </w:p>
        </w:tc>
        <w:tc>
          <w:tcPr>
            <w:tcW w:w="750" w:type="dxa"/>
            <w:vAlign w:val="center"/>
          </w:tcPr>
          <w:p>
            <w:pPr>
              <w:jc w:val="center"/>
            </w:pPr>
            <w:r>
              <w:rPr>
                <w:rFonts w:hint="eastAsia"/>
              </w:rPr>
              <w:t>19.26</w:t>
            </w:r>
          </w:p>
        </w:tc>
        <w:tc>
          <w:tcPr>
            <w:tcW w:w="795" w:type="dxa"/>
            <w:vAlign w:val="center"/>
          </w:tcPr>
          <w:p>
            <w:pPr>
              <w:jc w:val="center"/>
            </w:pPr>
            <w:r>
              <w:rPr>
                <w:rFonts w:hint="eastAsia"/>
              </w:rPr>
              <w:t>8.82</w:t>
            </w:r>
          </w:p>
        </w:tc>
        <w:tc>
          <w:tcPr>
            <w:tcW w:w="681" w:type="dxa"/>
            <w:vAlign w:val="center"/>
          </w:tcPr>
          <w:p>
            <w:pPr>
              <w:jc w:val="center"/>
            </w:pPr>
            <w:r>
              <w:rPr>
                <w:rFonts w:hint="eastAsia"/>
              </w:rPr>
              <w:t>0.35</w:t>
            </w:r>
          </w:p>
        </w:tc>
        <w:tc>
          <w:tcPr>
            <w:tcW w:w="687" w:type="dxa"/>
            <w:vAlign w:val="center"/>
          </w:tcPr>
          <w:p>
            <w:pPr>
              <w:jc w:val="center"/>
            </w:pPr>
            <w:r>
              <w:rPr>
                <w:rFonts w:hint="eastAsia"/>
              </w:rPr>
              <w:t>0.15</w:t>
            </w:r>
          </w:p>
        </w:tc>
        <w:tc>
          <w:tcPr>
            <w:tcW w:w="1060" w:type="dxa"/>
            <w:vAlign w:val="center"/>
          </w:tcPr>
          <w:p>
            <w:pPr>
              <w:jc w:val="center"/>
            </w:pPr>
            <w:r>
              <w:rPr>
                <w:rFonts w:hint="eastAsia"/>
              </w:rPr>
              <w:t>有不溶渣，浑浊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9" w:type="dxa"/>
            <w:vMerge w:val="continue"/>
            <w:vAlign w:val="center"/>
          </w:tcPr>
          <w:p>
            <w:pPr>
              <w:jc w:val="left"/>
            </w:pPr>
          </w:p>
        </w:tc>
        <w:tc>
          <w:tcPr>
            <w:tcW w:w="463" w:type="dxa"/>
            <w:vAlign w:val="center"/>
          </w:tcPr>
          <w:p>
            <w:pPr>
              <w:jc w:val="center"/>
            </w:pPr>
            <w:r>
              <w:rPr>
                <w:rFonts w:hint="eastAsia"/>
              </w:rPr>
              <w:t>2#</w:t>
            </w:r>
          </w:p>
        </w:tc>
        <w:tc>
          <w:tcPr>
            <w:tcW w:w="600" w:type="dxa"/>
            <w:vAlign w:val="center"/>
          </w:tcPr>
          <w:p>
            <w:pPr>
              <w:jc w:val="center"/>
            </w:pPr>
            <w:r>
              <w:rPr>
                <w:rFonts w:hint="eastAsia"/>
              </w:rPr>
              <w:t>0</w:t>
            </w:r>
          </w:p>
        </w:tc>
        <w:tc>
          <w:tcPr>
            <w:tcW w:w="675" w:type="dxa"/>
            <w:vAlign w:val="center"/>
          </w:tcPr>
          <w:p>
            <w:pPr>
              <w:jc w:val="center"/>
            </w:pPr>
            <w:r>
              <w:rPr>
                <w:rFonts w:hint="eastAsia"/>
              </w:rPr>
              <w:t>2.35</w:t>
            </w:r>
          </w:p>
        </w:tc>
        <w:tc>
          <w:tcPr>
            <w:tcW w:w="700" w:type="dxa"/>
            <w:vAlign w:val="center"/>
          </w:tcPr>
          <w:p>
            <w:pPr>
              <w:jc w:val="center"/>
            </w:pPr>
            <w:r>
              <w:rPr>
                <w:rFonts w:hint="eastAsia"/>
              </w:rPr>
              <w:t>6.19</w:t>
            </w:r>
          </w:p>
        </w:tc>
        <w:tc>
          <w:tcPr>
            <w:tcW w:w="712" w:type="dxa"/>
            <w:vAlign w:val="center"/>
          </w:tcPr>
          <w:p>
            <w:pPr>
              <w:jc w:val="center"/>
            </w:pPr>
            <w:r>
              <w:rPr>
                <w:rFonts w:hint="eastAsia"/>
              </w:rPr>
              <w:t>0.29</w:t>
            </w:r>
          </w:p>
        </w:tc>
        <w:tc>
          <w:tcPr>
            <w:tcW w:w="750" w:type="dxa"/>
            <w:vAlign w:val="center"/>
          </w:tcPr>
          <w:p>
            <w:pPr>
              <w:jc w:val="center"/>
            </w:pPr>
            <w:r>
              <w:rPr>
                <w:rFonts w:hint="eastAsia"/>
              </w:rPr>
              <w:t>19.37</w:t>
            </w:r>
          </w:p>
        </w:tc>
        <w:tc>
          <w:tcPr>
            <w:tcW w:w="795" w:type="dxa"/>
            <w:vAlign w:val="center"/>
          </w:tcPr>
          <w:p>
            <w:pPr>
              <w:jc w:val="center"/>
            </w:pPr>
            <w:r>
              <w:rPr>
                <w:rFonts w:hint="eastAsia"/>
              </w:rPr>
              <w:t>2.22</w:t>
            </w:r>
          </w:p>
        </w:tc>
        <w:tc>
          <w:tcPr>
            <w:tcW w:w="681" w:type="dxa"/>
            <w:vAlign w:val="center"/>
          </w:tcPr>
          <w:p>
            <w:pPr>
              <w:jc w:val="center"/>
            </w:pPr>
            <w:r>
              <w:rPr>
                <w:rFonts w:hint="eastAsia"/>
              </w:rPr>
              <w:t>0.19</w:t>
            </w:r>
          </w:p>
        </w:tc>
        <w:tc>
          <w:tcPr>
            <w:tcW w:w="687" w:type="dxa"/>
            <w:vAlign w:val="center"/>
          </w:tcPr>
          <w:p>
            <w:pPr>
              <w:jc w:val="center"/>
            </w:pPr>
            <w:r>
              <w:rPr>
                <w:rFonts w:hint="eastAsia"/>
              </w:rPr>
              <w:t>0.28</w:t>
            </w:r>
          </w:p>
        </w:tc>
        <w:tc>
          <w:tcPr>
            <w:tcW w:w="1060" w:type="dxa"/>
            <w:vAlign w:val="center"/>
          </w:tcPr>
          <w:p>
            <w:pPr>
              <w:jc w:val="center"/>
            </w:pPr>
            <w:r>
              <w:rPr>
                <w:rFonts w:hint="eastAsia"/>
              </w:rPr>
              <w:t>有不溶渣，浑浊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1" w:hRule="atLeast"/>
        </w:trPr>
        <w:tc>
          <w:tcPr>
            <w:tcW w:w="2199" w:type="dxa"/>
            <w:vMerge w:val="restart"/>
            <w:vAlign w:val="center"/>
          </w:tcPr>
          <w:p>
            <w:pPr>
              <w:jc w:val="left"/>
            </w:pPr>
            <w:r>
              <w:rPr>
                <w:rFonts w:hint="eastAsia"/>
              </w:rPr>
              <w:t>①10mL盐酸+5mL硝酸+5mL高氯酸+5mL硫酸（1+1）</w:t>
            </w:r>
          </w:p>
          <w:p>
            <w:pPr>
              <w:jc w:val="left"/>
            </w:pPr>
            <w:r>
              <w:rPr>
                <w:rFonts w:hint="eastAsia"/>
              </w:rPr>
              <w:t>②10mL氢溴酸+10mL氢溴酸除杂</w:t>
            </w:r>
          </w:p>
        </w:tc>
        <w:tc>
          <w:tcPr>
            <w:tcW w:w="463" w:type="dxa"/>
            <w:vAlign w:val="center"/>
          </w:tcPr>
          <w:p>
            <w:pPr>
              <w:jc w:val="center"/>
            </w:pPr>
            <w:r>
              <w:rPr>
                <w:rFonts w:hint="eastAsia"/>
              </w:rPr>
              <w:t>1#</w:t>
            </w:r>
          </w:p>
        </w:tc>
        <w:tc>
          <w:tcPr>
            <w:tcW w:w="600" w:type="dxa"/>
            <w:vAlign w:val="center"/>
          </w:tcPr>
          <w:p>
            <w:pPr>
              <w:jc w:val="center"/>
            </w:pPr>
            <w:r>
              <w:rPr>
                <w:rFonts w:hint="eastAsia"/>
              </w:rPr>
              <w:t>0</w:t>
            </w:r>
          </w:p>
        </w:tc>
        <w:tc>
          <w:tcPr>
            <w:tcW w:w="675" w:type="dxa"/>
            <w:vAlign w:val="center"/>
          </w:tcPr>
          <w:p>
            <w:pPr>
              <w:jc w:val="center"/>
            </w:pPr>
            <w:r>
              <w:rPr>
                <w:rFonts w:hint="eastAsia"/>
              </w:rPr>
              <w:t>2.90</w:t>
            </w:r>
          </w:p>
        </w:tc>
        <w:tc>
          <w:tcPr>
            <w:tcW w:w="700" w:type="dxa"/>
            <w:vAlign w:val="center"/>
          </w:tcPr>
          <w:p>
            <w:pPr>
              <w:jc w:val="center"/>
            </w:pPr>
            <w:r>
              <w:rPr>
                <w:rFonts w:hint="eastAsia"/>
              </w:rPr>
              <w:t>2.15</w:t>
            </w:r>
          </w:p>
        </w:tc>
        <w:tc>
          <w:tcPr>
            <w:tcW w:w="712" w:type="dxa"/>
            <w:vAlign w:val="center"/>
          </w:tcPr>
          <w:p>
            <w:pPr>
              <w:jc w:val="center"/>
            </w:pPr>
            <w:r>
              <w:rPr>
                <w:rFonts w:hint="eastAsia"/>
              </w:rPr>
              <w:t>0.34</w:t>
            </w:r>
          </w:p>
        </w:tc>
        <w:tc>
          <w:tcPr>
            <w:tcW w:w="750" w:type="dxa"/>
            <w:vAlign w:val="center"/>
          </w:tcPr>
          <w:p>
            <w:pPr>
              <w:jc w:val="center"/>
            </w:pPr>
            <w:r>
              <w:rPr>
                <w:rFonts w:hint="eastAsia"/>
              </w:rPr>
              <w:t>19.44</w:t>
            </w:r>
          </w:p>
        </w:tc>
        <w:tc>
          <w:tcPr>
            <w:tcW w:w="795" w:type="dxa"/>
            <w:vAlign w:val="center"/>
          </w:tcPr>
          <w:p>
            <w:pPr>
              <w:jc w:val="center"/>
            </w:pPr>
            <w:r>
              <w:rPr>
                <w:rFonts w:hint="eastAsia"/>
              </w:rPr>
              <w:t>4.52</w:t>
            </w:r>
          </w:p>
        </w:tc>
        <w:tc>
          <w:tcPr>
            <w:tcW w:w="681" w:type="dxa"/>
            <w:vAlign w:val="center"/>
          </w:tcPr>
          <w:p>
            <w:pPr>
              <w:jc w:val="center"/>
            </w:pPr>
            <w:r>
              <w:rPr>
                <w:rFonts w:hint="eastAsia"/>
              </w:rPr>
              <w:t>1.03</w:t>
            </w:r>
          </w:p>
        </w:tc>
        <w:tc>
          <w:tcPr>
            <w:tcW w:w="687" w:type="dxa"/>
            <w:vAlign w:val="center"/>
          </w:tcPr>
          <w:p>
            <w:pPr>
              <w:jc w:val="center"/>
            </w:pPr>
            <w:r>
              <w:rPr>
                <w:rFonts w:hint="eastAsia"/>
              </w:rPr>
              <w:t>0.17</w:t>
            </w:r>
          </w:p>
        </w:tc>
        <w:tc>
          <w:tcPr>
            <w:tcW w:w="1060" w:type="dxa"/>
            <w:vAlign w:val="center"/>
          </w:tcPr>
          <w:p>
            <w:pPr>
              <w:jc w:val="center"/>
            </w:pPr>
            <w:r>
              <w:rPr>
                <w:rFonts w:hint="eastAsia"/>
              </w:rPr>
              <w:t>有不溶渣，浑浊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9" w:type="dxa"/>
            <w:vMerge w:val="continue"/>
            <w:vAlign w:val="center"/>
          </w:tcPr>
          <w:p>
            <w:pPr>
              <w:jc w:val="left"/>
            </w:pPr>
          </w:p>
        </w:tc>
        <w:tc>
          <w:tcPr>
            <w:tcW w:w="463" w:type="dxa"/>
            <w:vAlign w:val="center"/>
          </w:tcPr>
          <w:p>
            <w:pPr>
              <w:jc w:val="center"/>
            </w:pPr>
            <w:r>
              <w:rPr>
                <w:rFonts w:hint="eastAsia"/>
              </w:rPr>
              <w:t>2#</w:t>
            </w:r>
          </w:p>
        </w:tc>
        <w:tc>
          <w:tcPr>
            <w:tcW w:w="600" w:type="dxa"/>
            <w:vAlign w:val="center"/>
          </w:tcPr>
          <w:p>
            <w:pPr>
              <w:jc w:val="center"/>
            </w:pPr>
            <w:r>
              <w:rPr>
                <w:rFonts w:hint="eastAsia"/>
              </w:rPr>
              <w:t>0</w:t>
            </w:r>
          </w:p>
        </w:tc>
        <w:tc>
          <w:tcPr>
            <w:tcW w:w="675" w:type="dxa"/>
            <w:vAlign w:val="center"/>
          </w:tcPr>
          <w:p>
            <w:pPr>
              <w:jc w:val="center"/>
            </w:pPr>
            <w:r>
              <w:rPr>
                <w:rFonts w:hint="eastAsia"/>
              </w:rPr>
              <w:t>3.74</w:t>
            </w:r>
          </w:p>
        </w:tc>
        <w:tc>
          <w:tcPr>
            <w:tcW w:w="700" w:type="dxa"/>
            <w:vAlign w:val="center"/>
          </w:tcPr>
          <w:p>
            <w:pPr>
              <w:jc w:val="center"/>
            </w:pPr>
            <w:r>
              <w:rPr>
                <w:rFonts w:hint="eastAsia"/>
              </w:rPr>
              <w:t>6.02</w:t>
            </w:r>
          </w:p>
        </w:tc>
        <w:tc>
          <w:tcPr>
            <w:tcW w:w="712" w:type="dxa"/>
            <w:vAlign w:val="center"/>
          </w:tcPr>
          <w:p>
            <w:pPr>
              <w:jc w:val="center"/>
            </w:pPr>
            <w:r>
              <w:rPr>
                <w:rFonts w:hint="eastAsia"/>
              </w:rPr>
              <w:t>0.30</w:t>
            </w:r>
          </w:p>
        </w:tc>
        <w:tc>
          <w:tcPr>
            <w:tcW w:w="750" w:type="dxa"/>
            <w:vAlign w:val="center"/>
          </w:tcPr>
          <w:p>
            <w:pPr>
              <w:jc w:val="center"/>
            </w:pPr>
            <w:r>
              <w:rPr>
                <w:rFonts w:hint="eastAsia"/>
              </w:rPr>
              <w:t>19.38</w:t>
            </w:r>
          </w:p>
        </w:tc>
        <w:tc>
          <w:tcPr>
            <w:tcW w:w="795" w:type="dxa"/>
            <w:vAlign w:val="center"/>
          </w:tcPr>
          <w:p>
            <w:pPr>
              <w:jc w:val="center"/>
            </w:pPr>
            <w:r>
              <w:rPr>
                <w:rFonts w:hint="eastAsia"/>
              </w:rPr>
              <w:t>1.04</w:t>
            </w:r>
          </w:p>
        </w:tc>
        <w:tc>
          <w:tcPr>
            <w:tcW w:w="681" w:type="dxa"/>
            <w:vAlign w:val="center"/>
          </w:tcPr>
          <w:p>
            <w:pPr>
              <w:jc w:val="center"/>
            </w:pPr>
            <w:r>
              <w:rPr>
                <w:rFonts w:hint="eastAsia"/>
              </w:rPr>
              <w:t>0.35</w:t>
            </w:r>
          </w:p>
        </w:tc>
        <w:tc>
          <w:tcPr>
            <w:tcW w:w="687" w:type="dxa"/>
            <w:vAlign w:val="center"/>
          </w:tcPr>
          <w:p>
            <w:pPr>
              <w:jc w:val="center"/>
            </w:pPr>
            <w:r>
              <w:rPr>
                <w:rFonts w:hint="eastAsia"/>
              </w:rPr>
              <w:t>0.30</w:t>
            </w:r>
          </w:p>
        </w:tc>
        <w:tc>
          <w:tcPr>
            <w:tcW w:w="1060" w:type="dxa"/>
            <w:vAlign w:val="center"/>
          </w:tcPr>
          <w:p>
            <w:pPr>
              <w:jc w:val="center"/>
            </w:pPr>
            <w:r>
              <w:rPr>
                <w:rFonts w:hint="eastAsia"/>
              </w:rPr>
              <w:t>有不溶渣，浑浊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9" w:hRule="atLeast"/>
        </w:trPr>
        <w:tc>
          <w:tcPr>
            <w:tcW w:w="2199" w:type="dxa"/>
            <w:vMerge w:val="restart"/>
            <w:vAlign w:val="center"/>
          </w:tcPr>
          <w:p>
            <w:pPr>
              <w:jc w:val="left"/>
            </w:pPr>
            <w:r>
              <w:rPr>
                <w:rFonts w:hint="eastAsia"/>
              </w:rPr>
              <w:t>①碱熔长碘过滤</w:t>
            </w:r>
          </w:p>
          <w:p>
            <w:pPr>
              <w:jc w:val="left"/>
            </w:pPr>
            <w:r>
              <w:rPr>
                <w:rFonts w:hint="eastAsia"/>
              </w:rPr>
              <w:t>②10mL硝酸+5mL高氯酸+5mL硫酸（1+1）分解沉淀</w:t>
            </w:r>
          </w:p>
        </w:tc>
        <w:tc>
          <w:tcPr>
            <w:tcW w:w="463" w:type="dxa"/>
            <w:vAlign w:val="center"/>
          </w:tcPr>
          <w:p>
            <w:pPr>
              <w:jc w:val="center"/>
            </w:pPr>
            <w:r>
              <w:rPr>
                <w:rFonts w:hint="eastAsia"/>
              </w:rPr>
              <w:t>1#</w:t>
            </w:r>
          </w:p>
        </w:tc>
        <w:tc>
          <w:tcPr>
            <w:tcW w:w="600" w:type="dxa"/>
            <w:vAlign w:val="center"/>
          </w:tcPr>
          <w:p>
            <w:pPr>
              <w:jc w:val="center"/>
            </w:pPr>
            <w:r>
              <w:rPr>
                <w:rFonts w:hint="eastAsia"/>
              </w:rPr>
              <w:t>0.62</w:t>
            </w:r>
          </w:p>
        </w:tc>
        <w:tc>
          <w:tcPr>
            <w:tcW w:w="675" w:type="dxa"/>
            <w:vAlign w:val="center"/>
          </w:tcPr>
          <w:p>
            <w:pPr>
              <w:jc w:val="center"/>
            </w:pPr>
            <w:r>
              <w:rPr>
                <w:rFonts w:hint="eastAsia"/>
              </w:rPr>
              <w:t>3.75</w:t>
            </w:r>
          </w:p>
        </w:tc>
        <w:tc>
          <w:tcPr>
            <w:tcW w:w="700" w:type="dxa"/>
            <w:vAlign w:val="center"/>
          </w:tcPr>
          <w:p>
            <w:pPr>
              <w:jc w:val="center"/>
            </w:pPr>
            <w:r>
              <w:rPr>
                <w:rFonts w:hint="eastAsia"/>
              </w:rPr>
              <w:t>2.04</w:t>
            </w:r>
          </w:p>
        </w:tc>
        <w:tc>
          <w:tcPr>
            <w:tcW w:w="712" w:type="dxa"/>
            <w:vAlign w:val="center"/>
          </w:tcPr>
          <w:p>
            <w:pPr>
              <w:jc w:val="center"/>
            </w:pPr>
            <w:r>
              <w:rPr>
                <w:rFonts w:hint="eastAsia"/>
              </w:rPr>
              <w:t>0.30</w:t>
            </w:r>
          </w:p>
        </w:tc>
        <w:tc>
          <w:tcPr>
            <w:tcW w:w="750" w:type="dxa"/>
            <w:vAlign w:val="center"/>
          </w:tcPr>
          <w:p>
            <w:pPr>
              <w:jc w:val="center"/>
            </w:pPr>
            <w:r>
              <w:rPr>
                <w:rFonts w:hint="eastAsia"/>
              </w:rPr>
              <w:t>19.46</w:t>
            </w:r>
          </w:p>
        </w:tc>
        <w:tc>
          <w:tcPr>
            <w:tcW w:w="795" w:type="dxa"/>
            <w:vAlign w:val="center"/>
          </w:tcPr>
          <w:p>
            <w:pPr>
              <w:jc w:val="center"/>
            </w:pPr>
            <w:r>
              <w:rPr>
                <w:rFonts w:hint="eastAsia"/>
              </w:rPr>
              <w:t>14.58</w:t>
            </w:r>
          </w:p>
        </w:tc>
        <w:tc>
          <w:tcPr>
            <w:tcW w:w="681" w:type="dxa"/>
            <w:vAlign w:val="center"/>
          </w:tcPr>
          <w:p>
            <w:pPr>
              <w:jc w:val="center"/>
            </w:pPr>
            <w:r>
              <w:rPr>
                <w:rFonts w:hint="eastAsia"/>
              </w:rPr>
              <w:t>8.62</w:t>
            </w:r>
          </w:p>
        </w:tc>
        <w:tc>
          <w:tcPr>
            <w:tcW w:w="687" w:type="dxa"/>
            <w:vAlign w:val="center"/>
          </w:tcPr>
          <w:p>
            <w:pPr>
              <w:jc w:val="center"/>
            </w:pPr>
            <w:r>
              <w:rPr>
                <w:rFonts w:hint="eastAsia"/>
              </w:rPr>
              <w:t>0</w:t>
            </w:r>
          </w:p>
        </w:tc>
        <w:tc>
          <w:tcPr>
            <w:tcW w:w="1060" w:type="dxa"/>
            <w:vAlign w:val="center"/>
          </w:tcPr>
          <w:p>
            <w:pPr>
              <w:jc w:val="center"/>
            </w:pPr>
            <w:r>
              <w:rPr>
                <w:rFonts w:hint="eastAsia"/>
              </w:rPr>
              <w:t>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9" w:type="dxa"/>
            <w:vMerge w:val="continue"/>
            <w:vAlign w:val="center"/>
          </w:tcPr>
          <w:p>
            <w:pPr>
              <w:jc w:val="left"/>
            </w:pPr>
          </w:p>
        </w:tc>
        <w:tc>
          <w:tcPr>
            <w:tcW w:w="463" w:type="dxa"/>
            <w:vAlign w:val="center"/>
          </w:tcPr>
          <w:p>
            <w:pPr>
              <w:jc w:val="center"/>
            </w:pPr>
            <w:r>
              <w:rPr>
                <w:rFonts w:hint="eastAsia"/>
              </w:rPr>
              <w:t>2#</w:t>
            </w:r>
          </w:p>
        </w:tc>
        <w:tc>
          <w:tcPr>
            <w:tcW w:w="600" w:type="dxa"/>
            <w:vAlign w:val="center"/>
          </w:tcPr>
          <w:p>
            <w:pPr>
              <w:jc w:val="center"/>
            </w:pPr>
            <w:r>
              <w:rPr>
                <w:rFonts w:hint="eastAsia"/>
              </w:rPr>
              <w:t>0.30</w:t>
            </w:r>
          </w:p>
        </w:tc>
        <w:tc>
          <w:tcPr>
            <w:tcW w:w="675" w:type="dxa"/>
            <w:vAlign w:val="center"/>
          </w:tcPr>
          <w:p>
            <w:pPr>
              <w:jc w:val="center"/>
            </w:pPr>
            <w:r>
              <w:rPr>
                <w:rFonts w:hint="eastAsia"/>
              </w:rPr>
              <w:t>5.24</w:t>
            </w:r>
          </w:p>
        </w:tc>
        <w:tc>
          <w:tcPr>
            <w:tcW w:w="700" w:type="dxa"/>
            <w:vAlign w:val="center"/>
          </w:tcPr>
          <w:p>
            <w:pPr>
              <w:jc w:val="center"/>
            </w:pPr>
            <w:r>
              <w:rPr>
                <w:rFonts w:hint="eastAsia"/>
              </w:rPr>
              <w:t>6.03</w:t>
            </w:r>
          </w:p>
        </w:tc>
        <w:tc>
          <w:tcPr>
            <w:tcW w:w="712" w:type="dxa"/>
            <w:vAlign w:val="center"/>
          </w:tcPr>
          <w:p>
            <w:pPr>
              <w:jc w:val="center"/>
            </w:pPr>
            <w:r>
              <w:rPr>
                <w:rFonts w:hint="eastAsia"/>
              </w:rPr>
              <w:t>0.35</w:t>
            </w:r>
          </w:p>
        </w:tc>
        <w:tc>
          <w:tcPr>
            <w:tcW w:w="750" w:type="dxa"/>
            <w:vAlign w:val="center"/>
          </w:tcPr>
          <w:p>
            <w:pPr>
              <w:jc w:val="center"/>
            </w:pPr>
            <w:r>
              <w:rPr>
                <w:rFonts w:hint="eastAsia"/>
              </w:rPr>
              <w:t>19.56</w:t>
            </w:r>
          </w:p>
        </w:tc>
        <w:tc>
          <w:tcPr>
            <w:tcW w:w="795" w:type="dxa"/>
            <w:vAlign w:val="center"/>
          </w:tcPr>
          <w:p>
            <w:pPr>
              <w:jc w:val="center"/>
            </w:pPr>
            <w:r>
              <w:rPr>
                <w:rFonts w:hint="eastAsia"/>
              </w:rPr>
              <w:t>10.32</w:t>
            </w:r>
          </w:p>
        </w:tc>
        <w:tc>
          <w:tcPr>
            <w:tcW w:w="681" w:type="dxa"/>
            <w:vAlign w:val="center"/>
          </w:tcPr>
          <w:p>
            <w:r>
              <w:rPr>
                <w:rFonts w:hint="eastAsia"/>
              </w:rPr>
              <w:t>2.25</w:t>
            </w:r>
          </w:p>
        </w:tc>
        <w:tc>
          <w:tcPr>
            <w:tcW w:w="687" w:type="dxa"/>
            <w:vAlign w:val="center"/>
          </w:tcPr>
          <w:p>
            <w:pPr>
              <w:jc w:val="center"/>
            </w:pPr>
            <w:r>
              <w:rPr>
                <w:rFonts w:hint="eastAsia"/>
              </w:rPr>
              <w:t>0</w:t>
            </w:r>
          </w:p>
        </w:tc>
        <w:tc>
          <w:tcPr>
            <w:tcW w:w="1060" w:type="dxa"/>
            <w:vAlign w:val="center"/>
          </w:tcPr>
          <w:p>
            <w:pPr>
              <w:jc w:val="center"/>
            </w:pPr>
            <w:r>
              <w:rPr>
                <w:rFonts w:hint="eastAsia"/>
              </w:rPr>
              <w:t>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7" w:hRule="atLeast"/>
        </w:trPr>
        <w:tc>
          <w:tcPr>
            <w:tcW w:w="2199" w:type="dxa"/>
            <w:vMerge w:val="restart"/>
            <w:vAlign w:val="center"/>
          </w:tcPr>
          <w:p>
            <w:pPr>
              <w:jc w:val="left"/>
            </w:pPr>
            <w:r>
              <w:rPr>
                <w:rFonts w:hint="eastAsia"/>
              </w:rPr>
              <w:t>①碱熔长碘过滤</w:t>
            </w:r>
          </w:p>
          <w:p>
            <w:pPr>
              <w:jc w:val="left"/>
            </w:pPr>
            <w:r>
              <w:rPr>
                <w:rFonts w:hint="eastAsia"/>
              </w:rPr>
              <w:t>②10mL硝酸+5mL高氯酸分解沉淀</w:t>
            </w:r>
          </w:p>
          <w:p>
            <w:pPr>
              <w:jc w:val="left"/>
            </w:pPr>
            <w:r>
              <w:rPr>
                <w:rFonts w:hint="eastAsia"/>
              </w:rPr>
              <w:t>③10mL氢溴酸除杂</w:t>
            </w:r>
          </w:p>
          <w:p>
            <w:pPr>
              <w:jc w:val="left"/>
            </w:pPr>
            <w:r>
              <w:rPr>
                <w:rFonts w:hint="eastAsia"/>
              </w:rPr>
              <w:t>④5mL硫酸（1+1）</w:t>
            </w:r>
          </w:p>
        </w:tc>
        <w:tc>
          <w:tcPr>
            <w:tcW w:w="463" w:type="dxa"/>
            <w:vAlign w:val="center"/>
          </w:tcPr>
          <w:p>
            <w:pPr>
              <w:jc w:val="center"/>
            </w:pPr>
            <w:r>
              <w:rPr>
                <w:rFonts w:hint="eastAsia"/>
              </w:rPr>
              <w:t>1#</w:t>
            </w:r>
          </w:p>
        </w:tc>
        <w:tc>
          <w:tcPr>
            <w:tcW w:w="600" w:type="dxa"/>
            <w:vAlign w:val="center"/>
          </w:tcPr>
          <w:p>
            <w:pPr>
              <w:jc w:val="center"/>
            </w:pPr>
            <w:r>
              <w:rPr>
                <w:rFonts w:hint="eastAsia"/>
              </w:rPr>
              <w:t>0</w:t>
            </w:r>
          </w:p>
        </w:tc>
        <w:tc>
          <w:tcPr>
            <w:tcW w:w="675" w:type="dxa"/>
            <w:vAlign w:val="center"/>
          </w:tcPr>
          <w:p>
            <w:pPr>
              <w:jc w:val="center"/>
            </w:pPr>
            <w:r>
              <w:rPr>
                <w:rFonts w:hint="eastAsia"/>
              </w:rPr>
              <w:t>2.20</w:t>
            </w:r>
          </w:p>
        </w:tc>
        <w:tc>
          <w:tcPr>
            <w:tcW w:w="700" w:type="dxa"/>
            <w:vAlign w:val="center"/>
          </w:tcPr>
          <w:p>
            <w:pPr>
              <w:jc w:val="center"/>
            </w:pPr>
            <w:r>
              <w:rPr>
                <w:rFonts w:hint="eastAsia"/>
              </w:rPr>
              <w:t>2.10</w:t>
            </w:r>
          </w:p>
        </w:tc>
        <w:tc>
          <w:tcPr>
            <w:tcW w:w="712" w:type="dxa"/>
            <w:vAlign w:val="center"/>
          </w:tcPr>
          <w:p>
            <w:pPr>
              <w:jc w:val="center"/>
            </w:pPr>
            <w:r>
              <w:rPr>
                <w:rFonts w:hint="eastAsia"/>
              </w:rPr>
              <w:t>0.24</w:t>
            </w:r>
          </w:p>
        </w:tc>
        <w:tc>
          <w:tcPr>
            <w:tcW w:w="750" w:type="dxa"/>
            <w:vAlign w:val="center"/>
          </w:tcPr>
          <w:p>
            <w:pPr>
              <w:jc w:val="center"/>
            </w:pPr>
            <w:r>
              <w:rPr>
                <w:rFonts w:hint="eastAsia"/>
              </w:rPr>
              <w:t>19.50</w:t>
            </w:r>
          </w:p>
        </w:tc>
        <w:tc>
          <w:tcPr>
            <w:tcW w:w="795" w:type="dxa"/>
            <w:vAlign w:val="center"/>
          </w:tcPr>
          <w:p>
            <w:pPr>
              <w:jc w:val="center"/>
            </w:pPr>
            <w:r>
              <w:rPr>
                <w:rFonts w:hint="eastAsia"/>
              </w:rPr>
              <w:t>1.12</w:t>
            </w:r>
          </w:p>
        </w:tc>
        <w:tc>
          <w:tcPr>
            <w:tcW w:w="681" w:type="dxa"/>
            <w:vAlign w:val="center"/>
          </w:tcPr>
          <w:p>
            <w:pPr>
              <w:jc w:val="center"/>
            </w:pPr>
            <w:r>
              <w:rPr>
                <w:rFonts w:hint="eastAsia"/>
              </w:rPr>
              <w:t>0</w:t>
            </w:r>
          </w:p>
        </w:tc>
        <w:tc>
          <w:tcPr>
            <w:tcW w:w="687" w:type="dxa"/>
            <w:vAlign w:val="center"/>
          </w:tcPr>
          <w:p>
            <w:pPr>
              <w:jc w:val="center"/>
            </w:pPr>
            <w:r>
              <w:rPr>
                <w:rFonts w:hint="eastAsia"/>
              </w:rPr>
              <w:t>0</w:t>
            </w:r>
          </w:p>
        </w:tc>
        <w:tc>
          <w:tcPr>
            <w:tcW w:w="1060" w:type="dxa"/>
            <w:vAlign w:val="center"/>
          </w:tcPr>
          <w:p>
            <w:pPr>
              <w:ind w:firstLine="210" w:firstLineChars="100"/>
            </w:pPr>
            <w:r>
              <w:rPr>
                <w:rFonts w:hint="eastAsia"/>
              </w:rPr>
              <w:t>浑浊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9" w:type="dxa"/>
            <w:vMerge w:val="continue"/>
            <w:vAlign w:val="center"/>
          </w:tcPr>
          <w:p>
            <w:pPr>
              <w:jc w:val="center"/>
            </w:pPr>
          </w:p>
        </w:tc>
        <w:tc>
          <w:tcPr>
            <w:tcW w:w="463" w:type="dxa"/>
            <w:vAlign w:val="center"/>
          </w:tcPr>
          <w:p>
            <w:pPr>
              <w:jc w:val="center"/>
            </w:pPr>
            <w:r>
              <w:rPr>
                <w:rFonts w:hint="eastAsia"/>
              </w:rPr>
              <w:t>2#</w:t>
            </w:r>
          </w:p>
        </w:tc>
        <w:tc>
          <w:tcPr>
            <w:tcW w:w="600" w:type="dxa"/>
            <w:vAlign w:val="center"/>
          </w:tcPr>
          <w:p>
            <w:pPr>
              <w:jc w:val="center"/>
            </w:pPr>
            <w:r>
              <w:rPr>
                <w:rFonts w:hint="eastAsia"/>
              </w:rPr>
              <w:t>0</w:t>
            </w:r>
          </w:p>
        </w:tc>
        <w:tc>
          <w:tcPr>
            <w:tcW w:w="675" w:type="dxa"/>
            <w:vAlign w:val="center"/>
          </w:tcPr>
          <w:p>
            <w:pPr>
              <w:jc w:val="center"/>
            </w:pPr>
            <w:r>
              <w:rPr>
                <w:rFonts w:hint="eastAsia"/>
              </w:rPr>
              <w:t>3.55</w:t>
            </w:r>
          </w:p>
        </w:tc>
        <w:tc>
          <w:tcPr>
            <w:tcW w:w="700" w:type="dxa"/>
            <w:vAlign w:val="center"/>
          </w:tcPr>
          <w:p>
            <w:pPr>
              <w:jc w:val="center"/>
            </w:pPr>
            <w:r>
              <w:rPr>
                <w:rFonts w:hint="eastAsia"/>
              </w:rPr>
              <w:t>6.25</w:t>
            </w:r>
          </w:p>
        </w:tc>
        <w:tc>
          <w:tcPr>
            <w:tcW w:w="712" w:type="dxa"/>
            <w:vAlign w:val="center"/>
          </w:tcPr>
          <w:p>
            <w:pPr>
              <w:jc w:val="center"/>
            </w:pPr>
            <w:r>
              <w:rPr>
                <w:rFonts w:hint="eastAsia"/>
              </w:rPr>
              <w:t>0.30</w:t>
            </w:r>
          </w:p>
        </w:tc>
        <w:tc>
          <w:tcPr>
            <w:tcW w:w="750" w:type="dxa"/>
            <w:vAlign w:val="center"/>
          </w:tcPr>
          <w:p>
            <w:pPr>
              <w:jc w:val="center"/>
            </w:pPr>
            <w:r>
              <w:rPr>
                <w:rFonts w:hint="eastAsia"/>
              </w:rPr>
              <w:t>19.35</w:t>
            </w:r>
          </w:p>
        </w:tc>
        <w:tc>
          <w:tcPr>
            <w:tcW w:w="795" w:type="dxa"/>
            <w:vAlign w:val="center"/>
          </w:tcPr>
          <w:p>
            <w:pPr>
              <w:jc w:val="center"/>
            </w:pPr>
            <w:r>
              <w:rPr>
                <w:rFonts w:hint="eastAsia"/>
              </w:rPr>
              <w:t>0.67</w:t>
            </w:r>
          </w:p>
        </w:tc>
        <w:tc>
          <w:tcPr>
            <w:tcW w:w="681" w:type="dxa"/>
            <w:vAlign w:val="center"/>
          </w:tcPr>
          <w:p>
            <w:pPr>
              <w:jc w:val="center"/>
            </w:pPr>
            <w:r>
              <w:rPr>
                <w:rFonts w:hint="eastAsia"/>
              </w:rPr>
              <w:t>0</w:t>
            </w:r>
          </w:p>
        </w:tc>
        <w:tc>
          <w:tcPr>
            <w:tcW w:w="687" w:type="dxa"/>
            <w:vAlign w:val="center"/>
          </w:tcPr>
          <w:p>
            <w:pPr>
              <w:jc w:val="center"/>
            </w:pPr>
            <w:r>
              <w:rPr>
                <w:rFonts w:hint="eastAsia"/>
              </w:rPr>
              <w:t>0</w:t>
            </w:r>
          </w:p>
        </w:tc>
        <w:tc>
          <w:tcPr>
            <w:tcW w:w="1060" w:type="dxa"/>
            <w:vAlign w:val="center"/>
          </w:tcPr>
          <w:p>
            <w:pPr>
              <w:jc w:val="center"/>
            </w:pPr>
            <w:r>
              <w:rPr>
                <w:rFonts w:hint="eastAsia"/>
              </w:rPr>
              <w:t>浑浊</w:t>
            </w:r>
          </w:p>
        </w:tc>
      </w:tr>
    </w:tbl>
    <w:p>
      <w:r>
        <w:rPr>
          <w:rFonts w:hint="eastAsia"/>
        </w:rPr>
        <w:t xml:space="preserve">    通过表2可以看出，一次氢溴酸除杂和两次氢溴酸除杂没有很大区别，高氯酸体系下加氢溴酸冒烟后再冒硫酸烟对砷、锑、锡的消除效果更好。不论酸溶或碱熔的溶样方式，待滴定溶液都是浑浊的。由于碱熔氢溴酸除杂的溶样方式较复杂，实验选择在高氯酸体系一次氢溴酸再冒硫酸烟消除杂质元素的干扰。</w:t>
      </w:r>
    </w:p>
    <w:p>
      <w:r>
        <w:rPr>
          <w:rFonts w:hint="eastAsia"/>
        </w:rPr>
        <w:t>2.1.3 过滤及回渣补正对铜测定的影响</w:t>
      </w:r>
    </w:p>
    <w:p>
      <w:pPr>
        <w:ind w:firstLine="420" w:firstLineChars="200"/>
      </w:pPr>
      <w:r>
        <w:rPr>
          <w:rFonts w:hint="eastAsia"/>
        </w:rPr>
        <w:t xml:space="preserve">对分银渣样品1#和2#，按照高氯酸体系下一次氢溴酸再冒硫酸烟除杂的方式溶解以后，分别采取了直接滴定和过滤-碱熔回渣补正（ICP-AES测定）的方式进行测定。过滤以后溶液呈清亮透明的，在调节完pH值（3~4）以后铋水解再次变浑浊，铜的测定结果如表3所示。结果表明，直接滴定和过滤碱熔回渣补正铜的测定结果基本一致。实验选择直接滴定测定铜量。    </w:t>
      </w:r>
    </w:p>
    <w:p>
      <w:pPr>
        <w:jc w:val="center"/>
      </w:pPr>
      <w:r>
        <w:rPr>
          <w:rFonts w:hint="eastAsia"/>
        </w:rPr>
        <w:t>表3 过滤及回渣补正对铜测定的影响</w:t>
      </w:r>
    </w:p>
    <w:tbl>
      <w:tblPr>
        <w:tblStyle w:val="10"/>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3452"/>
        <w:gridCol w:w="40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vAlign w:val="center"/>
          </w:tcPr>
          <w:p>
            <w:pPr>
              <w:jc w:val="center"/>
            </w:pPr>
            <w:r>
              <w:rPr>
                <w:rFonts w:hint="eastAsia"/>
              </w:rPr>
              <w:t>样品编号</w:t>
            </w:r>
          </w:p>
        </w:tc>
        <w:tc>
          <w:tcPr>
            <w:tcW w:w="3452" w:type="dxa"/>
            <w:vAlign w:val="center"/>
          </w:tcPr>
          <w:p>
            <w:pPr>
              <w:jc w:val="center"/>
            </w:pPr>
            <w:r>
              <w:rPr>
                <w:rFonts w:hint="eastAsia"/>
              </w:rPr>
              <w:t>直接滴定</w:t>
            </w:r>
          </w:p>
        </w:tc>
        <w:tc>
          <w:tcPr>
            <w:tcW w:w="4025" w:type="dxa"/>
            <w:vAlign w:val="center"/>
          </w:tcPr>
          <w:p>
            <w:pPr>
              <w:jc w:val="center"/>
            </w:pPr>
            <w:r>
              <w:rPr>
                <w:rFonts w:hint="eastAsia"/>
              </w:rPr>
              <w:t>过滤，碱熔做回渣补正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vAlign w:val="center"/>
          </w:tcPr>
          <w:p>
            <w:pPr>
              <w:jc w:val="center"/>
            </w:pPr>
            <w:r>
              <w:rPr>
                <w:rFonts w:hint="eastAsia"/>
              </w:rPr>
              <w:t>1#</w:t>
            </w:r>
          </w:p>
        </w:tc>
        <w:tc>
          <w:tcPr>
            <w:tcW w:w="3452" w:type="dxa"/>
            <w:vAlign w:val="center"/>
          </w:tcPr>
          <w:p>
            <w:pPr>
              <w:jc w:val="center"/>
            </w:pPr>
            <w:r>
              <w:rPr>
                <w:rFonts w:hint="eastAsia"/>
              </w:rPr>
              <w:t>6.28 6.31</w:t>
            </w:r>
          </w:p>
        </w:tc>
        <w:tc>
          <w:tcPr>
            <w:tcW w:w="4025" w:type="dxa"/>
            <w:vAlign w:val="center"/>
          </w:tcPr>
          <w:p>
            <w:pPr>
              <w:jc w:val="center"/>
            </w:pPr>
            <w:r>
              <w:rPr>
                <w:rFonts w:hint="eastAsia"/>
              </w:rPr>
              <w:t>6.41 6.27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vAlign w:val="center"/>
          </w:tcPr>
          <w:p>
            <w:pPr>
              <w:jc w:val="center"/>
            </w:pPr>
            <w:r>
              <w:rPr>
                <w:rFonts w:hint="eastAsia"/>
              </w:rPr>
              <w:t>2#</w:t>
            </w:r>
          </w:p>
        </w:tc>
        <w:tc>
          <w:tcPr>
            <w:tcW w:w="3452" w:type="dxa"/>
            <w:vAlign w:val="center"/>
          </w:tcPr>
          <w:p>
            <w:pPr>
              <w:jc w:val="center"/>
            </w:pPr>
            <w:r>
              <w:rPr>
                <w:rFonts w:hint="eastAsia"/>
              </w:rPr>
              <w:t>12.17 12.31</w:t>
            </w:r>
          </w:p>
        </w:tc>
        <w:tc>
          <w:tcPr>
            <w:tcW w:w="4025" w:type="dxa"/>
            <w:vAlign w:val="center"/>
          </w:tcPr>
          <w:p>
            <w:pPr>
              <w:jc w:val="center"/>
            </w:pPr>
            <w:r>
              <w:rPr>
                <w:rFonts w:hint="eastAsia"/>
              </w:rPr>
              <w:t>12.23 12.30</w:t>
            </w:r>
          </w:p>
        </w:tc>
      </w:tr>
    </w:tbl>
    <w:p>
      <w:pPr>
        <w:spacing w:line="360" w:lineRule="auto"/>
        <w:rPr>
          <w:rFonts w:eastAsia="黑体"/>
          <w:bCs/>
          <w:szCs w:val="21"/>
        </w:rPr>
      </w:pPr>
      <w:r>
        <w:rPr>
          <w:rFonts w:hint="eastAsia" w:eastAsia="黑体"/>
          <w:bCs/>
          <w:szCs w:val="21"/>
        </w:rPr>
        <w:t>2.2 干扰实验</w:t>
      </w:r>
    </w:p>
    <w:p>
      <w:r>
        <w:rPr>
          <w:rFonts w:hint="eastAsia"/>
        </w:rPr>
        <w:t>2.2.1单元素干扰实验</w:t>
      </w:r>
    </w:p>
    <w:p>
      <w:pPr>
        <w:ind w:firstLine="420" w:firstLineChars="200"/>
        <w:rPr>
          <w:color w:val="FF0000"/>
        </w:rPr>
      </w:pPr>
      <w:r>
        <w:rPr>
          <w:rFonts w:hint="eastAsia"/>
        </w:rPr>
        <w:t>分别移取10.00mL铜标准溶液（</w:t>
      </w:r>
      <w:r>
        <w:rPr>
          <w:rFonts w:hint="eastAsia" w:eastAsiaTheme="majorEastAsia"/>
          <w:bCs/>
          <w:color w:val="000000" w:themeColor="text1"/>
          <w:szCs w:val="21"/>
        </w:rPr>
        <w:t>1.1.14</w:t>
      </w:r>
      <w:r>
        <w:rPr>
          <w:rFonts w:hint="eastAsia"/>
        </w:rPr>
        <w:t>）5mL、10mL、15mL，按表4分别加入各种元素，按实验步骤进行测定。结果表明，单元素对铜的测定基本无影响。</w:t>
      </w:r>
    </w:p>
    <w:p>
      <w:pPr>
        <w:ind w:firstLine="420" w:firstLineChars="200"/>
        <w:jc w:val="center"/>
      </w:pPr>
      <w:r>
        <w:rPr>
          <w:rFonts w:hint="eastAsia"/>
        </w:rPr>
        <w:t>表4 单元素干扰实验</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31"/>
        <w:gridCol w:w="731"/>
        <w:gridCol w:w="731"/>
        <w:gridCol w:w="732"/>
        <w:gridCol w:w="731"/>
        <w:gridCol w:w="731"/>
        <w:gridCol w:w="731"/>
        <w:gridCol w:w="732"/>
        <w:gridCol w:w="731"/>
        <w:gridCol w:w="731"/>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42" w:type="dxa"/>
            <w:vAlign w:val="center"/>
          </w:tcPr>
          <w:p>
            <w:pPr>
              <w:jc w:val="center"/>
            </w:pPr>
            <w:r>
              <w:rPr>
                <w:rFonts w:hint="eastAsia"/>
              </w:rPr>
              <w:t>加入元素及含量/mg</w:t>
            </w:r>
          </w:p>
        </w:tc>
        <w:tc>
          <w:tcPr>
            <w:tcW w:w="731" w:type="dxa"/>
            <w:vAlign w:val="center"/>
          </w:tcPr>
          <w:p>
            <w:pPr>
              <w:jc w:val="center"/>
            </w:pPr>
            <w:r>
              <w:rPr>
                <w:rFonts w:hint="eastAsia"/>
              </w:rPr>
              <w:t>0</w:t>
            </w:r>
          </w:p>
        </w:tc>
        <w:tc>
          <w:tcPr>
            <w:tcW w:w="731" w:type="dxa"/>
            <w:vAlign w:val="center"/>
          </w:tcPr>
          <w:p>
            <w:pPr>
              <w:jc w:val="center"/>
            </w:pPr>
            <w:r>
              <w:rPr>
                <w:rFonts w:hint="eastAsia"/>
              </w:rPr>
              <w:t>Sb</w:t>
            </w:r>
          </w:p>
          <w:p>
            <w:pPr>
              <w:jc w:val="center"/>
            </w:pPr>
            <w:r>
              <w:rPr>
                <w:rFonts w:hint="eastAsia"/>
              </w:rPr>
              <w:t>100</w:t>
            </w:r>
          </w:p>
        </w:tc>
        <w:tc>
          <w:tcPr>
            <w:tcW w:w="731" w:type="dxa"/>
            <w:vAlign w:val="center"/>
          </w:tcPr>
          <w:p>
            <w:pPr>
              <w:jc w:val="center"/>
            </w:pPr>
            <w:r>
              <w:rPr>
                <w:rFonts w:hint="eastAsia"/>
              </w:rPr>
              <w:t>Sn60</w:t>
            </w:r>
          </w:p>
        </w:tc>
        <w:tc>
          <w:tcPr>
            <w:tcW w:w="732" w:type="dxa"/>
            <w:vAlign w:val="center"/>
          </w:tcPr>
          <w:p>
            <w:pPr>
              <w:jc w:val="center"/>
            </w:pPr>
            <w:r>
              <w:rPr>
                <w:rFonts w:hint="eastAsia"/>
              </w:rPr>
              <w:t>As15</w:t>
            </w:r>
          </w:p>
        </w:tc>
        <w:tc>
          <w:tcPr>
            <w:tcW w:w="731" w:type="dxa"/>
            <w:vAlign w:val="center"/>
          </w:tcPr>
          <w:p>
            <w:pPr>
              <w:jc w:val="center"/>
            </w:pPr>
            <w:r>
              <w:rPr>
                <w:rFonts w:hint="eastAsia"/>
              </w:rPr>
              <w:t>Ba45</w:t>
            </w:r>
          </w:p>
        </w:tc>
        <w:tc>
          <w:tcPr>
            <w:tcW w:w="731" w:type="dxa"/>
            <w:vAlign w:val="center"/>
          </w:tcPr>
          <w:p>
            <w:pPr>
              <w:jc w:val="center"/>
            </w:pPr>
            <w:r>
              <w:rPr>
                <w:rFonts w:hint="eastAsia"/>
              </w:rPr>
              <w:t>Bi60</w:t>
            </w:r>
          </w:p>
        </w:tc>
        <w:tc>
          <w:tcPr>
            <w:tcW w:w="731" w:type="dxa"/>
            <w:vAlign w:val="center"/>
          </w:tcPr>
          <w:p>
            <w:pPr>
              <w:jc w:val="center"/>
            </w:pPr>
            <w:r>
              <w:rPr>
                <w:rFonts w:hint="eastAsia"/>
              </w:rPr>
              <w:t xml:space="preserve"> </w:t>
            </w:r>
          </w:p>
          <w:p>
            <w:pPr>
              <w:jc w:val="center"/>
            </w:pPr>
            <w:r>
              <w:rPr>
                <w:rFonts w:hint="eastAsia"/>
              </w:rPr>
              <w:t>Pb</w:t>
            </w:r>
          </w:p>
          <w:p>
            <w:pPr>
              <w:jc w:val="center"/>
            </w:pPr>
            <w:r>
              <w:rPr>
                <w:rFonts w:hint="eastAsia"/>
              </w:rPr>
              <w:t>135</w:t>
            </w:r>
          </w:p>
          <w:p>
            <w:pPr>
              <w:jc w:val="center"/>
            </w:pPr>
          </w:p>
        </w:tc>
        <w:tc>
          <w:tcPr>
            <w:tcW w:w="732" w:type="dxa"/>
          </w:tcPr>
          <w:p>
            <w:pPr>
              <w:jc w:val="center"/>
            </w:pPr>
          </w:p>
          <w:p>
            <w:pPr>
              <w:jc w:val="center"/>
            </w:pPr>
            <w:r>
              <w:rPr>
                <w:rFonts w:hint="eastAsia"/>
              </w:rPr>
              <w:t>Ca10</w:t>
            </w:r>
          </w:p>
        </w:tc>
        <w:tc>
          <w:tcPr>
            <w:tcW w:w="731" w:type="dxa"/>
          </w:tcPr>
          <w:p>
            <w:pPr>
              <w:jc w:val="center"/>
            </w:pPr>
          </w:p>
          <w:p>
            <w:pPr>
              <w:jc w:val="center"/>
            </w:pPr>
            <w:r>
              <w:rPr>
                <w:rFonts w:hint="eastAsia"/>
              </w:rPr>
              <w:t>Ag6</w:t>
            </w:r>
          </w:p>
        </w:tc>
        <w:tc>
          <w:tcPr>
            <w:tcW w:w="731" w:type="dxa"/>
          </w:tcPr>
          <w:p>
            <w:pPr>
              <w:jc w:val="center"/>
            </w:pPr>
          </w:p>
          <w:p>
            <w:pPr>
              <w:jc w:val="center"/>
            </w:pPr>
            <w:r>
              <w:rPr>
                <w:rFonts w:hint="eastAsia"/>
              </w:rPr>
              <w:t>Se15</w:t>
            </w:r>
          </w:p>
        </w:tc>
        <w:tc>
          <w:tcPr>
            <w:tcW w:w="732" w:type="dxa"/>
          </w:tcPr>
          <w:p>
            <w:pPr>
              <w:jc w:val="center"/>
            </w:pPr>
          </w:p>
          <w:p>
            <w:pPr>
              <w:jc w:val="center"/>
            </w:pPr>
            <w:r>
              <w:rPr>
                <w:rFonts w:hint="eastAsia"/>
              </w:rPr>
              <w:t>Te15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jc w:val="center"/>
            </w:pPr>
            <w:r>
              <w:rPr>
                <w:rFonts w:hint="eastAsia"/>
              </w:rPr>
              <w:t>消耗硫代硫酸钠体积/mL</w:t>
            </w:r>
          </w:p>
        </w:tc>
        <w:tc>
          <w:tcPr>
            <w:tcW w:w="731" w:type="dxa"/>
            <w:vAlign w:val="center"/>
          </w:tcPr>
          <w:p>
            <w:pPr>
              <w:jc w:val="center"/>
            </w:pPr>
            <w:r>
              <w:rPr>
                <w:rFonts w:hint="eastAsia"/>
              </w:rPr>
              <w:t>13.00</w:t>
            </w:r>
          </w:p>
        </w:tc>
        <w:tc>
          <w:tcPr>
            <w:tcW w:w="731" w:type="dxa"/>
            <w:vAlign w:val="center"/>
          </w:tcPr>
          <w:p>
            <w:pPr>
              <w:jc w:val="center"/>
            </w:pPr>
            <w:r>
              <w:rPr>
                <w:rFonts w:hint="eastAsia"/>
              </w:rPr>
              <w:t>13.02</w:t>
            </w:r>
          </w:p>
        </w:tc>
        <w:tc>
          <w:tcPr>
            <w:tcW w:w="731" w:type="dxa"/>
            <w:vAlign w:val="center"/>
          </w:tcPr>
          <w:p>
            <w:pPr>
              <w:jc w:val="center"/>
            </w:pPr>
            <w:r>
              <w:rPr>
                <w:rFonts w:hint="eastAsia"/>
              </w:rPr>
              <w:t>13.00</w:t>
            </w:r>
          </w:p>
        </w:tc>
        <w:tc>
          <w:tcPr>
            <w:tcW w:w="732" w:type="dxa"/>
            <w:vAlign w:val="center"/>
          </w:tcPr>
          <w:p>
            <w:pPr>
              <w:jc w:val="center"/>
            </w:pPr>
            <w:r>
              <w:rPr>
                <w:rFonts w:hint="eastAsia"/>
              </w:rPr>
              <w:t>12.98</w:t>
            </w:r>
          </w:p>
        </w:tc>
        <w:tc>
          <w:tcPr>
            <w:tcW w:w="731" w:type="dxa"/>
            <w:vAlign w:val="center"/>
          </w:tcPr>
          <w:p>
            <w:pPr>
              <w:jc w:val="center"/>
            </w:pPr>
            <w:r>
              <w:rPr>
                <w:rFonts w:hint="eastAsia"/>
              </w:rPr>
              <w:t>13.00</w:t>
            </w:r>
          </w:p>
        </w:tc>
        <w:tc>
          <w:tcPr>
            <w:tcW w:w="731" w:type="dxa"/>
            <w:vAlign w:val="center"/>
          </w:tcPr>
          <w:p>
            <w:pPr>
              <w:jc w:val="center"/>
            </w:pPr>
            <w:r>
              <w:rPr>
                <w:rFonts w:hint="eastAsia"/>
              </w:rPr>
              <w:t>13.00</w:t>
            </w:r>
          </w:p>
        </w:tc>
        <w:tc>
          <w:tcPr>
            <w:tcW w:w="731" w:type="dxa"/>
            <w:vAlign w:val="center"/>
          </w:tcPr>
          <w:p>
            <w:pPr>
              <w:jc w:val="center"/>
            </w:pPr>
            <w:r>
              <w:rPr>
                <w:rFonts w:hint="eastAsia"/>
              </w:rPr>
              <w:t>13.00</w:t>
            </w:r>
          </w:p>
        </w:tc>
        <w:tc>
          <w:tcPr>
            <w:tcW w:w="732" w:type="dxa"/>
          </w:tcPr>
          <w:p>
            <w:pPr>
              <w:jc w:val="center"/>
            </w:pPr>
            <w:r>
              <w:rPr>
                <w:rFonts w:hint="eastAsia"/>
              </w:rPr>
              <w:t>12.98</w:t>
            </w:r>
          </w:p>
        </w:tc>
        <w:tc>
          <w:tcPr>
            <w:tcW w:w="731" w:type="dxa"/>
          </w:tcPr>
          <w:p>
            <w:pPr>
              <w:jc w:val="center"/>
            </w:pPr>
            <w:r>
              <w:rPr>
                <w:rFonts w:hint="eastAsia"/>
              </w:rPr>
              <w:t>13.02</w:t>
            </w:r>
          </w:p>
        </w:tc>
        <w:tc>
          <w:tcPr>
            <w:tcW w:w="731" w:type="dxa"/>
          </w:tcPr>
          <w:p>
            <w:pPr>
              <w:jc w:val="center"/>
            </w:pPr>
            <w:r>
              <w:rPr>
                <w:rFonts w:hint="eastAsia"/>
              </w:rPr>
              <w:t>12.98</w:t>
            </w:r>
          </w:p>
        </w:tc>
        <w:tc>
          <w:tcPr>
            <w:tcW w:w="732" w:type="dxa"/>
          </w:tcPr>
          <w:p>
            <w:pPr>
              <w:jc w:val="center"/>
            </w:pPr>
            <w:r>
              <w:rPr>
                <w:rFonts w:hint="eastAsia"/>
              </w:rPr>
              <w:t>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jc w:val="center"/>
            </w:pPr>
          </w:p>
        </w:tc>
        <w:tc>
          <w:tcPr>
            <w:tcW w:w="731" w:type="dxa"/>
            <w:vAlign w:val="center"/>
          </w:tcPr>
          <w:p>
            <w:pPr>
              <w:jc w:val="center"/>
            </w:pPr>
            <w:r>
              <w:rPr>
                <w:rFonts w:hint="eastAsia"/>
              </w:rPr>
              <w:t>26.00</w:t>
            </w:r>
          </w:p>
        </w:tc>
        <w:tc>
          <w:tcPr>
            <w:tcW w:w="731" w:type="dxa"/>
            <w:vAlign w:val="center"/>
          </w:tcPr>
          <w:p>
            <w:pPr>
              <w:jc w:val="center"/>
            </w:pPr>
            <w:r>
              <w:rPr>
                <w:rFonts w:hint="eastAsia"/>
              </w:rPr>
              <w:t>25.98</w:t>
            </w:r>
          </w:p>
        </w:tc>
        <w:tc>
          <w:tcPr>
            <w:tcW w:w="731" w:type="dxa"/>
            <w:vAlign w:val="center"/>
          </w:tcPr>
          <w:p>
            <w:pPr>
              <w:jc w:val="center"/>
            </w:pPr>
            <w:r>
              <w:rPr>
                <w:rFonts w:hint="eastAsia"/>
              </w:rPr>
              <w:t>26.02</w:t>
            </w:r>
          </w:p>
        </w:tc>
        <w:tc>
          <w:tcPr>
            <w:tcW w:w="732" w:type="dxa"/>
            <w:vAlign w:val="center"/>
          </w:tcPr>
          <w:p>
            <w:pPr>
              <w:jc w:val="center"/>
            </w:pPr>
            <w:r>
              <w:rPr>
                <w:rFonts w:hint="eastAsia"/>
              </w:rPr>
              <w:t>26.00</w:t>
            </w:r>
          </w:p>
        </w:tc>
        <w:tc>
          <w:tcPr>
            <w:tcW w:w="731" w:type="dxa"/>
            <w:vAlign w:val="center"/>
          </w:tcPr>
          <w:p>
            <w:pPr>
              <w:jc w:val="center"/>
            </w:pPr>
            <w:r>
              <w:rPr>
                <w:rFonts w:hint="eastAsia"/>
              </w:rPr>
              <w:t>26.00</w:t>
            </w:r>
          </w:p>
        </w:tc>
        <w:tc>
          <w:tcPr>
            <w:tcW w:w="731" w:type="dxa"/>
            <w:vAlign w:val="center"/>
          </w:tcPr>
          <w:p>
            <w:pPr>
              <w:jc w:val="center"/>
            </w:pPr>
            <w:r>
              <w:rPr>
                <w:rFonts w:hint="eastAsia"/>
              </w:rPr>
              <w:t>26.02</w:t>
            </w:r>
          </w:p>
        </w:tc>
        <w:tc>
          <w:tcPr>
            <w:tcW w:w="731" w:type="dxa"/>
            <w:vAlign w:val="center"/>
          </w:tcPr>
          <w:p>
            <w:pPr>
              <w:jc w:val="center"/>
            </w:pPr>
            <w:r>
              <w:rPr>
                <w:rFonts w:hint="eastAsia"/>
              </w:rPr>
              <w:t>25.98</w:t>
            </w:r>
          </w:p>
        </w:tc>
        <w:tc>
          <w:tcPr>
            <w:tcW w:w="732" w:type="dxa"/>
          </w:tcPr>
          <w:p>
            <w:pPr>
              <w:jc w:val="center"/>
            </w:pPr>
            <w:r>
              <w:rPr>
                <w:rFonts w:hint="eastAsia"/>
              </w:rPr>
              <w:t>26.00</w:t>
            </w:r>
          </w:p>
        </w:tc>
        <w:tc>
          <w:tcPr>
            <w:tcW w:w="731" w:type="dxa"/>
          </w:tcPr>
          <w:p>
            <w:pPr>
              <w:jc w:val="center"/>
            </w:pPr>
            <w:r>
              <w:rPr>
                <w:rFonts w:hint="eastAsia"/>
              </w:rPr>
              <w:t>25.98</w:t>
            </w:r>
          </w:p>
        </w:tc>
        <w:tc>
          <w:tcPr>
            <w:tcW w:w="731" w:type="dxa"/>
          </w:tcPr>
          <w:p>
            <w:pPr>
              <w:jc w:val="center"/>
            </w:pPr>
            <w:r>
              <w:rPr>
                <w:rFonts w:hint="eastAsia"/>
              </w:rPr>
              <w:t>25.98</w:t>
            </w:r>
          </w:p>
        </w:tc>
        <w:tc>
          <w:tcPr>
            <w:tcW w:w="732" w:type="dxa"/>
          </w:tcPr>
          <w:p>
            <w:pPr>
              <w:jc w:val="center"/>
            </w:pPr>
            <w:r>
              <w:rPr>
                <w:rFonts w:hint="eastAsia"/>
              </w:rPr>
              <w:t>26.01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jc w:val="center"/>
            </w:pPr>
          </w:p>
        </w:tc>
        <w:tc>
          <w:tcPr>
            <w:tcW w:w="731" w:type="dxa"/>
            <w:vAlign w:val="center"/>
          </w:tcPr>
          <w:p>
            <w:pPr>
              <w:jc w:val="center"/>
            </w:pPr>
            <w:r>
              <w:rPr>
                <w:rFonts w:hint="eastAsia"/>
              </w:rPr>
              <w:t>39.02</w:t>
            </w:r>
          </w:p>
        </w:tc>
        <w:tc>
          <w:tcPr>
            <w:tcW w:w="731" w:type="dxa"/>
            <w:vAlign w:val="center"/>
          </w:tcPr>
          <w:p>
            <w:pPr>
              <w:jc w:val="center"/>
            </w:pPr>
            <w:r>
              <w:rPr>
                <w:rFonts w:hint="eastAsia"/>
              </w:rPr>
              <w:t>39.00</w:t>
            </w:r>
          </w:p>
        </w:tc>
        <w:tc>
          <w:tcPr>
            <w:tcW w:w="731" w:type="dxa"/>
            <w:vAlign w:val="center"/>
          </w:tcPr>
          <w:p>
            <w:pPr>
              <w:jc w:val="center"/>
            </w:pPr>
            <w:r>
              <w:rPr>
                <w:rFonts w:hint="eastAsia"/>
              </w:rPr>
              <w:t>39.02</w:t>
            </w:r>
          </w:p>
        </w:tc>
        <w:tc>
          <w:tcPr>
            <w:tcW w:w="732" w:type="dxa"/>
            <w:vAlign w:val="center"/>
          </w:tcPr>
          <w:p>
            <w:pPr>
              <w:jc w:val="center"/>
            </w:pPr>
            <w:r>
              <w:rPr>
                <w:rFonts w:hint="eastAsia"/>
              </w:rPr>
              <w:t>38.98</w:t>
            </w:r>
          </w:p>
        </w:tc>
        <w:tc>
          <w:tcPr>
            <w:tcW w:w="731" w:type="dxa"/>
            <w:vAlign w:val="center"/>
          </w:tcPr>
          <w:p>
            <w:pPr>
              <w:jc w:val="center"/>
            </w:pPr>
            <w:r>
              <w:rPr>
                <w:rFonts w:hint="eastAsia"/>
              </w:rPr>
              <w:t>38.98</w:t>
            </w:r>
          </w:p>
        </w:tc>
        <w:tc>
          <w:tcPr>
            <w:tcW w:w="731" w:type="dxa"/>
            <w:vAlign w:val="center"/>
          </w:tcPr>
          <w:p>
            <w:pPr>
              <w:jc w:val="center"/>
            </w:pPr>
            <w:r>
              <w:rPr>
                <w:rFonts w:hint="eastAsia"/>
              </w:rPr>
              <w:t>39.00</w:t>
            </w:r>
          </w:p>
        </w:tc>
        <w:tc>
          <w:tcPr>
            <w:tcW w:w="731" w:type="dxa"/>
            <w:vAlign w:val="center"/>
          </w:tcPr>
          <w:p>
            <w:pPr>
              <w:jc w:val="center"/>
            </w:pPr>
            <w:r>
              <w:rPr>
                <w:rFonts w:hint="eastAsia"/>
              </w:rPr>
              <w:t>39.02</w:t>
            </w:r>
          </w:p>
        </w:tc>
        <w:tc>
          <w:tcPr>
            <w:tcW w:w="732" w:type="dxa"/>
          </w:tcPr>
          <w:p>
            <w:pPr>
              <w:jc w:val="center"/>
            </w:pPr>
            <w:r>
              <w:rPr>
                <w:rFonts w:hint="eastAsia"/>
              </w:rPr>
              <w:t>38.95</w:t>
            </w:r>
          </w:p>
        </w:tc>
        <w:tc>
          <w:tcPr>
            <w:tcW w:w="731" w:type="dxa"/>
          </w:tcPr>
          <w:p>
            <w:pPr>
              <w:jc w:val="center"/>
            </w:pPr>
            <w:r>
              <w:rPr>
                <w:rFonts w:hint="eastAsia"/>
              </w:rPr>
              <w:t>39.00</w:t>
            </w:r>
          </w:p>
        </w:tc>
        <w:tc>
          <w:tcPr>
            <w:tcW w:w="731" w:type="dxa"/>
          </w:tcPr>
          <w:p>
            <w:pPr>
              <w:jc w:val="center"/>
            </w:pPr>
            <w:r>
              <w:rPr>
                <w:rFonts w:hint="eastAsia"/>
              </w:rPr>
              <w:t>39.03</w:t>
            </w:r>
          </w:p>
        </w:tc>
        <w:tc>
          <w:tcPr>
            <w:tcW w:w="732" w:type="dxa"/>
          </w:tcPr>
          <w:p>
            <w:pPr>
              <w:jc w:val="center"/>
            </w:pPr>
            <w:r>
              <w:rPr>
                <w:rFonts w:hint="eastAsia"/>
              </w:rPr>
              <w:t>39.02</w:t>
            </w:r>
          </w:p>
        </w:tc>
      </w:tr>
    </w:tbl>
    <w:p>
      <w:r>
        <w:rPr>
          <w:rFonts w:hint="eastAsia"/>
        </w:rPr>
        <w:t>2.2.2 混合元素干扰实验</w:t>
      </w:r>
    </w:p>
    <w:p>
      <w:pPr>
        <w:ind w:firstLine="420" w:firstLineChars="200"/>
      </w:pPr>
      <w:r>
        <w:rPr>
          <w:rFonts w:hint="eastAsia"/>
        </w:rPr>
        <w:t>移取10.00mL铜标准溶液（</w:t>
      </w:r>
      <w:r>
        <w:rPr>
          <w:rFonts w:hint="eastAsia" w:eastAsiaTheme="majorEastAsia"/>
          <w:bCs/>
          <w:color w:val="000000" w:themeColor="text1"/>
          <w:szCs w:val="21"/>
        </w:rPr>
        <w:t>1.1.14</w:t>
      </w:r>
      <w:r>
        <w:rPr>
          <w:rFonts w:hint="eastAsia"/>
        </w:rPr>
        <w:t>）5mL、10mL、15mL，按表5加入各种元素，按实验步骤进行测定。结果表明，混合元素对铜的测定基本无影响。</w:t>
      </w:r>
    </w:p>
    <w:p>
      <w:pPr>
        <w:jc w:val="center"/>
      </w:pPr>
      <w:r>
        <w:rPr>
          <w:rFonts w:hint="eastAsia"/>
        </w:rPr>
        <w:t>表5 混合元素干扰实验</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2617"/>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5" w:type="dxa"/>
            <w:vAlign w:val="center"/>
          </w:tcPr>
          <w:p>
            <w:pPr>
              <w:jc w:val="center"/>
            </w:pPr>
            <w:r>
              <w:rPr>
                <w:rFonts w:hint="eastAsia"/>
              </w:rPr>
              <w:t>加入元素/mg</w:t>
            </w:r>
          </w:p>
        </w:tc>
        <w:tc>
          <w:tcPr>
            <w:tcW w:w="2617" w:type="dxa"/>
            <w:vAlign w:val="center"/>
          </w:tcPr>
          <w:p>
            <w:pPr>
              <w:jc w:val="center"/>
            </w:pPr>
            <w:r>
              <w:rPr>
                <w:rFonts w:hint="eastAsia"/>
              </w:rPr>
              <w:t>0</w:t>
            </w:r>
          </w:p>
        </w:tc>
        <w:tc>
          <w:tcPr>
            <w:tcW w:w="3574" w:type="dxa"/>
            <w:vAlign w:val="center"/>
          </w:tcPr>
          <w:p>
            <w:pPr>
              <w:jc w:val="center"/>
            </w:pPr>
            <w:r>
              <w:rPr>
                <w:rFonts w:hint="eastAsia"/>
              </w:rPr>
              <w:t>Sb100 Sn60 As15 Ba45 Bi60 Pb135</w:t>
            </w:r>
            <w:r>
              <w:t xml:space="preserve"> </w:t>
            </w:r>
          </w:p>
          <w:p>
            <w:pPr>
              <w:jc w:val="center"/>
            </w:pPr>
            <w:r>
              <w:t>Pb135</w:t>
            </w:r>
            <w:r>
              <w:rPr>
                <w:rFonts w:hint="eastAsia"/>
              </w:rPr>
              <w:t xml:space="preserve"> </w:t>
            </w:r>
            <w:r>
              <w:t>Ca10</w:t>
            </w:r>
            <w:r>
              <w:rPr>
                <w:rFonts w:hint="eastAsia"/>
              </w:rPr>
              <w:t xml:space="preserve"> </w:t>
            </w:r>
            <w:r>
              <w:t>Ag6</w:t>
            </w:r>
            <w:r>
              <w:rPr>
                <w:rFonts w:hint="eastAsia"/>
              </w:rPr>
              <w:t xml:space="preserve"> </w:t>
            </w:r>
            <w:r>
              <w:t>Se</w:t>
            </w:r>
            <w:r>
              <w:rPr>
                <w:rFonts w:hint="eastAsia"/>
              </w:rPr>
              <w:t xml:space="preserve">15 </w:t>
            </w:r>
            <w:r>
              <w:t>Te</w:t>
            </w: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5" w:type="dxa"/>
            <w:vMerge w:val="restart"/>
            <w:vAlign w:val="center"/>
          </w:tcPr>
          <w:p>
            <w:pPr>
              <w:jc w:val="center"/>
            </w:pPr>
            <w:r>
              <w:rPr>
                <w:rFonts w:hint="eastAsia"/>
              </w:rPr>
              <w:t>消耗硫代硫酸钠体积/mL</w:t>
            </w:r>
          </w:p>
        </w:tc>
        <w:tc>
          <w:tcPr>
            <w:tcW w:w="2617" w:type="dxa"/>
            <w:vAlign w:val="center"/>
          </w:tcPr>
          <w:p>
            <w:pPr>
              <w:jc w:val="center"/>
            </w:pPr>
            <w:r>
              <w:rPr>
                <w:rFonts w:hint="eastAsia"/>
              </w:rPr>
              <w:t>13.00  12.98</w:t>
            </w:r>
          </w:p>
        </w:tc>
        <w:tc>
          <w:tcPr>
            <w:tcW w:w="3574" w:type="dxa"/>
            <w:vAlign w:val="center"/>
          </w:tcPr>
          <w:p>
            <w:pPr>
              <w:jc w:val="center"/>
            </w:pPr>
            <w:r>
              <w:rPr>
                <w:rFonts w:hint="eastAsia"/>
              </w:rPr>
              <w:t>12.98  12.95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5" w:type="dxa"/>
            <w:vMerge w:val="continue"/>
            <w:vAlign w:val="center"/>
          </w:tcPr>
          <w:p>
            <w:pPr>
              <w:jc w:val="center"/>
            </w:pPr>
          </w:p>
        </w:tc>
        <w:tc>
          <w:tcPr>
            <w:tcW w:w="2617" w:type="dxa"/>
            <w:vAlign w:val="center"/>
          </w:tcPr>
          <w:p>
            <w:pPr>
              <w:jc w:val="center"/>
            </w:pPr>
            <w:r>
              <w:rPr>
                <w:rFonts w:hint="eastAsia"/>
              </w:rPr>
              <w:t>25.98  26.00</w:t>
            </w:r>
          </w:p>
        </w:tc>
        <w:tc>
          <w:tcPr>
            <w:tcW w:w="3574" w:type="dxa"/>
            <w:vAlign w:val="center"/>
          </w:tcPr>
          <w:p>
            <w:pPr>
              <w:jc w:val="center"/>
            </w:pPr>
            <w:r>
              <w:rPr>
                <w:rFonts w:hint="eastAsia"/>
              </w:rPr>
              <w:t>25.95  25.98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5" w:type="dxa"/>
            <w:vMerge w:val="continue"/>
            <w:vAlign w:val="center"/>
          </w:tcPr>
          <w:p>
            <w:pPr>
              <w:jc w:val="center"/>
            </w:pPr>
          </w:p>
        </w:tc>
        <w:tc>
          <w:tcPr>
            <w:tcW w:w="2617" w:type="dxa"/>
            <w:vAlign w:val="center"/>
          </w:tcPr>
          <w:p>
            <w:pPr>
              <w:jc w:val="center"/>
            </w:pPr>
            <w:r>
              <w:rPr>
                <w:rFonts w:hint="eastAsia"/>
              </w:rPr>
              <w:t>39.00  39.02</w:t>
            </w:r>
          </w:p>
        </w:tc>
        <w:tc>
          <w:tcPr>
            <w:tcW w:w="3574" w:type="dxa"/>
            <w:vAlign w:val="center"/>
          </w:tcPr>
          <w:p>
            <w:pPr>
              <w:jc w:val="center"/>
            </w:pPr>
            <w:r>
              <w:rPr>
                <w:rFonts w:hint="eastAsia"/>
              </w:rPr>
              <w:t>38.96  39.02</w:t>
            </w:r>
          </w:p>
        </w:tc>
      </w:tr>
    </w:tbl>
    <w:p>
      <w:pPr>
        <w:spacing w:line="360" w:lineRule="auto"/>
        <w:rPr>
          <w:rFonts w:eastAsia="黑体"/>
          <w:bCs/>
          <w:color w:val="000000"/>
          <w:szCs w:val="21"/>
        </w:rPr>
      </w:pPr>
      <w:r>
        <w:rPr>
          <w:rFonts w:hint="eastAsia" w:eastAsia="黑体"/>
          <w:bCs/>
          <w:color w:val="000000"/>
          <w:szCs w:val="21"/>
        </w:rPr>
        <w:t>2.3 滴定条件的选择</w:t>
      </w:r>
    </w:p>
    <w:p>
      <w:r>
        <w:rPr>
          <w:rFonts w:hint="eastAsia"/>
        </w:rPr>
        <w:t>2.3.1 冰乙酸加入量对铜测定的影响</w:t>
      </w:r>
    </w:p>
    <w:p>
      <w:pPr>
        <w:ind w:firstLine="420" w:firstLineChars="200"/>
        <w:rPr>
          <w:color w:val="FF0000"/>
        </w:rPr>
      </w:pPr>
      <w:r>
        <w:rPr>
          <w:rFonts w:hint="eastAsia"/>
        </w:rPr>
        <w:t>移取10.00mL铜标准溶液（</w:t>
      </w:r>
      <w:r>
        <w:rPr>
          <w:rFonts w:hint="eastAsia" w:eastAsiaTheme="majorEastAsia"/>
          <w:bCs/>
          <w:szCs w:val="21"/>
        </w:rPr>
        <w:t>1.1.14</w:t>
      </w:r>
      <w:r>
        <w:rPr>
          <w:rFonts w:hint="eastAsia"/>
        </w:rPr>
        <w:t>），加入Ba45mg、Bi50mg、Pb135mg，再加</w:t>
      </w:r>
      <w:r>
        <w:rPr>
          <w:szCs w:val="21"/>
        </w:rPr>
        <w:t>1mL三氯化铁溶液（</w:t>
      </w:r>
      <w:r>
        <w:rPr>
          <w:rFonts w:hint="eastAsia" w:eastAsiaTheme="majorEastAsia"/>
          <w:bCs/>
          <w:color w:val="000000" w:themeColor="text1"/>
          <w:szCs w:val="21"/>
        </w:rPr>
        <w:t>1.1</w:t>
      </w:r>
      <w:r>
        <w:rPr>
          <w:szCs w:val="21"/>
        </w:rPr>
        <w:t>.1</w:t>
      </w:r>
      <w:r>
        <w:rPr>
          <w:rFonts w:hint="eastAsia"/>
          <w:szCs w:val="21"/>
        </w:rPr>
        <w:t>8</w:t>
      </w:r>
      <w:r>
        <w:rPr>
          <w:szCs w:val="21"/>
        </w:rPr>
        <w:t>）</w:t>
      </w:r>
      <w:r>
        <w:rPr>
          <w:rFonts w:hint="eastAsia"/>
          <w:szCs w:val="21"/>
        </w:rPr>
        <w:t>，</w:t>
      </w:r>
      <w:r>
        <w:rPr>
          <w:rFonts w:hint="eastAsia"/>
        </w:rPr>
        <w:t>按照实验步骤进行测定，滴定前加入不同量的冰乙酸，结果见表6。实验表明冰乙酸的加入量在1mL~5mL对铜的测定基本无影响。为保证和氟化氢铵加入量形成较稳定的缓冲体系，实验选择冰乙酸的加入量为3mL。</w:t>
      </w:r>
    </w:p>
    <w:p>
      <w:pPr>
        <w:jc w:val="center"/>
      </w:pPr>
      <w:r>
        <w:rPr>
          <w:rFonts w:hint="eastAsia"/>
        </w:rPr>
        <w:t>表6 冰乙酸加入量对铜测定的影响</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4"/>
        <w:gridCol w:w="1300"/>
        <w:gridCol w:w="1300"/>
        <w:gridCol w:w="1300"/>
        <w:gridCol w:w="130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4" w:type="dxa"/>
            <w:vAlign w:val="center"/>
          </w:tcPr>
          <w:p>
            <w:pPr>
              <w:jc w:val="center"/>
            </w:pPr>
            <w:r>
              <w:rPr>
                <w:rFonts w:hint="eastAsia"/>
              </w:rPr>
              <w:t>冰乙酸加入量/mL</w:t>
            </w:r>
          </w:p>
        </w:tc>
        <w:tc>
          <w:tcPr>
            <w:tcW w:w="1300" w:type="dxa"/>
            <w:vAlign w:val="center"/>
          </w:tcPr>
          <w:p>
            <w:pPr>
              <w:jc w:val="center"/>
            </w:pPr>
            <w:r>
              <w:rPr>
                <w:rFonts w:hint="eastAsia"/>
              </w:rPr>
              <w:t>1</w:t>
            </w:r>
          </w:p>
        </w:tc>
        <w:tc>
          <w:tcPr>
            <w:tcW w:w="1300" w:type="dxa"/>
            <w:vAlign w:val="center"/>
          </w:tcPr>
          <w:p>
            <w:pPr>
              <w:jc w:val="center"/>
            </w:pPr>
            <w:r>
              <w:rPr>
                <w:rFonts w:hint="eastAsia"/>
              </w:rPr>
              <w:t>2</w:t>
            </w:r>
          </w:p>
        </w:tc>
        <w:tc>
          <w:tcPr>
            <w:tcW w:w="1300" w:type="dxa"/>
            <w:vAlign w:val="center"/>
          </w:tcPr>
          <w:p>
            <w:pPr>
              <w:jc w:val="center"/>
            </w:pPr>
            <w:r>
              <w:rPr>
                <w:rFonts w:hint="eastAsia"/>
              </w:rPr>
              <w:t>3</w:t>
            </w:r>
          </w:p>
        </w:tc>
        <w:tc>
          <w:tcPr>
            <w:tcW w:w="1300" w:type="dxa"/>
            <w:vAlign w:val="center"/>
          </w:tcPr>
          <w:p>
            <w:pPr>
              <w:jc w:val="center"/>
            </w:pPr>
            <w:r>
              <w:rPr>
                <w:rFonts w:hint="eastAsia"/>
              </w:rPr>
              <w:t>4</w:t>
            </w:r>
          </w:p>
        </w:tc>
        <w:tc>
          <w:tcPr>
            <w:tcW w:w="1302"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4" w:type="dxa"/>
            <w:vAlign w:val="center"/>
          </w:tcPr>
          <w:p>
            <w:pPr>
              <w:jc w:val="center"/>
            </w:pPr>
            <w:r>
              <w:rPr>
                <w:rFonts w:hint="eastAsia"/>
              </w:rPr>
              <w:t>消耗硫代硫酸钠体积/mL</w:t>
            </w:r>
          </w:p>
        </w:tc>
        <w:tc>
          <w:tcPr>
            <w:tcW w:w="1300" w:type="dxa"/>
            <w:vAlign w:val="center"/>
          </w:tcPr>
          <w:p>
            <w:pPr>
              <w:jc w:val="center"/>
            </w:pPr>
            <w:r>
              <w:rPr>
                <w:rFonts w:hint="eastAsia"/>
              </w:rPr>
              <w:t>26.00</w:t>
            </w:r>
          </w:p>
        </w:tc>
        <w:tc>
          <w:tcPr>
            <w:tcW w:w="1300" w:type="dxa"/>
            <w:vAlign w:val="center"/>
          </w:tcPr>
          <w:p>
            <w:pPr>
              <w:jc w:val="center"/>
            </w:pPr>
            <w:r>
              <w:rPr>
                <w:rFonts w:hint="eastAsia"/>
              </w:rPr>
              <w:t>26.00</w:t>
            </w:r>
          </w:p>
        </w:tc>
        <w:tc>
          <w:tcPr>
            <w:tcW w:w="1300" w:type="dxa"/>
            <w:vAlign w:val="center"/>
          </w:tcPr>
          <w:p>
            <w:pPr>
              <w:jc w:val="center"/>
            </w:pPr>
            <w:r>
              <w:rPr>
                <w:rFonts w:hint="eastAsia"/>
              </w:rPr>
              <w:t>26.00</w:t>
            </w:r>
          </w:p>
        </w:tc>
        <w:tc>
          <w:tcPr>
            <w:tcW w:w="1300" w:type="dxa"/>
            <w:vAlign w:val="center"/>
          </w:tcPr>
          <w:p>
            <w:pPr>
              <w:jc w:val="center"/>
            </w:pPr>
            <w:r>
              <w:rPr>
                <w:rFonts w:hint="eastAsia"/>
              </w:rPr>
              <w:t>26.00</w:t>
            </w:r>
          </w:p>
        </w:tc>
        <w:tc>
          <w:tcPr>
            <w:tcW w:w="1302" w:type="dxa"/>
            <w:vAlign w:val="center"/>
          </w:tcPr>
          <w:p>
            <w:pPr>
              <w:jc w:val="center"/>
            </w:pPr>
            <w:r>
              <w:rPr>
                <w:rFonts w:hint="eastAsia"/>
              </w:rPr>
              <w:t>26.00</w:t>
            </w:r>
          </w:p>
        </w:tc>
      </w:tr>
    </w:tbl>
    <w:p>
      <w:r>
        <w:rPr>
          <w:rFonts w:hint="eastAsia"/>
        </w:rPr>
        <w:t>2.3.2 饱和氟化氢铵加入量对铜测定的影响</w:t>
      </w:r>
    </w:p>
    <w:p>
      <w:pPr>
        <w:ind w:firstLine="420" w:firstLineChars="200"/>
      </w:pPr>
      <w:r>
        <w:rPr>
          <w:rFonts w:hint="eastAsia"/>
        </w:rPr>
        <w:t>移取10.00mL铜标准溶液（</w:t>
      </w:r>
      <w:r>
        <w:rPr>
          <w:rFonts w:hint="eastAsia" w:eastAsiaTheme="majorEastAsia"/>
          <w:bCs/>
          <w:color w:val="000000" w:themeColor="text1"/>
          <w:szCs w:val="21"/>
        </w:rPr>
        <w:t>1.1.14</w:t>
      </w:r>
      <w:r>
        <w:rPr>
          <w:rFonts w:hint="eastAsia"/>
        </w:rPr>
        <w:t>），加入Ba45mg、Bi50mg、Pb135mg，再加</w:t>
      </w:r>
      <w:r>
        <w:rPr>
          <w:szCs w:val="21"/>
        </w:rPr>
        <w:t>1mL三氯化铁溶液（</w:t>
      </w:r>
      <w:r>
        <w:rPr>
          <w:rFonts w:hint="eastAsia" w:eastAsiaTheme="majorEastAsia"/>
          <w:bCs/>
          <w:color w:val="000000" w:themeColor="text1"/>
          <w:szCs w:val="21"/>
        </w:rPr>
        <w:t>1.1</w:t>
      </w:r>
      <w:r>
        <w:rPr>
          <w:szCs w:val="21"/>
        </w:rPr>
        <w:t>.1</w:t>
      </w:r>
      <w:r>
        <w:rPr>
          <w:rFonts w:hint="eastAsia"/>
          <w:szCs w:val="21"/>
        </w:rPr>
        <w:t>8</w:t>
      </w:r>
      <w:r>
        <w:rPr>
          <w:szCs w:val="21"/>
        </w:rPr>
        <w:t>）</w:t>
      </w:r>
      <w:r>
        <w:rPr>
          <w:rFonts w:hint="eastAsia"/>
          <w:szCs w:val="21"/>
        </w:rPr>
        <w:t>，</w:t>
      </w:r>
      <w:r>
        <w:rPr>
          <w:rFonts w:hint="eastAsia"/>
        </w:rPr>
        <w:t>按照实验步骤进行测定，加入3mL冰乙酸后，加入饱和氟化氢铵溶液刚好使红棕色消失，过量不同的饱和氟化氢铵的体积，结果见表7。实验表明饱和氟化氢铵在</w:t>
      </w:r>
      <w:r>
        <w:rPr>
          <w:szCs w:val="21"/>
        </w:rPr>
        <w:t>红棕色消失并</w:t>
      </w:r>
      <w:r>
        <w:rPr>
          <w:rFonts w:hint="eastAsia"/>
          <w:szCs w:val="21"/>
        </w:rPr>
        <w:t>过量1.0mL~2.0mL，对铜的测定基本无影响。为减少氟化氢铵对烧杯的腐蚀，实验选择饱和氟化氢铵的体积为红棕色消失并过量1mL。</w:t>
      </w:r>
    </w:p>
    <w:p>
      <w:pPr>
        <w:ind w:firstLine="420" w:firstLineChars="200"/>
        <w:jc w:val="center"/>
      </w:pPr>
      <w:r>
        <w:rPr>
          <w:rFonts w:hint="eastAsia"/>
        </w:rPr>
        <w:t>表7 饱和氟化氢铵加入量对铜测定的影响</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4"/>
        <w:gridCol w:w="1430"/>
        <w:gridCol w:w="1145"/>
        <w:gridCol w:w="1145"/>
        <w:gridCol w:w="1146"/>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4" w:type="dxa"/>
            <w:vAlign w:val="center"/>
          </w:tcPr>
          <w:p>
            <w:pPr>
              <w:jc w:val="center"/>
            </w:pPr>
            <w:r>
              <w:rPr>
                <w:rFonts w:hint="eastAsia"/>
              </w:rPr>
              <w:t>饱和氟化氢铵过量的体积/mL</w:t>
            </w:r>
          </w:p>
        </w:tc>
        <w:tc>
          <w:tcPr>
            <w:tcW w:w="1430" w:type="dxa"/>
            <w:vAlign w:val="center"/>
          </w:tcPr>
          <w:p>
            <w:pPr>
              <w:jc w:val="center"/>
            </w:pPr>
            <w:r>
              <w:rPr>
                <w:rFonts w:hint="eastAsia"/>
              </w:rPr>
              <w:t>0</w:t>
            </w:r>
          </w:p>
        </w:tc>
        <w:tc>
          <w:tcPr>
            <w:tcW w:w="1145" w:type="dxa"/>
            <w:vAlign w:val="center"/>
          </w:tcPr>
          <w:p>
            <w:pPr>
              <w:jc w:val="center"/>
            </w:pPr>
            <w:r>
              <w:rPr>
                <w:rFonts w:hint="eastAsia"/>
              </w:rPr>
              <w:t>0.5</w:t>
            </w:r>
          </w:p>
        </w:tc>
        <w:tc>
          <w:tcPr>
            <w:tcW w:w="1145" w:type="dxa"/>
            <w:vAlign w:val="center"/>
          </w:tcPr>
          <w:p>
            <w:pPr>
              <w:jc w:val="center"/>
            </w:pPr>
            <w:r>
              <w:rPr>
                <w:rFonts w:hint="eastAsia"/>
              </w:rPr>
              <w:t>1.0</w:t>
            </w:r>
          </w:p>
        </w:tc>
        <w:tc>
          <w:tcPr>
            <w:tcW w:w="1146" w:type="dxa"/>
            <w:vAlign w:val="center"/>
          </w:tcPr>
          <w:p>
            <w:pPr>
              <w:jc w:val="center"/>
            </w:pPr>
            <w:r>
              <w:rPr>
                <w:rFonts w:hint="eastAsia"/>
              </w:rPr>
              <w:t>1.5</w:t>
            </w:r>
          </w:p>
        </w:tc>
        <w:tc>
          <w:tcPr>
            <w:tcW w:w="1146" w:type="dxa"/>
            <w:vAlign w:val="center"/>
          </w:tcPr>
          <w:p>
            <w:pPr>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4" w:type="dxa"/>
            <w:vAlign w:val="center"/>
          </w:tcPr>
          <w:p>
            <w:pPr>
              <w:jc w:val="center"/>
            </w:pPr>
            <w:r>
              <w:rPr>
                <w:rFonts w:hint="eastAsia"/>
              </w:rPr>
              <w:t>消耗硫代硫酸钠的体积/mL</w:t>
            </w:r>
          </w:p>
        </w:tc>
        <w:tc>
          <w:tcPr>
            <w:tcW w:w="1430" w:type="dxa"/>
            <w:vAlign w:val="center"/>
          </w:tcPr>
          <w:p>
            <w:pPr>
              <w:jc w:val="center"/>
            </w:pPr>
            <w:r>
              <w:rPr>
                <w:rFonts w:hint="eastAsia"/>
              </w:rPr>
              <w:t>无滴定终点</w:t>
            </w:r>
          </w:p>
        </w:tc>
        <w:tc>
          <w:tcPr>
            <w:tcW w:w="1145" w:type="dxa"/>
            <w:vAlign w:val="center"/>
          </w:tcPr>
          <w:p>
            <w:pPr>
              <w:jc w:val="center"/>
            </w:pPr>
            <w:r>
              <w:rPr>
                <w:rFonts w:hint="eastAsia"/>
              </w:rPr>
              <w:t>26.05</w:t>
            </w:r>
          </w:p>
        </w:tc>
        <w:tc>
          <w:tcPr>
            <w:tcW w:w="1145" w:type="dxa"/>
            <w:vAlign w:val="center"/>
          </w:tcPr>
          <w:p>
            <w:pPr>
              <w:jc w:val="center"/>
            </w:pPr>
            <w:r>
              <w:rPr>
                <w:rFonts w:hint="eastAsia"/>
              </w:rPr>
              <w:t>26.00</w:t>
            </w:r>
          </w:p>
        </w:tc>
        <w:tc>
          <w:tcPr>
            <w:tcW w:w="1146" w:type="dxa"/>
            <w:vAlign w:val="center"/>
          </w:tcPr>
          <w:p>
            <w:pPr>
              <w:jc w:val="center"/>
            </w:pPr>
            <w:r>
              <w:rPr>
                <w:rFonts w:hint="eastAsia"/>
              </w:rPr>
              <w:t>26.00</w:t>
            </w:r>
          </w:p>
        </w:tc>
        <w:tc>
          <w:tcPr>
            <w:tcW w:w="1146" w:type="dxa"/>
            <w:vAlign w:val="center"/>
          </w:tcPr>
          <w:p>
            <w:pPr>
              <w:jc w:val="center"/>
            </w:pPr>
            <w:r>
              <w:rPr>
                <w:rFonts w:hint="eastAsia"/>
              </w:rPr>
              <w:t>26.00</w:t>
            </w:r>
          </w:p>
        </w:tc>
      </w:tr>
    </w:tbl>
    <w:p>
      <w:pPr>
        <w:spacing w:line="360" w:lineRule="auto"/>
        <w:rPr>
          <w:rFonts w:eastAsia="黑体"/>
          <w:bCs/>
          <w:color w:val="000000"/>
          <w:szCs w:val="21"/>
        </w:rPr>
      </w:pPr>
      <w:r>
        <w:rPr>
          <w:rFonts w:hint="eastAsia" w:eastAsia="黑体"/>
          <w:bCs/>
          <w:color w:val="000000"/>
          <w:szCs w:val="21"/>
        </w:rPr>
        <w:t>2.4 精密度实验</w:t>
      </w:r>
    </w:p>
    <w:p>
      <w:pPr>
        <w:ind w:firstLine="420" w:firstLineChars="200"/>
        <w:rPr>
          <w:spacing w:val="6"/>
        </w:rPr>
      </w:pPr>
      <w:r>
        <w:rPr>
          <w:szCs w:val="21"/>
        </w:rPr>
        <w:t>分别对不同</w:t>
      </w:r>
      <w:r>
        <w:rPr>
          <w:rFonts w:hint="eastAsia"/>
          <w:szCs w:val="21"/>
        </w:rPr>
        <w:t>铜</w:t>
      </w:r>
      <w:r>
        <w:rPr>
          <w:szCs w:val="21"/>
        </w:rPr>
        <w:t>量的</w:t>
      </w:r>
      <w:r>
        <w:rPr>
          <w:rFonts w:hint="eastAsia"/>
          <w:szCs w:val="21"/>
        </w:rPr>
        <w:t>分银渣</w:t>
      </w:r>
      <w:r>
        <w:rPr>
          <w:szCs w:val="21"/>
        </w:rPr>
        <w:t>样品进行了11次独立实验</w:t>
      </w:r>
      <w:r>
        <w:rPr>
          <w:spacing w:val="6"/>
        </w:rPr>
        <w:t>，结果见表</w:t>
      </w:r>
      <w:r>
        <w:rPr>
          <w:rFonts w:hint="eastAsia"/>
          <w:spacing w:val="6"/>
        </w:rPr>
        <w:t>8</w:t>
      </w:r>
      <w:r>
        <w:rPr>
          <w:spacing w:val="6"/>
        </w:rPr>
        <w:t>。</w:t>
      </w:r>
    </w:p>
    <w:p>
      <w:pPr>
        <w:jc w:val="center"/>
        <w:rPr>
          <w:spacing w:val="6"/>
        </w:rPr>
      </w:pPr>
      <w:r>
        <w:rPr>
          <w:rFonts w:hint="eastAsia"/>
          <w:spacing w:val="6"/>
        </w:rPr>
        <w:t>表8 精密度实验</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548"/>
        <w:gridCol w:w="1547"/>
        <w:gridCol w:w="1547"/>
        <w:gridCol w:w="1549"/>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jc w:val="center"/>
            </w:pPr>
            <w:r>
              <w:rPr>
                <w:rFonts w:hint="eastAsia"/>
              </w:rPr>
              <w:t>样品编号</w:t>
            </w:r>
          </w:p>
        </w:tc>
        <w:tc>
          <w:tcPr>
            <w:tcW w:w="1548" w:type="dxa"/>
            <w:vAlign w:val="center"/>
          </w:tcPr>
          <w:p>
            <w:pPr>
              <w:jc w:val="center"/>
            </w:pPr>
            <w:r>
              <w:rPr>
                <w:rFonts w:hint="eastAsia"/>
              </w:rPr>
              <w:t>1#</w:t>
            </w:r>
          </w:p>
        </w:tc>
        <w:tc>
          <w:tcPr>
            <w:tcW w:w="1547" w:type="dxa"/>
            <w:vAlign w:val="center"/>
          </w:tcPr>
          <w:p>
            <w:pPr>
              <w:jc w:val="center"/>
            </w:pPr>
            <w:r>
              <w:rPr>
                <w:rFonts w:hint="eastAsia"/>
              </w:rPr>
              <w:t>2#</w:t>
            </w:r>
          </w:p>
        </w:tc>
        <w:tc>
          <w:tcPr>
            <w:tcW w:w="1547" w:type="dxa"/>
            <w:vAlign w:val="center"/>
          </w:tcPr>
          <w:p>
            <w:pPr>
              <w:jc w:val="center"/>
            </w:pPr>
            <w:r>
              <w:rPr>
                <w:rFonts w:hint="eastAsia"/>
              </w:rPr>
              <w:t>3#</w:t>
            </w:r>
          </w:p>
        </w:tc>
        <w:tc>
          <w:tcPr>
            <w:tcW w:w="1549" w:type="dxa"/>
            <w:vAlign w:val="center"/>
          </w:tcPr>
          <w:p>
            <w:pPr>
              <w:jc w:val="center"/>
            </w:pPr>
            <w:r>
              <w:rPr>
                <w:rFonts w:hint="eastAsia"/>
              </w:rPr>
              <w:t>4#</w:t>
            </w:r>
          </w:p>
        </w:tc>
        <w:tc>
          <w:tcPr>
            <w:tcW w:w="1548"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Merge w:val="restart"/>
            <w:vAlign w:val="center"/>
          </w:tcPr>
          <w:p>
            <w:pPr>
              <w:jc w:val="center"/>
            </w:pPr>
            <w:r>
              <w:rPr>
                <w:rFonts w:hint="eastAsia"/>
              </w:rPr>
              <w:t>铜的质量分数/%</w:t>
            </w:r>
          </w:p>
        </w:tc>
        <w:tc>
          <w:tcPr>
            <w:tcW w:w="1548" w:type="dxa"/>
            <w:vAlign w:val="center"/>
          </w:tcPr>
          <w:p>
            <w:pPr>
              <w:widowControl/>
              <w:jc w:val="center"/>
              <w:textAlignment w:val="center"/>
            </w:pPr>
            <w:r>
              <w:rPr>
                <w:rFonts w:hint="eastAsia" w:ascii="宋体" w:hAnsi="宋体" w:cs="宋体"/>
                <w:color w:val="000000"/>
                <w:kern w:val="0"/>
                <w:sz w:val="22"/>
                <w:szCs w:val="22"/>
              </w:rPr>
              <w:t>6.28</w:t>
            </w:r>
          </w:p>
        </w:tc>
        <w:tc>
          <w:tcPr>
            <w:tcW w:w="1547" w:type="dxa"/>
            <w:vAlign w:val="center"/>
          </w:tcPr>
          <w:p>
            <w:pPr>
              <w:widowControl/>
              <w:jc w:val="center"/>
              <w:textAlignment w:val="center"/>
            </w:pPr>
            <w:r>
              <w:rPr>
                <w:rFonts w:hint="eastAsia" w:ascii="宋体" w:hAnsi="宋体" w:cs="宋体"/>
                <w:color w:val="000000"/>
                <w:kern w:val="0"/>
                <w:sz w:val="22"/>
                <w:szCs w:val="22"/>
              </w:rPr>
              <w:t>12.23</w:t>
            </w:r>
          </w:p>
        </w:tc>
        <w:tc>
          <w:tcPr>
            <w:tcW w:w="1547" w:type="dxa"/>
            <w:vAlign w:val="center"/>
          </w:tcPr>
          <w:p>
            <w:pPr>
              <w:widowControl/>
              <w:jc w:val="center"/>
              <w:textAlignment w:val="center"/>
            </w:pPr>
            <w:r>
              <w:rPr>
                <w:rFonts w:hint="eastAsia" w:ascii="宋体" w:hAnsi="宋体" w:cs="宋体"/>
                <w:color w:val="000000"/>
                <w:kern w:val="0"/>
                <w:sz w:val="22"/>
                <w:szCs w:val="22"/>
              </w:rPr>
              <w:t>16.66</w:t>
            </w:r>
          </w:p>
        </w:tc>
        <w:tc>
          <w:tcPr>
            <w:tcW w:w="1549" w:type="dxa"/>
            <w:vAlign w:val="center"/>
          </w:tcPr>
          <w:p>
            <w:pPr>
              <w:widowControl/>
              <w:jc w:val="center"/>
              <w:textAlignment w:val="center"/>
            </w:pPr>
            <w:r>
              <w:rPr>
                <w:rFonts w:hint="eastAsia" w:ascii="宋体" w:hAnsi="宋体" w:cs="宋体"/>
                <w:color w:val="000000"/>
                <w:kern w:val="0"/>
                <w:sz w:val="22"/>
                <w:szCs w:val="22"/>
              </w:rPr>
              <w:t>21.11</w:t>
            </w:r>
          </w:p>
        </w:tc>
        <w:tc>
          <w:tcPr>
            <w:tcW w:w="1548" w:type="dxa"/>
            <w:vAlign w:val="center"/>
          </w:tcPr>
          <w:p>
            <w:pPr>
              <w:widowControl/>
              <w:jc w:val="center"/>
              <w:textAlignment w:val="center"/>
            </w:pPr>
            <w:r>
              <w:rPr>
                <w:rFonts w:hint="eastAsia" w:ascii="宋体" w:hAnsi="宋体" w:cs="宋体"/>
                <w:color w:val="000000"/>
                <w:kern w:val="0"/>
                <w:sz w:val="22"/>
                <w:szCs w:val="22"/>
              </w:rPr>
              <w:t>26.29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Merge w:val="continue"/>
            <w:vAlign w:val="center"/>
          </w:tcPr>
          <w:p>
            <w:pPr>
              <w:jc w:val="center"/>
            </w:pPr>
          </w:p>
        </w:tc>
        <w:tc>
          <w:tcPr>
            <w:tcW w:w="1548" w:type="dxa"/>
            <w:vAlign w:val="center"/>
          </w:tcPr>
          <w:p>
            <w:pPr>
              <w:widowControl/>
              <w:jc w:val="center"/>
              <w:textAlignment w:val="center"/>
            </w:pPr>
            <w:r>
              <w:rPr>
                <w:rFonts w:hint="eastAsia" w:ascii="宋体" w:hAnsi="宋体" w:cs="宋体"/>
                <w:color w:val="000000"/>
                <w:kern w:val="0"/>
                <w:sz w:val="22"/>
                <w:szCs w:val="22"/>
              </w:rPr>
              <w:t>6.31</w:t>
            </w:r>
          </w:p>
        </w:tc>
        <w:tc>
          <w:tcPr>
            <w:tcW w:w="1547" w:type="dxa"/>
            <w:vAlign w:val="center"/>
          </w:tcPr>
          <w:p>
            <w:pPr>
              <w:widowControl/>
              <w:jc w:val="center"/>
              <w:textAlignment w:val="center"/>
            </w:pPr>
            <w:r>
              <w:rPr>
                <w:rFonts w:hint="eastAsia" w:ascii="宋体" w:hAnsi="宋体" w:cs="宋体"/>
                <w:color w:val="000000"/>
                <w:kern w:val="0"/>
                <w:sz w:val="22"/>
                <w:szCs w:val="22"/>
              </w:rPr>
              <w:t>12.30</w:t>
            </w:r>
          </w:p>
        </w:tc>
        <w:tc>
          <w:tcPr>
            <w:tcW w:w="1547" w:type="dxa"/>
            <w:vAlign w:val="center"/>
          </w:tcPr>
          <w:p>
            <w:pPr>
              <w:widowControl/>
              <w:jc w:val="center"/>
              <w:textAlignment w:val="center"/>
            </w:pPr>
            <w:r>
              <w:rPr>
                <w:rFonts w:hint="eastAsia" w:ascii="宋体" w:hAnsi="宋体" w:cs="宋体"/>
                <w:color w:val="000000"/>
                <w:kern w:val="0"/>
                <w:sz w:val="22"/>
                <w:szCs w:val="22"/>
              </w:rPr>
              <w:t>16.71</w:t>
            </w:r>
          </w:p>
        </w:tc>
        <w:tc>
          <w:tcPr>
            <w:tcW w:w="1549" w:type="dxa"/>
            <w:vAlign w:val="center"/>
          </w:tcPr>
          <w:p>
            <w:pPr>
              <w:widowControl/>
              <w:jc w:val="center"/>
              <w:textAlignment w:val="center"/>
            </w:pPr>
            <w:r>
              <w:rPr>
                <w:rFonts w:hint="eastAsia" w:ascii="宋体" w:hAnsi="宋体" w:cs="宋体"/>
                <w:color w:val="000000"/>
                <w:kern w:val="0"/>
                <w:sz w:val="22"/>
                <w:szCs w:val="22"/>
              </w:rPr>
              <w:t>21.13</w:t>
            </w:r>
          </w:p>
        </w:tc>
        <w:tc>
          <w:tcPr>
            <w:tcW w:w="1548" w:type="dxa"/>
            <w:vAlign w:val="center"/>
          </w:tcPr>
          <w:p>
            <w:pPr>
              <w:widowControl/>
              <w:jc w:val="center"/>
              <w:textAlignment w:val="center"/>
            </w:pPr>
            <w:r>
              <w:rPr>
                <w:rFonts w:hint="eastAsia" w:ascii="宋体" w:hAnsi="宋体" w:cs="宋体"/>
                <w:color w:val="000000"/>
                <w:kern w:val="0"/>
                <w:sz w:val="22"/>
                <w:szCs w:val="22"/>
              </w:rPr>
              <w:t>26.23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Merge w:val="continue"/>
            <w:vAlign w:val="center"/>
          </w:tcPr>
          <w:p>
            <w:pPr>
              <w:jc w:val="center"/>
            </w:pPr>
          </w:p>
        </w:tc>
        <w:tc>
          <w:tcPr>
            <w:tcW w:w="1548" w:type="dxa"/>
            <w:vAlign w:val="center"/>
          </w:tcPr>
          <w:p>
            <w:pPr>
              <w:widowControl/>
              <w:jc w:val="center"/>
              <w:textAlignment w:val="center"/>
            </w:pPr>
            <w:r>
              <w:rPr>
                <w:rFonts w:hint="eastAsia" w:ascii="宋体" w:hAnsi="宋体" w:cs="宋体"/>
                <w:color w:val="000000"/>
                <w:kern w:val="0"/>
                <w:sz w:val="22"/>
                <w:szCs w:val="22"/>
              </w:rPr>
              <w:t>6.41</w:t>
            </w:r>
          </w:p>
        </w:tc>
        <w:tc>
          <w:tcPr>
            <w:tcW w:w="1547" w:type="dxa"/>
            <w:vAlign w:val="center"/>
          </w:tcPr>
          <w:p>
            <w:pPr>
              <w:widowControl/>
              <w:jc w:val="center"/>
              <w:textAlignment w:val="center"/>
            </w:pPr>
            <w:r>
              <w:rPr>
                <w:rFonts w:hint="eastAsia" w:ascii="宋体" w:hAnsi="宋体" w:cs="宋体"/>
                <w:color w:val="000000"/>
                <w:kern w:val="0"/>
                <w:sz w:val="22"/>
                <w:szCs w:val="22"/>
              </w:rPr>
              <w:t>12.17</w:t>
            </w:r>
          </w:p>
        </w:tc>
        <w:tc>
          <w:tcPr>
            <w:tcW w:w="1547" w:type="dxa"/>
            <w:vAlign w:val="center"/>
          </w:tcPr>
          <w:p>
            <w:pPr>
              <w:widowControl/>
              <w:jc w:val="center"/>
              <w:textAlignment w:val="center"/>
            </w:pPr>
            <w:r>
              <w:rPr>
                <w:rFonts w:hint="eastAsia" w:ascii="宋体" w:hAnsi="宋体" w:cs="宋体"/>
                <w:color w:val="000000"/>
                <w:kern w:val="0"/>
                <w:sz w:val="22"/>
                <w:szCs w:val="22"/>
              </w:rPr>
              <w:t>16.55</w:t>
            </w:r>
          </w:p>
        </w:tc>
        <w:tc>
          <w:tcPr>
            <w:tcW w:w="1549" w:type="dxa"/>
            <w:vAlign w:val="center"/>
          </w:tcPr>
          <w:p>
            <w:pPr>
              <w:widowControl/>
              <w:jc w:val="center"/>
              <w:textAlignment w:val="center"/>
            </w:pPr>
            <w:r>
              <w:rPr>
                <w:rFonts w:hint="eastAsia" w:ascii="宋体" w:hAnsi="宋体" w:cs="宋体"/>
                <w:color w:val="000000"/>
                <w:kern w:val="0"/>
                <w:sz w:val="22"/>
                <w:szCs w:val="22"/>
              </w:rPr>
              <w:t>21.19</w:t>
            </w:r>
          </w:p>
        </w:tc>
        <w:tc>
          <w:tcPr>
            <w:tcW w:w="1548" w:type="dxa"/>
            <w:vAlign w:val="center"/>
          </w:tcPr>
          <w:p>
            <w:pPr>
              <w:widowControl/>
              <w:jc w:val="center"/>
              <w:textAlignment w:val="center"/>
            </w:pPr>
            <w:r>
              <w:rPr>
                <w:rFonts w:hint="eastAsia" w:ascii="宋体" w:hAnsi="宋体" w:cs="宋体"/>
                <w:color w:val="000000"/>
                <w:kern w:val="0"/>
                <w:sz w:val="22"/>
                <w:szCs w:val="22"/>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Merge w:val="continue"/>
            <w:vAlign w:val="center"/>
          </w:tcPr>
          <w:p>
            <w:pPr>
              <w:jc w:val="center"/>
            </w:pPr>
          </w:p>
        </w:tc>
        <w:tc>
          <w:tcPr>
            <w:tcW w:w="1548" w:type="dxa"/>
            <w:vAlign w:val="center"/>
          </w:tcPr>
          <w:p>
            <w:pPr>
              <w:widowControl/>
              <w:jc w:val="center"/>
              <w:textAlignment w:val="center"/>
            </w:pPr>
            <w:r>
              <w:rPr>
                <w:rFonts w:hint="eastAsia" w:ascii="宋体" w:hAnsi="宋体" w:cs="宋体"/>
                <w:color w:val="000000"/>
                <w:kern w:val="0"/>
                <w:sz w:val="22"/>
                <w:szCs w:val="22"/>
              </w:rPr>
              <w:t>6.27</w:t>
            </w:r>
          </w:p>
        </w:tc>
        <w:tc>
          <w:tcPr>
            <w:tcW w:w="1547" w:type="dxa"/>
            <w:vAlign w:val="center"/>
          </w:tcPr>
          <w:p>
            <w:pPr>
              <w:widowControl/>
              <w:jc w:val="center"/>
              <w:textAlignment w:val="center"/>
            </w:pPr>
            <w:r>
              <w:rPr>
                <w:rFonts w:hint="eastAsia" w:ascii="宋体" w:hAnsi="宋体" w:cs="宋体"/>
                <w:color w:val="000000"/>
                <w:kern w:val="0"/>
                <w:sz w:val="22"/>
                <w:szCs w:val="22"/>
              </w:rPr>
              <w:t>12.31</w:t>
            </w:r>
          </w:p>
        </w:tc>
        <w:tc>
          <w:tcPr>
            <w:tcW w:w="1547" w:type="dxa"/>
            <w:vAlign w:val="center"/>
          </w:tcPr>
          <w:p>
            <w:pPr>
              <w:widowControl/>
              <w:jc w:val="center"/>
              <w:textAlignment w:val="center"/>
            </w:pPr>
            <w:r>
              <w:rPr>
                <w:rFonts w:hint="eastAsia" w:ascii="宋体" w:hAnsi="宋体" w:cs="宋体"/>
                <w:color w:val="000000"/>
                <w:kern w:val="0"/>
                <w:sz w:val="22"/>
                <w:szCs w:val="22"/>
              </w:rPr>
              <w:t>16.66</w:t>
            </w:r>
          </w:p>
        </w:tc>
        <w:tc>
          <w:tcPr>
            <w:tcW w:w="1549" w:type="dxa"/>
            <w:vAlign w:val="center"/>
          </w:tcPr>
          <w:p>
            <w:pPr>
              <w:widowControl/>
              <w:jc w:val="center"/>
              <w:textAlignment w:val="center"/>
            </w:pPr>
            <w:r>
              <w:rPr>
                <w:rFonts w:hint="eastAsia" w:ascii="宋体" w:hAnsi="宋体" w:cs="宋体"/>
                <w:color w:val="000000"/>
                <w:kern w:val="0"/>
                <w:sz w:val="22"/>
                <w:szCs w:val="22"/>
              </w:rPr>
              <w:t>21.25</w:t>
            </w:r>
          </w:p>
        </w:tc>
        <w:tc>
          <w:tcPr>
            <w:tcW w:w="1548" w:type="dxa"/>
            <w:vAlign w:val="center"/>
          </w:tcPr>
          <w:p>
            <w:pPr>
              <w:widowControl/>
              <w:jc w:val="center"/>
              <w:textAlignment w:val="center"/>
            </w:pPr>
            <w:r>
              <w:rPr>
                <w:rFonts w:hint="eastAsia" w:ascii="宋体" w:hAnsi="宋体" w:cs="宋体"/>
                <w:color w:val="000000"/>
                <w:kern w:val="0"/>
                <w:sz w:val="22"/>
                <w:szCs w:val="22"/>
              </w:rPr>
              <w:t>26.34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Merge w:val="continue"/>
            <w:vAlign w:val="center"/>
          </w:tcPr>
          <w:p>
            <w:pPr>
              <w:jc w:val="center"/>
            </w:pPr>
          </w:p>
        </w:tc>
        <w:tc>
          <w:tcPr>
            <w:tcW w:w="1548" w:type="dxa"/>
            <w:vAlign w:val="center"/>
          </w:tcPr>
          <w:p>
            <w:pPr>
              <w:widowControl/>
              <w:jc w:val="center"/>
              <w:textAlignment w:val="center"/>
            </w:pPr>
            <w:r>
              <w:rPr>
                <w:rFonts w:hint="eastAsia" w:ascii="宋体" w:hAnsi="宋体" w:cs="宋体"/>
                <w:color w:val="000000"/>
                <w:kern w:val="0"/>
                <w:sz w:val="22"/>
                <w:szCs w:val="22"/>
              </w:rPr>
              <w:t>6.32</w:t>
            </w:r>
          </w:p>
        </w:tc>
        <w:tc>
          <w:tcPr>
            <w:tcW w:w="1547" w:type="dxa"/>
            <w:vAlign w:val="center"/>
          </w:tcPr>
          <w:p>
            <w:pPr>
              <w:widowControl/>
              <w:jc w:val="center"/>
              <w:textAlignment w:val="center"/>
            </w:pPr>
            <w:r>
              <w:rPr>
                <w:rFonts w:hint="eastAsia" w:ascii="宋体" w:hAnsi="宋体" w:cs="宋体"/>
                <w:color w:val="000000"/>
                <w:kern w:val="0"/>
                <w:sz w:val="22"/>
                <w:szCs w:val="22"/>
              </w:rPr>
              <w:t>12.26</w:t>
            </w:r>
          </w:p>
        </w:tc>
        <w:tc>
          <w:tcPr>
            <w:tcW w:w="1547" w:type="dxa"/>
            <w:vAlign w:val="center"/>
          </w:tcPr>
          <w:p>
            <w:pPr>
              <w:widowControl/>
              <w:jc w:val="center"/>
              <w:textAlignment w:val="center"/>
            </w:pPr>
            <w:r>
              <w:rPr>
                <w:rFonts w:hint="eastAsia" w:ascii="宋体" w:hAnsi="宋体" w:cs="宋体"/>
                <w:color w:val="000000"/>
                <w:kern w:val="0"/>
                <w:sz w:val="22"/>
                <w:szCs w:val="22"/>
              </w:rPr>
              <w:t>16.63</w:t>
            </w:r>
          </w:p>
        </w:tc>
        <w:tc>
          <w:tcPr>
            <w:tcW w:w="1549" w:type="dxa"/>
            <w:vAlign w:val="center"/>
          </w:tcPr>
          <w:p>
            <w:pPr>
              <w:widowControl/>
              <w:jc w:val="center"/>
              <w:textAlignment w:val="center"/>
            </w:pPr>
            <w:r>
              <w:rPr>
                <w:rFonts w:hint="eastAsia" w:ascii="宋体" w:hAnsi="宋体" w:cs="宋体"/>
                <w:color w:val="000000"/>
                <w:kern w:val="0"/>
                <w:sz w:val="22"/>
                <w:szCs w:val="22"/>
              </w:rPr>
              <w:t>21.24</w:t>
            </w:r>
          </w:p>
        </w:tc>
        <w:tc>
          <w:tcPr>
            <w:tcW w:w="1548" w:type="dxa"/>
            <w:vAlign w:val="center"/>
          </w:tcPr>
          <w:p>
            <w:pPr>
              <w:widowControl/>
              <w:jc w:val="center"/>
              <w:textAlignment w:val="center"/>
            </w:pPr>
            <w:r>
              <w:rPr>
                <w:rFonts w:hint="eastAsia" w:ascii="宋体" w:hAnsi="宋体" w:cs="宋体"/>
                <w:color w:val="000000"/>
                <w:kern w:val="0"/>
                <w:sz w:val="22"/>
                <w:szCs w:val="22"/>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Merge w:val="continue"/>
            <w:vAlign w:val="center"/>
          </w:tcPr>
          <w:p>
            <w:pPr>
              <w:jc w:val="center"/>
            </w:pPr>
          </w:p>
        </w:tc>
        <w:tc>
          <w:tcPr>
            <w:tcW w:w="1548" w:type="dxa"/>
            <w:vAlign w:val="center"/>
          </w:tcPr>
          <w:p>
            <w:pPr>
              <w:widowControl/>
              <w:jc w:val="center"/>
              <w:textAlignment w:val="center"/>
            </w:pPr>
            <w:r>
              <w:rPr>
                <w:rFonts w:hint="eastAsia" w:ascii="宋体" w:hAnsi="宋体" w:cs="宋体"/>
                <w:color w:val="000000"/>
                <w:kern w:val="0"/>
                <w:sz w:val="22"/>
                <w:szCs w:val="22"/>
              </w:rPr>
              <w:t>6.29</w:t>
            </w:r>
          </w:p>
        </w:tc>
        <w:tc>
          <w:tcPr>
            <w:tcW w:w="1547" w:type="dxa"/>
            <w:vAlign w:val="center"/>
          </w:tcPr>
          <w:p>
            <w:pPr>
              <w:widowControl/>
              <w:jc w:val="center"/>
              <w:textAlignment w:val="center"/>
            </w:pPr>
            <w:r>
              <w:rPr>
                <w:rFonts w:hint="eastAsia" w:ascii="宋体" w:hAnsi="宋体" w:cs="宋体"/>
                <w:color w:val="000000"/>
                <w:kern w:val="0"/>
                <w:sz w:val="22"/>
                <w:szCs w:val="22"/>
              </w:rPr>
              <w:t>12.29</w:t>
            </w:r>
          </w:p>
        </w:tc>
        <w:tc>
          <w:tcPr>
            <w:tcW w:w="1547" w:type="dxa"/>
            <w:vAlign w:val="center"/>
          </w:tcPr>
          <w:p>
            <w:pPr>
              <w:widowControl/>
              <w:jc w:val="center"/>
              <w:textAlignment w:val="center"/>
            </w:pPr>
            <w:r>
              <w:rPr>
                <w:rFonts w:hint="eastAsia" w:ascii="宋体" w:hAnsi="宋体" w:cs="宋体"/>
                <w:color w:val="000000"/>
                <w:kern w:val="0"/>
                <w:sz w:val="22"/>
                <w:szCs w:val="22"/>
              </w:rPr>
              <w:t>16.57</w:t>
            </w:r>
          </w:p>
        </w:tc>
        <w:tc>
          <w:tcPr>
            <w:tcW w:w="1549" w:type="dxa"/>
            <w:vAlign w:val="center"/>
          </w:tcPr>
          <w:p>
            <w:pPr>
              <w:widowControl/>
              <w:jc w:val="center"/>
              <w:textAlignment w:val="center"/>
            </w:pPr>
            <w:r>
              <w:rPr>
                <w:rFonts w:hint="eastAsia" w:ascii="宋体" w:hAnsi="宋体" w:cs="宋体"/>
                <w:color w:val="000000"/>
                <w:kern w:val="0"/>
                <w:sz w:val="22"/>
                <w:szCs w:val="22"/>
              </w:rPr>
              <w:t>21.33</w:t>
            </w:r>
          </w:p>
        </w:tc>
        <w:tc>
          <w:tcPr>
            <w:tcW w:w="1548" w:type="dxa"/>
            <w:vAlign w:val="center"/>
          </w:tcPr>
          <w:p>
            <w:pPr>
              <w:widowControl/>
              <w:jc w:val="center"/>
              <w:textAlignment w:val="center"/>
            </w:pPr>
            <w:r>
              <w:rPr>
                <w:rFonts w:hint="eastAsia" w:ascii="宋体" w:hAnsi="宋体" w:cs="宋体"/>
                <w:color w:val="000000"/>
                <w:kern w:val="0"/>
                <w:sz w:val="22"/>
                <w:szCs w:val="22"/>
              </w:rPr>
              <w:t>26.46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Merge w:val="continue"/>
            <w:vAlign w:val="center"/>
          </w:tcPr>
          <w:p>
            <w:pPr>
              <w:jc w:val="center"/>
            </w:pPr>
          </w:p>
        </w:tc>
        <w:tc>
          <w:tcPr>
            <w:tcW w:w="1548" w:type="dxa"/>
            <w:vAlign w:val="center"/>
          </w:tcPr>
          <w:p>
            <w:pPr>
              <w:widowControl/>
              <w:jc w:val="center"/>
              <w:textAlignment w:val="center"/>
            </w:pPr>
            <w:r>
              <w:rPr>
                <w:rFonts w:hint="eastAsia" w:ascii="宋体" w:hAnsi="宋体" w:cs="宋体"/>
                <w:color w:val="000000"/>
                <w:kern w:val="0"/>
                <w:sz w:val="22"/>
                <w:szCs w:val="22"/>
              </w:rPr>
              <w:t>6.22</w:t>
            </w:r>
          </w:p>
        </w:tc>
        <w:tc>
          <w:tcPr>
            <w:tcW w:w="1547" w:type="dxa"/>
            <w:vAlign w:val="center"/>
          </w:tcPr>
          <w:p>
            <w:pPr>
              <w:widowControl/>
              <w:jc w:val="center"/>
              <w:textAlignment w:val="center"/>
            </w:pPr>
            <w:r>
              <w:rPr>
                <w:rFonts w:hint="eastAsia" w:ascii="宋体" w:hAnsi="宋体" w:cs="宋体"/>
                <w:color w:val="000000"/>
                <w:kern w:val="0"/>
                <w:sz w:val="22"/>
                <w:szCs w:val="22"/>
              </w:rPr>
              <w:t>12.31</w:t>
            </w:r>
          </w:p>
        </w:tc>
        <w:tc>
          <w:tcPr>
            <w:tcW w:w="1547" w:type="dxa"/>
            <w:vAlign w:val="center"/>
          </w:tcPr>
          <w:p>
            <w:pPr>
              <w:widowControl/>
              <w:jc w:val="center"/>
              <w:textAlignment w:val="center"/>
            </w:pPr>
            <w:r>
              <w:rPr>
                <w:rFonts w:hint="eastAsia" w:ascii="宋体" w:hAnsi="宋体" w:cs="宋体"/>
                <w:color w:val="000000"/>
                <w:kern w:val="0"/>
                <w:sz w:val="22"/>
                <w:szCs w:val="22"/>
              </w:rPr>
              <w:t>16.65</w:t>
            </w:r>
          </w:p>
        </w:tc>
        <w:tc>
          <w:tcPr>
            <w:tcW w:w="1549" w:type="dxa"/>
            <w:vAlign w:val="center"/>
          </w:tcPr>
          <w:p>
            <w:pPr>
              <w:widowControl/>
              <w:jc w:val="center"/>
              <w:textAlignment w:val="center"/>
            </w:pPr>
            <w:r>
              <w:rPr>
                <w:rFonts w:hint="eastAsia" w:ascii="宋体" w:hAnsi="宋体" w:cs="宋体"/>
                <w:color w:val="000000"/>
                <w:kern w:val="0"/>
                <w:sz w:val="22"/>
                <w:szCs w:val="22"/>
              </w:rPr>
              <w:t>21.27</w:t>
            </w:r>
          </w:p>
        </w:tc>
        <w:tc>
          <w:tcPr>
            <w:tcW w:w="1548" w:type="dxa"/>
            <w:vAlign w:val="center"/>
          </w:tcPr>
          <w:p>
            <w:pPr>
              <w:widowControl/>
              <w:jc w:val="center"/>
              <w:textAlignment w:val="center"/>
            </w:pPr>
            <w:r>
              <w:rPr>
                <w:rFonts w:hint="eastAsia" w:ascii="宋体" w:hAnsi="宋体" w:cs="宋体"/>
                <w:color w:val="000000"/>
                <w:kern w:val="0"/>
                <w:sz w:val="22"/>
                <w:szCs w:val="22"/>
              </w:rPr>
              <w:t>26.47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Merge w:val="continue"/>
            <w:vAlign w:val="center"/>
          </w:tcPr>
          <w:p>
            <w:pPr>
              <w:jc w:val="center"/>
            </w:pPr>
          </w:p>
        </w:tc>
        <w:tc>
          <w:tcPr>
            <w:tcW w:w="1548" w:type="dxa"/>
            <w:vAlign w:val="center"/>
          </w:tcPr>
          <w:p>
            <w:pPr>
              <w:widowControl/>
              <w:jc w:val="center"/>
              <w:textAlignment w:val="center"/>
            </w:pPr>
            <w:r>
              <w:rPr>
                <w:rFonts w:hint="eastAsia" w:ascii="宋体" w:hAnsi="宋体" w:cs="宋体"/>
                <w:color w:val="000000"/>
                <w:kern w:val="0"/>
                <w:sz w:val="22"/>
                <w:szCs w:val="22"/>
              </w:rPr>
              <w:t>6.24</w:t>
            </w:r>
          </w:p>
        </w:tc>
        <w:tc>
          <w:tcPr>
            <w:tcW w:w="1547" w:type="dxa"/>
            <w:vAlign w:val="center"/>
          </w:tcPr>
          <w:p>
            <w:pPr>
              <w:widowControl/>
              <w:jc w:val="center"/>
              <w:textAlignment w:val="center"/>
            </w:pPr>
            <w:r>
              <w:rPr>
                <w:rFonts w:hint="eastAsia" w:ascii="宋体" w:hAnsi="宋体" w:cs="宋体"/>
                <w:color w:val="000000"/>
                <w:kern w:val="0"/>
                <w:sz w:val="22"/>
                <w:szCs w:val="22"/>
              </w:rPr>
              <w:t>12.31</w:t>
            </w:r>
          </w:p>
        </w:tc>
        <w:tc>
          <w:tcPr>
            <w:tcW w:w="1547" w:type="dxa"/>
            <w:vAlign w:val="center"/>
          </w:tcPr>
          <w:p>
            <w:pPr>
              <w:widowControl/>
              <w:jc w:val="center"/>
              <w:textAlignment w:val="center"/>
            </w:pPr>
            <w:r>
              <w:rPr>
                <w:rFonts w:hint="eastAsia" w:ascii="宋体" w:hAnsi="宋体" w:cs="宋体"/>
                <w:color w:val="000000"/>
                <w:kern w:val="0"/>
                <w:sz w:val="22"/>
                <w:szCs w:val="22"/>
              </w:rPr>
              <w:t>16.81</w:t>
            </w:r>
          </w:p>
        </w:tc>
        <w:tc>
          <w:tcPr>
            <w:tcW w:w="1549" w:type="dxa"/>
            <w:vAlign w:val="center"/>
          </w:tcPr>
          <w:p>
            <w:pPr>
              <w:widowControl/>
              <w:jc w:val="center"/>
              <w:textAlignment w:val="center"/>
            </w:pPr>
            <w:r>
              <w:rPr>
                <w:rFonts w:hint="eastAsia" w:ascii="宋体" w:hAnsi="宋体" w:cs="宋体"/>
                <w:color w:val="000000"/>
                <w:kern w:val="0"/>
                <w:sz w:val="22"/>
                <w:szCs w:val="22"/>
              </w:rPr>
              <w:t>21.12</w:t>
            </w:r>
          </w:p>
        </w:tc>
        <w:tc>
          <w:tcPr>
            <w:tcW w:w="1548" w:type="dxa"/>
            <w:vAlign w:val="center"/>
          </w:tcPr>
          <w:p>
            <w:pPr>
              <w:widowControl/>
              <w:jc w:val="center"/>
              <w:textAlignment w:val="center"/>
            </w:pPr>
            <w:r>
              <w:rPr>
                <w:rFonts w:hint="eastAsia" w:ascii="宋体" w:hAnsi="宋体" w:cs="宋体"/>
                <w:color w:val="000000"/>
                <w:kern w:val="0"/>
                <w:sz w:val="22"/>
                <w:szCs w:val="22"/>
              </w:rPr>
              <w:t>26.38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Merge w:val="continue"/>
            <w:vAlign w:val="center"/>
          </w:tcPr>
          <w:p>
            <w:pPr>
              <w:jc w:val="center"/>
            </w:pPr>
          </w:p>
        </w:tc>
        <w:tc>
          <w:tcPr>
            <w:tcW w:w="1548" w:type="dxa"/>
            <w:vAlign w:val="center"/>
          </w:tcPr>
          <w:p>
            <w:pPr>
              <w:widowControl/>
              <w:jc w:val="center"/>
              <w:textAlignment w:val="center"/>
            </w:pPr>
            <w:r>
              <w:rPr>
                <w:rFonts w:hint="eastAsia" w:ascii="宋体" w:hAnsi="宋体" w:cs="宋体"/>
                <w:color w:val="000000"/>
                <w:kern w:val="0"/>
                <w:sz w:val="22"/>
                <w:szCs w:val="22"/>
              </w:rPr>
              <w:t>6.32</w:t>
            </w:r>
          </w:p>
        </w:tc>
        <w:tc>
          <w:tcPr>
            <w:tcW w:w="1547" w:type="dxa"/>
            <w:vAlign w:val="center"/>
          </w:tcPr>
          <w:p>
            <w:pPr>
              <w:widowControl/>
              <w:jc w:val="center"/>
              <w:textAlignment w:val="center"/>
            </w:pPr>
            <w:r>
              <w:rPr>
                <w:rFonts w:hint="eastAsia" w:ascii="宋体" w:hAnsi="宋体" w:cs="宋体"/>
                <w:color w:val="000000"/>
                <w:kern w:val="0"/>
                <w:sz w:val="22"/>
                <w:szCs w:val="22"/>
              </w:rPr>
              <w:t>12.19</w:t>
            </w:r>
          </w:p>
        </w:tc>
        <w:tc>
          <w:tcPr>
            <w:tcW w:w="1547" w:type="dxa"/>
            <w:vAlign w:val="center"/>
          </w:tcPr>
          <w:p>
            <w:pPr>
              <w:widowControl/>
              <w:jc w:val="center"/>
              <w:textAlignment w:val="center"/>
            </w:pPr>
            <w:r>
              <w:rPr>
                <w:rFonts w:hint="eastAsia" w:ascii="宋体" w:hAnsi="宋体" w:cs="宋体"/>
                <w:color w:val="000000"/>
                <w:kern w:val="0"/>
                <w:sz w:val="22"/>
                <w:szCs w:val="22"/>
              </w:rPr>
              <w:t>16.63</w:t>
            </w:r>
          </w:p>
        </w:tc>
        <w:tc>
          <w:tcPr>
            <w:tcW w:w="1549" w:type="dxa"/>
            <w:vAlign w:val="center"/>
          </w:tcPr>
          <w:p>
            <w:pPr>
              <w:widowControl/>
              <w:jc w:val="center"/>
              <w:textAlignment w:val="center"/>
            </w:pPr>
            <w:r>
              <w:rPr>
                <w:rFonts w:hint="eastAsia" w:ascii="宋体" w:hAnsi="宋体" w:cs="宋体"/>
                <w:color w:val="000000"/>
                <w:kern w:val="0"/>
                <w:sz w:val="22"/>
                <w:szCs w:val="22"/>
              </w:rPr>
              <w:t>21.31</w:t>
            </w:r>
          </w:p>
        </w:tc>
        <w:tc>
          <w:tcPr>
            <w:tcW w:w="1548" w:type="dxa"/>
            <w:vAlign w:val="center"/>
          </w:tcPr>
          <w:p>
            <w:pPr>
              <w:widowControl/>
              <w:jc w:val="center"/>
              <w:textAlignment w:val="center"/>
            </w:pPr>
            <w:r>
              <w:rPr>
                <w:rFonts w:hint="eastAsia" w:ascii="宋体" w:hAnsi="宋体" w:cs="宋体"/>
                <w:color w:val="000000"/>
                <w:kern w:val="0"/>
                <w:sz w:val="22"/>
                <w:szCs w:val="22"/>
              </w:rPr>
              <w:t>26.43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Merge w:val="continue"/>
            <w:vAlign w:val="center"/>
          </w:tcPr>
          <w:p>
            <w:pPr>
              <w:jc w:val="center"/>
            </w:pPr>
          </w:p>
        </w:tc>
        <w:tc>
          <w:tcPr>
            <w:tcW w:w="1548" w:type="dxa"/>
            <w:vAlign w:val="center"/>
          </w:tcPr>
          <w:p>
            <w:pPr>
              <w:widowControl/>
              <w:jc w:val="center"/>
              <w:textAlignment w:val="center"/>
            </w:pPr>
            <w:r>
              <w:rPr>
                <w:rFonts w:hint="eastAsia" w:ascii="宋体" w:hAnsi="宋体" w:cs="宋体"/>
                <w:color w:val="000000"/>
                <w:kern w:val="0"/>
                <w:sz w:val="22"/>
                <w:szCs w:val="22"/>
              </w:rPr>
              <w:t>6.36</w:t>
            </w:r>
          </w:p>
        </w:tc>
        <w:tc>
          <w:tcPr>
            <w:tcW w:w="1547" w:type="dxa"/>
            <w:vAlign w:val="center"/>
          </w:tcPr>
          <w:p>
            <w:pPr>
              <w:widowControl/>
              <w:jc w:val="center"/>
              <w:textAlignment w:val="center"/>
            </w:pPr>
            <w:r>
              <w:rPr>
                <w:rFonts w:hint="eastAsia" w:ascii="宋体" w:hAnsi="宋体" w:cs="宋体"/>
                <w:color w:val="000000"/>
                <w:kern w:val="0"/>
                <w:sz w:val="22"/>
                <w:szCs w:val="22"/>
              </w:rPr>
              <w:t>12.13</w:t>
            </w:r>
          </w:p>
        </w:tc>
        <w:tc>
          <w:tcPr>
            <w:tcW w:w="1547" w:type="dxa"/>
            <w:vAlign w:val="center"/>
          </w:tcPr>
          <w:p>
            <w:pPr>
              <w:widowControl/>
              <w:jc w:val="center"/>
              <w:textAlignment w:val="center"/>
            </w:pPr>
            <w:r>
              <w:rPr>
                <w:rFonts w:hint="eastAsia" w:ascii="宋体" w:hAnsi="宋体" w:cs="宋体"/>
                <w:color w:val="000000"/>
                <w:kern w:val="0"/>
                <w:sz w:val="22"/>
                <w:szCs w:val="22"/>
              </w:rPr>
              <w:t>16.61</w:t>
            </w:r>
          </w:p>
        </w:tc>
        <w:tc>
          <w:tcPr>
            <w:tcW w:w="1549" w:type="dxa"/>
            <w:vAlign w:val="center"/>
          </w:tcPr>
          <w:p>
            <w:pPr>
              <w:widowControl/>
              <w:jc w:val="center"/>
              <w:textAlignment w:val="center"/>
            </w:pPr>
            <w:r>
              <w:rPr>
                <w:rFonts w:hint="eastAsia" w:ascii="宋体" w:hAnsi="宋体" w:cs="宋体"/>
                <w:color w:val="000000"/>
                <w:kern w:val="0"/>
                <w:sz w:val="22"/>
                <w:szCs w:val="22"/>
              </w:rPr>
              <w:t>21.39</w:t>
            </w:r>
          </w:p>
        </w:tc>
        <w:tc>
          <w:tcPr>
            <w:tcW w:w="1548" w:type="dxa"/>
            <w:vAlign w:val="center"/>
          </w:tcPr>
          <w:p>
            <w:pPr>
              <w:widowControl/>
              <w:jc w:val="center"/>
              <w:textAlignment w:val="center"/>
            </w:pPr>
            <w:r>
              <w:rPr>
                <w:rFonts w:hint="eastAsia" w:ascii="宋体" w:hAnsi="宋体" w:cs="宋体"/>
                <w:color w:val="000000"/>
                <w:kern w:val="0"/>
                <w:sz w:val="22"/>
                <w:szCs w:val="22"/>
              </w:rPr>
              <w:t>26.33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Merge w:val="continue"/>
            <w:vAlign w:val="center"/>
          </w:tcPr>
          <w:p>
            <w:pPr>
              <w:jc w:val="center"/>
            </w:pPr>
          </w:p>
        </w:tc>
        <w:tc>
          <w:tcPr>
            <w:tcW w:w="1548" w:type="dxa"/>
            <w:vAlign w:val="center"/>
          </w:tcPr>
          <w:p>
            <w:pPr>
              <w:widowControl/>
              <w:jc w:val="center"/>
              <w:textAlignment w:val="center"/>
            </w:pPr>
            <w:r>
              <w:rPr>
                <w:rFonts w:hint="eastAsia" w:ascii="宋体" w:hAnsi="宋体" w:cs="宋体"/>
                <w:color w:val="000000"/>
                <w:kern w:val="0"/>
                <w:sz w:val="22"/>
                <w:szCs w:val="22"/>
              </w:rPr>
              <w:t>6.27</w:t>
            </w:r>
          </w:p>
        </w:tc>
        <w:tc>
          <w:tcPr>
            <w:tcW w:w="1547" w:type="dxa"/>
            <w:vAlign w:val="center"/>
          </w:tcPr>
          <w:p>
            <w:pPr>
              <w:widowControl/>
              <w:jc w:val="center"/>
              <w:textAlignment w:val="center"/>
            </w:pPr>
            <w:r>
              <w:rPr>
                <w:rFonts w:hint="eastAsia" w:ascii="宋体" w:hAnsi="宋体" w:cs="宋体"/>
                <w:color w:val="000000"/>
                <w:kern w:val="0"/>
                <w:sz w:val="22"/>
                <w:szCs w:val="22"/>
              </w:rPr>
              <w:t>12.24</w:t>
            </w:r>
          </w:p>
        </w:tc>
        <w:tc>
          <w:tcPr>
            <w:tcW w:w="1547" w:type="dxa"/>
            <w:vAlign w:val="center"/>
          </w:tcPr>
          <w:p>
            <w:pPr>
              <w:widowControl/>
              <w:jc w:val="center"/>
              <w:textAlignment w:val="center"/>
            </w:pPr>
            <w:r>
              <w:rPr>
                <w:rFonts w:hint="eastAsia" w:ascii="宋体" w:hAnsi="宋体" w:cs="宋体"/>
                <w:color w:val="000000"/>
                <w:kern w:val="0"/>
                <w:sz w:val="22"/>
                <w:szCs w:val="22"/>
              </w:rPr>
              <w:t>16.56</w:t>
            </w:r>
          </w:p>
        </w:tc>
        <w:tc>
          <w:tcPr>
            <w:tcW w:w="1549" w:type="dxa"/>
            <w:vAlign w:val="center"/>
          </w:tcPr>
          <w:p>
            <w:pPr>
              <w:widowControl/>
              <w:jc w:val="center"/>
              <w:textAlignment w:val="center"/>
            </w:pPr>
            <w:r>
              <w:rPr>
                <w:rFonts w:hint="eastAsia" w:ascii="宋体" w:hAnsi="宋体" w:cs="宋体"/>
                <w:color w:val="000000"/>
                <w:kern w:val="0"/>
                <w:sz w:val="22"/>
                <w:szCs w:val="22"/>
              </w:rPr>
              <w:t>21.28</w:t>
            </w:r>
          </w:p>
        </w:tc>
        <w:tc>
          <w:tcPr>
            <w:tcW w:w="1548" w:type="dxa"/>
            <w:vAlign w:val="center"/>
          </w:tcPr>
          <w:p>
            <w:pPr>
              <w:widowControl/>
              <w:jc w:val="center"/>
              <w:textAlignment w:val="center"/>
            </w:pPr>
            <w:r>
              <w:rPr>
                <w:rFonts w:hint="eastAsia" w:ascii="宋体" w:hAnsi="宋体" w:cs="宋体"/>
                <w:color w:val="000000"/>
                <w:kern w:val="0"/>
                <w:sz w:val="22"/>
                <w:szCs w:val="22"/>
              </w:rPr>
              <w:t>26.26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jc w:val="center"/>
            </w:pPr>
            <w:r>
              <w:rPr>
                <w:rFonts w:hint="eastAsia"/>
              </w:rPr>
              <w:t>平均值/%</w:t>
            </w:r>
          </w:p>
        </w:tc>
        <w:tc>
          <w:tcPr>
            <w:tcW w:w="1548" w:type="dxa"/>
            <w:vAlign w:val="center"/>
          </w:tcPr>
          <w:p>
            <w:pPr>
              <w:widowControl/>
              <w:jc w:val="center"/>
              <w:textAlignment w:val="center"/>
            </w:pPr>
            <w:r>
              <w:rPr>
                <w:rFonts w:hint="eastAsia" w:ascii="宋体" w:hAnsi="宋体" w:cs="宋体"/>
                <w:color w:val="000000"/>
                <w:kern w:val="0"/>
                <w:sz w:val="22"/>
                <w:szCs w:val="22"/>
              </w:rPr>
              <w:t>6.30</w:t>
            </w:r>
          </w:p>
        </w:tc>
        <w:tc>
          <w:tcPr>
            <w:tcW w:w="1547" w:type="dxa"/>
            <w:vAlign w:val="center"/>
          </w:tcPr>
          <w:p>
            <w:pPr>
              <w:widowControl/>
              <w:jc w:val="center"/>
              <w:textAlignment w:val="center"/>
            </w:pPr>
            <w:r>
              <w:rPr>
                <w:rFonts w:hint="eastAsia" w:ascii="宋体" w:hAnsi="宋体" w:cs="宋体"/>
                <w:color w:val="000000"/>
                <w:kern w:val="0"/>
                <w:sz w:val="22"/>
                <w:szCs w:val="22"/>
              </w:rPr>
              <w:t>12.25</w:t>
            </w:r>
          </w:p>
        </w:tc>
        <w:tc>
          <w:tcPr>
            <w:tcW w:w="1547" w:type="dxa"/>
            <w:vAlign w:val="center"/>
          </w:tcPr>
          <w:p>
            <w:pPr>
              <w:widowControl/>
              <w:jc w:val="center"/>
              <w:textAlignment w:val="center"/>
            </w:pPr>
            <w:r>
              <w:rPr>
                <w:rFonts w:hint="eastAsia" w:ascii="宋体" w:hAnsi="宋体" w:cs="宋体"/>
                <w:color w:val="000000"/>
                <w:kern w:val="0"/>
                <w:sz w:val="22"/>
                <w:szCs w:val="22"/>
              </w:rPr>
              <w:t>16.64</w:t>
            </w:r>
          </w:p>
        </w:tc>
        <w:tc>
          <w:tcPr>
            <w:tcW w:w="1549" w:type="dxa"/>
            <w:vAlign w:val="center"/>
          </w:tcPr>
          <w:p>
            <w:pPr>
              <w:widowControl/>
              <w:jc w:val="center"/>
              <w:textAlignment w:val="center"/>
            </w:pPr>
            <w:r>
              <w:rPr>
                <w:rFonts w:hint="eastAsia" w:ascii="宋体" w:hAnsi="宋体" w:cs="宋体"/>
                <w:color w:val="000000"/>
                <w:kern w:val="0"/>
                <w:sz w:val="22"/>
                <w:szCs w:val="22"/>
              </w:rPr>
              <w:t>21.24</w:t>
            </w:r>
          </w:p>
        </w:tc>
        <w:tc>
          <w:tcPr>
            <w:tcW w:w="1548" w:type="dxa"/>
            <w:vAlign w:val="center"/>
          </w:tcPr>
          <w:p>
            <w:pPr>
              <w:widowControl/>
              <w:jc w:val="center"/>
              <w:textAlignment w:val="center"/>
            </w:pPr>
            <w:r>
              <w:rPr>
                <w:rFonts w:hint="eastAsia" w:ascii="宋体" w:hAnsi="宋体" w:cs="宋体"/>
                <w:color w:val="000000"/>
                <w:kern w:val="0"/>
                <w:sz w:val="22"/>
                <w:szCs w:val="22"/>
              </w:rPr>
              <w:t>26.35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jc w:val="center"/>
            </w:pPr>
            <w:r>
              <w:rPr>
                <w:rFonts w:hint="eastAsia"/>
              </w:rPr>
              <w:t>标准偏差/%</w:t>
            </w:r>
          </w:p>
        </w:tc>
        <w:tc>
          <w:tcPr>
            <w:tcW w:w="1548" w:type="dxa"/>
            <w:vAlign w:val="center"/>
          </w:tcPr>
          <w:p>
            <w:pPr>
              <w:widowControl/>
              <w:jc w:val="center"/>
              <w:textAlignment w:val="center"/>
            </w:pPr>
            <w:r>
              <w:rPr>
                <w:rFonts w:hint="eastAsia" w:ascii="宋体" w:hAnsi="宋体" w:cs="宋体"/>
                <w:color w:val="000000"/>
                <w:kern w:val="0"/>
                <w:sz w:val="22"/>
                <w:szCs w:val="22"/>
              </w:rPr>
              <w:t>0.05375</w:t>
            </w:r>
          </w:p>
        </w:tc>
        <w:tc>
          <w:tcPr>
            <w:tcW w:w="1547" w:type="dxa"/>
            <w:vAlign w:val="center"/>
          </w:tcPr>
          <w:p>
            <w:pPr>
              <w:widowControl/>
              <w:jc w:val="center"/>
              <w:textAlignment w:val="center"/>
            </w:pPr>
            <w:r>
              <w:rPr>
                <w:rFonts w:hint="eastAsia" w:ascii="宋体" w:hAnsi="宋体" w:cs="宋体"/>
                <w:color w:val="000000"/>
                <w:kern w:val="0"/>
                <w:sz w:val="22"/>
                <w:szCs w:val="22"/>
              </w:rPr>
              <w:t>0.06316</w:t>
            </w:r>
          </w:p>
        </w:tc>
        <w:tc>
          <w:tcPr>
            <w:tcW w:w="1547" w:type="dxa"/>
            <w:vAlign w:val="center"/>
          </w:tcPr>
          <w:p>
            <w:pPr>
              <w:widowControl/>
              <w:jc w:val="center"/>
              <w:textAlignment w:val="center"/>
            </w:pPr>
            <w:r>
              <w:rPr>
                <w:rFonts w:hint="eastAsia" w:ascii="宋体" w:hAnsi="宋体" w:cs="宋体"/>
                <w:color w:val="000000"/>
                <w:kern w:val="0"/>
                <w:sz w:val="22"/>
                <w:szCs w:val="22"/>
              </w:rPr>
              <w:t>0.07430</w:t>
            </w:r>
          </w:p>
        </w:tc>
        <w:tc>
          <w:tcPr>
            <w:tcW w:w="1549" w:type="dxa"/>
            <w:vAlign w:val="center"/>
          </w:tcPr>
          <w:p>
            <w:pPr>
              <w:widowControl/>
              <w:jc w:val="center"/>
              <w:textAlignment w:val="center"/>
            </w:pPr>
            <w:r>
              <w:rPr>
                <w:rFonts w:hint="eastAsia" w:ascii="宋体" w:hAnsi="宋体" w:cs="宋体"/>
                <w:color w:val="000000"/>
                <w:kern w:val="0"/>
                <w:sz w:val="22"/>
                <w:szCs w:val="22"/>
              </w:rPr>
              <w:t>0.09163</w:t>
            </w:r>
          </w:p>
        </w:tc>
        <w:tc>
          <w:tcPr>
            <w:tcW w:w="1548" w:type="dxa"/>
            <w:vAlign w:val="center"/>
          </w:tcPr>
          <w:p>
            <w:pPr>
              <w:widowControl/>
              <w:jc w:val="center"/>
              <w:textAlignment w:val="center"/>
            </w:pPr>
            <w:r>
              <w:rPr>
                <w:rFonts w:hint="eastAsia" w:ascii="宋体" w:hAnsi="宋体" w:cs="宋体"/>
                <w:color w:val="000000"/>
                <w:kern w:val="0"/>
                <w:sz w:val="22"/>
                <w:szCs w:val="22"/>
              </w:rPr>
              <w:t>0.07884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jc w:val="center"/>
            </w:pPr>
            <w:r>
              <w:rPr>
                <w:rFonts w:hint="eastAsia"/>
              </w:rPr>
              <w:t>RSD/%</w:t>
            </w:r>
          </w:p>
        </w:tc>
        <w:tc>
          <w:tcPr>
            <w:tcW w:w="1548" w:type="dxa"/>
            <w:vAlign w:val="center"/>
          </w:tcPr>
          <w:p>
            <w:pPr>
              <w:widowControl/>
              <w:jc w:val="center"/>
              <w:textAlignment w:val="center"/>
            </w:pPr>
            <w:r>
              <w:rPr>
                <w:rFonts w:hint="eastAsia" w:ascii="宋体" w:hAnsi="宋体" w:cs="宋体"/>
                <w:color w:val="000000"/>
                <w:kern w:val="0"/>
                <w:sz w:val="22"/>
                <w:szCs w:val="22"/>
              </w:rPr>
              <w:t>0.85</w:t>
            </w:r>
          </w:p>
        </w:tc>
        <w:tc>
          <w:tcPr>
            <w:tcW w:w="1547" w:type="dxa"/>
            <w:vAlign w:val="center"/>
          </w:tcPr>
          <w:p>
            <w:pPr>
              <w:widowControl/>
              <w:jc w:val="center"/>
              <w:textAlignment w:val="center"/>
            </w:pPr>
            <w:r>
              <w:rPr>
                <w:rFonts w:hint="eastAsia" w:ascii="宋体" w:hAnsi="宋体" w:cs="宋体"/>
                <w:color w:val="000000"/>
                <w:kern w:val="0"/>
                <w:sz w:val="22"/>
                <w:szCs w:val="22"/>
              </w:rPr>
              <w:t>0.52</w:t>
            </w:r>
          </w:p>
        </w:tc>
        <w:tc>
          <w:tcPr>
            <w:tcW w:w="1547" w:type="dxa"/>
            <w:vAlign w:val="center"/>
          </w:tcPr>
          <w:p>
            <w:pPr>
              <w:widowControl/>
              <w:jc w:val="center"/>
              <w:textAlignment w:val="center"/>
            </w:pPr>
            <w:r>
              <w:rPr>
                <w:rFonts w:hint="eastAsia" w:ascii="宋体" w:hAnsi="宋体" w:cs="宋体"/>
                <w:color w:val="000000"/>
                <w:kern w:val="0"/>
                <w:sz w:val="22"/>
                <w:szCs w:val="22"/>
              </w:rPr>
              <w:t>0.45</w:t>
            </w:r>
          </w:p>
        </w:tc>
        <w:tc>
          <w:tcPr>
            <w:tcW w:w="1549" w:type="dxa"/>
            <w:vAlign w:val="center"/>
          </w:tcPr>
          <w:p>
            <w:pPr>
              <w:widowControl/>
              <w:jc w:val="center"/>
              <w:textAlignment w:val="center"/>
            </w:pPr>
            <w:r>
              <w:rPr>
                <w:rFonts w:hint="eastAsia" w:ascii="宋体" w:hAnsi="宋体" w:cs="宋体"/>
                <w:color w:val="000000"/>
                <w:kern w:val="0"/>
                <w:sz w:val="22"/>
                <w:szCs w:val="22"/>
              </w:rPr>
              <w:t>0.43</w:t>
            </w:r>
          </w:p>
        </w:tc>
        <w:tc>
          <w:tcPr>
            <w:tcW w:w="1548" w:type="dxa"/>
            <w:vAlign w:val="center"/>
          </w:tcPr>
          <w:p>
            <w:pPr>
              <w:widowControl/>
              <w:jc w:val="center"/>
              <w:textAlignment w:val="center"/>
            </w:pPr>
            <w:r>
              <w:rPr>
                <w:rFonts w:hint="eastAsia" w:ascii="宋体" w:hAnsi="宋体" w:cs="宋体"/>
                <w:color w:val="000000"/>
                <w:kern w:val="0"/>
                <w:sz w:val="22"/>
                <w:szCs w:val="22"/>
              </w:rPr>
              <w:t>0.30</w:t>
            </w:r>
          </w:p>
        </w:tc>
      </w:tr>
    </w:tbl>
    <w:p>
      <w:pPr>
        <w:ind w:firstLine="420" w:firstLineChars="200"/>
      </w:pPr>
    </w:p>
    <w:p>
      <w:pPr>
        <w:spacing w:line="360" w:lineRule="auto"/>
        <w:rPr>
          <w:rFonts w:eastAsia="黑体"/>
          <w:bCs/>
          <w:color w:val="000000"/>
          <w:szCs w:val="21"/>
        </w:rPr>
      </w:pPr>
      <w:r>
        <w:rPr>
          <w:rFonts w:hint="eastAsia" w:eastAsia="黑体"/>
          <w:bCs/>
          <w:color w:val="000000"/>
          <w:szCs w:val="21"/>
        </w:rPr>
        <w:t>2.5 加标回收实验</w:t>
      </w:r>
    </w:p>
    <w:p>
      <w:pPr>
        <w:adjustRightInd w:val="0"/>
        <w:snapToGrid w:val="0"/>
        <w:spacing w:before="50" w:after="50"/>
        <w:ind w:firstLine="444" w:firstLineChars="200"/>
        <w:rPr>
          <w:color w:val="FF0000"/>
          <w:spacing w:val="6"/>
        </w:rPr>
      </w:pPr>
      <w:r>
        <w:rPr>
          <w:spacing w:val="6"/>
        </w:rPr>
        <w:t>在样品</w:t>
      </w:r>
      <w:r>
        <w:rPr>
          <w:rFonts w:hint="eastAsia"/>
          <w:spacing w:val="6"/>
        </w:rPr>
        <w:t>2#</w:t>
      </w:r>
      <w:r>
        <w:rPr>
          <w:spacing w:val="6"/>
        </w:rPr>
        <w:t>和</w:t>
      </w:r>
      <w:r>
        <w:rPr>
          <w:rFonts w:hint="eastAsia"/>
          <w:spacing w:val="6"/>
        </w:rPr>
        <w:t>3#</w:t>
      </w:r>
      <w:r>
        <w:rPr>
          <w:spacing w:val="6"/>
        </w:rPr>
        <w:t>中分别加入</w:t>
      </w:r>
      <w:r>
        <w:rPr>
          <w:rFonts w:hint="eastAsia"/>
          <w:spacing w:val="6"/>
        </w:rPr>
        <w:t>不同量的铜</w:t>
      </w:r>
      <w:r>
        <w:rPr>
          <w:spacing w:val="6"/>
        </w:rPr>
        <w:t>标准溶液进行</w:t>
      </w:r>
      <w:r>
        <w:rPr>
          <w:rFonts w:hint="eastAsia"/>
          <w:spacing w:val="6"/>
        </w:rPr>
        <w:t>加标</w:t>
      </w:r>
      <w:r>
        <w:rPr>
          <w:spacing w:val="6"/>
        </w:rPr>
        <w:t>回收</w:t>
      </w:r>
      <w:r>
        <w:rPr>
          <w:rFonts w:hint="eastAsia"/>
          <w:spacing w:val="6"/>
        </w:rPr>
        <w:t>实验</w:t>
      </w:r>
      <w:r>
        <w:rPr>
          <w:spacing w:val="6"/>
        </w:rPr>
        <w:t>，</w:t>
      </w:r>
      <w:r>
        <w:rPr>
          <w:rFonts w:hint="eastAsia"/>
          <w:spacing w:val="6"/>
        </w:rPr>
        <w:t>结果</w:t>
      </w:r>
      <w:r>
        <w:rPr>
          <w:spacing w:val="6"/>
        </w:rPr>
        <w:t>见表</w:t>
      </w:r>
      <w:r>
        <w:rPr>
          <w:rFonts w:hint="eastAsia"/>
          <w:spacing w:val="6"/>
        </w:rPr>
        <w:t>9</w:t>
      </w:r>
      <w:r>
        <w:rPr>
          <w:spacing w:val="6"/>
        </w:rPr>
        <w:t>。</w:t>
      </w:r>
    </w:p>
    <w:p>
      <w:pPr>
        <w:jc w:val="center"/>
      </w:pPr>
      <w:r>
        <w:rPr>
          <w:rFonts w:hint="eastAsia"/>
        </w:rPr>
        <w:t>表9 回收率实验</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858"/>
        <w:gridCol w:w="1860"/>
        <w:gridCol w:w="1859"/>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9" w:type="dxa"/>
            <w:vAlign w:val="center"/>
          </w:tcPr>
          <w:p>
            <w:pPr>
              <w:adjustRightInd w:val="0"/>
              <w:snapToGrid w:val="0"/>
              <w:spacing w:before="50" w:after="50"/>
              <w:ind w:firstLine="222" w:firstLineChars="100"/>
              <w:jc w:val="center"/>
            </w:pPr>
            <w:r>
              <w:rPr>
                <w:rFonts w:hint="eastAsia"/>
                <w:spacing w:val="6"/>
              </w:rPr>
              <w:t>样品</w:t>
            </w:r>
            <w:r>
              <w:rPr>
                <w:spacing w:val="6"/>
              </w:rPr>
              <w:t>编号</w:t>
            </w:r>
          </w:p>
        </w:tc>
        <w:tc>
          <w:tcPr>
            <w:tcW w:w="1858" w:type="dxa"/>
            <w:vAlign w:val="center"/>
          </w:tcPr>
          <w:p>
            <w:pPr>
              <w:adjustRightInd w:val="0"/>
              <w:snapToGrid w:val="0"/>
              <w:spacing w:before="50" w:after="50"/>
              <w:jc w:val="center"/>
            </w:pPr>
            <w:r>
              <w:rPr>
                <w:spacing w:val="6"/>
              </w:rPr>
              <w:t>样品含</w:t>
            </w:r>
            <w:r>
              <w:rPr>
                <w:rFonts w:hint="eastAsia"/>
                <w:spacing w:val="6"/>
              </w:rPr>
              <w:t>铜</w:t>
            </w:r>
            <w:r>
              <w:rPr>
                <w:spacing w:val="6"/>
              </w:rPr>
              <w:t>量/</w:t>
            </w:r>
            <w:r>
              <w:rPr>
                <w:rFonts w:hint="eastAsia"/>
                <w:spacing w:val="6"/>
              </w:rPr>
              <w:t>m</w:t>
            </w:r>
            <w:r>
              <w:rPr>
                <w:spacing w:val="6"/>
              </w:rPr>
              <w:t>g</w:t>
            </w:r>
          </w:p>
        </w:tc>
        <w:tc>
          <w:tcPr>
            <w:tcW w:w="1860" w:type="dxa"/>
            <w:vAlign w:val="center"/>
          </w:tcPr>
          <w:p>
            <w:pPr>
              <w:adjustRightInd w:val="0"/>
              <w:snapToGrid w:val="0"/>
              <w:spacing w:before="50" w:after="50"/>
              <w:jc w:val="center"/>
            </w:pPr>
            <w:r>
              <w:rPr>
                <w:spacing w:val="6"/>
              </w:rPr>
              <w:t>加入</w:t>
            </w:r>
            <w:r>
              <w:rPr>
                <w:rFonts w:hint="eastAsia"/>
                <w:spacing w:val="6"/>
              </w:rPr>
              <w:t>铜</w:t>
            </w:r>
            <w:r>
              <w:rPr>
                <w:spacing w:val="6"/>
              </w:rPr>
              <w:t>量/</w:t>
            </w:r>
            <w:r>
              <w:rPr>
                <w:rFonts w:hint="eastAsia"/>
                <w:spacing w:val="6"/>
              </w:rPr>
              <w:t>m</w:t>
            </w:r>
            <w:r>
              <w:rPr>
                <w:spacing w:val="6"/>
              </w:rPr>
              <w:t>g</w:t>
            </w:r>
          </w:p>
        </w:tc>
        <w:tc>
          <w:tcPr>
            <w:tcW w:w="1859" w:type="dxa"/>
            <w:vAlign w:val="center"/>
          </w:tcPr>
          <w:p>
            <w:pPr>
              <w:adjustRightInd w:val="0"/>
              <w:snapToGrid w:val="0"/>
              <w:spacing w:before="50" w:after="50"/>
              <w:jc w:val="center"/>
            </w:pPr>
            <w:r>
              <w:rPr>
                <w:spacing w:val="6"/>
              </w:rPr>
              <w:t>测得</w:t>
            </w:r>
            <w:r>
              <w:rPr>
                <w:rFonts w:hint="eastAsia"/>
                <w:spacing w:val="6"/>
              </w:rPr>
              <w:t>铜</w:t>
            </w:r>
            <w:r>
              <w:rPr>
                <w:spacing w:val="6"/>
              </w:rPr>
              <w:t>量/</w:t>
            </w:r>
            <w:r>
              <w:rPr>
                <w:rFonts w:hint="eastAsia"/>
                <w:spacing w:val="6"/>
              </w:rPr>
              <w:t>m</w:t>
            </w:r>
            <w:r>
              <w:rPr>
                <w:spacing w:val="6"/>
              </w:rPr>
              <w:t>g</w:t>
            </w:r>
          </w:p>
        </w:tc>
        <w:tc>
          <w:tcPr>
            <w:tcW w:w="1850" w:type="dxa"/>
            <w:vAlign w:val="center"/>
          </w:tcPr>
          <w:p>
            <w:pPr>
              <w:adjustRightInd w:val="0"/>
              <w:snapToGrid w:val="0"/>
              <w:spacing w:before="50" w:after="50"/>
              <w:ind w:firstLine="222" w:firstLineChars="100"/>
            </w:pPr>
            <w:r>
              <w:rPr>
                <w:spacing w:val="6"/>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9" w:type="dxa"/>
            <w:vAlign w:val="center"/>
          </w:tcPr>
          <w:p>
            <w:pPr>
              <w:jc w:val="center"/>
            </w:pPr>
            <w:r>
              <w:rPr>
                <w:rFonts w:hint="eastAsia"/>
              </w:rPr>
              <w:t>1#</w:t>
            </w:r>
          </w:p>
        </w:tc>
        <w:tc>
          <w:tcPr>
            <w:tcW w:w="1858" w:type="dxa"/>
            <w:vAlign w:val="center"/>
          </w:tcPr>
          <w:p>
            <w:pPr>
              <w:jc w:val="center"/>
            </w:pPr>
            <w:r>
              <w:rPr>
                <w:rFonts w:hint="eastAsia"/>
              </w:rPr>
              <w:t>18.95</w:t>
            </w:r>
          </w:p>
        </w:tc>
        <w:tc>
          <w:tcPr>
            <w:tcW w:w="1860" w:type="dxa"/>
            <w:vAlign w:val="center"/>
          </w:tcPr>
          <w:p>
            <w:pPr>
              <w:jc w:val="center"/>
            </w:pPr>
            <w:r>
              <w:rPr>
                <w:rFonts w:hint="eastAsia"/>
              </w:rPr>
              <w:t>25.00</w:t>
            </w:r>
          </w:p>
        </w:tc>
        <w:tc>
          <w:tcPr>
            <w:tcW w:w="1859" w:type="dxa"/>
            <w:vAlign w:val="center"/>
          </w:tcPr>
          <w:p>
            <w:pPr>
              <w:jc w:val="center"/>
            </w:pPr>
            <w:r>
              <w:rPr>
                <w:rFonts w:hint="eastAsia"/>
              </w:rPr>
              <w:t>43.99</w:t>
            </w:r>
          </w:p>
        </w:tc>
        <w:tc>
          <w:tcPr>
            <w:tcW w:w="1850" w:type="dxa"/>
            <w:vAlign w:val="center"/>
          </w:tcPr>
          <w:p>
            <w:pPr>
              <w:ind w:firstLine="630" w:firstLineChars="300"/>
            </w:pPr>
            <w:r>
              <w:rPr>
                <w:rFonts w:hint="eastAsia"/>
              </w:rPr>
              <w:t>100.16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9" w:type="dxa"/>
            <w:vAlign w:val="center"/>
          </w:tcPr>
          <w:p>
            <w:pPr>
              <w:jc w:val="center"/>
            </w:pPr>
            <w:r>
              <w:rPr>
                <w:rFonts w:hint="eastAsia"/>
              </w:rPr>
              <w:t>1#</w:t>
            </w:r>
          </w:p>
        </w:tc>
        <w:tc>
          <w:tcPr>
            <w:tcW w:w="1858" w:type="dxa"/>
            <w:vAlign w:val="center"/>
          </w:tcPr>
          <w:p>
            <w:pPr>
              <w:jc w:val="center"/>
            </w:pPr>
            <w:r>
              <w:rPr>
                <w:rFonts w:hint="eastAsia"/>
              </w:rPr>
              <w:t>19.05</w:t>
            </w:r>
          </w:p>
        </w:tc>
        <w:tc>
          <w:tcPr>
            <w:tcW w:w="1860" w:type="dxa"/>
            <w:vAlign w:val="center"/>
          </w:tcPr>
          <w:p>
            <w:pPr>
              <w:jc w:val="center"/>
            </w:pPr>
            <w:r>
              <w:rPr>
                <w:rFonts w:hint="eastAsia"/>
              </w:rPr>
              <w:t>25.00</w:t>
            </w:r>
          </w:p>
        </w:tc>
        <w:tc>
          <w:tcPr>
            <w:tcW w:w="1859" w:type="dxa"/>
            <w:vAlign w:val="center"/>
          </w:tcPr>
          <w:p>
            <w:pPr>
              <w:jc w:val="center"/>
            </w:pPr>
            <w:r>
              <w:rPr>
                <w:rFonts w:hint="eastAsia"/>
              </w:rPr>
              <w:t>44.25</w:t>
            </w:r>
          </w:p>
        </w:tc>
        <w:tc>
          <w:tcPr>
            <w:tcW w:w="1850" w:type="dxa"/>
            <w:vAlign w:val="center"/>
          </w:tcPr>
          <w:p>
            <w:pPr>
              <w:ind w:firstLine="630" w:firstLineChars="300"/>
            </w:pPr>
            <w:r>
              <w:rPr>
                <w:rFonts w:hint="eastAsia"/>
              </w:rPr>
              <w:t>100.80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9" w:type="dxa"/>
            <w:vAlign w:val="center"/>
          </w:tcPr>
          <w:p>
            <w:pPr>
              <w:jc w:val="center"/>
            </w:pPr>
            <w:r>
              <w:rPr>
                <w:rFonts w:hint="eastAsia"/>
              </w:rPr>
              <w:t>2#</w:t>
            </w:r>
          </w:p>
        </w:tc>
        <w:tc>
          <w:tcPr>
            <w:tcW w:w="1858" w:type="dxa"/>
            <w:vAlign w:val="center"/>
          </w:tcPr>
          <w:p>
            <w:pPr>
              <w:jc w:val="center"/>
            </w:pPr>
            <w:r>
              <w:rPr>
                <w:rFonts w:hint="eastAsia"/>
              </w:rPr>
              <w:t>37.00</w:t>
            </w:r>
          </w:p>
        </w:tc>
        <w:tc>
          <w:tcPr>
            <w:tcW w:w="1860" w:type="dxa"/>
            <w:vAlign w:val="center"/>
          </w:tcPr>
          <w:p>
            <w:pPr>
              <w:jc w:val="center"/>
            </w:pPr>
            <w:r>
              <w:rPr>
                <w:rFonts w:hint="eastAsia"/>
              </w:rPr>
              <w:t>25.00</w:t>
            </w:r>
          </w:p>
        </w:tc>
        <w:tc>
          <w:tcPr>
            <w:tcW w:w="1859" w:type="dxa"/>
            <w:vAlign w:val="center"/>
          </w:tcPr>
          <w:p>
            <w:pPr>
              <w:jc w:val="center"/>
            </w:pPr>
            <w:r>
              <w:rPr>
                <w:rFonts w:hint="eastAsia"/>
              </w:rPr>
              <w:t>61.89</w:t>
            </w:r>
          </w:p>
        </w:tc>
        <w:tc>
          <w:tcPr>
            <w:tcW w:w="1850" w:type="dxa"/>
            <w:vAlign w:val="center"/>
          </w:tcPr>
          <w:p>
            <w:pPr>
              <w:ind w:firstLine="630" w:firstLineChars="300"/>
            </w:pPr>
            <w:r>
              <w:rPr>
                <w:rFonts w:hint="eastAsia"/>
              </w:rPr>
              <w:t>99.56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9" w:type="dxa"/>
            <w:vAlign w:val="center"/>
          </w:tcPr>
          <w:p>
            <w:pPr>
              <w:jc w:val="center"/>
            </w:pPr>
            <w:r>
              <w:rPr>
                <w:rFonts w:hint="eastAsia"/>
              </w:rPr>
              <w:t>2#</w:t>
            </w:r>
          </w:p>
        </w:tc>
        <w:tc>
          <w:tcPr>
            <w:tcW w:w="1858" w:type="dxa"/>
            <w:vAlign w:val="center"/>
          </w:tcPr>
          <w:p>
            <w:pPr>
              <w:jc w:val="center"/>
            </w:pPr>
            <w:r>
              <w:rPr>
                <w:rFonts w:hint="eastAsia"/>
              </w:rPr>
              <w:t>36.75</w:t>
            </w:r>
          </w:p>
        </w:tc>
        <w:tc>
          <w:tcPr>
            <w:tcW w:w="1860" w:type="dxa"/>
            <w:vAlign w:val="center"/>
          </w:tcPr>
          <w:p>
            <w:pPr>
              <w:jc w:val="center"/>
            </w:pPr>
            <w:r>
              <w:rPr>
                <w:rFonts w:hint="eastAsia"/>
              </w:rPr>
              <w:t>25.00</w:t>
            </w:r>
          </w:p>
        </w:tc>
        <w:tc>
          <w:tcPr>
            <w:tcW w:w="1859" w:type="dxa"/>
            <w:vAlign w:val="center"/>
          </w:tcPr>
          <w:p>
            <w:pPr>
              <w:jc w:val="center"/>
            </w:pPr>
            <w:r>
              <w:rPr>
                <w:rFonts w:hint="eastAsia"/>
              </w:rPr>
              <w:t>61.85</w:t>
            </w:r>
          </w:p>
        </w:tc>
        <w:tc>
          <w:tcPr>
            <w:tcW w:w="1850" w:type="dxa"/>
            <w:vAlign w:val="center"/>
          </w:tcPr>
          <w:p>
            <w:pPr>
              <w:ind w:firstLine="630" w:firstLineChars="300"/>
            </w:pPr>
            <w:r>
              <w:rPr>
                <w:rFonts w:hint="eastAsia"/>
              </w:rPr>
              <w:t>100.40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9" w:type="dxa"/>
            <w:vAlign w:val="center"/>
          </w:tcPr>
          <w:p>
            <w:pPr>
              <w:jc w:val="center"/>
            </w:pPr>
            <w:r>
              <w:rPr>
                <w:rFonts w:hint="eastAsia"/>
              </w:rPr>
              <w:t>3#</w:t>
            </w:r>
          </w:p>
        </w:tc>
        <w:tc>
          <w:tcPr>
            <w:tcW w:w="1858" w:type="dxa"/>
            <w:vAlign w:val="center"/>
          </w:tcPr>
          <w:p>
            <w:pPr>
              <w:jc w:val="center"/>
            </w:pPr>
            <w:r>
              <w:rPr>
                <w:rFonts w:hint="eastAsia"/>
              </w:rPr>
              <w:t>51.07</w:t>
            </w:r>
          </w:p>
        </w:tc>
        <w:tc>
          <w:tcPr>
            <w:tcW w:w="1860" w:type="dxa"/>
            <w:vAlign w:val="center"/>
          </w:tcPr>
          <w:p>
            <w:pPr>
              <w:jc w:val="center"/>
            </w:pPr>
            <w:r>
              <w:rPr>
                <w:rFonts w:hint="eastAsia"/>
              </w:rPr>
              <w:t>25.00</w:t>
            </w:r>
          </w:p>
        </w:tc>
        <w:tc>
          <w:tcPr>
            <w:tcW w:w="1859" w:type="dxa"/>
            <w:vAlign w:val="center"/>
          </w:tcPr>
          <w:p>
            <w:pPr>
              <w:jc w:val="center"/>
            </w:pPr>
            <w:r>
              <w:rPr>
                <w:rFonts w:hint="eastAsia"/>
              </w:rPr>
              <w:t>76.51</w:t>
            </w:r>
          </w:p>
        </w:tc>
        <w:tc>
          <w:tcPr>
            <w:tcW w:w="1850" w:type="dxa"/>
            <w:vAlign w:val="center"/>
          </w:tcPr>
          <w:p>
            <w:pPr>
              <w:ind w:firstLine="630" w:firstLineChars="300"/>
            </w:pPr>
            <w:r>
              <w:rPr>
                <w:rFonts w:hint="eastAsia"/>
              </w:rPr>
              <w:t>101.76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9" w:type="dxa"/>
            <w:vAlign w:val="center"/>
          </w:tcPr>
          <w:p>
            <w:pPr>
              <w:jc w:val="center"/>
            </w:pPr>
            <w:r>
              <w:rPr>
                <w:rFonts w:hint="eastAsia"/>
              </w:rPr>
              <w:t>3#</w:t>
            </w:r>
          </w:p>
        </w:tc>
        <w:tc>
          <w:tcPr>
            <w:tcW w:w="1858" w:type="dxa"/>
            <w:vAlign w:val="center"/>
          </w:tcPr>
          <w:p>
            <w:pPr>
              <w:jc w:val="center"/>
            </w:pPr>
            <w:r>
              <w:rPr>
                <w:rFonts w:hint="eastAsia"/>
              </w:rPr>
              <w:t>50.27</w:t>
            </w:r>
          </w:p>
        </w:tc>
        <w:tc>
          <w:tcPr>
            <w:tcW w:w="1860" w:type="dxa"/>
            <w:vAlign w:val="center"/>
          </w:tcPr>
          <w:p>
            <w:pPr>
              <w:jc w:val="center"/>
            </w:pPr>
            <w:r>
              <w:rPr>
                <w:rFonts w:hint="eastAsia"/>
              </w:rPr>
              <w:t>25.00</w:t>
            </w:r>
          </w:p>
        </w:tc>
        <w:tc>
          <w:tcPr>
            <w:tcW w:w="1859" w:type="dxa"/>
            <w:vAlign w:val="center"/>
          </w:tcPr>
          <w:p>
            <w:pPr>
              <w:jc w:val="center"/>
            </w:pPr>
            <w:r>
              <w:rPr>
                <w:rFonts w:hint="eastAsia"/>
              </w:rPr>
              <w:t>75.25</w:t>
            </w:r>
          </w:p>
        </w:tc>
        <w:tc>
          <w:tcPr>
            <w:tcW w:w="1850" w:type="dxa"/>
            <w:vAlign w:val="center"/>
          </w:tcPr>
          <w:p>
            <w:pPr>
              <w:ind w:firstLine="630" w:firstLineChars="300"/>
            </w:pPr>
            <w:r>
              <w:rPr>
                <w:rFonts w:hint="eastAsia"/>
              </w:rPr>
              <w:t>99.92</w:t>
            </w:r>
          </w:p>
        </w:tc>
      </w:tr>
    </w:tbl>
    <w:p>
      <w:pPr>
        <w:adjustRightInd w:val="0"/>
        <w:snapToGrid w:val="0"/>
        <w:spacing w:before="50" w:after="50"/>
        <w:ind w:firstLine="444" w:firstLineChars="200"/>
        <w:rPr>
          <w:spacing w:val="6"/>
        </w:rPr>
      </w:pPr>
      <w:r>
        <w:rPr>
          <w:spacing w:val="6"/>
        </w:rPr>
        <w:t>从表</w:t>
      </w:r>
      <w:r>
        <w:rPr>
          <w:rFonts w:hint="eastAsia"/>
          <w:spacing w:val="6"/>
        </w:rPr>
        <w:t>9</w:t>
      </w:r>
      <w:r>
        <w:rPr>
          <w:spacing w:val="6"/>
        </w:rPr>
        <w:t>中可以看出，方法的回收率在9</w:t>
      </w:r>
      <w:r>
        <w:rPr>
          <w:rFonts w:hint="eastAsia"/>
          <w:spacing w:val="6"/>
        </w:rPr>
        <w:t>9.5</w:t>
      </w:r>
      <w:r>
        <w:rPr>
          <w:spacing w:val="6"/>
        </w:rPr>
        <w:t>％~10</w:t>
      </w:r>
      <w:r>
        <w:rPr>
          <w:rFonts w:hint="eastAsia"/>
          <w:spacing w:val="6"/>
        </w:rPr>
        <w:t>2</w:t>
      </w:r>
      <w:r>
        <w:rPr>
          <w:spacing w:val="6"/>
        </w:rPr>
        <w:t>％之间，能满足测定要求。</w:t>
      </w:r>
    </w:p>
    <w:p>
      <w:pPr>
        <w:spacing w:line="360" w:lineRule="auto"/>
        <w:rPr>
          <w:rFonts w:eastAsia="黑体"/>
          <w:color w:val="000000"/>
          <w:sz w:val="30"/>
          <w:szCs w:val="30"/>
        </w:rPr>
      </w:pPr>
      <w:r>
        <w:rPr>
          <w:rFonts w:eastAsia="黑体"/>
          <w:color w:val="000000"/>
          <w:sz w:val="30"/>
          <w:szCs w:val="30"/>
        </w:rPr>
        <w:t>3结论</w:t>
      </w:r>
    </w:p>
    <w:p>
      <w:r>
        <w:rPr>
          <w:spacing w:val="6"/>
        </w:rPr>
        <w:t xml:space="preserve">    试验结果表明：本方法测定</w:t>
      </w:r>
      <w:r>
        <w:rPr>
          <w:rFonts w:hint="eastAsia"/>
          <w:spacing w:val="6"/>
        </w:rPr>
        <w:t>分银渣</w:t>
      </w:r>
      <w:r>
        <w:rPr>
          <w:spacing w:val="6"/>
        </w:rPr>
        <w:t>中的</w:t>
      </w:r>
      <w:r>
        <w:rPr>
          <w:rFonts w:hint="eastAsia"/>
          <w:spacing w:val="6"/>
        </w:rPr>
        <w:t>铜</w:t>
      </w:r>
      <w:r>
        <w:rPr>
          <w:spacing w:val="6"/>
        </w:rPr>
        <w:t>，共存元素</w:t>
      </w:r>
      <w:r>
        <w:rPr>
          <w:rFonts w:hint="eastAsia"/>
          <w:spacing w:val="6"/>
        </w:rPr>
        <w:t>的影响均可消除</w:t>
      </w:r>
      <w:r>
        <w:rPr>
          <w:spacing w:val="6"/>
        </w:rPr>
        <w:t>。</w:t>
      </w:r>
      <w:r>
        <w:rPr>
          <w:rFonts w:hAnsi="宋体"/>
          <w:spacing w:val="6"/>
        </w:rPr>
        <w:t>方法适用范围广、精密度良好，适用于</w:t>
      </w:r>
      <w:r>
        <w:rPr>
          <w:rFonts w:hint="eastAsia" w:hAnsi="宋体"/>
          <w:spacing w:val="6"/>
        </w:rPr>
        <w:t>分银渣</w:t>
      </w:r>
      <w:r>
        <w:rPr>
          <w:rFonts w:hAnsi="宋体"/>
          <w:spacing w:val="6"/>
        </w:rPr>
        <w:t>中</w:t>
      </w:r>
      <w:r>
        <w:rPr>
          <w:rFonts w:hint="eastAsia"/>
          <w:spacing w:val="6"/>
        </w:rPr>
        <w:t>6</w:t>
      </w:r>
      <w:r>
        <w:rPr>
          <w:spacing w:val="6"/>
        </w:rPr>
        <w:t>%~</w:t>
      </w:r>
      <w:r>
        <w:rPr>
          <w:rFonts w:hint="eastAsia"/>
          <w:spacing w:val="6"/>
        </w:rPr>
        <w:t>27</w:t>
      </w:r>
      <w:r>
        <w:rPr>
          <w:spacing w:val="6"/>
        </w:rPr>
        <w:t>%</w:t>
      </w:r>
      <w:r>
        <w:rPr>
          <w:rFonts w:hint="eastAsia" w:hAnsi="宋体"/>
          <w:spacing w:val="6"/>
        </w:rPr>
        <w:t>铜</w:t>
      </w:r>
      <w:r>
        <w:rPr>
          <w:rFonts w:hAnsi="宋体"/>
          <w:spacing w:val="6"/>
        </w:rPr>
        <w:t>含量的测定，可作为行业标准进行推广。</w:t>
      </w:r>
    </w:p>
    <w:p/>
    <w:p>
      <w:pPr>
        <w:widowControl/>
        <w:jc w:val="left"/>
      </w:pPr>
      <w:r>
        <w:br w:type="page"/>
      </w:r>
    </w:p>
    <w:p>
      <w:pPr>
        <w:pageBreakBefore/>
        <w:rPr>
          <w:szCs w:val="21"/>
        </w:rPr>
      </w:pPr>
      <w:r>
        <w:rPr>
          <w:rFonts w:hint="eastAsia"/>
          <w:szCs w:val="21"/>
        </w:rPr>
        <w:t>附件2：</w:t>
      </w:r>
    </w:p>
    <w:p>
      <w:pPr>
        <w:jc w:val="center"/>
        <w:rPr>
          <w:rFonts w:eastAsia="黑体"/>
          <w:sz w:val="28"/>
          <w:szCs w:val="28"/>
        </w:rPr>
      </w:pPr>
      <w:r>
        <w:rPr>
          <w:rFonts w:hint="eastAsia" w:eastAsia="黑体"/>
          <w:sz w:val="28"/>
          <w:szCs w:val="28"/>
        </w:rPr>
        <w:t>铜阳极泥分银渣</w:t>
      </w:r>
      <w:r>
        <w:rPr>
          <w:rFonts w:eastAsia="黑体"/>
          <w:sz w:val="28"/>
          <w:szCs w:val="28"/>
        </w:rPr>
        <w:t>化学分析方法</w:t>
      </w:r>
    </w:p>
    <w:p>
      <w:pPr>
        <w:jc w:val="center"/>
        <w:rPr>
          <w:rFonts w:eastAsia="黑体"/>
          <w:sz w:val="28"/>
          <w:szCs w:val="28"/>
        </w:rPr>
      </w:pPr>
      <w:r>
        <w:rPr>
          <w:rFonts w:eastAsia="黑体"/>
          <w:sz w:val="28"/>
          <w:szCs w:val="28"/>
        </w:rPr>
        <w:t>第</w:t>
      </w:r>
      <w:r>
        <w:rPr>
          <w:rFonts w:hint="eastAsia" w:eastAsia="黑体"/>
          <w:sz w:val="28"/>
          <w:szCs w:val="28"/>
        </w:rPr>
        <w:t>6</w:t>
      </w:r>
      <w:r>
        <w:rPr>
          <w:rFonts w:eastAsia="黑体"/>
          <w:sz w:val="28"/>
          <w:szCs w:val="28"/>
        </w:rPr>
        <w:t>部分：</w:t>
      </w:r>
      <w:r>
        <w:rPr>
          <w:rFonts w:hint="eastAsia" w:eastAsia="黑体"/>
          <w:sz w:val="28"/>
          <w:szCs w:val="28"/>
        </w:rPr>
        <w:t>铜</w:t>
      </w:r>
      <w:r>
        <w:rPr>
          <w:rFonts w:eastAsia="黑体"/>
          <w:sz w:val="28"/>
          <w:szCs w:val="28"/>
        </w:rPr>
        <w:t xml:space="preserve">量的测定 </w:t>
      </w:r>
      <w:r>
        <w:rPr>
          <w:rFonts w:hint="eastAsia" w:eastAsia="黑体"/>
          <w:sz w:val="28"/>
          <w:szCs w:val="28"/>
        </w:rPr>
        <w:t>碘量法</w:t>
      </w:r>
    </w:p>
    <w:p>
      <w:pPr>
        <w:jc w:val="center"/>
        <w:rPr>
          <w:rFonts w:eastAsia="黑体"/>
          <w:sz w:val="28"/>
          <w:szCs w:val="28"/>
        </w:rPr>
      </w:pPr>
      <w:r>
        <w:rPr>
          <w:rFonts w:eastAsia="黑体"/>
          <w:sz w:val="28"/>
          <w:szCs w:val="28"/>
        </w:rPr>
        <w:t>精密度试验数据处理</w:t>
      </w:r>
    </w:p>
    <w:p>
      <w:pPr>
        <w:spacing w:line="360" w:lineRule="auto"/>
        <w:rPr>
          <w:rFonts w:ascii="黑体" w:hAnsi="黑体" w:eastAsia="黑体"/>
          <w:szCs w:val="21"/>
        </w:rPr>
      </w:pPr>
      <w:r>
        <w:rPr>
          <w:rFonts w:ascii="黑体" w:hAnsi="黑体" w:eastAsia="黑体"/>
          <w:szCs w:val="21"/>
        </w:rPr>
        <w:t>1  背景</w:t>
      </w:r>
    </w:p>
    <w:p>
      <w:pPr>
        <w:ind w:firstLine="420" w:firstLineChars="200"/>
        <w:rPr>
          <w:szCs w:val="21"/>
        </w:rPr>
      </w:pPr>
      <w:r>
        <w:rPr>
          <w:szCs w:val="21"/>
        </w:rPr>
        <w:t>为了确定《</w:t>
      </w:r>
      <w:r>
        <w:rPr>
          <w:rFonts w:hint="eastAsia"/>
          <w:szCs w:val="21"/>
        </w:rPr>
        <w:t>铜阳极泥分银渣</w:t>
      </w:r>
      <w:r>
        <w:rPr>
          <w:szCs w:val="21"/>
        </w:rPr>
        <w:t>化学分析方法 第</w:t>
      </w:r>
      <w:r>
        <w:rPr>
          <w:rFonts w:hint="eastAsia"/>
          <w:szCs w:val="21"/>
        </w:rPr>
        <w:t>6</w:t>
      </w:r>
      <w:r>
        <w:rPr>
          <w:szCs w:val="21"/>
        </w:rPr>
        <w:t xml:space="preserve">部分 </w:t>
      </w:r>
      <w:r>
        <w:rPr>
          <w:rFonts w:hint="eastAsia"/>
          <w:szCs w:val="21"/>
        </w:rPr>
        <w:t>铜</w:t>
      </w:r>
      <w:r>
        <w:rPr>
          <w:szCs w:val="21"/>
        </w:rPr>
        <w:t xml:space="preserve">量的测定 </w:t>
      </w:r>
      <w:r>
        <w:rPr>
          <w:rFonts w:hint="eastAsia"/>
          <w:szCs w:val="21"/>
        </w:rPr>
        <w:t>碘量法</w:t>
      </w:r>
      <w:r>
        <w:rPr>
          <w:szCs w:val="21"/>
        </w:rPr>
        <w:t>》中</w:t>
      </w:r>
      <w:r>
        <w:rPr>
          <w:rFonts w:hint="eastAsia"/>
          <w:szCs w:val="21"/>
        </w:rPr>
        <w:t>铜</w:t>
      </w:r>
      <w:r>
        <w:rPr>
          <w:szCs w:val="21"/>
        </w:rPr>
        <w:t>量测定方法的重复性与再现性，</w:t>
      </w:r>
      <w:r>
        <w:rPr>
          <w:rFonts w:hint="eastAsia"/>
          <w:szCs w:val="21"/>
        </w:rPr>
        <w:t>11</w:t>
      </w:r>
      <w:r>
        <w:rPr>
          <w:szCs w:val="21"/>
        </w:rPr>
        <w:t>个实验室对</w:t>
      </w:r>
      <w:r>
        <w:rPr>
          <w:rFonts w:hint="eastAsia"/>
          <w:szCs w:val="21"/>
        </w:rPr>
        <w:t>5</w:t>
      </w:r>
      <w:r>
        <w:rPr>
          <w:szCs w:val="21"/>
        </w:rPr>
        <w:t>个水平的</w:t>
      </w:r>
      <w:r>
        <w:rPr>
          <w:rFonts w:hint="eastAsia"/>
          <w:szCs w:val="21"/>
        </w:rPr>
        <w:t>铜阳极泥分银渣</w:t>
      </w:r>
      <w:r>
        <w:rPr>
          <w:szCs w:val="21"/>
        </w:rPr>
        <w:t>样品进行了协同试验。根据国家标准GB/T 6379.2-2004确定标准测量方法的重复性和再现性的基本方法（ISO 5725-2：1994，IDT）的规定，对收到的全部数据进行了统计分析。</w:t>
      </w:r>
    </w:p>
    <w:p>
      <w:pPr>
        <w:spacing w:line="360" w:lineRule="auto"/>
        <w:rPr>
          <w:rFonts w:ascii="黑体" w:hAnsi="黑体" w:eastAsia="黑体"/>
          <w:szCs w:val="21"/>
        </w:rPr>
      </w:pPr>
      <w:r>
        <w:rPr>
          <w:rFonts w:ascii="黑体" w:hAnsi="黑体" w:eastAsia="黑体"/>
          <w:szCs w:val="21"/>
        </w:rPr>
        <w:t>2  各实验室实验数据</w:t>
      </w:r>
    </w:p>
    <w:p>
      <w:pPr>
        <w:spacing w:line="360" w:lineRule="auto"/>
        <w:jc w:val="center"/>
        <w:rPr>
          <w:rFonts w:ascii="黑体" w:hAnsi="黑体" w:eastAsia="黑体"/>
          <w:b/>
          <w:szCs w:val="21"/>
        </w:rPr>
      </w:pPr>
      <w:r>
        <w:rPr>
          <w:rFonts w:ascii="黑体" w:hAnsi="黑体" w:eastAsia="黑体"/>
          <w:szCs w:val="21"/>
        </w:rPr>
        <w:t>表1  各实验室提供的实验数据（%）</w:t>
      </w:r>
    </w:p>
    <w:tbl>
      <w:tblPr>
        <w:tblStyle w:val="9"/>
        <w:tblW w:w="85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78"/>
        <w:gridCol w:w="1606"/>
        <w:gridCol w:w="1232"/>
        <w:gridCol w:w="1236"/>
        <w:gridCol w:w="1234"/>
        <w:gridCol w:w="12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Align w:val="center"/>
          </w:tcPr>
          <w:p>
            <w:pPr>
              <w:widowControl/>
              <w:spacing w:before="100" w:beforeAutospacing="1" w:after="100" w:afterAutospacing="1"/>
              <w:jc w:val="center"/>
              <w:rPr>
                <w:kern w:val="0"/>
                <w:szCs w:val="21"/>
              </w:rPr>
            </w:pPr>
            <w:r>
              <w:rPr>
                <w:kern w:val="0"/>
                <w:szCs w:val="21"/>
              </w:rPr>
              <w:t>实验室</w:t>
            </w:r>
          </w:p>
        </w:tc>
        <w:tc>
          <w:tcPr>
            <w:tcW w:w="1606" w:type="dxa"/>
            <w:vAlign w:val="center"/>
          </w:tcPr>
          <w:p>
            <w:pPr>
              <w:widowControl/>
              <w:spacing w:before="100" w:beforeAutospacing="1" w:after="100" w:afterAutospacing="1"/>
              <w:jc w:val="center"/>
              <w:rPr>
                <w:kern w:val="0"/>
                <w:szCs w:val="21"/>
              </w:rPr>
            </w:pPr>
            <w:r>
              <w:rPr>
                <w:kern w:val="0"/>
                <w:szCs w:val="21"/>
              </w:rPr>
              <w:t>水平1</w:t>
            </w:r>
          </w:p>
        </w:tc>
        <w:tc>
          <w:tcPr>
            <w:tcW w:w="1232" w:type="dxa"/>
            <w:vAlign w:val="center"/>
          </w:tcPr>
          <w:p>
            <w:pPr>
              <w:widowControl/>
              <w:spacing w:before="100" w:beforeAutospacing="1" w:after="100" w:afterAutospacing="1"/>
              <w:jc w:val="center"/>
              <w:rPr>
                <w:kern w:val="0"/>
                <w:szCs w:val="21"/>
              </w:rPr>
            </w:pPr>
            <w:r>
              <w:rPr>
                <w:kern w:val="0"/>
                <w:szCs w:val="21"/>
              </w:rPr>
              <w:t>水平2</w:t>
            </w:r>
          </w:p>
        </w:tc>
        <w:tc>
          <w:tcPr>
            <w:tcW w:w="1236" w:type="dxa"/>
            <w:vAlign w:val="center"/>
          </w:tcPr>
          <w:p>
            <w:pPr>
              <w:widowControl/>
              <w:spacing w:before="100" w:beforeAutospacing="1" w:after="100" w:afterAutospacing="1"/>
              <w:jc w:val="center"/>
              <w:rPr>
                <w:kern w:val="0"/>
                <w:szCs w:val="21"/>
              </w:rPr>
            </w:pPr>
            <w:r>
              <w:rPr>
                <w:kern w:val="0"/>
                <w:szCs w:val="21"/>
              </w:rPr>
              <w:t>水平3</w:t>
            </w:r>
          </w:p>
        </w:tc>
        <w:tc>
          <w:tcPr>
            <w:tcW w:w="1234" w:type="dxa"/>
            <w:vAlign w:val="center"/>
          </w:tcPr>
          <w:p>
            <w:pPr>
              <w:widowControl/>
              <w:spacing w:before="100" w:beforeAutospacing="1" w:after="100" w:afterAutospacing="1"/>
              <w:jc w:val="center"/>
              <w:rPr>
                <w:kern w:val="0"/>
                <w:szCs w:val="21"/>
              </w:rPr>
            </w:pPr>
            <w:r>
              <w:rPr>
                <w:kern w:val="0"/>
                <w:szCs w:val="21"/>
              </w:rPr>
              <w:t>水平4</w:t>
            </w:r>
          </w:p>
        </w:tc>
        <w:tc>
          <w:tcPr>
            <w:tcW w:w="1236" w:type="dxa"/>
            <w:vAlign w:val="center"/>
          </w:tcPr>
          <w:p>
            <w:pPr>
              <w:widowControl/>
              <w:spacing w:before="100" w:beforeAutospacing="1" w:after="100" w:afterAutospacing="1"/>
              <w:jc w:val="center"/>
              <w:rPr>
                <w:kern w:val="0"/>
                <w:szCs w:val="21"/>
              </w:rPr>
            </w:pPr>
            <w:r>
              <w:rPr>
                <w:kern w:val="0"/>
                <w:szCs w:val="21"/>
              </w:rPr>
              <w:t>水平5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restart"/>
            <w:vAlign w:val="center"/>
          </w:tcPr>
          <w:p>
            <w:pPr>
              <w:widowControl/>
              <w:spacing w:before="100" w:beforeAutospacing="1" w:after="100" w:afterAutospacing="1"/>
              <w:jc w:val="center"/>
              <w:rPr>
                <w:kern w:val="0"/>
                <w:szCs w:val="21"/>
              </w:rPr>
            </w:pPr>
            <w:r>
              <w:rPr>
                <w:rFonts w:hint="eastAsia"/>
                <w:kern w:val="0"/>
                <w:szCs w:val="21"/>
              </w:rPr>
              <w:t>1北矿检测</w:t>
            </w:r>
          </w:p>
        </w:tc>
        <w:tc>
          <w:tcPr>
            <w:tcW w:w="1606" w:type="dxa"/>
            <w:vAlign w:val="center"/>
          </w:tcPr>
          <w:p>
            <w:pPr>
              <w:jc w:val="center"/>
            </w:pPr>
            <w:r>
              <w:t>6.28</w:t>
            </w:r>
          </w:p>
        </w:tc>
        <w:tc>
          <w:tcPr>
            <w:tcW w:w="1232" w:type="dxa"/>
            <w:vAlign w:val="center"/>
          </w:tcPr>
          <w:p>
            <w:pPr>
              <w:jc w:val="center"/>
            </w:pPr>
            <w:r>
              <w:t>12.23</w:t>
            </w:r>
          </w:p>
        </w:tc>
        <w:tc>
          <w:tcPr>
            <w:tcW w:w="1236" w:type="dxa"/>
            <w:vAlign w:val="center"/>
          </w:tcPr>
          <w:p>
            <w:pPr>
              <w:jc w:val="center"/>
            </w:pPr>
            <w:r>
              <w:t>16.66</w:t>
            </w:r>
          </w:p>
        </w:tc>
        <w:tc>
          <w:tcPr>
            <w:tcW w:w="1234" w:type="dxa"/>
            <w:vAlign w:val="center"/>
          </w:tcPr>
          <w:p>
            <w:pPr>
              <w:jc w:val="center"/>
            </w:pPr>
            <w:r>
              <w:t>21.11</w:t>
            </w:r>
          </w:p>
        </w:tc>
        <w:tc>
          <w:tcPr>
            <w:tcW w:w="1236" w:type="dxa"/>
            <w:vAlign w:val="center"/>
          </w:tcPr>
          <w:p>
            <w:pPr>
              <w:jc w:val="center"/>
            </w:pPr>
            <w:r>
              <w:t>26.29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6.31</w:t>
            </w:r>
          </w:p>
        </w:tc>
        <w:tc>
          <w:tcPr>
            <w:tcW w:w="1232" w:type="dxa"/>
            <w:vAlign w:val="center"/>
          </w:tcPr>
          <w:p>
            <w:pPr>
              <w:jc w:val="center"/>
            </w:pPr>
            <w:r>
              <w:t>12.3</w:t>
            </w:r>
            <w:r>
              <w:rPr>
                <w:rFonts w:hint="eastAsia"/>
              </w:rPr>
              <w:t>0</w:t>
            </w:r>
          </w:p>
        </w:tc>
        <w:tc>
          <w:tcPr>
            <w:tcW w:w="1236" w:type="dxa"/>
            <w:vAlign w:val="center"/>
          </w:tcPr>
          <w:p>
            <w:pPr>
              <w:jc w:val="center"/>
            </w:pPr>
            <w:r>
              <w:t>16.71</w:t>
            </w:r>
          </w:p>
        </w:tc>
        <w:tc>
          <w:tcPr>
            <w:tcW w:w="1234" w:type="dxa"/>
            <w:vAlign w:val="center"/>
          </w:tcPr>
          <w:p>
            <w:pPr>
              <w:jc w:val="center"/>
            </w:pPr>
            <w:r>
              <w:t>21.13</w:t>
            </w:r>
          </w:p>
        </w:tc>
        <w:tc>
          <w:tcPr>
            <w:tcW w:w="1236" w:type="dxa"/>
            <w:vAlign w:val="center"/>
          </w:tcPr>
          <w:p>
            <w:pPr>
              <w:jc w:val="center"/>
            </w:pPr>
            <w:r>
              <w:t>26.23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6.41</w:t>
            </w:r>
          </w:p>
        </w:tc>
        <w:tc>
          <w:tcPr>
            <w:tcW w:w="1232" w:type="dxa"/>
            <w:vAlign w:val="center"/>
          </w:tcPr>
          <w:p>
            <w:pPr>
              <w:jc w:val="center"/>
            </w:pPr>
            <w:r>
              <w:t>12.17</w:t>
            </w:r>
          </w:p>
        </w:tc>
        <w:tc>
          <w:tcPr>
            <w:tcW w:w="1236" w:type="dxa"/>
            <w:vAlign w:val="center"/>
          </w:tcPr>
          <w:p>
            <w:pPr>
              <w:jc w:val="center"/>
            </w:pPr>
            <w:r>
              <w:t>16.55</w:t>
            </w:r>
          </w:p>
        </w:tc>
        <w:tc>
          <w:tcPr>
            <w:tcW w:w="1234" w:type="dxa"/>
            <w:vAlign w:val="center"/>
          </w:tcPr>
          <w:p>
            <w:pPr>
              <w:jc w:val="center"/>
            </w:pPr>
            <w:r>
              <w:t>21.19</w:t>
            </w:r>
          </w:p>
        </w:tc>
        <w:tc>
          <w:tcPr>
            <w:tcW w:w="1236" w:type="dxa"/>
            <w:vAlign w:val="center"/>
          </w:tcPr>
          <w:p>
            <w:pPr>
              <w:jc w:val="center"/>
            </w:pPr>
            <w:r>
              <w:t>26.32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6.27</w:t>
            </w:r>
          </w:p>
        </w:tc>
        <w:tc>
          <w:tcPr>
            <w:tcW w:w="1232" w:type="dxa"/>
            <w:vAlign w:val="center"/>
          </w:tcPr>
          <w:p>
            <w:pPr>
              <w:jc w:val="center"/>
            </w:pPr>
            <w:r>
              <w:t>12.31</w:t>
            </w:r>
          </w:p>
        </w:tc>
        <w:tc>
          <w:tcPr>
            <w:tcW w:w="1236" w:type="dxa"/>
            <w:vAlign w:val="center"/>
          </w:tcPr>
          <w:p>
            <w:pPr>
              <w:jc w:val="center"/>
            </w:pPr>
            <w:r>
              <w:t>16.66</w:t>
            </w:r>
          </w:p>
        </w:tc>
        <w:tc>
          <w:tcPr>
            <w:tcW w:w="1234" w:type="dxa"/>
            <w:vAlign w:val="center"/>
          </w:tcPr>
          <w:p>
            <w:pPr>
              <w:jc w:val="center"/>
            </w:pPr>
            <w:r>
              <w:t>21.25</w:t>
            </w:r>
          </w:p>
        </w:tc>
        <w:tc>
          <w:tcPr>
            <w:tcW w:w="1236" w:type="dxa"/>
            <w:vAlign w:val="center"/>
          </w:tcPr>
          <w:p>
            <w:pPr>
              <w:jc w:val="center"/>
            </w:pPr>
            <w:r>
              <w:t>26.34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6.32</w:t>
            </w:r>
          </w:p>
        </w:tc>
        <w:tc>
          <w:tcPr>
            <w:tcW w:w="1232" w:type="dxa"/>
            <w:vAlign w:val="center"/>
          </w:tcPr>
          <w:p>
            <w:pPr>
              <w:jc w:val="center"/>
            </w:pPr>
            <w:r>
              <w:t>12.26</w:t>
            </w:r>
          </w:p>
        </w:tc>
        <w:tc>
          <w:tcPr>
            <w:tcW w:w="1236" w:type="dxa"/>
            <w:vAlign w:val="center"/>
          </w:tcPr>
          <w:p>
            <w:pPr>
              <w:jc w:val="center"/>
            </w:pPr>
            <w:r>
              <w:t>16.63</w:t>
            </w:r>
          </w:p>
        </w:tc>
        <w:tc>
          <w:tcPr>
            <w:tcW w:w="1234" w:type="dxa"/>
            <w:vAlign w:val="center"/>
          </w:tcPr>
          <w:p>
            <w:pPr>
              <w:jc w:val="center"/>
            </w:pPr>
            <w:r>
              <w:t>21.24</w:t>
            </w:r>
          </w:p>
        </w:tc>
        <w:tc>
          <w:tcPr>
            <w:tcW w:w="1236" w:type="dxa"/>
            <w:vAlign w:val="center"/>
          </w:tcPr>
          <w:p>
            <w:pPr>
              <w:jc w:val="center"/>
            </w:pPr>
            <w:r>
              <w:t>26.32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6.29</w:t>
            </w:r>
          </w:p>
        </w:tc>
        <w:tc>
          <w:tcPr>
            <w:tcW w:w="1232" w:type="dxa"/>
            <w:vAlign w:val="center"/>
          </w:tcPr>
          <w:p>
            <w:pPr>
              <w:jc w:val="center"/>
            </w:pPr>
            <w:r>
              <w:t>12.29</w:t>
            </w:r>
          </w:p>
        </w:tc>
        <w:tc>
          <w:tcPr>
            <w:tcW w:w="1236" w:type="dxa"/>
            <w:vAlign w:val="center"/>
          </w:tcPr>
          <w:p>
            <w:pPr>
              <w:jc w:val="center"/>
            </w:pPr>
            <w:r>
              <w:t>16.57</w:t>
            </w:r>
          </w:p>
        </w:tc>
        <w:tc>
          <w:tcPr>
            <w:tcW w:w="1234" w:type="dxa"/>
            <w:vAlign w:val="center"/>
          </w:tcPr>
          <w:p>
            <w:pPr>
              <w:jc w:val="center"/>
            </w:pPr>
            <w:r>
              <w:t>21.33</w:t>
            </w:r>
          </w:p>
        </w:tc>
        <w:tc>
          <w:tcPr>
            <w:tcW w:w="1236" w:type="dxa"/>
            <w:vAlign w:val="center"/>
          </w:tcPr>
          <w:p>
            <w:pPr>
              <w:jc w:val="center"/>
            </w:pPr>
            <w:r>
              <w:t>26.46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6.22</w:t>
            </w:r>
          </w:p>
        </w:tc>
        <w:tc>
          <w:tcPr>
            <w:tcW w:w="1232" w:type="dxa"/>
            <w:vAlign w:val="center"/>
          </w:tcPr>
          <w:p>
            <w:pPr>
              <w:jc w:val="center"/>
            </w:pPr>
            <w:r>
              <w:t>12.31</w:t>
            </w:r>
          </w:p>
        </w:tc>
        <w:tc>
          <w:tcPr>
            <w:tcW w:w="1236" w:type="dxa"/>
            <w:vAlign w:val="center"/>
          </w:tcPr>
          <w:p>
            <w:pPr>
              <w:jc w:val="center"/>
            </w:pPr>
            <w:r>
              <w:t>16.65</w:t>
            </w:r>
          </w:p>
        </w:tc>
        <w:tc>
          <w:tcPr>
            <w:tcW w:w="1234" w:type="dxa"/>
            <w:vAlign w:val="center"/>
          </w:tcPr>
          <w:p>
            <w:pPr>
              <w:jc w:val="center"/>
            </w:pPr>
            <w:r>
              <w:t>21.27</w:t>
            </w:r>
          </w:p>
        </w:tc>
        <w:tc>
          <w:tcPr>
            <w:tcW w:w="1236" w:type="dxa"/>
            <w:vAlign w:val="center"/>
          </w:tcPr>
          <w:p>
            <w:pPr>
              <w:jc w:val="center"/>
            </w:pPr>
            <w:r>
              <w:t>26.47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6.24</w:t>
            </w:r>
          </w:p>
        </w:tc>
        <w:tc>
          <w:tcPr>
            <w:tcW w:w="1232" w:type="dxa"/>
            <w:vAlign w:val="center"/>
          </w:tcPr>
          <w:p>
            <w:pPr>
              <w:jc w:val="center"/>
            </w:pPr>
            <w:r>
              <w:t>12.31</w:t>
            </w:r>
          </w:p>
        </w:tc>
        <w:tc>
          <w:tcPr>
            <w:tcW w:w="1236" w:type="dxa"/>
            <w:vAlign w:val="center"/>
          </w:tcPr>
          <w:p>
            <w:pPr>
              <w:jc w:val="center"/>
            </w:pPr>
            <w:r>
              <w:t>16.81</w:t>
            </w:r>
          </w:p>
        </w:tc>
        <w:tc>
          <w:tcPr>
            <w:tcW w:w="1234" w:type="dxa"/>
            <w:vAlign w:val="center"/>
          </w:tcPr>
          <w:p>
            <w:pPr>
              <w:jc w:val="center"/>
            </w:pPr>
            <w:r>
              <w:t>21.12</w:t>
            </w:r>
          </w:p>
        </w:tc>
        <w:tc>
          <w:tcPr>
            <w:tcW w:w="1236" w:type="dxa"/>
            <w:vAlign w:val="center"/>
          </w:tcPr>
          <w:p>
            <w:pPr>
              <w:jc w:val="center"/>
            </w:pPr>
            <w:r>
              <w:t>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6.32</w:t>
            </w:r>
          </w:p>
        </w:tc>
        <w:tc>
          <w:tcPr>
            <w:tcW w:w="1232" w:type="dxa"/>
            <w:vAlign w:val="center"/>
          </w:tcPr>
          <w:p>
            <w:pPr>
              <w:jc w:val="center"/>
            </w:pPr>
            <w:r>
              <w:t>12.19</w:t>
            </w:r>
          </w:p>
        </w:tc>
        <w:tc>
          <w:tcPr>
            <w:tcW w:w="1236" w:type="dxa"/>
            <w:vAlign w:val="center"/>
          </w:tcPr>
          <w:p>
            <w:pPr>
              <w:jc w:val="center"/>
            </w:pPr>
            <w:r>
              <w:t>16.63</w:t>
            </w:r>
          </w:p>
        </w:tc>
        <w:tc>
          <w:tcPr>
            <w:tcW w:w="1234" w:type="dxa"/>
            <w:vAlign w:val="center"/>
          </w:tcPr>
          <w:p>
            <w:pPr>
              <w:jc w:val="center"/>
            </w:pPr>
            <w:r>
              <w:t>21.31</w:t>
            </w:r>
          </w:p>
        </w:tc>
        <w:tc>
          <w:tcPr>
            <w:tcW w:w="1236" w:type="dxa"/>
            <w:vAlign w:val="center"/>
          </w:tcPr>
          <w:p>
            <w:pPr>
              <w:jc w:val="center"/>
            </w:pPr>
            <w:r>
              <w:t>26.43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6.36</w:t>
            </w:r>
          </w:p>
        </w:tc>
        <w:tc>
          <w:tcPr>
            <w:tcW w:w="1232" w:type="dxa"/>
            <w:vAlign w:val="center"/>
          </w:tcPr>
          <w:p>
            <w:pPr>
              <w:jc w:val="center"/>
            </w:pPr>
            <w:r>
              <w:t>12.13</w:t>
            </w:r>
          </w:p>
        </w:tc>
        <w:tc>
          <w:tcPr>
            <w:tcW w:w="1236" w:type="dxa"/>
            <w:vAlign w:val="center"/>
          </w:tcPr>
          <w:p>
            <w:pPr>
              <w:jc w:val="center"/>
            </w:pPr>
            <w:r>
              <w:t>16.61</w:t>
            </w:r>
          </w:p>
        </w:tc>
        <w:tc>
          <w:tcPr>
            <w:tcW w:w="1234" w:type="dxa"/>
            <w:vAlign w:val="center"/>
          </w:tcPr>
          <w:p>
            <w:pPr>
              <w:jc w:val="center"/>
            </w:pPr>
            <w:r>
              <w:t>21.39</w:t>
            </w:r>
          </w:p>
        </w:tc>
        <w:tc>
          <w:tcPr>
            <w:tcW w:w="1236" w:type="dxa"/>
            <w:vAlign w:val="center"/>
          </w:tcPr>
          <w:p>
            <w:pPr>
              <w:jc w:val="center"/>
            </w:pPr>
            <w:r>
              <w:t>26.33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6.27</w:t>
            </w:r>
          </w:p>
        </w:tc>
        <w:tc>
          <w:tcPr>
            <w:tcW w:w="1232" w:type="dxa"/>
            <w:vAlign w:val="center"/>
          </w:tcPr>
          <w:p>
            <w:pPr>
              <w:jc w:val="center"/>
            </w:pPr>
            <w:r>
              <w:t>12.24</w:t>
            </w:r>
          </w:p>
        </w:tc>
        <w:tc>
          <w:tcPr>
            <w:tcW w:w="1236" w:type="dxa"/>
            <w:vAlign w:val="center"/>
          </w:tcPr>
          <w:p>
            <w:pPr>
              <w:jc w:val="center"/>
            </w:pPr>
            <w:r>
              <w:t>16.56</w:t>
            </w:r>
          </w:p>
        </w:tc>
        <w:tc>
          <w:tcPr>
            <w:tcW w:w="1234" w:type="dxa"/>
            <w:vAlign w:val="center"/>
          </w:tcPr>
          <w:p>
            <w:pPr>
              <w:jc w:val="center"/>
            </w:pPr>
            <w:r>
              <w:t>21.28</w:t>
            </w:r>
          </w:p>
        </w:tc>
        <w:tc>
          <w:tcPr>
            <w:tcW w:w="1236" w:type="dxa"/>
            <w:vAlign w:val="center"/>
          </w:tcPr>
          <w:p>
            <w:pPr>
              <w:jc w:val="center"/>
            </w:pPr>
            <w:r>
              <w:t>26.26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Align w:val="center"/>
          </w:tcPr>
          <w:p>
            <w:pPr>
              <w:widowControl/>
              <w:spacing w:before="100" w:beforeAutospacing="1" w:after="100" w:afterAutospacing="1"/>
              <w:jc w:val="center"/>
              <w:rPr>
                <w:b/>
                <w:bCs/>
                <w:kern w:val="0"/>
                <w:szCs w:val="21"/>
              </w:rPr>
            </w:pPr>
            <w:r>
              <w:rPr>
                <w:b/>
                <w:bCs/>
                <w:kern w:val="0"/>
                <w:szCs w:val="21"/>
              </w:rPr>
              <w:t>平均值</w:t>
            </w:r>
          </w:p>
        </w:tc>
        <w:tc>
          <w:tcPr>
            <w:tcW w:w="1606" w:type="dxa"/>
            <w:vAlign w:val="center"/>
          </w:tcPr>
          <w:p>
            <w:pPr>
              <w:jc w:val="center"/>
              <w:rPr>
                <w:b/>
              </w:rPr>
            </w:pPr>
            <w:r>
              <w:rPr>
                <w:b/>
              </w:rPr>
              <w:t>6.30</w:t>
            </w:r>
          </w:p>
        </w:tc>
        <w:tc>
          <w:tcPr>
            <w:tcW w:w="1232" w:type="dxa"/>
            <w:vAlign w:val="center"/>
          </w:tcPr>
          <w:p>
            <w:pPr>
              <w:jc w:val="center"/>
              <w:rPr>
                <w:b/>
              </w:rPr>
            </w:pPr>
            <w:r>
              <w:rPr>
                <w:b/>
              </w:rPr>
              <w:t>12.25</w:t>
            </w:r>
          </w:p>
        </w:tc>
        <w:tc>
          <w:tcPr>
            <w:tcW w:w="1236" w:type="dxa"/>
            <w:vAlign w:val="center"/>
          </w:tcPr>
          <w:p>
            <w:pPr>
              <w:jc w:val="center"/>
              <w:rPr>
                <w:b/>
              </w:rPr>
            </w:pPr>
            <w:r>
              <w:rPr>
                <w:b/>
              </w:rPr>
              <w:t>16.64</w:t>
            </w:r>
          </w:p>
        </w:tc>
        <w:tc>
          <w:tcPr>
            <w:tcW w:w="1234" w:type="dxa"/>
            <w:vAlign w:val="center"/>
          </w:tcPr>
          <w:p>
            <w:pPr>
              <w:jc w:val="center"/>
              <w:rPr>
                <w:b/>
              </w:rPr>
            </w:pPr>
            <w:r>
              <w:rPr>
                <w:b/>
              </w:rPr>
              <w:t>21.24</w:t>
            </w:r>
          </w:p>
        </w:tc>
        <w:tc>
          <w:tcPr>
            <w:tcW w:w="1236" w:type="dxa"/>
            <w:vAlign w:val="center"/>
          </w:tcPr>
          <w:p>
            <w:pPr>
              <w:jc w:val="center"/>
              <w:rPr>
                <w:b/>
              </w:rPr>
            </w:pPr>
            <w:r>
              <w:rPr>
                <w:b/>
              </w:rPr>
              <w:t>26.35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restart"/>
            <w:vAlign w:val="center"/>
          </w:tcPr>
          <w:p>
            <w:pPr>
              <w:widowControl/>
              <w:spacing w:before="100" w:beforeAutospacing="1" w:after="100" w:afterAutospacing="1"/>
              <w:jc w:val="center"/>
              <w:rPr>
                <w:kern w:val="0"/>
                <w:szCs w:val="21"/>
              </w:rPr>
            </w:pPr>
            <w:r>
              <w:rPr>
                <w:rFonts w:hint="eastAsia"/>
                <w:kern w:val="0"/>
                <w:szCs w:val="21"/>
              </w:rPr>
              <w:t>2中金岭南</w:t>
            </w:r>
          </w:p>
        </w:tc>
        <w:tc>
          <w:tcPr>
            <w:tcW w:w="1606" w:type="dxa"/>
            <w:vAlign w:val="center"/>
          </w:tcPr>
          <w:p>
            <w:pPr>
              <w:jc w:val="center"/>
            </w:pPr>
            <w:r>
              <w:t>6.26</w:t>
            </w:r>
          </w:p>
        </w:tc>
        <w:tc>
          <w:tcPr>
            <w:tcW w:w="1232" w:type="dxa"/>
            <w:vAlign w:val="center"/>
          </w:tcPr>
          <w:p>
            <w:pPr>
              <w:jc w:val="center"/>
            </w:pPr>
            <w:r>
              <w:t>12.23</w:t>
            </w:r>
          </w:p>
        </w:tc>
        <w:tc>
          <w:tcPr>
            <w:tcW w:w="1236" w:type="dxa"/>
            <w:vAlign w:val="center"/>
          </w:tcPr>
          <w:p>
            <w:pPr>
              <w:jc w:val="center"/>
            </w:pPr>
            <w:r>
              <w:t>16.48</w:t>
            </w:r>
          </w:p>
        </w:tc>
        <w:tc>
          <w:tcPr>
            <w:tcW w:w="1234" w:type="dxa"/>
            <w:vAlign w:val="center"/>
          </w:tcPr>
          <w:p>
            <w:pPr>
              <w:jc w:val="center"/>
            </w:pPr>
            <w:r>
              <w:t>21.08</w:t>
            </w:r>
          </w:p>
        </w:tc>
        <w:tc>
          <w:tcPr>
            <w:tcW w:w="1236" w:type="dxa"/>
            <w:vAlign w:val="center"/>
          </w:tcPr>
          <w:p>
            <w:pPr>
              <w:jc w:val="center"/>
            </w:pPr>
            <w:r>
              <w:t>26.25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6.33</w:t>
            </w:r>
          </w:p>
        </w:tc>
        <w:tc>
          <w:tcPr>
            <w:tcW w:w="1232" w:type="dxa"/>
            <w:vAlign w:val="center"/>
          </w:tcPr>
          <w:p>
            <w:pPr>
              <w:jc w:val="center"/>
            </w:pPr>
            <w:r>
              <w:t>12.35</w:t>
            </w:r>
          </w:p>
        </w:tc>
        <w:tc>
          <w:tcPr>
            <w:tcW w:w="1236" w:type="dxa"/>
            <w:vAlign w:val="center"/>
          </w:tcPr>
          <w:p>
            <w:pPr>
              <w:jc w:val="center"/>
            </w:pPr>
            <w:r>
              <w:t>16.6</w:t>
            </w:r>
            <w:r>
              <w:rPr>
                <w:rFonts w:hint="eastAsia"/>
              </w:rPr>
              <w:t>0</w:t>
            </w:r>
          </w:p>
        </w:tc>
        <w:tc>
          <w:tcPr>
            <w:tcW w:w="1234" w:type="dxa"/>
            <w:vAlign w:val="center"/>
          </w:tcPr>
          <w:p>
            <w:pPr>
              <w:jc w:val="center"/>
            </w:pPr>
            <w:r>
              <w:t>21.43</w:t>
            </w:r>
          </w:p>
        </w:tc>
        <w:tc>
          <w:tcPr>
            <w:tcW w:w="1236" w:type="dxa"/>
            <w:vAlign w:val="center"/>
          </w:tcPr>
          <w:p>
            <w:pPr>
              <w:jc w:val="center"/>
            </w:pPr>
            <w:r>
              <w:t>26.42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6.33</w:t>
            </w:r>
          </w:p>
        </w:tc>
        <w:tc>
          <w:tcPr>
            <w:tcW w:w="1232" w:type="dxa"/>
            <w:vAlign w:val="center"/>
          </w:tcPr>
          <w:p>
            <w:pPr>
              <w:jc w:val="center"/>
            </w:pPr>
            <w:r>
              <w:t>12.27</w:t>
            </w:r>
          </w:p>
        </w:tc>
        <w:tc>
          <w:tcPr>
            <w:tcW w:w="1236" w:type="dxa"/>
            <w:vAlign w:val="center"/>
          </w:tcPr>
          <w:p>
            <w:pPr>
              <w:jc w:val="center"/>
            </w:pPr>
            <w:r>
              <w:t>16.66</w:t>
            </w:r>
          </w:p>
        </w:tc>
        <w:tc>
          <w:tcPr>
            <w:tcW w:w="1234" w:type="dxa"/>
            <w:vAlign w:val="center"/>
          </w:tcPr>
          <w:p>
            <w:pPr>
              <w:jc w:val="center"/>
            </w:pPr>
            <w:r>
              <w:t>21.24</w:t>
            </w:r>
          </w:p>
        </w:tc>
        <w:tc>
          <w:tcPr>
            <w:tcW w:w="1236" w:type="dxa"/>
            <w:vAlign w:val="center"/>
          </w:tcPr>
          <w:p>
            <w:pPr>
              <w:jc w:val="center"/>
            </w:pPr>
            <w:r>
              <w:t>26.43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6.27</w:t>
            </w:r>
          </w:p>
        </w:tc>
        <w:tc>
          <w:tcPr>
            <w:tcW w:w="1232" w:type="dxa"/>
            <w:vAlign w:val="center"/>
          </w:tcPr>
          <w:p>
            <w:pPr>
              <w:jc w:val="center"/>
            </w:pPr>
            <w:r>
              <w:t>12.21</w:t>
            </w:r>
          </w:p>
        </w:tc>
        <w:tc>
          <w:tcPr>
            <w:tcW w:w="1236" w:type="dxa"/>
            <w:vAlign w:val="center"/>
          </w:tcPr>
          <w:p>
            <w:pPr>
              <w:jc w:val="center"/>
            </w:pPr>
            <w:r>
              <w:t>16.57</w:t>
            </w:r>
          </w:p>
        </w:tc>
        <w:tc>
          <w:tcPr>
            <w:tcW w:w="1234" w:type="dxa"/>
            <w:vAlign w:val="center"/>
          </w:tcPr>
          <w:p>
            <w:pPr>
              <w:jc w:val="center"/>
            </w:pPr>
            <w:r>
              <w:t>21.33</w:t>
            </w:r>
          </w:p>
        </w:tc>
        <w:tc>
          <w:tcPr>
            <w:tcW w:w="1236" w:type="dxa"/>
            <w:vAlign w:val="center"/>
          </w:tcPr>
          <w:p>
            <w:pPr>
              <w:jc w:val="center"/>
            </w:pPr>
            <w:r>
              <w:t>26.24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6.32</w:t>
            </w:r>
          </w:p>
        </w:tc>
        <w:tc>
          <w:tcPr>
            <w:tcW w:w="1232" w:type="dxa"/>
            <w:vAlign w:val="center"/>
          </w:tcPr>
          <w:p>
            <w:pPr>
              <w:jc w:val="center"/>
            </w:pPr>
            <w:r>
              <w:t>12.31</w:t>
            </w:r>
          </w:p>
        </w:tc>
        <w:tc>
          <w:tcPr>
            <w:tcW w:w="1236" w:type="dxa"/>
            <w:vAlign w:val="center"/>
          </w:tcPr>
          <w:p>
            <w:pPr>
              <w:jc w:val="center"/>
            </w:pPr>
            <w:r>
              <w:t>16.57</w:t>
            </w:r>
          </w:p>
        </w:tc>
        <w:tc>
          <w:tcPr>
            <w:tcW w:w="1234" w:type="dxa"/>
            <w:vAlign w:val="center"/>
          </w:tcPr>
          <w:p>
            <w:pPr>
              <w:jc w:val="center"/>
            </w:pPr>
            <w:r>
              <w:t>21.33</w:t>
            </w:r>
          </w:p>
        </w:tc>
        <w:tc>
          <w:tcPr>
            <w:tcW w:w="1236" w:type="dxa"/>
            <w:vAlign w:val="center"/>
          </w:tcPr>
          <w:p>
            <w:pPr>
              <w:jc w:val="center"/>
            </w:pPr>
            <w:r>
              <w:t>26.42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6.32</w:t>
            </w:r>
          </w:p>
        </w:tc>
        <w:tc>
          <w:tcPr>
            <w:tcW w:w="1232" w:type="dxa"/>
            <w:vAlign w:val="center"/>
          </w:tcPr>
          <w:p>
            <w:pPr>
              <w:jc w:val="center"/>
            </w:pPr>
            <w:r>
              <w:t>12.26</w:t>
            </w:r>
          </w:p>
        </w:tc>
        <w:tc>
          <w:tcPr>
            <w:tcW w:w="1236" w:type="dxa"/>
            <w:vAlign w:val="center"/>
          </w:tcPr>
          <w:p>
            <w:pPr>
              <w:jc w:val="center"/>
            </w:pPr>
            <w:r>
              <w:t>16.57</w:t>
            </w:r>
          </w:p>
        </w:tc>
        <w:tc>
          <w:tcPr>
            <w:tcW w:w="1234" w:type="dxa"/>
            <w:vAlign w:val="center"/>
          </w:tcPr>
          <w:p>
            <w:pPr>
              <w:jc w:val="center"/>
            </w:pPr>
            <w:r>
              <w:t>21.34</w:t>
            </w:r>
          </w:p>
        </w:tc>
        <w:tc>
          <w:tcPr>
            <w:tcW w:w="1236" w:type="dxa"/>
            <w:vAlign w:val="center"/>
          </w:tcPr>
          <w:p>
            <w:pPr>
              <w:jc w:val="center"/>
            </w:pPr>
            <w:r>
              <w:t>26.45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6.29</w:t>
            </w:r>
          </w:p>
        </w:tc>
        <w:tc>
          <w:tcPr>
            <w:tcW w:w="1232" w:type="dxa"/>
            <w:vAlign w:val="center"/>
          </w:tcPr>
          <w:p>
            <w:pPr>
              <w:jc w:val="center"/>
            </w:pPr>
            <w:r>
              <w:t>12.29</w:t>
            </w:r>
          </w:p>
        </w:tc>
        <w:tc>
          <w:tcPr>
            <w:tcW w:w="1236" w:type="dxa"/>
            <w:vAlign w:val="center"/>
          </w:tcPr>
          <w:p>
            <w:pPr>
              <w:jc w:val="center"/>
            </w:pPr>
            <w:r>
              <w:t>16.65</w:t>
            </w:r>
          </w:p>
        </w:tc>
        <w:tc>
          <w:tcPr>
            <w:tcW w:w="1234" w:type="dxa"/>
            <w:vAlign w:val="center"/>
          </w:tcPr>
          <w:p>
            <w:pPr>
              <w:jc w:val="center"/>
            </w:pPr>
            <w:r>
              <w:t>21.12</w:t>
            </w:r>
          </w:p>
        </w:tc>
        <w:tc>
          <w:tcPr>
            <w:tcW w:w="1236" w:type="dxa"/>
            <w:vAlign w:val="center"/>
          </w:tcPr>
          <w:p>
            <w:pPr>
              <w:jc w:val="center"/>
            </w:pPr>
            <w:r>
              <w:t>26.33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6.24</w:t>
            </w:r>
          </w:p>
        </w:tc>
        <w:tc>
          <w:tcPr>
            <w:tcW w:w="1232" w:type="dxa"/>
            <w:vAlign w:val="center"/>
          </w:tcPr>
          <w:p>
            <w:pPr>
              <w:jc w:val="center"/>
            </w:pPr>
            <w:r>
              <w:t>12.31</w:t>
            </w:r>
          </w:p>
        </w:tc>
        <w:tc>
          <w:tcPr>
            <w:tcW w:w="1236" w:type="dxa"/>
            <w:vAlign w:val="center"/>
          </w:tcPr>
          <w:p>
            <w:pPr>
              <w:jc w:val="center"/>
            </w:pPr>
            <w:r>
              <w:t>16.81</w:t>
            </w:r>
          </w:p>
        </w:tc>
        <w:tc>
          <w:tcPr>
            <w:tcW w:w="1234" w:type="dxa"/>
            <w:vAlign w:val="center"/>
          </w:tcPr>
          <w:p>
            <w:pPr>
              <w:jc w:val="center"/>
            </w:pPr>
            <w:r>
              <w:t>21.23</w:t>
            </w:r>
          </w:p>
        </w:tc>
        <w:tc>
          <w:tcPr>
            <w:tcW w:w="1236" w:type="dxa"/>
            <w:vAlign w:val="center"/>
          </w:tcPr>
          <w:p>
            <w:pPr>
              <w:jc w:val="center"/>
            </w:pPr>
            <w:r>
              <w:t>26.21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6.22</w:t>
            </w:r>
          </w:p>
        </w:tc>
        <w:tc>
          <w:tcPr>
            <w:tcW w:w="1232" w:type="dxa"/>
            <w:vAlign w:val="center"/>
          </w:tcPr>
          <w:p>
            <w:pPr>
              <w:jc w:val="center"/>
            </w:pPr>
            <w:r>
              <w:t>12.31</w:t>
            </w:r>
          </w:p>
        </w:tc>
        <w:tc>
          <w:tcPr>
            <w:tcW w:w="1236" w:type="dxa"/>
            <w:vAlign w:val="center"/>
          </w:tcPr>
          <w:p>
            <w:pPr>
              <w:jc w:val="center"/>
            </w:pPr>
            <w:r>
              <w:t>16.63</w:t>
            </w:r>
          </w:p>
        </w:tc>
        <w:tc>
          <w:tcPr>
            <w:tcW w:w="1234" w:type="dxa"/>
            <w:vAlign w:val="center"/>
          </w:tcPr>
          <w:p>
            <w:pPr>
              <w:jc w:val="center"/>
            </w:pPr>
            <w:r>
              <w:t>21.31</w:t>
            </w:r>
          </w:p>
        </w:tc>
        <w:tc>
          <w:tcPr>
            <w:tcW w:w="1236" w:type="dxa"/>
            <w:vAlign w:val="center"/>
          </w:tcPr>
          <w:p>
            <w:pPr>
              <w:jc w:val="center"/>
            </w:pPr>
            <w:r>
              <w:t>26.26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Align w:val="center"/>
          </w:tcPr>
          <w:p>
            <w:pPr>
              <w:widowControl/>
              <w:spacing w:before="100" w:beforeAutospacing="1" w:after="100" w:afterAutospacing="1"/>
              <w:jc w:val="center"/>
              <w:rPr>
                <w:b/>
                <w:bCs/>
                <w:kern w:val="0"/>
                <w:szCs w:val="21"/>
              </w:rPr>
            </w:pPr>
            <w:r>
              <w:rPr>
                <w:b/>
                <w:bCs/>
                <w:kern w:val="0"/>
                <w:szCs w:val="21"/>
              </w:rPr>
              <w:t>平均值</w:t>
            </w:r>
          </w:p>
        </w:tc>
        <w:tc>
          <w:tcPr>
            <w:tcW w:w="1606" w:type="dxa"/>
            <w:vAlign w:val="center"/>
          </w:tcPr>
          <w:p>
            <w:pPr>
              <w:widowControl/>
              <w:jc w:val="center"/>
              <w:textAlignment w:val="center"/>
              <w:rPr>
                <w:b/>
                <w:bCs/>
                <w:color w:val="000000"/>
                <w:kern w:val="0"/>
                <w:szCs w:val="21"/>
              </w:rPr>
            </w:pPr>
            <w:r>
              <w:rPr>
                <w:b/>
                <w:bCs/>
                <w:color w:val="000000"/>
                <w:kern w:val="0"/>
                <w:szCs w:val="21"/>
              </w:rPr>
              <w:t>6.29</w:t>
            </w:r>
          </w:p>
        </w:tc>
        <w:tc>
          <w:tcPr>
            <w:tcW w:w="1232" w:type="dxa"/>
            <w:vAlign w:val="center"/>
          </w:tcPr>
          <w:p>
            <w:pPr>
              <w:widowControl/>
              <w:jc w:val="center"/>
              <w:textAlignment w:val="center"/>
              <w:rPr>
                <w:b/>
                <w:bCs/>
                <w:color w:val="000000"/>
                <w:kern w:val="0"/>
                <w:szCs w:val="21"/>
              </w:rPr>
            </w:pPr>
            <w:r>
              <w:rPr>
                <w:b/>
                <w:bCs/>
                <w:color w:val="000000"/>
                <w:kern w:val="0"/>
                <w:szCs w:val="21"/>
              </w:rPr>
              <w:t>12.28</w:t>
            </w:r>
          </w:p>
        </w:tc>
        <w:tc>
          <w:tcPr>
            <w:tcW w:w="1236" w:type="dxa"/>
            <w:vAlign w:val="center"/>
          </w:tcPr>
          <w:p>
            <w:pPr>
              <w:widowControl/>
              <w:jc w:val="center"/>
              <w:textAlignment w:val="center"/>
              <w:rPr>
                <w:b/>
                <w:bCs/>
                <w:color w:val="000000"/>
                <w:kern w:val="0"/>
                <w:szCs w:val="21"/>
              </w:rPr>
            </w:pPr>
            <w:r>
              <w:rPr>
                <w:b/>
                <w:bCs/>
                <w:color w:val="000000"/>
                <w:kern w:val="0"/>
                <w:szCs w:val="21"/>
              </w:rPr>
              <w:t>16.62</w:t>
            </w:r>
          </w:p>
        </w:tc>
        <w:tc>
          <w:tcPr>
            <w:tcW w:w="1234" w:type="dxa"/>
            <w:vAlign w:val="center"/>
          </w:tcPr>
          <w:p>
            <w:pPr>
              <w:widowControl/>
              <w:jc w:val="center"/>
              <w:textAlignment w:val="center"/>
              <w:rPr>
                <w:b/>
                <w:bCs/>
                <w:color w:val="000000"/>
                <w:kern w:val="0"/>
                <w:szCs w:val="21"/>
              </w:rPr>
            </w:pPr>
            <w:r>
              <w:rPr>
                <w:b/>
                <w:bCs/>
                <w:color w:val="000000"/>
                <w:kern w:val="0"/>
                <w:szCs w:val="21"/>
              </w:rPr>
              <w:t>21.27</w:t>
            </w:r>
          </w:p>
        </w:tc>
        <w:tc>
          <w:tcPr>
            <w:tcW w:w="1236" w:type="dxa"/>
            <w:vAlign w:val="center"/>
          </w:tcPr>
          <w:p>
            <w:pPr>
              <w:widowControl/>
              <w:jc w:val="center"/>
              <w:textAlignment w:val="center"/>
              <w:rPr>
                <w:b/>
                <w:bCs/>
                <w:color w:val="000000"/>
                <w:kern w:val="0"/>
                <w:szCs w:val="21"/>
              </w:rPr>
            </w:pPr>
            <w:r>
              <w:rPr>
                <w:b/>
                <w:bCs/>
                <w:color w:val="000000"/>
                <w:kern w:val="0"/>
                <w:szCs w:val="21"/>
              </w:rPr>
              <w:t>26.33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restart"/>
            <w:vAlign w:val="center"/>
          </w:tcPr>
          <w:p>
            <w:pPr>
              <w:widowControl/>
              <w:spacing w:before="100" w:beforeAutospacing="1" w:after="100" w:afterAutospacing="1"/>
              <w:jc w:val="center"/>
              <w:rPr>
                <w:kern w:val="0"/>
                <w:szCs w:val="21"/>
              </w:rPr>
            </w:pPr>
            <w:r>
              <w:rPr>
                <w:rFonts w:hint="eastAsia"/>
                <w:kern w:val="0"/>
                <w:szCs w:val="21"/>
              </w:rPr>
              <w:t>3韶关质检所</w:t>
            </w:r>
          </w:p>
          <w:p>
            <w:pPr>
              <w:widowControl/>
              <w:spacing w:before="100" w:beforeAutospacing="1" w:after="100" w:afterAutospacing="1"/>
              <w:jc w:val="center"/>
              <w:rPr>
                <w:kern w:val="0"/>
                <w:szCs w:val="21"/>
              </w:rPr>
            </w:pPr>
          </w:p>
        </w:tc>
        <w:tc>
          <w:tcPr>
            <w:tcW w:w="1606" w:type="dxa"/>
            <w:vAlign w:val="center"/>
          </w:tcPr>
          <w:p>
            <w:pPr>
              <w:jc w:val="center"/>
            </w:pPr>
            <w:r>
              <w:t>6.29</w:t>
            </w:r>
          </w:p>
        </w:tc>
        <w:tc>
          <w:tcPr>
            <w:tcW w:w="1232" w:type="dxa"/>
            <w:vAlign w:val="center"/>
          </w:tcPr>
          <w:p>
            <w:pPr>
              <w:jc w:val="center"/>
            </w:pPr>
            <w:r>
              <w:t>12.09</w:t>
            </w:r>
          </w:p>
        </w:tc>
        <w:tc>
          <w:tcPr>
            <w:tcW w:w="1236" w:type="dxa"/>
            <w:vAlign w:val="center"/>
          </w:tcPr>
          <w:p>
            <w:pPr>
              <w:jc w:val="center"/>
            </w:pPr>
            <w:r>
              <w:t>16.6</w:t>
            </w:r>
            <w:r>
              <w:rPr>
                <w:rFonts w:hint="eastAsia"/>
              </w:rPr>
              <w:t>0</w:t>
            </w:r>
          </w:p>
        </w:tc>
        <w:tc>
          <w:tcPr>
            <w:tcW w:w="1234" w:type="dxa"/>
            <w:vAlign w:val="center"/>
          </w:tcPr>
          <w:p>
            <w:pPr>
              <w:jc w:val="center"/>
            </w:pPr>
            <w:r>
              <w:t>21.22</w:t>
            </w:r>
          </w:p>
        </w:tc>
        <w:tc>
          <w:tcPr>
            <w:tcW w:w="1236" w:type="dxa"/>
            <w:vAlign w:val="center"/>
          </w:tcPr>
          <w:p>
            <w:pPr>
              <w:jc w:val="center"/>
            </w:pPr>
            <w:r>
              <w:t>26.2</w:t>
            </w: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6.22</w:t>
            </w:r>
          </w:p>
        </w:tc>
        <w:tc>
          <w:tcPr>
            <w:tcW w:w="1232" w:type="dxa"/>
            <w:vAlign w:val="center"/>
          </w:tcPr>
          <w:p>
            <w:pPr>
              <w:jc w:val="center"/>
            </w:pPr>
            <w:r>
              <w:t>12.34</w:t>
            </w:r>
          </w:p>
        </w:tc>
        <w:tc>
          <w:tcPr>
            <w:tcW w:w="1236" w:type="dxa"/>
            <w:vAlign w:val="center"/>
          </w:tcPr>
          <w:p>
            <w:pPr>
              <w:jc w:val="center"/>
            </w:pPr>
            <w:r>
              <w:t>16.5</w:t>
            </w:r>
            <w:r>
              <w:rPr>
                <w:rFonts w:hint="eastAsia"/>
              </w:rPr>
              <w:t>0</w:t>
            </w:r>
          </w:p>
        </w:tc>
        <w:tc>
          <w:tcPr>
            <w:tcW w:w="1234" w:type="dxa"/>
            <w:vAlign w:val="center"/>
          </w:tcPr>
          <w:p>
            <w:pPr>
              <w:jc w:val="center"/>
            </w:pPr>
            <w:r>
              <w:t>21.12</w:t>
            </w:r>
          </w:p>
        </w:tc>
        <w:tc>
          <w:tcPr>
            <w:tcW w:w="1236" w:type="dxa"/>
            <w:vAlign w:val="center"/>
          </w:tcPr>
          <w:p>
            <w:pPr>
              <w:jc w:val="center"/>
            </w:pPr>
            <w:r>
              <w:t>26.23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6.24</w:t>
            </w:r>
          </w:p>
        </w:tc>
        <w:tc>
          <w:tcPr>
            <w:tcW w:w="1232" w:type="dxa"/>
            <w:vAlign w:val="center"/>
          </w:tcPr>
          <w:p>
            <w:pPr>
              <w:jc w:val="center"/>
            </w:pPr>
            <w:r>
              <w:t>12.19</w:t>
            </w:r>
          </w:p>
        </w:tc>
        <w:tc>
          <w:tcPr>
            <w:tcW w:w="1236" w:type="dxa"/>
            <w:vAlign w:val="center"/>
          </w:tcPr>
          <w:p>
            <w:pPr>
              <w:jc w:val="center"/>
            </w:pPr>
            <w:r>
              <w:t>16.57</w:t>
            </w:r>
          </w:p>
        </w:tc>
        <w:tc>
          <w:tcPr>
            <w:tcW w:w="1234" w:type="dxa"/>
            <w:vAlign w:val="center"/>
          </w:tcPr>
          <w:p>
            <w:pPr>
              <w:jc w:val="center"/>
            </w:pPr>
            <w:r>
              <w:t>21.13</w:t>
            </w:r>
          </w:p>
        </w:tc>
        <w:tc>
          <w:tcPr>
            <w:tcW w:w="1236" w:type="dxa"/>
            <w:vAlign w:val="center"/>
          </w:tcPr>
          <w:p>
            <w:pPr>
              <w:jc w:val="center"/>
            </w:pPr>
            <w:r>
              <w:t>26.32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6.27</w:t>
            </w:r>
          </w:p>
        </w:tc>
        <w:tc>
          <w:tcPr>
            <w:tcW w:w="1232" w:type="dxa"/>
            <w:vAlign w:val="center"/>
          </w:tcPr>
          <w:p>
            <w:pPr>
              <w:jc w:val="center"/>
            </w:pPr>
            <w:r>
              <w:t>12.26</w:t>
            </w:r>
          </w:p>
        </w:tc>
        <w:tc>
          <w:tcPr>
            <w:tcW w:w="1236" w:type="dxa"/>
            <w:vAlign w:val="center"/>
          </w:tcPr>
          <w:p>
            <w:pPr>
              <w:jc w:val="center"/>
            </w:pPr>
            <w:r>
              <w:t>16.63</w:t>
            </w:r>
          </w:p>
        </w:tc>
        <w:tc>
          <w:tcPr>
            <w:tcW w:w="1234" w:type="dxa"/>
            <w:vAlign w:val="center"/>
          </w:tcPr>
          <w:p>
            <w:pPr>
              <w:jc w:val="center"/>
            </w:pPr>
            <w:r>
              <w:t>21.19</w:t>
            </w:r>
          </w:p>
        </w:tc>
        <w:tc>
          <w:tcPr>
            <w:tcW w:w="1236" w:type="dxa"/>
            <w:vAlign w:val="center"/>
          </w:tcPr>
          <w:p>
            <w:pPr>
              <w:jc w:val="center"/>
            </w:pPr>
            <w:r>
              <w:t>26.32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6.29</w:t>
            </w:r>
          </w:p>
        </w:tc>
        <w:tc>
          <w:tcPr>
            <w:tcW w:w="1232" w:type="dxa"/>
            <w:vAlign w:val="center"/>
          </w:tcPr>
          <w:p>
            <w:pPr>
              <w:jc w:val="center"/>
            </w:pPr>
            <w:r>
              <w:t>12.29</w:t>
            </w:r>
          </w:p>
        </w:tc>
        <w:tc>
          <w:tcPr>
            <w:tcW w:w="1236" w:type="dxa"/>
            <w:vAlign w:val="center"/>
          </w:tcPr>
          <w:p>
            <w:pPr>
              <w:jc w:val="center"/>
            </w:pPr>
            <w:r>
              <w:t>16.63</w:t>
            </w:r>
          </w:p>
        </w:tc>
        <w:tc>
          <w:tcPr>
            <w:tcW w:w="1234" w:type="dxa"/>
            <w:vAlign w:val="center"/>
          </w:tcPr>
          <w:p>
            <w:pPr>
              <w:jc w:val="center"/>
            </w:pPr>
            <w:r>
              <w:t>21.24</w:t>
            </w:r>
          </w:p>
        </w:tc>
        <w:tc>
          <w:tcPr>
            <w:tcW w:w="1236" w:type="dxa"/>
            <w:vAlign w:val="center"/>
          </w:tcPr>
          <w:p>
            <w:pPr>
              <w:jc w:val="center"/>
            </w:pPr>
            <w:r>
              <w:t>26.34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w:t>
            </w:r>
            <w:r>
              <w:rPr>
                <w:rFonts w:hint="eastAsia"/>
              </w:rPr>
              <w:t>0</w:t>
            </w:r>
          </w:p>
        </w:tc>
        <w:tc>
          <w:tcPr>
            <w:tcW w:w="1232" w:type="dxa"/>
            <w:vAlign w:val="center"/>
          </w:tcPr>
          <w:p>
            <w:pPr>
              <w:jc w:val="center"/>
            </w:pPr>
            <w:r>
              <w:t>12.3</w:t>
            </w:r>
            <w:r>
              <w:rPr>
                <w:rFonts w:hint="eastAsia"/>
              </w:rPr>
              <w:t>0</w:t>
            </w:r>
          </w:p>
        </w:tc>
        <w:tc>
          <w:tcPr>
            <w:tcW w:w="1236" w:type="dxa"/>
            <w:vAlign w:val="center"/>
          </w:tcPr>
          <w:p>
            <w:pPr>
              <w:jc w:val="center"/>
            </w:pPr>
            <w:r>
              <w:t>16.47</w:t>
            </w:r>
          </w:p>
        </w:tc>
        <w:tc>
          <w:tcPr>
            <w:tcW w:w="1234" w:type="dxa"/>
            <w:vAlign w:val="center"/>
          </w:tcPr>
          <w:p>
            <w:pPr>
              <w:jc w:val="center"/>
            </w:pPr>
            <w:r>
              <w:t>21.29</w:t>
            </w:r>
          </w:p>
        </w:tc>
        <w:tc>
          <w:tcPr>
            <w:tcW w:w="1236" w:type="dxa"/>
            <w:vAlign w:val="center"/>
          </w:tcPr>
          <w:p>
            <w:pPr>
              <w:jc w:val="center"/>
            </w:pPr>
            <w:r>
              <w:t>26.18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6.31</w:t>
            </w:r>
          </w:p>
        </w:tc>
        <w:tc>
          <w:tcPr>
            <w:tcW w:w="1232" w:type="dxa"/>
            <w:vAlign w:val="center"/>
          </w:tcPr>
          <w:p>
            <w:pPr>
              <w:jc w:val="center"/>
            </w:pPr>
            <w:r>
              <w:t>12.26</w:t>
            </w:r>
          </w:p>
        </w:tc>
        <w:tc>
          <w:tcPr>
            <w:tcW w:w="1236" w:type="dxa"/>
            <w:vAlign w:val="center"/>
          </w:tcPr>
          <w:p>
            <w:pPr>
              <w:jc w:val="center"/>
            </w:pPr>
            <w:r>
              <w:t>16.65</w:t>
            </w:r>
          </w:p>
        </w:tc>
        <w:tc>
          <w:tcPr>
            <w:tcW w:w="1234" w:type="dxa"/>
            <w:vAlign w:val="center"/>
          </w:tcPr>
          <w:p>
            <w:pPr>
              <w:jc w:val="center"/>
            </w:pPr>
            <w:r>
              <w:t>21.31</w:t>
            </w:r>
          </w:p>
        </w:tc>
        <w:tc>
          <w:tcPr>
            <w:tcW w:w="1236" w:type="dxa"/>
            <w:vAlign w:val="center"/>
          </w:tcPr>
          <w:p>
            <w:pPr>
              <w:jc w:val="center"/>
            </w:pPr>
            <w:r>
              <w:t>26.22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6.32</w:t>
            </w:r>
          </w:p>
        </w:tc>
        <w:tc>
          <w:tcPr>
            <w:tcW w:w="1232" w:type="dxa"/>
            <w:vAlign w:val="center"/>
          </w:tcPr>
          <w:p>
            <w:pPr>
              <w:jc w:val="center"/>
            </w:pPr>
            <w:r>
              <w:t>12.31</w:t>
            </w:r>
          </w:p>
        </w:tc>
        <w:tc>
          <w:tcPr>
            <w:tcW w:w="1236" w:type="dxa"/>
            <w:vAlign w:val="center"/>
          </w:tcPr>
          <w:p>
            <w:pPr>
              <w:jc w:val="center"/>
            </w:pPr>
            <w:r>
              <w:t>16.66</w:t>
            </w:r>
          </w:p>
        </w:tc>
        <w:tc>
          <w:tcPr>
            <w:tcW w:w="1234" w:type="dxa"/>
            <w:vAlign w:val="center"/>
          </w:tcPr>
          <w:p>
            <w:pPr>
              <w:jc w:val="center"/>
            </w:pPr>
            <w:r>
              <w:t>21.27</w:t>
            </w:r>
          </w:p>
        </w:tc>
        <w:tc>
          <w:tcPr>
            <w:tcW w:w="1236" w:type="dxa"/>
            <w:vAlign w:val="center"/>
          </w:tcPr>
          <w:p>
            <w:pPr>
              <w:jc w:val="center"/>
            </w:pPr>
            <w:r>
              <w:t>26.22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6.32</w:t>
            </w:r>
          </w:p>
        </w:tc>
        <w:tc>
          <w:tcPr>
            <w:tcW w:w="1232" w:type="dxa"/>
            <w:vAlign w:val="center"/>
          </w:tcPr>
          <w:p>
            <w:pPr>
              <w:jc w:val="center"/>
            </w:pPr>
            <w:r>
              <w:t>12.15</w:t>
            </w:r>
          </w:p>
        </w:tc>
        <w:tc>
          <w:tcPr>
            <w:tcW w:w="1236" w:type="dxa"/>
            <w:vAlign w:val="center"/>
          </w:tcPr>
          <w:p>
            <w:pPr>
              <w:jc w:val="center"/>
            </w:pPr>
            <w:r>
              <w:t>16.71</w:t>
            </w:r>
          </w:p>
        </w:tc>
        <w:tc>
          <w:tcPr>
            <w:tcW w:w="1234" w:type="dxa"/>
            <w:vAlign w:val="center"/>
          </w:tcPr>
          <w:p>
            <w:pPr>
              <w:jc w:val="center"/>
            </w:pPr>
            <w:r>
              <w:t>21.31</w:t>
            </w:r>
          </w:p>
        </w:tc>
        <w:tc>
          <w:tcPr>
            <w:tcW w:w="1236" w:type="dxa"/>
            <w:vAlign w:val="center"/>
          </w:tcPr>
          <w:p>
            <w:pPr>
              <w:jc w:val="center"/>
            </w:pPr>
            <w:r>
              <w:t>26.25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Align w:val="center"/>
          </w:tcPr>
          <w:p>
            <w:pPr>
              <w:widowControl/>
              <w:spacing w:before="100" w:beforeAutospacing="1" w:after="100" w:afterAutospacing="1"/>
              <w:jc w:val="center"/>
              <w:rPr>
                <w:b/>
                <w:bCs/>
                <w:kern w:val="0"/>
                <w:szCs w:val="21"/>
              </w:rPr>
            </w:pPr>
            <w:r>
              <w:rPr>
                <w:b/>
                <w:bCs/>
                <w:kern w:val="0"/>
                <w:szCs w:val="21"/>
              </w:rPr>
              <w:t>平均值</w:t>
            </w:r>
          </w:p>
        </w:tc>
        <w:tc>
          <w:tcPr>
            <w:tcW w:w="1606" w:type="dxa"/>
            <w:vAlign w:val="center"/>
          </w:tcPr>
          <w:p>
            <w:pPr>
              <w:widowControl/>
              <w:jc w:val="center"/>
              <w:textAlignment w:val="center"/>
              <w:rPr>
                <w:b/>
                <w:bCs/>
                <w:color w:val="000000"/>
                <w:kern w:val="0"/>
                <w:szCs w:val="21"/>
              </w:rPr>
            </w:pPr>
            <w:r>
              <w:rPr>
                <w:b/>
                <w:bCs/>
                <w:color w:val="000000"/>
                <w:kern w:val="0"/>
                <w:szCs w:val="21"/>
              </w:rPr>
              <w:t>6.28</w:t>
            </w:r>
          </w:p>
        </w:tc>
        <w:tc>
          <w:tcPr>
            <w:tcW w:w="1232" w:type="dxa"/>
            <w:vAlign w:val="center"/>
          </w:tcPr>
          <w:p>
            <w:pPr>
              <w:widowControl/>
              <w:jc w:val="center"/>
              <w:textAlignment w:val="center"/>
              <w:rPr>
                <w:b/>
                <w:bCs/>
                <w:color w:val="000000"/>
                <w:kern w:val="0"/>
                <w:szCs w:val="21"/>
              </w:rPr>
            </w:pPr>
            <w:r>
              <w:rPr>
                <w:b/>
                <w:bCs/>
                <w:color w:val="000000"/>
                <w:kern w:val="0"/>
                <w:szCs w:val="21"/>
              </w:rPr>
              <w:t>12.24</w:t>
            </w:r>
          </w:p>
        </w:tc>
        <w:tc>
          <w:tcPr>
            <w:tcW w:w="1236" w:type="dxa"/>
            <w:vAlign w:val="center"/>
          </w:tcPr>
          <w:p>
            <w:pPr>
              <w:widowControl/>
              <w:jc w:val="center"/>
              <w:textAlignment w:val="center"/>
              <w:rPr>
                <w:b/>
                <w:bCs/>
                <w:color w:val="000000"/>
                <w:kern w:val="0"/>
                <w:szCs w:val="21"/>
              </w:rPr>
            </w:pPr>
            <w:r>
              <w:rPr>
                <w:b/>
                <w:bCs/>
                <w:color w:val="000000"/>
                <w:kern w:val="0"/>
                <w:szCs w:val="21"/>
              </w:rPr>
              <w:t>16.60</w:t>
            </w:r>
          </w:p>
        </w:tc>
        <w:tc>
          <w:tcPr>
            <w:tcW w:w="1234" w:type="dxa"/>
            <w:vAlign w:val="center"/>
          </w:tcPr>
          <w:p>
            <w:pPr>
              <w:widowControl/>
              <w:jc w:val="center"/>
              <w:textAlignment w:val="center"/>
              <w:rPr>
                <w:b/>
                <w:bCs/>
                <w:color w:val="000000"/>
                <w:kern w:val="0"/>
                <w:szCs w:val="21"/>
              </w:rPr>
            </w:pPr>
            <w:r>
              <w:rPr>
                <w:b/>
                <w:bCs/>
                <w:color w:val="000000"/>
                <w:kern w:val="0"/>
                <w:szCs w:val="21"/>
              </w:rPr>
              <w:t>21.23</w:t>
            </w:r>
          </w:p>
        </w:tc>
        <w:tc>
          <w:tcPr>
            <w:tcW w:w="1236" w:type="dxa"/>
            <w:vAlign w:val="center"/>
          </w:tcPr>
          <w:p>
            <w:pPr>
              <w:widowControl/>
              <w:jc w:val="center"/>
              <w:textAlignment w:val="center"/>
              <w:rPr>
                <w:b/>
                <w:bCs/>
                <w:color w:val="000000"/>
                <w:kern w:val="0"/>
                <w:szCs w:val="21"/>
              </w:rPr>
            </w:pPr>
            <w:r>
              <w:rPr>
                <w:b/>
                <w:bCs/>
                <w:color w:val="000000"/>
                <w:kern w:val="0"/>
                <w:szCs w:val="21"/>
              </w:rPr>
              <w:t>26.25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26" w:hRule="atLeast"/>
          <w:jc w:val="center"/>
        </w:trPr>
        <w:tc>
          <w:tcPr>
            <w:tcW w:w="1978" w:type="dxa"/>
            <w:vMerge w:val="restart"/>
            <w:vAlign w:val="center"/>
          </w:tcPr>
          <w:p>
            <w:pPr>
              <w:widowControl/>
              <w:spacing w:before="100" w:beforeAutospacing="1" w:after="100" w:afterAutospacing="1"/>
              <w:jc w:val="center"/>
              <w:rPr>
                <w:kern w:val="0"/>
                <w:szCs w:val="21"/>
              </w:rPr>
            </w:pPr>
            <w:r>
              <w:rPr>
                <w:rFonts w:hint="eastAsia"/>
                <w:kern w:val="0"/>
                <w:szCs w:val="21"/>
              </w:rPr>
              <w:t>4阳谷祥光</w:t>
            </w:r>
          </w:p>
        </w:tc>
        <w:tc>
          <w:tcPr>
            <w:tcW w:w="1606" w:type="dxa"/>
            <w:vAlign w:val="center"/>
          </w:tcPr>
          <w:p>
            <w:pPr>
              <w:jc w:val="center"/>
            </w:pPr>
            <w:r>
              <w:t>6.2</w:t>
            </w:r>
            <w:r>
              <w:rPr>
                <w:rFonts w:hint="eastAsia"/>
              </w:rPr>
              <w:t>0</w:t>
            </w:r>
          </w:p>
        </w:tc>
        <w:tc>
          <w:tcPr>
            <w:tcW w:w="1232" w:type="dxa"/>
            <w:vAlign w:val="center"/>
          </w:tcPr>
          <w:p>
            <w:pPr>
              <w:jc w:val="center"/>
            </w:pPr>
            <w:r>
              <w:t>12.26</w:t>
            </w:r>
          </w:p>
        </w:tc>
        <w:tc>
          <w:tcPr>
            <w:tcW w:w="1236" w:type="dxa"/>
            <w:vAlign w:val="center"/>
          </w:tcPr>
          <w:p>
            <w:pPr>
              <w:jc w:val="center"/>
            </w:pPr>
            <w:r>
              <w:t>16.64</w:t>
            </w:r>
          </w:p>
        </w:tc>
        <w:tc>
          <w:tcPr>
            <w:tcW w:w="1234" w:type="dxa"/>
            <w:vAlign w:val="center"/>
          </w:tcPr>
          <w:p>
            <w:pPr>
              <w:jc w:val="center"/>
            </w:pPr>
            <w:r>
              <w:t>21.24</w:t>
            </w:r>
          </w:p>
        </w:tc>
        <w:tc>
          <w:tcPr>
            <w:tcW w:w="1236" w:type="dxa"/>
            <w:vAlign w:val="center"/>
          </w:tcPr>
          <w:p>
            <w:pPr>
              <w:jc w:val="center"/>
            </w:pPr>
            <w:r>
              <w:t>26.56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6.38</w:t>
            </w:r>
          </w:p>
        </w:tc>
        <w:tc>
          <w:tcPr>
            <w:tcW w:w="1232" w:type="dxa"/>
            <w:vAlign w:val="center"/>
          </w:tcPr>
          <w:p>
            <w:pPr>
              <w:jc w:val="center"/>
            </w:pPr>
            <w:r>
              <w:t>12.36</w:t>
            </w:r>
          </w:p>
        </w:tc>
        <w:tc>
          <w:tcPr>
            <w:tcW w:w="1236" w:type="dxa"/>
            <w:vAlign w:val="center"/>
          </w:tcPr>
          <w:p>
            <w:pPr>
              <w:jc w:val="center"/>
            </w:pPr>
            <w:r>
              <w:t>16.67</w:t>
            </w:r>
          </w:p>
        </w:tc>
        <w:tc>
          <w:tcPr>
            <w:tcW w:w="1234" w:type="dxa"/>
            <w:vAlign w:val="center"/>
          </w:tcPr>
          <w:p>
            <w:pPr>
              <w:jc w:val="center"/>
            </w:pPr>
            <w:r>
              <w:t>21.51</w:t>
            </w:r>
          </w:p>
        </w:tc>
        <w:tc>
          <w:tcPr>
            <w:tcW w:w="1236" w:type="dxa"/>
            <w:vAlign w:val="center"/>
          </w:tcPr>
          <w:p>
            <w:pPr>
              <w:jc w:val="center"/>
            </w:pPr>
            <w:r>
              <w:t>26.41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6.32</w:t>
            </w:r>
          </w:p>
        </w:tc>
        <w:tc>
          <w:tcPr>
            <w:tcW w:w="1232" w:type="dxa"/>
            <w:vAlign w:val="center"/>
          </w:tcPr>
          <w:p>
            <w:pPr>
              <w:jc w:val="center"/>
            </w:pPr>
            <w:r>
              <w:t>12.29</w:t>
            </w:r>
          </w:p>
        </w:tc>
        <w:tc>
          <w:tcPr>
            <w:tcW w:w="1236" w:type="dxa"/>
            <w:vAlign w:val="center"/>
          </w:tcPr>
          <w:p>
            <w:pPr>
              <w:jc w:val="center"/>
            </w:pPr>
            <w:r>
              <w:t>16.77</w:t>
            </w:r>
          </w:p>
        </w:tc>
        <w:tc>
          <w:tcPr>
            <w:tcW w:w="1234" w:type="dxa"/>
            <w:vAlign w:val="center"/>
          </w:tcPr>
          <w:p>
            <w:pPr>
              <w:jc w:val="center"/>
            </w:pPr>
            <w:r>
              <w:t>21.29</w:t>
            </w:r>
          </w:p>
        </w:tc>
        <w:tc>
          <w:tcPr>
            <w:tcW w:w="1236" w:type="dxa"/>
            <w:vAlign w:val="center"/>
          </w:tcPr>
          <w:p>
            <w:pPr>
              <w:jc w:val="center"/>
            </w:pPr>
            <w:r>
              <w:t>26.52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6.43</w:t>
            </w:r>
          </w:p>
        </w:tc>
        <w:tc>
          <w:tcPr>
            <w:tcW w:w="1232" w:type="dxa"/>
            <w:vAlign w:val="center"/>
          </w:tcPr>
          <w:p>
            <w:pPr>
              <w:jc w:val="center"/>
            </w:pPr>
            <w:r>
              <w:t>12.45</w:t>
            </w:r>
          </w:p>
        </w:tc>
        <w:tc>
          <w:tcPr>
            <w:tcW w:w="1236" w:type="dxa"/>
            <w:vAlign w:val="center"/>
          </w:tcPr>
          <w:p>
            <w:pPr>
              <w:jc w:val="center"/>
            </w:pPr>
            <w:r>
              <w:t>16.73</w:t>
            </w:r>
          </w:p>
        </w:tc>
        <w:tc>
          <w:tcPr>
            <w:tcW w:w="1234" w:type="dxa"/>
            <w:vAlign w:val="center"/>
          </w:tcPr>
          <w:p>
            <w:pPr>
              <w:jc w:val="center"/>
            </w:pPr>
            <w:r>
              <w:t>21.45</w:t>
            </w:r>
          </w:p>
        </w:tc>
        <w:tc>
          <w:tcPr>
            <w:tcW w:w="1236" w:type="dxa"/>
            <w:vAlign w:val="center"/>
          </w:tcPr>
          <w:p>
            <w:pPr>
              <w:jc w:val="center"/>
            </w:pPr>
            <w:r>
              <w:t>26.59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6.23</w:t>
            </w:r>
          </w:p>
        </w:tc>
        <w:tc>
          <w:tcPr>
            <w:tcW w:w="1232" w:type="dxa"/>
            <w:vAlign w:val="center"/>
          </w:tcPr>
          <w:p>
            <w:pPr>
              <w:jc w:val="center"/>
            </w:pPr>
            <w:r>
              <w:t>12.31</w:t>
            </w:r>
          </w:p>
        </w:tc>
        <w:tc>
          <w:tcPr>
            <w:tcW w:w="1236" w:type="dxa"/>
            <w:vAlign w:val="center"/>
          </w:tcPr>
          <w:p>
            <w:pPr>
              <w:jc w:val="center"/>
            </w:pPr>
            <w:r>
              <w:t>16.79</w:t>
            </w:r>
          </w:p>
        </w:tc>
        <w:tc>
          <w:tcPr>
            <w:tcW w:w="1234" w:type="dxa"/>
            <w:vAlign w:val="center"/>
          </w:tcPr>
          <w:p>
            <w:pPr>
              <w:jc w:val="center"/>
            </w:pPr>
            <w:r>
              <w:t>21.39</w:t>
            </w:r>
          </w:p>
        </w:tc>
        <w:tc>
          <w:tcPr>
            <w:tcW w:w="1236" w:type="dxa"/>
            <w:vAlign w:val="center"/>
          </w:tcPr>
          <w:p>
            <w:pPr>
              <w:jc w:val="center"/>
            </w:pPr>
            <w:r>
              <w:t>26.61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6.29</w:t>
            </w:r>
          </w:p>
        </w:tc>
        <w:tc>
          <w:tcPr>
            <w:tcW w:w="1232" w:type="dxa"/>
            <w:vAlign w:val="center"/>
          </w:tcPr>
          <w:p>
            <w:pPr>
              <w:jc w:val="center"/>
            </w:pPr>
            <w:r>
              <w:t>12.42</w:t>
            </w:r>
          </w:p>
        </w:tc>
        <w:tc>
          <w:tcPr>
            <w:tcW w:w="1236" w:type="dxa"/>
            <w:vAlign w:val="center"/>
          </w:tcPr>
          <w:p>
            <w:pPr>
              <w:jc w:val="center"/>
            </w:pPr>
            <w:r>
              <w:t>16.71</w:t>
            </w:r>
          </w:p>
        </w:tc>
        <w:tc>
          <w:tcPr>
            <w:tcW w:w="1234" w:type="dxa"/>
            <w:vAlign w:val="center"/>
          </w:tcPr>
          <w:p>
            <w:pPr>
              <w:jc w:val="center"/>
            </w:pPr>
            <w:r>
              <w:t>21.32</w:t>
            </w:r>
          </w:p>
        </w:tc>
        <w:tc>
          <w:tcPr>
            <w:tcW w:w="1236" w:type="dxa"/>
            <w:vAlign w:val="center"/>
          </w:tcPr>
          <w:p>
            <w:pPr>
              <w:jc w:val="center"/>
            </w:pPr>
            <w:r>
              <w:t>26.43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6.4</w:t>
            </w:r>
            <w:r>
              <w:rPr>
                <w:rFonts w:hint="eastAsia"/>
              </w:rPr>
              <w:t>0</w:t>
            </w:r>
          </w:p>
        </w:tc>
        <w:tc>
          <w:tcPr>
            <w:tcW w:w="1232" w:type="dxa"/>
            <w:vAlign w:val="center"/>
          </w:tcPr>
          <w:p>
            <w:pPr>
              <w:jc w:val="center"/>
            </w:pPr>
            <w:r>
              <w:t>12.39</w:t>
            </w:r>
          </w:p>
        </w:tc>
        <w:tc>
          <w:tcPr>
            <w:tcW w:w="1236" w:type="dxa"/>
            <w:vAlign w:val="center"/>
          </w:tcPr>
          <w:p>
            <w:pPr>
              <w:jc w:val="center"/>
            </w:pPr>
            <w:r>
              <w:t>16.63</w:t>
            </w:r>
          </w:p>
        </w:tc>
        <w:tc>
          <w:tcPr>
            <w:tcW w:w="1234" w:type="dxa"/>
            <w:vAlign w:val="center"/>
          </w:tcPr>
          <w:p>
            <w:pPr>
              <w:jc w:val="center"/>
            </w:pPr>
            <w:r>
              <w:t>21.42</w:t>
            </w:r>
          </w:p>
        </w:tc>
        <w:tc>
          <w:tcPr>
            <w:tcW w:w="1236" w:type="dxa"/>
            <w:vAlign w:val="center"/>
          </w:tcPr>
          <w:p>
            <w:pPr>
              <w:jc w:val="center"/>
            </w:pPr>
            <w:r>
              <w:t>26.47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79" w:hRule="atLeast"/>
          <w:jc w:val="center"/>
        </w:trPr>
        <w:tc>
          <w:tcPr>
            <w:tcW w:w="1978" w:type="dxa"/>
            <w:vAlign w:val="center"/>
          </w:tcPr>
          <w:p>
            <w:pPr>
              <w:widowControl/>
              <w:spacing w:before="100" w:beforeAutospacing="1" w:after="100" w:afterAutospacing="1"/>
              <w:jc w:val="center"/>
              <w:rPr>
                <w:b/>
                <w:bCs/>
                <w:kern w:val="0"/>
                <w:szCs w:val="21"/>
              </w:rPr>
            </w:pPr>
            <w:r>
              <w:rPr>
                <w:b/>
                <w:bCs/>
                <w:kern w:val="0"/>
                <w:szCs w:val="21"/>
              </w:rPr>
              <w:t>平均值</w:t>
            </w:r>
          </w:p>
        </w:tc>
        <w:tc>
          <w:tcPr>
            <w:tcW w:w="1606" w:type="dxa"/>
            <w:vAlign w:val="center"/>
          </w:tcPr>
          <w:p>
            <w:pPr>
              <w:widowControl/>
              <w:jc w:val="center"/>
              <w:textAlignment w:val="center"/>
              <w:rPr>
                <w:b/>
                <w:bCs/>
                <w:color w:val="000000"/>
                <w:kern w:val="0"/>
                <w:szCs w:val="21"/>
              </w:rPr>
            </w:pPr>
            <w:r>
              <w:rPr>
                <w:b/>
                <w:bCs/>
                <w:color w:val="000000"/>
                <w:kern w:val="0"/>
                <w:szCs w:val="21"/>
              </w:rPr>
              <w:t>6.32</w:t>
            </w:r>
          </w:p>
        </w:tc>
        <w:tc>
          <w:tcPr>
            <w:tcW w:w="1232" w:type="dxa"/>
            <w:vAlign w:val="center"/>
          </w:tcPr>
          <w:p>
            <w:pPr>
              <w:widowControl/>
              <w:jc w:val="center"/>
              <w:textAlignment w:val="center"/>
              <w:rPr>
                <w:b/>
                <w:bCs/>
                <w:color w:val="000000"/>
                <w:kern w:val="0"/>
                <w:szCs w:val="21"/>
              </w:rPr>
            </w:pPr>
            <w:r>
              <w:rPr>
                <w:b/>
                <w:bCs/>
                <w:color w:val="000000"/>
                <w:kern w:val="0"/>
                <w:szCs w:val="21"/>
              </w:rPr>
              <w:t>12.35</w:t>
            </w:r>
          </w:p>
        </w:tc>
        <w:tc>
          <w:tcPr>
            <w:tcW w:w="1236" w:type="dxa"/>
            <w:vAlign w:val="center"/>
          </w:tcPr>
          <w:p>
            <w:pPr>
              <w:widowControl/>
              <w:jc w:val="center"/>
              <w:textAlignment w:val="center"/>
              <w:rPr>
                <w:b/>
                <w:bCs/>
                <w:color w:val="000000"/>
                <w:kern w:val="0"/>
                <w:szCs w:val="21"/>
              </w:rPr>
            </w:pPr>
            <w:r>
              <w:rPr>
                <w:b/>
                <w:bCs/>
                <w:color w:val="000000"/>
                <w:kern w:val="0"/>
                <w:szCs w:val="21"/>
              </w:rPr>
              <w:t>16.71</w:t>
            </w:r>
          </w:p>
        </w:tc>
        <w:tc>
          <w:tcPr>
            <w:tcW w:w="1234" w:type="dxa"/>
            <w:vAlign w:val="center"/>
          </w:tcPr>
          <w:p>
            <w:pPr>
              <w:widowControl/>
              <w:jc w:val="center"/>
              <w:textAlignment w:val="center"/>
              <w:rPr>
                <w:b/>
                <w:bCs/>
                <w:color w:val="000000"/>
                <w:kern w:val="0"/>
                <w:szCs w:val="21"/>
              </w:rPr>
            </w:pPr>
            <w:r>
              <w:rPr>
                <w:b/>
                <w:bCs/>
                <w:color w:val="000000"/>
                <w:kern w:val="0"/>
                <w:szCs w:val="21"/>
              </w:rPr>
              <w:t>21.37</w:t>
            </w:r>
          </w:p>
        </w:tc>
        <w:tc>
          <w:tcPr>
            <w:tcW w:w="1236" w:type="dxa"/>
            <w:vAlign w:val="center"/>
          </w:tcPr>
          <w:p>
            <w:pPr>
              <w:widowControl/>
              <w:jc w:val="center"/>
              <w:textAlignment w:val="center"/>
              <w:rPr>
                <w:b/>
                <w:bCs/>
                <w:color w:val="000000"/>
                <w:kern w:val="0"/>
                <w:szCs w:val="21"/>
              </w:rPr>
            </w:pPr>
            <w:r>
              <w:rPr>
                <w:b/>
                <w:bCs/>
                <w:color w:val="000000"/>
                <w:kern w:val="0"/>
                <w:szCs w:val="21"/>
              </w:rPr>
              <w:t>26.51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4" w:hRule="atLeast"/>
          <w:jc w:val="center"/>
        </w:trPr>
        <w:tc>
          <w:tcPr>
            <w:tcW w:w="1978" w:type="dxa"/>
            <w:vMerge w:val="restart"/>
            <w:vAlign w:val="center"/>
          </w:tcPr>
          <w:p>
            <w:pPr>
              <w:widowControl/>
              <w:spacing w:before="100" w:beforeAutospacing="1" w:after="100" w:afterAutospacing="1"/>
              <w:jc w:val="center"/>
              <w:rPr>
                <w:kern w:val="0"/>
                <w:szCs w:val="21"/>
              </w:rPr>
            </w:pPr>
            <w:r>
              <w:rPr>
                <w:rFonts w:hint="eastAsia"/>
                <w:kern w:val="0"/>
                <w:szCs w:val="21"/>
              </w:rPr>
              <w:t>5江西铜业</w:t>
            </w:r>
          </w:p>
        </w:tc>
        <w:tc>
          <w:tcPr>
            <w:tcW w:w="1606" w:type="dxa"/>
            <w:vAlign w:val="center"/>
          </w:tcPr>
          <w:p>
            <w:pPr>
              <w:jc w:val="center"/>
            </w:pPr>
            <w:r>
              <w:t>6.22</w:t>
            </w:r>
          </w:p>
        </w:tc>
        <w:tc>
          <w:tcPr>
            <w:tcW w:w="1232" w:type="dxa"/>
            <w:vAlign w:val="center"/>
          </w:tcPr>
          <w:p>
            <w:pPr>
              <w:jc w:val="center"/>
            </w:pPr>
            <w:r>
              <w:t>12.2</w:t>
            </w:r>
            <w:r>
              <w:rPr>
                <w:rFonts w:hint="eastAsia"/>
              </w:rPr>
              <w:t>6</w:t>
            </w:r>
          </w:p>
        </w:tc>
        <w:tc>
          <w:tcPr>
            <w:tcW w:w="1236" w:type="dxa"/>
            <w:vAlign w:val="center"/>
          </w:tcPr>
          <w:p>
            <w:pPr>
              <w:jc w:val="center"/>
            </w:pPr>
            <w:r>
              <w:t>16.57</w:t>
            </w:r>
          </w:p>
        </w:tc>
        <w:tc>
          <w:tcPr>
            <w:tcW w:w="1234" w:type="dxa"/>
            <w:vAlign w:val="center"/>
          </w:tcPr>
          <w:p>
            <w:pPr>
              <w:jc w:val="center"/>
            </w:pPr>
            <w:r>
              <w:t>21.17</w:t>
            </w:r>
          </w:p>
        </w:tc>
        <w:tc>
          <w:tcPr>
            <w:tcW w:w="1236" w:type="dxa"/>
            <w:vAlign w:val="center"/>
          </w:tcPr>
          <w:p>
            <w:pPr>
              <w:jc w:val="center"/>
            </w:pPr>
            <w:r>
              <w:t>26.</w:t>
            </w:r>
            <w:r>
              <w:rPr>
                <w:rFonts w:hint="eastAsia"/>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6.22</w:t>
            </w:r>
          </w:p>
        </w:tc>
        <w:tc>
          <w:tcPr>
            <w:tcW w:w="1232" w:type="dxa"/>
            <w:vAlign w:val="center"/>
          </w:tcPr>
          <w:p>
            <w:pPr>
              <w:jc w:val="center"/>
            </w:pPr>
            <w:r>
              <w:t>12.28</w:t>
            </w:r>
          </w:p>
        </w:tc>
        <w:tc>
          <w:tcPr>
            <w:tcW w:w="1236" w:type="dxa"/>
            <w:vAlign w:val="center"/>
          </w:tcPr>
          <w:p>
            <w:pPr>
              <w:jc w:val="center"/>
            </w:pPr>
            <w:r>
              <w:t>16.58</w:t>
            </w:r>
          </w:p>
        </w:tc>
        <w:tc>
          <w:tcPr>
            <w:tcW w:w="1234" w:type="dxa"/>
            <w:vAlign w:val="center"/>
          </w:tcPr>
          <w:p>
            <w:pPr>
              <w:jc w:val="center"/>
            </w:pPr>
            <w:r>
              <w:t>21.1</w:t>
            </w:r>
            <w:r>
              <w:rPr>
                <w:rFonts w:hint="eastAsia"/>
              </w:rPr>
              <w:t>8</w:t>
            </w:r>
          </w:p>
        </w:tc>
        <w:tc>
          <w:tcPr>
            <w:tcW w:w="1236" w:type="dxa"/>
            <w:vAlign w:val="center"/>
          </w:tcPr>
          <w:p>
            <w:pPr>
              <w:jc w:val="center"/>
            </w:pPr>
            <w:r>
              <w:t>26.31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w:t>
            </w:r>
            <w:r>
              <w:rPr>
                <w:rFonts w:hint="eastAsia"/>
              </w:rPr>
              <w:t>3</w:t>
            </w:r>
          </w:p>
        </w:tc>
        <w:tc>
          <w:tcPr>
            <w:tcW w:w="1232" w:type="dxa"/>
            <w:vAlign w:val="center"/>
          </w:tcPr>
          <w:p>
            <w:pPr>
              <w:jc w:val="center"/>
            </w:pPr>
            <w:r>
              <w:t>12.29</w:t>
            </w:r>
          </w:p>
        </w:tc>
        <w:tc>
          <w:tcPr>
            <w:tcW w:w="1236" w:type="dxa"/>
            <w:vAlign w:val="center"/>
          </w:tcPr>
          <w:p>
            <w:pPr>
              <w:jc w:val="center"/>
            </w:pPr>
            <w:r>
              <w:t>16.66</w:t>
            </w:r>
          </w:p>
        </w:tc>
        <w:tc>
          <w:tcPr>
            <w:tcW w:w="1234" w:type="dxa"/>
            <w:vAlign w:val="center"/>
          </w:tcPr>
          <w:p>
            <w:pPr>
              <w:jc w:val="center"/>
            </w:pPr>
            <w:r>
              <w:t>21.21</w:t>
            </w:r>
          </w:p>
        </w:tc>
        <w:tc>
          <w:tcPr>
            <w:tcW w:w="1236" w:type="dxa"/>
            <w:vAlign w:val="center"/>
          </w:tcPr>
          <w:p>
            <w:pPr>
              <w:jc w:val="center"/>
            </w:pPr>
            <w:r>
              <w:t>26.31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6.25</w:t>
            </w:r>
          </w:p>
        </w:tc>
        <w:tc>
          <w:tcPr>
            <w:tcW w:w="1232" w:type="dxa"/>
            <w:vAlign w:val="center"/>
          </w:tcPr>
          <w:p>
            <w:pPr>
              <w:jc w:val="center"/>
            </w:pPr>
            <w:r>
              <w:t>12.29</w:t>
            </w:r>
          </w:p>
        </w:tc>
        <w:tc>
          <w:tcPr>
            <w:tcW w:w="1236" w:type="dxa"/>
            <w:vAlign w:val="center"/>
          </w:tcPr>
          <w:p>
            <w:pPr>
              <w:jc w:val="center"/>
            </w:pPr>
            <w:r>
              <w:t>16.68</w:t>
            </w:r>
          </w:p>
        </w:tc>
        <w:tc>
          <w:tcPr>
            <w:tcW w:w="1234" w:type="dxa"/>
            <w:vAlign w:val="center"/>
          </w:tcPr>
          <w:p>
            <w:pPr>
              <w:jc w:val="center"/>
            </w:pPr>
            <w:r>
              <w:t>21.2</w:t>
            </w:r>
            <w:r>
              <w:rPr>
                <w:rFonts w:hint="eastAsia"/>
              </w:rPr>
              <w:t>6</w:t>
            </w:r>
          </w:p>
        </w:tc>
        <w:tc>
          <w:tcPr>
            <w:tcW w:w="1236" w:type="dxa"/>
            <w:vAlign w:val="center"/>
          </w:tcPr>
          <w:p>
            <w:pPr>
              <w:jc w:val="center"/>
            </w:pPr>
            <w:r>
              <w:t>26.34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6.27</w:t>
            </w:r>
          </w:p>
        </w:tc>
        <w:tc>
          <w:tcPr>
            <w:tcW w:w="1232" w:type="dxa"/>
            <w:vAlign w:val="center"/>
          </w:tcPr>
          <w:p>
            <w:pPr>
              <w:jc w:val="center"/>
            </w:pPr>
            <w:r>
              <w:t>12.33</w:t>
            </w:r>
          </w:p>
        </w:tc>
        <w:tc>
          <w:tcPr>
            <w:tcW w:w="1236" w:type="dxa"/>
            <w:vAlign w:val="center"/>
          </w:tcPr>
          <w:p>
            <w:pPr>
              <w:jc w:val="center"/>
            </w:pPr>
            <w:r>
              <w:t>16.6</w:t>
            </w:r>
            <w:r>
              <w:rPr>
                <w:rFonts w:hint="eastAsia"/>
              </w:rPr>
              <w:t>9</w:t>
            </w:r>
          </w:p>
        </w:tc>
        <w:tc>
          <w:tcPr>
            <w:tcW w:w="1234" w:type="dxa"/>
            <w:vAlign w:val="center"/>
          </w:tcPr>
          <w:p>
            <w:pPr>
              <w:jc w:val="center"/>
            </w:pPr>
            <w:r>
              <w:t>21.30</w:t>
            </w:r>
          </w:p>
        </w:tc>
        <w:tc>
          <w:tcPr>
            <w:tcW w:w="1236" w:type="dxa"/>
            <w:vAlign w:val="center"/>
          </w:tcPr>
          <w:p>
            <w:pPr>
              <w:jc w:val="center"/>
            </w:pPr>
            <w:r>
              <w:t>26.40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w:t>
            </w:r>
            <w:r>
              <w:rPr>
                <w:rFonts w:hint="eastAsia"/>
              </w:rPr>
              <w:t>4</w:t>
            </w:r>
          </w:p>
        </w:tc>
        <w:tc>
          <w:tcPr>
            <w:tcW w:w="1232" w:type="dxa"/>
            <w:vAlign w:val="center"/>
          </w:tcPr>
          <w:p>
            <w:pPr>
              <w:jc w:val="center"/>
            </w:pPr>
            <w:r>
              <w:t>12.3</w:t>
            </w:r>
            <w:r>
              <w:rPr>
                <w:rFonts w:hint="eastAsia"/>
              </w:rPr>
              <w:t>4</w:t>
            </w:r>
          </w:p>
        </w:tc>
        <w:tc>
          <w:tcPr>
            <w:tcW w:w="1236" w:type="dxa"/>
            <w:vAlign w:val="center"/>
          </w:tcPr>
          <w:p>
            <w:pPr>
              <w:jc w:val="center"/>
            </w:pPr>
            <w:r>
              <w:t>16.71</w:t>
            </w:r>
          </w:p>
        </w:tc>
        <w:tc>
          <w:tcPr>
            <w:tcW w:w="1234" w:type="dxa"/>
            <w:vAlign w:val="center"/>
          </w:tcPr>
          <w:p>
            <w:pPr>
              <w:jc w:val="center"/>
            </w:pPr>
            <w:r>
              <w:t>21.33</w:t>
            </w:r>
          </w:p>
        </w:tc>
        <w:tc>
          <w:tcPr>
            <w:tcW w:w="1236" w:type="dxa"/>
            <w:vAlign w:val="center"/>
          </w:tcPr>
          <w:p>
            <w:pPr>
              <w:jc w:val="center"/>
            </w:pPr>
            <w:r>
              <w:t>26.41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w:t>
            </w:r>
            <w:r>
              <w:rPr>
                <w:rFonts w:hint="eastAsia"/>
              </w:rPr>
              <w:t>5</w:t>
            </w:r>
          </w:p>
        </w:tc>
        <w:tc>
          <w:tcPr>
            <w:tcW w:w="1232" w:type="dxa"/>
            <w:vAlign w:val="center"/>
          </w:tcPr>
          <w:p>
            <w:pPr>
              <w:jc w:val="center"/>
            </w:pPr>
            <w:r>
              <w:t>12.34</w:t>
            </w:r>
          </w:p>
        </w:tc>
        <w:tc>
          <w:tcPr>
            <w:tcW w:w="1236" w:type="dxa"/>
            <w:vAlign w:val="center"/>
          </w:tcPr>
          <w:p>
            <w:pPr>
              <w:jc w:val="center"/>
            </w:pPr>
            <w:r>
              <w:t>16.7</w:t>
            </w:r>
            <w:r>
              <w:rPr>
                <w:rFonts w:hint="eastAsia"/>
              </w:rPr>
              <w:t>9</w:t>
            </w:r>
          </w:p>
        </w:tc>
        <w:tc>
          <w:tcPr>
            <w:tcW w:w="1234" w:type="dxa"/>
            <w:vAlign w:val="center"/>
          </w:tcPr>
          <w:p>
            <w:pPr>
              <w:jc w:val="center"/>
            </w:pPr>
            <w:r>
              <w:t>21.40</w:t>
            </w:r>
          </w:p>
        </w:tc>
        <w:tc>
          <w:tcPr>
            <w:tcW w:w="1236" w:type="dxa"/>
            <w:vAlign w:val="center"/>
          </w:tcPr>
          <w:p>
            <w:pPr>
              <w:jc w:val="center"/>
            </w:pPr>
            <w:r>
              <w:t>26.4</w:t>
            </w: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79" w:hRule="atLeast"/>
          <w:jc w:val="center"/>
        </w:trPr>
        <w:tc>
          <w:tcPr>
            <w:tcW w:w="1978" w:type="dxa"/>
            <w:vAlign w:val="center"/>
          </w:tcPr>
          <w:p>
            <w:pPr>
              <w:widowControl/>
              <w:spacing w:before="100" w:beforeAutospacing="1" w:after="100" w:afterAutospacing="1"/>
              <w:jc w:val="center"/>
              <w:rPr>
                <w:b/>
                <w:bCs/>
                <w:kern w:val="0"/>
                <w:szCs w:val="21"/>
              </w:rPr>
            </w:pPr>
            <w:r>
              <w:rPr>
                <w:b/>
                <w:bCs/>
                <w:kern w:val="0"/>
                <w:szCs w:val="21"/>
              </w:rPr>
              <w:t>平均值</w:t>
            </w:r>
          </w:p>
        </w:tc>
        <w:tc>
          <w:tcPr>
            <w:tcW w:w="1606" w:type="dxa"/>
            <w:vAlign w:val="center"/>
          </w:tcPr>
          <w:p>
            <w:pPr>
              <w:widowControl/>
              <w:jc w:val="center"/>
              <w:textAlignment w:val="center"/>
              <w:rPr>
                <w:b/>
                <w:bCs/>
                <w:color w:val="000000"/>
                <w:kern w:val="0"/>
                <w:szCs w:val="21"/>
              </w:rPr>
            </w:pPr>
            <w:r>
              <w:rPr>
                <w:b/>
                <w:bCs/>
                <w:color w:val="000000"/>
                <w:kern w:val="0"/>
                <w:szCs w:val="21"/>
              </w:rPr>
              <w:t>6.27</w:t>
            </w:r>
          </w:p>
        </w:tc>
        <w:tc>
          <w:tcPr>
            <w:tcW w:w="1232" w:type="dxa"/>
            <w:vAlign w:val="center"/>
          </w:tcPr>
          <w:p>
            <w:pPr>
              <w:widowControl/>
              <w:jc w:val="center"/>
              <w:textAlignment w:val="center"/>
              <w:rPr>
                <w:b/>
                <w:bCs/>
                <w:color w:val="000000"/>
                <w:kern w:val="0"/>
                <w:szCs w:val="21"/>
              </w:rPr>
            </w:pPr>
            <w:r>
              <w:rPr>
                <w:b/>
                <w:bCs/>
                <w:color w:val="000000"/>
                <w:kern w:val="0"/>
                <w:szCs w:val="21"/>
              </w:rPr>
              <w:t>12.31</w:t>
            </w:r>
          </w:p>
        </w:tc>
        <w:tc>
          <w:tcPr>
            <w:tcW w:w="1236" w:type="dxa"/>
            <w:vAlign w:val="center"/>
          </w:tcPr>
          <w:p>
            <w:pPr>
              <w:widowControl/>
              <w:jc w:val="center"/>
              <w:textAlignment w:val="center"/>
              <w:rPr>
                <w:b/>
                <w:bCs/>
                <w:color w:val="000000"/>
                <w:kern w:val="0"/>
                <w:szCs w:val="21"/>
              </w:rPr>
            </w:pPr>
            <w:r>
              <w:rPr>
                <w:b/>
                <w:bCs/>
                <w:color w:val="000000"/>
                <w:kern w:val="0"/>
                <w:szCs w:val="21"/>
              </w:rPr>
              <w:t>16.67</w:t>
            </w:r>
          </w:p>
        </w:tc>
        <w:tc>
          <w:tcPr>
            <w:tcW w:w="1234" w:type="dxa"/>
            <w:vAlign w:val="center"/>
          </w:tcPr>
          <w:p>
            <w:pPr>
              <w:widowControl/>
              <w:jc w:val="center"/>
              <w:textAlignment w:val="center"/>
              <w:rPr>
                <w:b/>
                <w:bCs/>
                <w:color w:val="000000"/>
                <w:kern w:val="0"/>
                <w:szCs w:val="21"/>
              </w:rPr>
            </w:pPr>
            <w:r>
              <w:rPr>
                <w:b/>
                <w:bCs/>
                <w:color w:val="000000"/>
                <w:kern w:val="0"/>
                <w:szCs w:val="21"/>
              </w:rPr>
              <w:t>21.26</w:t>
            </w:r>
          </w:p>
        </w:tc>
        <w:tc>
          <w:tcPr>
            <w:tcW w:w="1236" w:type="dxa"/>
            <w:vAlign w:val="center"/>
          </w:tcPr>
          <w:p>
            <w:pPr>
              <w:widowControl/>
              <w:jc w:val="center"/>
              <w:textAlignment w:val="center"/>
              <w:rPr>
                <w:b/>
                <w:bCs/>
                <w:color w:val="000000"/>
                <w:kern w:val="0"/>
                <w:szCs w:val="21"/>
              </w:rPr>
            </w:pPr>
            <w:r>
              <w:rPr>
                <w:b/>
                <w:bCs/>
                <w:color w:val="000000"/>
                <w:kern w:val="0"/>
                <w:szCs w:val="21"/>
              </w:rPr>
              <w:t>26.36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4" w:hRule="atLeast"/>
          <w:jc w:val="center"/>
        </w:trPr>
        <w:tc>
          <w:tcPr>
            <w:tcW w:w="1978" w:type="dxa"/>
            <w:vMerge w:val="restart"/>
            <w:vAlign w:val="center"/>
          </w:tcPr>
          <w:p>
            <w:pPr>
              <w:widowControl/>
              <w:spacing w:before="100" w:beforeAutospacing="1" w:after="100" w:afterAutospacing="1"/>
              <w:jc w:val="center"/>
              <w:rPr>
                <w:kern w:val="0"/>
                <w:szCs w:val="21"/>
              </w:rPr>
            </w:pPr>
            <w:r>
              <w:rPr>
                <w:rFonts w:hint="eastAsia"/>
                <w:kern w:val="0"/>
                <w:szCs w:val="21"/>
              </w:rPr>
              <w:t>6中条山有色</w:t>
            </w:r>
          </w:p>
        </w:tc>
        <w:tc>
          <w:tcPr>
            <w:tcW w:w="1606" w:type="dxa"/>
            <w:vAlign w:val="center"/>
          </w:tcPr>
          <w:p>
            <w:pPr>
              <w:jc w:val="center"/>
            </w:pPr>
            <w:r>
              <w:t>6.27</w:t>
            </w:r>
          </w:p>
        </w:tc>
        <w:tc>
          <w:tcPr>
            <w:tcW w:w="1232" w:type="dxa"/>
            <w:vAlign w:val="center"/>
          </w:tcPr>
          <w:p>
            <w:pPr>
              <w:jc w:val="center"/>
            </w:pPr>
            <w:r>
              <w:t>12.25</w:t>
            </w:r>
          </w:p>
        </w:tc>
        <w:tc>
          <w:tcPr>
            <w:tcW w:w="1236" w:type="dxa"/>
            <w:vAlign w:val="center"/>
          </w:tcPr>
          <w:p>
            <w:pPr>
              <w:jc w:val="center"/>
            </w:pPr>
            <w:r>
              <w:t>16.61</w:t>
            </w:r>
          </w:p>
        </w:tc>
        <w:tc>
          <w:tcPr>
            <w:tcW w:w="1234" w:type="dxa"/>
            <w:vAlign w:val="center"/>
          </w:tcPr>
          <w:p>
            <w:pPr>
              <w:jc w:val="center"/>
            </w:pPr>
            <w:r>
              <w:t>21.25</w:t>
            </w:r>
          </w:p>
        </w:tc>
        <w:tc>
          <w:tcPr>
            <w:tcW w:w="1236" w:type="dxa"/>
            <w:vAlign w:val="center"/>
          </w:tcPr>
          <w:p>
            <w:pPr>
              <w:jc w:val="center"/>
            </w:pPr>
            <w:r>
              <w:t>26.46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6.23</w:t>
            </w:r>
          </w:p>
        </w:tc>
        <w:tc>
          <w:tcPr>
            <w:tcW w:w="1232" w:type="dxa"/>
            <w:vAlign w:val="center"/>
          </w:tcPr>
          <w:p>
            <w:pPr>
              <w:jc w:val="center"/>
            </w:pPr>
            <w:r>
              <w:t>12.15</w:t>
            </w:r>
          </w:p>
        </w:tc>
        <w:tc>
          <w:tcPr>
            <w:tcW w:w="1236" w:type="dxa"/>
            <w:vAlign w:val="center"/>
          </w:tcPr>
          <w:p>
            <w:pPr>
              <w:jc w:val="center"/>
            </w:pPr>
            <w:r>
              <w:t>16.57</w:t>
            </w:r>
          </w:p>
        </w:tc>
        <w:tc>
          <w:tcPr>
            <w:tcW w:w="1234" w:type="dxa"/>
            <w:vAlign w:val="center"/>
          </w:tcPr>
          <w:p>
            <w:pPr>
              <w:jc w:val="center"/>
            </w:pPr>
            <w:r>
              <w:t>21.28</w:t>
            </w:r>
          </w:p>
        </w:tc>
        <w:tc>
          <w:tcPr>
            <w:tcW w:w="1236" w:type="dxa"/>
            <w:vAlign w:val="center"/>
          </w:tcPr>
          <w:p>
            <w:pPr>
              <w:jc w:val="center"/>
            </w:pPr>
            <w:r>
              <w:t>26.5</w:t>
            </w: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w:t>
            </w:r>
            <w:r>
              <w:rPr>
                <w:rFonts w:hint="eastAsia"/>
              </w:rPr>
              <w:t>0</w:t>
            </w:r>
          </w:p>
        </w:tc>
        <w:tc>
          <w:tcPr>
            <w:tcW w:w="1232" w:type="dxa"/>
            <w:vAlign w:val="center"/>
          </w:tcPr>
          <w:p>
            <w:pPr>
              <w:jc w:val="center"/>
            </w:pPr>
            <w:r>
              <w:t>12.19</w:t>
            </w:r>
          </w:p>
        </w:tc>
        <w:tc>
          <w:tcPr>
            <w:tcW w:w="1236" w:type="dxa"/>
            <w:vAlign w:val="center"/>
          </w:tcPr>
          <w:p>
            <w:pPr>
              <w:jc w:val="center"/>
            </w:pPr>
            <w:r>
              <w:t>16.56</w:t>
            </w:r>
          </w:p>
        </w:tc>
        <w:tc>
          <w:tcPr>
            <w:tcW w:w="1234" w:type="dxa"/>
            <w:vAlign w:val="center"/>
          </w:tcPr>
          <w:p>
            <w:pPr>
              <w:jc w:val="center"/>
            </w:pPr>
            <w:r>
              <w:t>21.23</w:t>
            </w:r>
          </w:p>
        </w:tc>
        <w:tc>
          <w:tcPr>
            <w:tcW w:w="1236" w:type="dxa"/>
            <w:vAlign w:val="center"/>
          </w:tcPr>
          <w:p>
            <w:pPr>
              <w:jc w:val="center"/>
            </w:pPr>
            <w:r>
              <w:t>26.44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6.25</w:t>
            </w:r>
          </w:p>
        </w:tc>
        <w:tc>
          <w:tcPr>
            <w:tcW w:w="1232" w:type="dxa"/>
            <w:vAlign w:val="center"/>
          </w:tcPr>
          <w:p>
            <w:pPr>
              <w:jc w:val="center"/>
            </w:pPr>
            <w:r>
              <w:t>12.1</w:t>
            </w:r>
            <w:r>
              <w:rPr>
                <w:rFonts w:hint="eastAsia"/>
              </w:rPr>
              <w:t>0</w:t>
            </w:r>
          </w:p>
        </w:tc>
        <w:tc>
          <w:tcPr>
            <w:tcW w:w="1236" w:type="dxa"/>
            <w:vAlign w:val="center"/>
          </w:tcPr>
          <w:p>
            <w:pPr>
              <w:jc w:val="center"/>
            </w:pPr>
            <w:r>
              <w:t>16.45</w:t>
            </w:r>
          </w:p>
        </w:tc>
        <w:tc>
          <w:tcPr>
            <w:tcW w:w="1234" w:type="dxa"/>
            <w:vAlign w:val="center"/>
          </w:tcPr>
          <w:p>
            <w:pPr>
              <w:jc w:val="center"/>
            </w:pPr>
            <w:r>
              <w:t>21.28</w:t>
            </w:r>
          </w:p>
        </w:tc>
        <w:tc>
          <w:tcPr>
            <w:tcW w:w="1236" w:type="dxa"/>
            <w:vAlign w:val="center"/>
          </w:tcPr>
          <w:p>
            <w:pPr>
              <w:jc w:val="center"/>
            </w:pPr>
            <w:r>
              <w:t>26.37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6.27</w:t>
            </w:r>
          </w:p>
        </w:tc>
        <w:tc>
          <w:tcPr>
            <w:tcW w:w="1232" w:type="dxa"/>
            <w:vAlign w:val="center"/>
          </w:tcPr>
          <w:p>
            <w:pPr>
              <w:jc w:val="center"/>
            </w:pPr>
            <w:r>
              <w:t>12.3</w:t>
            </w:r>
            <w:r>
              <w:rPr>
                <w:rFonts w:hint="eastAsia"/>
              </w:rPr>
              <w:t>0</w:t>
            </w:r>
          </w:p>
        </w:tc>
        <w:tc>
          <w:tcPr>
            <w:tcW w:w="1236" w:type="dxa"/>
            <w:vAlign w:val="center"/>
          </w:tcPr>
          <w:p>
            <w:pPr>
              <w:jc w:val="center"/>
            </w:pPr>
            <w:r>
              <w:t>16.67</w:t>
            </w:r>
          </w:p>
        </w:tc>
        <w:tc>
          <w:tcPr>
            <w:tcW w:w="1234" w:type="dxa"/>
            <w:vAlign w:val="center"/>
          </w:tcPr>
          <w:p>
            <w:pPr>
              <w:jc w:val="center"/>
            </w:pPr>
            <w:r>
              <w:t>21.3</w:t>
            </w:r>
            <w:r>
              <w:rPr>
                <w:rFonts w:hint="eastAsia"/>
              </w:rPr>
              <w:t>0</w:t>
            </w:r>
          </w:p>
        </w:tc>
        <w:tc>
          <w:tcPr>
            <w:tcW w:w="1236" w:type="dxa"/>
            <w:vAlign w:val="center"/>
          </w:tcPr>
          <w:p>
            <w:pPr>
              <w:jc w:val="center"/>
            </w:pPr>
            <w:r>
              <w:t>26.42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6.17</w:t>
            </w:r>
          </w:p>
        </w:tc>
        <w:tc>
          <w:tcPr>
            <w:tcW w:w="1232" w:type="dxa"/>
            <w:vAlign w:val="center"/>
          </w:tcPr>
          <w:p>
            <w:pPr>
              <w:jc w:val="center"/>
            </w:pPr>
            <w:r>
              <w:t>12.13</w:t>
            </w:r>
          </w:p>
        </w:tc>
        <w:tc>
          <w:tcPr>
            <w:tcW w:w="1236" w:type="dxa"/>
            <w:vAlign w:val="center"/>
          </w:tcPr>
          <w:p>
            <w:pPr>
              <w:jc w:val="center"/>
            </w:pPr>
            <w:r>
              <w:t>16.7</w:t>
            </w:r>
            <w:r>
              <w:rPr>
                <w:rFonts w:hint="eastAsia"/>
              </w:rPr>
              <w:t>0</w:t>
            </w:r>
          </w:p>
        </w:tc>
        <w:tc>
          <w:tcPr>
            <w:tcW w:w="1234" w:type="dxa"/>
            <w:vAlign w:val="center"/>
          </w:tcPr>
          <w:p>
            <w:pPr>
              <w:jc w:val="center"/>
            </w:pPr>
            <w:r>
              <w:t>21.3</w:t>
            </w:r>
            <w:r>
              <w:rPr>
                <w:rFonts w:hint="eastAsia"/>
              </w:rPr>
              <w:t>0</w:t>
            </w:r>
          </w:p>
        </w:tc>
        <w:tc>
          <w:tcPr>
            <w:tcW w:w="1236" w:type="dxa"/>
            <w:vAlign w:val="center"/>
          </w:tcPr>
          <w:p>
            <w:pPr>
              <w:jc w:val="center"/>
            </w:pPr>
            <w:r>
              <w:t>26.4</w:t>
            </w: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92"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6.19</w:t>
            </w:r>
          </w:p>
        </w:tc>
        <w:tc>
          <w:tcPr>
            <w:tcW w:w="1232" w:type="dxa"/>
            <w:vAlign w:val="center"/>
          </w:tcPr>
          <w:p>
            <w:pPr>
              <w:jc w:val="center"/>
            </w:pPr>
            <w:r>
              <w:t>12.09</w:t>
            </w:r>
          </w:p>
        </w:tc>
        <w:tc>
          <w:tcPr>
            <w:tcW w:w="1236" w:type="dxa"/>
            <w:vAlign w:val="center"/>
          </w:tcPr>
          <w:p>
            <w:pPr>
              <w:jc w:val="center"/>
            </w:pPr>
            <w:r>
              <w:t>16.44</w:t>
            </w:r>
          </w:p>
        </w:tc>
        <w:tc>
          <w:tcPr>
            <w:tcW w:w="1234" w:type="dxa"/>
            <w:vAlign w:val="center"/>
          </w:tcPr>
          <w:p>
            <w:pPr>
              <w:jc w:val="center"/>
            </w:pPr>
            <w:r>
              <w:t>21.25</w:t>
            </w:r>
          </w:p>
        </w:tc>
        <w:tc>
          <w:tcPr>
            <w:tcW w:w="1236" w:type="dxa"/>
            <w:vAlign w:val="center"/>
          </w:tcPr>
          <w:p>
            <w:pPr>
              <w:jc w:val="center"/>
            </w:pPr>
            <w:r>
              <w:t>26.42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79" w:hRule="atLeast"/>
          <w:jc w:val="center"/>
        </w:trPr>
        <w:tc>
          <w:tcPr>
            <w:tcW w:w="1978" w:type="dxa"/>
            <w:vAlign w:val="center"/>
          </w:tcPr>
          <w:p>
            <w:pPr>
              <w:widowControl/>
              <w:spacing w:before="100" w:beforeAutospacing="1" w:after="100" w:afterAutospacing="1"/>
              <w:jc w:val="center"/>
              <w:rPr>
                <w:b/>
                <w:bCs/>
                <w:kern w:val="0"/>
                <w:szCs w:val="21"/>
              </w:rPr>
            </w:pPr>
            <w:r>
              <w:rPr>
                <w:b/>
                <w:bCs/>
                <w:kern w:val="0"/>
                <w:szCs w:val="21"/>
              </w:rPr>
              <w:t>平均值</w:t>
            </w:r>
          </w:p>
        </w:tc>
        <w:tc>
          <w:tcPr>
            <w:tcW w:w="1606" w:type="dxa"/>
            <w:shd w:val="clear" w:color="auto" w:fill="auto"/>
            <w:vAlign w:val="center"/>
          </w:tcPr>
          <w:p>
            <w:pPr>
              <w:jc w:val="center"/>
              <w:rPr>
                <w:rFonts w:ascii="宋体" w:hAnsi="宋体" w:cs="宋体"/>
                <w:b/>
                <w:sz w:val="24"/>
              </w:rPr>
            </w:pPr>
            <w:r>
              <w:rPr>
                <w:rFonts w:hint="eastAsia"/>
                <w:b/>
              </w:rPr>
              <w:t>6.23</w:t>
            </w:r>
          </w:p>
        </w:tc>
        <w:tc>
          <w:tcPr>
            <w:tcW w:w="1232" w:type="dxa"/>
            <w:shd w:val="clear" w:color="auto" w:fill="auto"/>
            <w:vAlign w:val="center"/>
          </w:tcPr>
          <w:p>
            <w:pPr>
              <w:jc w:val="center"/>
              <w:rPr>
                <w:rFonts w:ascii="宋体" w:hAnsi="宋体" w:cs="宋体"/>
                <w:b/>
                <w:sz w:val="24"/>
              </w:rPr>
            </w:pPr>
            <w:r>
              <w:rPr>
                <w:rFonts w:hint="eastAsia"/>
                <w:b/>
              </w:rPr>
              <w:t>12.17</w:t>
            </w:r>
          </w:p>
        </w:tc>
        <w:tc>
          <w:tcPr>
            <w:tcW w:w="1236" w:type="dxa"/>
            <w:shd w:val="clear" w:color="auto" w:fill="auto"/>
            <w:vAlign w:val="center"/>
          </w:tcPr>
          <w:p>
            <w:pPr>
              <w:jc w:val="center"/>
              <w:rPr>
                <w:rFonts w:ascii="宋体" w:hAnsi="宋体" w:cs="宋体"/>
                <w:b/>
                <w:sz w:val="24"/>
              </w:rPr>
            </w:pPr>
            <w:r>
              <w:rPr>
                <w:rFonts w:hint="eastAsia"/>
                <w:b/>
              </w:rPr>
              <w:t>16.57</w:t>
            </w:r>
          </w:p>
        </w:tc>
        <w:tc>
          <w:tcPr>
            <w:tcW w:w="1234" w:type="dxa"/>
            <w:shd w:val="clear" w:color="auto" w:fill="auto"/>
            <w:vAlign w:val="center"/>
          </w:tcPr>
          <w:p>
            <w:pPr>
              <w:jc w:val="center"/>
              <w:rPr>
                <w:rFonts w:ascii="宋体" w:hAnsi="宋体" w:cs="宋体"/>
                <w:b/>
                <w:sz w:val="24"/>
              </w:rPr>
            </w:pPr>
            <w:r>
              <w:rPr>
                <w:rFonts w:hint="eastAsia"/>
                <w:b/>
              </w:rPr>
              <w:t>21.27</w:t>
            </w:r>
          </w:p>
        </w:tc>
        <w:tc>
          <w:tcPr>
            <w:tcW w:w="1236" w:type="dxa"/>
            <w:shd w:val="clear" w:color="auto" w:fill="auto"/>
            <w:vAlign w:val="center"/>
          </w:tcPr>
          <w:p>
            <w:pPr>
              <w:jc w:val="center"/>
              <w:rPr>
                <w:rFonts w:ascii="宋体" w:hAnsi="宋体" w:cs="宋体"/>
                <w:b/>
                <w:sz w:val="24"/>
              </w:rPr>
            </w:pPr>
            <w:r>
              <w:rPr>
                <w:rFonts w:hint="eastAsia"/>
                <w:b/>
              </w:rPr>
              <w:t>26.43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restart"/>
            <w:vAlign w:val="center"/>
          </w:tcPr>
          <w:p>
            <w:pPr>
              <w:widowControl/>
              <w:spacing w:before="100" w:beforeAutospacing="1" w:after="100" w:afterAutospacing="1"/>
              <w:jc w:val="center"/>
              <w:rPr>
                <w:kern w:val="0"/>
                <w:szCs w:val="21"/>
              </w:rPr>
            </w:pPr>
            <w:r>
              <w:rPr>
                <w:rFonts w:hint="eastAsia"/>
                <w:kern w:val="0"/>
                <w:szCs w:val="21"/>
              </w:rPr>
              <w:t>7浙江富冶</w:t>
            </w:r>
          </w:p>
        </w:tc>
        <w:tc>
          <w:tcPr>
            <w:tcW w:w="1606" w:type="dxa"/>
            <w:vAlign w:val="center"/>
          </w:tcPr>
          <w:p>
            <w:pPr>
              <w:widowControl/>
              <w:jc w:val="center"/>
              <w:textAlignment w:val="center"/>
              <w:rPr>
                <w:kern w:val="0"/>
                <w:szCs w:val="21"/>
              </w:rPr>
            </w:pPr>
            <w:r>
              <w:rPr>
                <w:color w:val="000000"/>
                <w:kern w:val="0"/>
                <w:sz w:val="22"/>
                <w:szCs w:val="22"/>
              </w:rPr>
              <w:t>5.06</w:t>
            </w:r>
          </w:p>
        </w:tc>
        <w:tc>
          <w:tcPr>
            <w:tcW w:w="1232" w:type="dxa"/>
            <w:vAlign w:val="center"/>
          </w:tcPr>
          <w:p>
            <w:pPr>
              <w:widowControl/>
              <w:jc w:val="center"/>
              <w:textAlignment w:val="center"/>
              <w:rPr>
                <w:kern w:val="0"/>
                <w:szCs w:val="21"/>
              </w:rPr>
            </w:pPr>
            <w:r>
              <w:rPr>
                <w:color w:val="000000"/>
                <w:kern w:val="0"/>
                <w:sz w:val="22"/>
                <w:szCs w:val="22"/>
              </w:rPr>
              <w:t>12.11</w:t>
            </w:r>
          </w:p>
        </w:tc>
        <w:tc>
          <w:tcPr>
            <w:tcW w:w="1236" w:type="dxa"/>
            <w:vAlign w:val="center"/>
          </w:tcPr>
          <w:p>
            <w:pPr>
              <w:widowControl/>
              <w:jc w:val="center"/>
              <w:textAlignment w:val="center"/>
              <w:rPr>
                <w:kern w:val="0"/>
                <w:szCs w:val="21"/>
              </w:rPr>
            </w:pPr>
            <w:r>
              <w:rPr>
                <w:color w:val="000000"/>
                <w:kern w:val="0"/>
                <w:sz w:val="22"/>
                <w:szCs w:val="22"/>
              </w:rPr>
              <w:t>15.81</w:t>
            </w:r>
          </w:p>
        </w:tc>
        <w:tc>
          <w:tcPr>
            <w:tcW w:w="1234" w:type="dxa"/>
            <w:vAlign w:val="center"/>
          </w:tcPr>
          <w:p>
            <w:pPr>
              <w:widowControl/>
              <w:jc w:val="center"/>
              <w:textAlignment w:val="center"/>
              <w:rPr>
                <w:kern w:val="0"/>
                <w:szCs w:val="21"/>
              </w:rPr>
            </w:pPr>
            <w:r>
              <w:rPr>
                <w:color w:val="000000"/>
                <w:kern w:val="0"/>
                <w:sz w:val="22"/>
                <w:szCs w:val="22"/>
              </w:rPr>
              <w:t>20.67</w:t>
            </w:r>
          </w:p>
        </w:tc>
        <w:tc>
          <w:tcPr>
            <w:tcW w:w="1236" w:type="dxa"/>
            <w:vAlign w:val="center"/>
          </w:tcPr>
          <w:p>
            <w:pPr>
              <w:widowControl/>
              <w:jc w:val="center"/>
              <w:textAlignment w:val="center"/>
              <w:rPr>
                <w:kern w:val="0"/>
                <w:szCs w:val="21"/>
              </w:rPr>
            </w:pPr>
            <w:r>
              <w:rPr>
                <w:color w:val="000000"/>
                <w:kern w:val="0"/>
                <w:sz w:val="22"/>
                <w:szCs w:val="22"/>
              </w:rPr>
              <w:t>25.94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widowControl/>
              <w:jc w:val="center"/>
              <w:textAlignment w:val="center"/>
              <w:rPr>
                <w:kern w:val="0"/>
                <w:szCs w:val="21"/>
              </w:rPr>
            </w:pPr>
            <w:r>
              <w:rPr>
                <w:color w:val="000000"/>
                <w:kern w:val="0"/>
                <w:sz w:val="22"/>
                <w:szCs w:val="22"/>
              </w:rPr>
              <w:t>5.09</w:t>
            </w:r>
          </w:p>
        </w:tc>
        <w:tc>
          <w:tcPr>
            <w:tcW w:w="1232" w:type="dxa"/>
            <w:vAlign w:val="center"/>
          </w:tcPr>
          <w:p>
            <w:pPr>
              <w:widowControl/>
              <w:jc w:val="center"/>
              <w:textAlignment w:val="center"/>
              <w:rPr>
                <w:kern w:val="0"/>
                <w:szCs w:val="21"/>
              </w:rPr>
            </w:pPr>
            <w:r>
              <w:rPr>
                <w:color w:val="000000"/>
                <w:kern w:val="0"/>
                <w:sz w:val="22"/>
                <w:szCs w:val="22"/>
              </w:rPr>
              <w:t>12.16</w:t>
            </w:r>
          </w:p>
        </w:tc>
        <w:tc>
          <w:tcPr>
            <w:tcW w:w="1236" w:type="dxa"/>
            <w:vAlign w:val="center"/>
          </w:tcPr>
          <w:p>
            <w:pPr>
              <w:widowControl/>
              <w:jc w:val="center"/>
              <w:textAlignment w:val="center"/>
              <w:rPr>
                <w:kern w:val="0"/>
                <w:szCs w:val="21"/>
              </w:rPr>
            </w:pPr>
            <w:r>
              <w:rPr>
                <w:color w:val="000000"/>
                <w:kern w:val="0"/>
                <w:sz w:val="22"/>
                <w:szCs w:val="22"/>
              </w:rPr>
              <w:t>15.85</w:t>
            </w:r>
          </w:p>
        </w:tc>
        <w:tc>
          <w:tcPr>
            <w:tcW w:w="1234" w:type="dxa"/>
            <w:vAlign w:val="center"/>
          </w:tcPr>
          <w:p>
            <w:pPr>
              <w:widowControl/>
              <w:jc w:val="center"/>
              <w:textAlignment w:val="center"/>
              <w:rPr>
                <w:kern w:val="0"/>
                <w:szCs w:val="21"/>
              </w:rPr>
            </w:pPr>
            <w:r>
              <w:rPr>
                <w:color w:val="000000"/>
                <w:kern w:val="0"/>
                <w:sz w:val="22"/>
                <w:szCs w:val="22"/>
              </w:rPr>
              <w:t>20.77</w:t>
            </w:r>
          </w:p>
        </w:tc>
        <w:tc>
          <w:tcPr>
            <w:tcW w:w="1236" w:type="dxa"/>
            <w:vAlign w:val="center"/>
          </w:tcPr>
          <w:p>
            <w:pPr>
              <w:widowControl/>
              <w:jc w:val="center"/>
              <w:textAlignment w:val="center"/>
              <w:rPr>
                <w:kern w:val="0"/>
                <w:szCs w:val="21"/>
              </w:rPr>
            </w:pPr>
            <w:r>
              <w:rPr>
                <w:color w:val="000000"/>
                <w:kern w:val="0"/>
                <w:sz w:val="22"/>
                <w:szCs w:val="22"/>
              </w:rPr>
              <w:t>25.94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widowControl/>
              <w:jc w:val="center"/>
              <w:textAlignment w:val="center"/>
              <w:rPr>
                <w:kern w:val="0"/>
                <w:szCs w:val="21"/>
              </w:rPr>
            </w:pPr>
            <w:r>
              <w:rPr>
                <w:color w:val="000000"/>
                <w:kern w:val="0"/>
                <w:sz w:val="22"/>
                <w:szCs w:val="22"/>
              </w:rPr>
              <w:t>5.18</w:t>
            </w:r>
          </w:p>
        </w:tc>
        <w:tc>
          <w:tcPr>
            <w:tcW w:w="1232" w:type="dxa"/>
            <w:vAlign w:val="center"/>
          </w:tcPr>
          <w:p>
            <w:pPr>
              <w:widowControl/>
              <w:jc w:val="center"/>
              <w:textAlignment w:val="center"/>
              <w:rPr>
                <w:kern w:val="0"/>
                <w:szCs w:val="21"/>
              </w:rPr>
            </w:pPr>
            <w:r>
              <w:rPr>
                <w:color w:val="000000"/>
                <w:kern w:val="0"/>
                <w:sz w:val="22"/>
                <w:szCs w:val="22"/>
              </w:rPr>
              <w:t>12.19</w:t>
            </w:r>
          </w:p>
        </w:tc>
        <w:tc>
          <w:tcPr>
            <w:tcW w:w="1236" w:type="dxa"/>
            <w:vAlign w:val="center"/>
          </w:tcPr>
          <w:p>
            <w:pPr>
              <w:widowControl/>
              <w:jc w:val="center"/>
              <w:textAlignment w:val="center"/>
              <w:rPr>
                <w:kern w:val="0"/>
                <w:szCs w:val="21"/>
              </w:rPr>
            </w:pPr>
            <w:r>
              <w:rPr>
                <w:color w:val="000000"/>
                <w:kern w:val="0"/>
                <w:sz w:val="22"/>
                <w:szCs w:val="22"/>
              </w:rPr>
              <w:t>15.83</w:t>
            </w:r>
          </w:p>
        </w:tc>
        <w:tc>
          <w:tcPr>
            <w:tcW w:w="1234" w:type="dxa"/>
            <w:vAlign w:val="center"/>
          </w:tcPr>
          <w:p>
            <w:pPr>
              <w:widowControl/>
              <w:jc w:val="center"/>
              <w:textAlignment w:val="center"/>
              <w:rPr>
                <w:kern w:val="0"/>
                <w:szCs w:val="21"/>
              </w:rPr>
            </w:pPr>
            <w:r>
              <w:rPr>
                <w:color w:val="000000"/>
                <w:kern w:val="0"/>
                <w:sz w:val="22"/>
                <w:szCs w:val="22"/>
              </w:rPr>
              <w:t>20.88</w:t>
            </w:r>
          </w:p>
        </w:tc>
        <w:tc>
          <w:tcPr>
            <w:tcW w:w="1236" w:type="dxa"/>
            <w:vAlign w:val="center"/>
          </w:tcPr>
          <w:p>
            <w:pPr>
              <w:widowControl/>
              <w:jc w:val="center"/>
              <w:textAlignment w:val="center"/>
              <w:rPr>
                <w:kern w:val="0"/>
                <w:szCs w:val="21"/>
              </w:rPr>
            </w:pPr>
            <w:r>
              <w:rPr>
                <w:color w:val="000000"/>
                <w:kern w:val="0"/>
                <w:sz w:val="22"/>
                <w:szCs w:val="22"/>
              </w:rPr>
              <w:t>25.82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widowControl/>
              <w:jc w:val="center"/>
              <w:textAlignment w:val="center"/>
              <w:rPr>
                <w:kern w:val="0"/>
                <w:szCs w:val="21"/>
              </w:rPr>
            </w:pPr>
            <w:r>
              <w:rPr>
                <w:color w:val="000000"/>
                <w:kern w:val="0"/>
                <w:sz w:val="22"/>
                <w:szCs w:val="22"/>
              </w:rPr>
              <w:t>5.21</w:t>
            </w:r>
          </w:p>
        </w:tc>
        <w:tc>
          <w:tcPr>
            <w:tcW w:w="1232" w:type="dxa"/>
            <w:vAlign w:val="center"/>
          </w:tcPr>
          <w:p>
            <w:pPr>
              <w:widowControl/>
              <w:jc w:val="center"/>
              <w:textAlignment w:val="center"/>
              <w:rPr>
                <w:kern w:val="0"/>
                <w:szCs w:val="21"/>
              </w:rPr>
            </w:pPr>
            <w:r>
              <w:rPr>
                <w:color w:val="000000"/>
                <w:kern w:val="0"/>
                <w:sz w:val="22"/>
                <w:szCs w:val="22"/>
              </w:rPr>
              <w:t>12.15</w:t>
            </w:r>
          </w:p>
        </w:tc>
        <w:tc>
          <w:tcPr>
            <w:tcW w:w="1236" w:type="dxa"/>
            <w:vAlign w:val="center"/>
          </w:tcPr>
          <w:p>
            <w:pPr>
              <w:widowControl/>
              <w:jc w:val="center"/>
              <w:textAlignment w:val="center"/>
              <w:rPr>
                <w:kern w:val="0"/>
                <w:szCs w:val="21"/>
              </w:rPr>
            </w:pPr>
            <w:r>
              <w:rPr>
                <w:color w:val="000000"/>
                <w:kern w:val="0"/>
                <w:sz w:val="22"/>
                <w:szCs w:val="22"/>
              </w:rPr>
              <w:t>15.84</w:t>
            </w:r>
          </w:p>
        </w:tc>
        <w:tc>
          <w:tcPr>
            <w:tcW w:w="1234" w:type="dxa"/>
            <w:vAlign w:val="center"/>
          </w:tcPr>
          <w:p>
            <w:pPr>
              <w:widowControl/>
              <w:jc w:val="center"/>
              <w:textAlignment w:val="center"/>
              <w:rPr>
                <w:kern w:val="0"/>
                <w:szCs w:val="21"/>
              </w:rPr>
            </w:pPr>
            <w:r>
              <w:rPr>
                <w:color w:val="000000"/>
                <w:kern w:val="0"/>
                <w:sz w:val="22"/>
                <w:szCs w:val="22"/>
              </w:rPr>
              <w:t>20.82</w:t>
            </w:r>
          </w:p>
        </w:tc>
        <w:tc>
          <w:tcPr>
            <w:tcW w:w="1236" w:type="dxa"/>
            <w:vAlign w:val="center"/>
          </w:tcPr>
          <w:p>
            <w:pPr>
              <w:widowControl/>
              <w:jc w:val="center"/>
              <w:textAlignment w:val="center"/>
              <w:rPr>
                <w:kern w:val="0"/>
                <w:szCs w:val="21"/>
              </w:rPr>
            </w:pPr>
            <w:r>
              <w:rPr>
                <w:color w:val="000000"/>
                <w:kern w:val="0"/>
                <w:sz w:val="22"/>
                <w:szCs w:val="22"/>
              </w:rPr>
              <w:t>25.81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widowControl/>
              <w:jc w:val="center"/>
              <w:textAlignment w:val="center"/>
              <w:rPr>
                <w:kern w:val="0"/>
                <w:szCs w:val="21"/>
              </w:rPr>
            </w:pPr>
          </w:p>
        </w:tc>
        <w:tc>
          <w:tcPr>
            <w:tcW w:w="1232" w:type="dxa"/>
            <w:vAlign w:val="center"/>
          </w:tcPr>
          <w:p>
            <w:pPr>
              <w:widowControl/>
              <w:jc w:val="center"/>
              <w:textAlignment w:val="center"/>
              <w:rPr>
                <w:kern w:val="0"/>
                <w:szCs w:val="21"/>
              </w:rPr>
            </w:pPr>
          </w:p>
        </w:tc>
        <w:tc>
          <w:tcPr>
            <w:tcW w:w="1236" w:type="dxa"/>
            <w:vAlign w:val="center"/>
          </w:tcPr>
          <w:p>
            <w:pPr>
              <w:widowControl/>
              <w:jc w:val="center"/>
              <w:textAlignment w:val="center"/>
              <w:rPr>
                <w:kern w:val="0"/>
                <w:szCs w:val="21"/>
              </w:rPr>
            </w:pPr>
          </w:p>
        </w:tc>
        <w:tc>
          <w:tcPr>
            <w:tcW w:w="1234" w:type="dxa"/>
            <w:vAlign w:val="center"/>
          </w:tcPr>
          <w:p>
            <w:pPr>
              <w:widowControl/>
              <w:jc w:val="center"/>
              <w:textAlignment w:val="center"/>
              <w:rPr>
                <w:kern w:val="0"/>
                <w:szCs w:val="21"/>
              </w:rPr>
            </w:pPr>
          </w:p>
        </w:tc>
        <w:tc>
          <w:tcPr>
            <w:tcW w:w="1236" w:type="dxa"/>
            <w:vAlign w:val="center"/>
          </w:tcPr>
          <w:p>
            <w:pPr>
              <w:widowControl/>
              <w:jc w:val="center"/>
              <w:textAlignment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widowControl/>
              <w:jc w:val="center"/>
              <w:textAlignment w:val="center"/>
              <w:rPr>
                <w:kern w:val="0"/>
                <w:szCs w:val="21"/>
              </w:rPr>
            </w:pPr>
          </w:p>
        </w:tc>
        <w:tc>
          <w:tcPr>
            <w:tcW w:w="1232" w:type="dxa"/>
            <w:vAlign w:val="center"/>
          </w:tcPr>
          <w:p>
            <w:pPr>
              <w:widowControl/>
              <w:jc w:val="center"/>
              <w:textAlignment w:val="center"/>
              <w:rPr>
                <w:kern w:val="0"/>
                <w:szCs w:val="21"/>
              </w:rPr>
            </w:pPr>
          </w:p>
        </w:tc>
        <w:tc>
          <w:tcPr>
            <w:tcW w:w="1236" w:type="dxa"/>
            <w:vAlign w:val="center"/>
          </w:tcPr>
          <w:p>
            <w:pPr>
              <w:widowControl/>
              <w:jc w:val="center"/>
              <w:textAlignment w:val="center"/>
              <w:rPr>
                <w:kern w:val="0"/>
                <w:szCs w:val="21"/>
              </w:rPr>
            </w:pPr>
          </w:p>
        </w:tc>
        <w:tc>
          <w:tcPr>
            <w:tcW w:w="1234" w:type="dxa"/>
            <w:vAlign w:val="center"/>
          </w:tcPr>
          <w:p>
            <w:pPr>
              <w:widowControl/>
              <w:jc w:val="center"/>
              <w:textAlignment w:val="center"/>
              <w:rPr>
                <w:kern w:val="0"/>
                <w:szCs w:val="21"/>
              </w:rPr>
            </w:pPr>
          </w:p>
        </w:tc>
        <w:tc>
          <w:tcPr>
            <w:tcW w:w="1236" w:type="dxa"/>
            <w:vAlign w:val="center"/>
          </w:tcPr>
          <w:p>
            <w:pPr>
              <w:widowControl/>
              <w:jc w:val="center"/>
              <w:textAlignment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7"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widowControl/>
              <w:jc w:val="center"/>
              <w:textAlignment w:val="center"/>
              <w:rPr>
                <w:kern w:val="0"/>
                <w:szCs w:val="21"/>
              </w:rPr>
            </w:pPr>
          </w:p>
        </w:tc>
        <w:tc>
          <w:tcPr>
            <w:tcW w:w="1232" w:type="dxa"/>
            <w:vAlign w:val="center"/>
          </w:tcPr>
          <w:p>
            <w:pPr>
              <w:widowControl/>
              <w:jc w:val="center"/>
              <w:textAlignment w:val="center"/>
              <w:rPr>
                <w:kern w:val="0"/>
                <w:szCs w:val="21"/>
              </w:rPr>
            </w:pPr>
          </w:p>
        </w:tc>
        <w:tc>
          <w:tcPr>
            <w:tcW w:w="1236" w:type="dxa"/>
            <w:vAlign w:val="center"/>
          </w:tcPr>
          <w:p>
            <w:pPr>
              <w:widowControl/>
              <w:jc w:val="center"/>
              <w:textAlignment w:val="center"/>
              <w:rPr>
                <w:kern w:val="0"/>
                <w:szCs w:val="21"/>
              </w:rPr>
            </w:pPr>
          </w:p>
        </w:tc>
        <w:tc>
          <w:tcPr>
            <w:tcW w:w="1234" w:type="dxa"/>
            <w:vAlign w:val="center"/>
          </w:tcPr>
          <w:p>
            <w:pPr>
              <w:widowControl/>
              <w:jc w:val="center"/>
              <w:textAlignment w:val="center"/>
              <w:rPr>
                <w:kern w:val="0"/>
                <w:szCs w:val="21"/>
              </w:rPr>
            </w:pPr>
          </w:p>
        </w:tc>
        <w:tc>
          <w:tcPr>
            <w:tcW w:w="1236" w:type="dxa"/>
            <w:vAlign w:val="center"/>
          </w:tcPr>
          <w:p>
            <w:pPr>
              <w:widowControl/>
              <w:jc w:val="center"/>
              <w:textAlignment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Align w:val="center"/>
          </w:tcPr>
          <w:p>
            <w:pPr>
              <w:widowControl/>
              <w:spacing w:before="100" w:beforeAutospacing="1" w:after="100" w:afterAutospacing="1"/>
              <w:jc w:val="center"/>
              <w:rPr>
                <w:b/>
                <w:bCs/>
                <w:kern w:val="0"/>
                <w:szCs w:val="21"/>
              </w:rPr>
            </w:pPr>
            <w:r>
              <w:rPr>
                <w:rFonts w:hint="eastAsia"/>
                <w:b/>
                <w:bCs/>
                <w:kern w:val="0"/>
                <w:szCs w:val="21"/>
              </w:rPr>
              <w:t>平均值</w:t>
            </w:r>
          </w:p>
        </w:tc>
        <w:tc>
          <w:tcPr>
            <w:tcW w:w="1606" w:type="dxa"/>
            <w:vAlign w:val="center"/>
          </w:tcPr>
          <w:p>
            <w:pPr>
              <w:widowControl/>
              <w:jc w:val="center"/>
              <w:textAlignment w:val="center"/>
              <w:rPr>
                <w:rFonts w:ascii="宋体" w:hAnsi="宋体" w:cs="宋体"/>
                <w:b/>
                <w:bCs/>
                <w:color w:val="000000"/>
                <w:kern w:val="0"/>
                <w:szCs w:val="21"/>
              </w:rPr>
            </w:pPr>
            <w:r>
              <w:rPr>
                <w:color w:val="000000"/>
                <w:kern w:val="0"/>
                <w:sz w:val="24"/>
              </w:rPr>
              <w:t xml:space="preserve">5.14 </w:t>
            </w:r>
          </w:p>
        </w:tc>
        <w:tc>
          <w:tcPr>
            <w:tcW w:w="1232" w:type="dxa"/>
            <w:vAlign w:val="center"/>
          </w:tcPr>
          <w:p>
            <w:pPr>
              <w:widowControl/>
              <w:jc w:val="center"/>
              <w:textAlignment w:val="center"/>
              <w:rPr>
                <w:rFonts w:ascii="宋体" w:hAnsi="宋体" w:cs="宋体"/>
                <w:b/>
                <w:bCs/>
                <w:color w:val="000000"/>
                <w:kern w:val="0"/>
                <w:szCs w:val="21"/>
              </w:rPr>
            </w:pPr>
            <w:r>
              <w:rPr>
                <w:color w:val="000000"/>
                <w:kern w:val="0"/>
                <w:sz w:val="24"/>
              </w:rPr>
              <w:t xml:space="preserve">12.15 </w:t>
            </w:r>
          </w:p>
        </w:tc>
        <w:tc>
          <w:tcPr>
            <w:tcW w:w="1236" w:type="dxa"/>
            <w:vAlign w:val="center"/>
          </w:tcPr>
          <w:p>
            <w:pPr>
              <w:widowControl/>
              <w:jc w:val="center"/>
              <w:textAlignment w:val="center"/>
              <w:rPr>
                <w:rFonts w:ascii="宋体" w:hAnsi="宋体" w:cs="宋体"/>
                <w:b/>
                <w:bCs/>
                <w:color w:val="000000"/>
                <w:kern w:val="0"/>
                <w:szCs w:val="21"/>
              </w:rPr>
            </w:pPr>
            <w:r>
              <w:rPr>
                <w:color w:val="000000"/>
                <w:kern w:val="0"/>
                <w:sz w:val="24"/>
              </w:rPr>
              <w:t xml:space="preserve">15.83 </w:t>
            </w:r>
          </w:p>
        </w:tc>
        <w:tc>
          <w:tcPr>
            <w:tcW w:w="1234" w:type="dxa"/>
            <w:vAlign w:val="center"/>
          </w:tcPr>
          <w:p>
            <w:pPr>
              <w:widowControl/>
              <w:jc w:val="center"/>
              <w:textAlignment w:val="center"/>
              <w:rPr>
                <w:rFonts w:ascii="宋体" w:hAnsi="宋体" w:cs="宋体"/>
                <w:b/>
                <w:bCs/>
                <w:color w:val="000000"/>
                <w:kern w:val="0"/>
                <w:szCs w:val="21"/>
              </w:rPr>
            </w:pPr>
            <w:r>
              <w:rPr>
                <w:color w:val="000000"/>
                <w:kern w:val="0"/>
                <w:sz w:val="24"/>
              </w:rPr>
              <w:t xml:space="preserve">20.79 </w:t>
            </w:r>
          </w:p>
        </w:tc>
        <w:tc>
          <w:tcPr>
            <w:tcW w:w="1236" w:type="dxa"/>
            <w:vAlign w:val="center"/>
          </w:tcPr>
          <w:p>
            <w:pPr>
              <w:widowControl/>
              <w:jc w:val="center"/>
              <w:textAlignment w:val="center"/>
              <w:rPr>
                <w:rFonts w:ascii="宋体" w:hAnsi="宋体" w:cs="宋体"/>
                <w:b/>
                <w:bCs/>
                <w:color w:val="000000"/>
                <w:kern w:val="0"/>
                <w:szCs w:val="21"/>
              </w:rPr>
            </w:pPr>
            <w:r>
              <w:rPr>
                <w:color w:val="000000"/>
                <w:kern w:val="0"/>
                <w:sz w:val="24"/>
              </w:rPr>
              <w:t xml:space="preserve">25.88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restart"/>
            <w:vAlign w:val="center"/>
          </w:tcPr>
          <w:p>
            <w:pPr>
              <w:widowControl/>
              <w:spacing w:before="100" w:beforeAutospacing="1" w:after="100" w:afterAutospacing="1"/>
              <w:jc w:val="center"/>
              <w:rPr>
                <w:kern w:val="0"/>
                <w:szCs w:val="21"/>
              </w:rPr>
            </w:pPr>
            <w:r>
              <w:rPr>
                <w:rFonts w:hint="eastAsia"/>
                <w:kern w:val="0"/>
                <w:szCs w:val="21"/>
              </w:rPr>
              <w:t>8中检广西</w:t>
            </w:r>
          </w:p>
        </w:tc>
        <w:tc>
          <w:tcPr>
            <w:tcW w:w="1606" w:type="dxa"/>
            <w:vAlign w:val="center"/>
          </w:tcPr>
          <w:p>
            <w:pPr>
              <w:jc w:val="center"/>
            </w:pPr>
            <w:r>
              <w:t>6.24</w:t>
            </w:r>
          </w:p>
        </w:tc>
        <w:tc>
          <w:tcPr>
            <w:tcW w:w="1232" w:type="dxa"/>
            <w:vAlign w:val="center"/>
          </w:tcPr>
          <w:p>
            <w:pPr>
              <w:jc w:val="center"/>
            </w:pPr>
            <w:r>
              <w:t>12.11</w:t>
            </w:r>
          </w:p>
        </w:tc>
        <w:tc>
          <w:tcPr>
            <w:tcW w:w="1236" w:type="dxa"/>
            <w:vAlign w:val="center"/>
          </w:tcPr>
          <w:p>
            <w:pPr>
              <w:jc w:val="center"/>
            </w:pPr>
            <w:r>
              <w:t>16.61</w:t>
            </w:r>
          </w:p>
        </w:tc>
        <w:tc>
          <w:tcPr>
            <w:tcW w:w="1234" w:type="dxa"/>
            <w:vAlign w:val="center"/>
          </w:tcPr>
          <w:p>
            <w:pPr>
              <w:jc w:val="center"/>
            </w:pPr>
            <w:r>
              <w:t>21.3</w:t>
            </w:r>
            <w:r>
              <w:rPr>
                <w:rFonts w:hint="eastAsia"/>
              </w:rPr>
              <w:t>0</w:t>
            </w:r>
          </w:p>
        </w:tc>
        <w:tc>
          <w:tcPr>
            <w:tcW w:w="1236" w:type="dxa"/>
            <w:vAlign w:val="center"/>
          </w:tcPr>
          <w:p>
            <w:pPr>
              <w:jc w:val="center"/>
            </w:pPr>
            <w:r>
              <w:t>26.34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6.21</w:t>
            </w:r>
          </w:p>
        </w:tc>
        <w:tc>
          <w:tcPr>
            <w:tcW w:w="1232" w:type="dxa"/>
            <w:vAlign w:val="center"/>
          </w:tcPr>
          <w:p>
            <w:pPr>
              <w:jc w:val="center"/>
            </w:pPr>
            <w:r>
              <w:t>12.21</w:t>
            </w:r>
          </w:p>
        </w:tc>
        <w:tc>
          <w:tcPr>
            <w:tcW w:w="1236" w:type="dxa"/>
            <w:vAlign w:val="center"/>
          </w:tcPr>
          <w:p>
            <w:pPr>
              <w:jc w:val="center"/>
            </w:pPr>
            <w:r>
              <w:t>16.54</w:t>
            </w:r>
          </w:p>
        </w:tc>
        <w:tc>
          <w:tcPr>
            <w:tcW w:w="1234" w:type="dxa"/>
            <w:vAlign w:val="center"/>
          </w:tcPr>
          <w:p>
            <w:pPr>
              <w:jc w:val="center"/>
            </w:pPr>
            <w:r>
              <w:t>21.23</w:t>
            </w:r>
          </w:p>
        </w:tc>
        <w:tc>
          <w:tcPr>
            <w:tcW w:w="1236" w:type="dxa"/>
            <w:vAlign w:val="center"/>
          </w:tcPr>
          <w:p>
            <w:pPr>
              <w:jc w:val="center"/>
            </w:pPr>
            <w:r>
              <w:t>26.37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6.25</w:t>
            </w:r>
          </w:p>
        </w:tc>
        <w:tc>
          <w:tcPr>
            <w:tcW w:w="1232" w:type="dxa"/>
            <w:vAlign w:val="center"/>
          </w:tcPr>
          <w:p>
            <w:pPr>
              <w:jc w:val="center"/>
            </w:pPr>
            <w:r>
              <w:t>12.25</w:t>
            </w:r>
          </w:p>
        </w:tc>
        <w:tc>
          <w:tcPr>
            <w:tcW w:w="1236" w:type="dxa"/>
            <w:vAlign w:val="center"/>
          </w:tcPr>
          <w:p>
            <w:pPr>
              <w:jc w:val="center"/>
            </w:pPr>
            <w:r>
              <w:t>16.52</w:t>
            </w:r>
          </w:p>
        </w:tc>
        <w:tc>
          <w:tcPr>
            <w:tcW w:w="1234" w:type="dxa"/>
            <w:vAlign w:val="center"/>
          </w:tcPr>
          <w:p>
            <w:pPr>
              <w:jc w:val="center"/>
            </w:pPr>
            <w:r>
              <w:t>21.23</w:t>
            </w:r>
          </w:p>
        </w:tc>
        <w:tc>
          <w:tcPr>
            <w:tcW w:w="1236" w:type="dxa"/>
            <w:vAlign w:val="center"/>
          </w:tcPr>
          <w:p>
            <w:pPr>
              <w:jc w:val="center"/>
            </w:pPr>
            <w:r>
              <w:t>26.31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6.26</w:t>
            </w:r>
          </w:p>
        </w:tc>
        <w:tc>
          <w:tcPr>
            <w:tcW w:w="1232" w:type="dxa"/>
            <w:vAlign w:val="center"/>
          </w:tcPr>
          <w:p>
            <w:pPr>
              <w:jc w:val="center"/>
            </w:pPr>
            <w:r>
              <w:t>12.27</w:t>
            </w:r>
          </w:p>
        </w:tc>
        <w:tc>
          <w:tcPr>
            <w:tcW w:w="1236" w:type="dxa"/>
            <w:vAlign w:val="center"/>
          </w:tcPr>
          <w:p>
            <w:pPr>
              <w:jc w:val="center"/>
            </w:pPr>
            <w:r>
              <w:t>16.63</w:t>
            </w:r>
          </w:p>
        </w:tc>
        <w:tc>
          <w:tcPr>
            <w:tcW w:w="1234" w:type="dxa"/>
            <w:vAlign w:val="center"/>
          </w:tcPr>
          <w:p>
            <w:pPr>
              <w:jc w:val="center"/>
            </w:pPr>
            <w:r>
              <w:t>21.24</w:t>
            </w:r>
          </w:p>
        </w:tc>
        <w:tc>
          <w:tcPr>
            <w:tcW w:w="1236" w:type="dxa"/>
            <w:vAlign w:val="center"/>
          </w:tcPr>
          <w:p>
            <w:pPr>
              <w:jc w:val="center"/>
            </w:pPr>
            <w:r>
              <w:t>26.39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6.26</w:t>
            </w:r>
          </w:p>
        </w:tc>
        <w:tc>
          <w:tcPr>
            <w:tcW w:w="1232" w:type="dxa"/>
            <w:vAlign w:val="center"/>
          </w:tcPr>
          <w:p>
            <w:pPr>
              <w:jc w:val="center"/>
            </w:pPr>
            <w:r>
              <w:t>12.28</w:t>
            </w:r>
          </w:p>
        </w:tc>
        <w:tc>
          <w:tcPr>
            <w:tcW w:w="1236" w:type="dxa"/>
            <w:vAlign w:val="center"/>
          </w:tcPr>
          <w:p>
            <w:pPr>
              <w:jc w:val="center"/>
            </w:pPr>
            <w:r>
              <w:t>16.59</w:t>
            </w:r>
          </w:p>
        </w:tc>
        <w:tc>
          <w:tcPr>
            <w:tcW w:w="1234" w:type="dxa"/>
            <w:vAlign w:val="center"/>
          </w:tcPr>
          <w:p>
            <w:pPr>
              <w:jc w:val="center"/>
            </w:pPr>
            <w:r>
              <w:t>21.31</w:t>
            </w:r>
          </w:p>
        </w:tc>
        <w:tc>
          <w:tcPr>
            <w:tcW w:w="1236" w:type="dxa"/>
            <w:vAlign w:val="center"/>
          </w:tcPr>
          <w:p>
            <w:pPr>
              <w:jc w:val="center"/>
            </w:pPr>
            <w:r>
              <w:t>26.32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6.31</w:t>
            </w:r>
          </w:p>
        </w:tc>
        <w:tc>
          <w:tcPr>
            <w:tcW w:w="1232" w:type="dxa"/>
            <w:vAlign w:val="center"/>
          </w:tcPr>
          <w:p>
            <w:pPr>
              <w:jc w:val="center"/>
            </w:pPr>
            <w:r>
              <w:t>12.3</w:t>
            </w:r>
            <w:r>
              <w:rPr>
                <w:rFonts w:hint="eastAsia"/>
              </w:rPr>
              <w:t>0</w:t>
            </w:r>
          </w:p>
        </w:tc>
        <w:tc>
          <w:tcPr>
            <w:tcW w:w="1236" w:type="dxa"/>
            <w:vAlign w:val="center"/>
          </w:tcPr>
          <w:p>
            <w:pPr>
              <w:jc w:val="center"/>
            </w:pPr>
            <w:r>
              <w:t>16.59</w:t>
            </w:r>
          </w:p>
        </w:tc>
        <w:tc>
          <w:tcPr>
            <w:tcW w:w="1234" w:type="dxa"/>
            <w:vAlign w:val="center"/>
          </w:tcPr>
          <w:p>
            <w:pPr>
              <w:jc w:val="center"/>
            </w:pPr>
            <w:r>
              <w:t>21.24</w:t>
            </w:r>
          </w:p>
        </w:tc>
        <w:tc>
          <w:tcPr>
            <w:tcW w:w="1236" w:type="dxa"/>
            <w:vAlign w:val="center"/>
          </w:tcPr>
          <w:p>
            <w:pPr>
              <w:jc w:val="center"/>
            </w:pPr>
            <w:r>
              <w:t>26.41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6.27</w:t>
            </w:r>
          </w:p>
        </w:tc>
        <w:tc>
          <w:tcPr>
            <w:tcW w:w="1232" w:type="dxa"/>
            <w:vAlign w:val="center"/>
          </w:tcPr>
          <w:p>
            <w:pPr>
              <w:jc w:val="center"/>
            </w:pPr>
            <w:r>
              <w:t>12.22</w:t>
            </w:r>
          </w:p>
        </w:tc>
        <w:tc>
          <w:tcPr>
            <w:tcW w:w="1236" w:type="dxa"/>
            <w:vAlign w:val="center"/>
          </w:tcPr>
          <w:p>
            <w:pPr>
              <w:jc w:val="center"/>
            </w:pPr>
            <w:r>
              <w:t>16.6</w:t>
            </w:r>
            <w:r>
              <w:rPr>
                <w:rFonts w:hint="eastAsia"/>
              </w:rPr>
              <w:t>0</w:t>
            </w:r>
          </w:p>
        </w:tc>
        <w:tc>
          <w:tcPr>
            <w:tcW w:w="1234" w:type="dxa"/>
            <w:vAlign w:val="center"/>
          </w:tcPr>
          <w:p>
            <w:pPr>
              <w:jc w:val="center"/>
            </w:pPr>
            <w:r>
              <w:t>21.2</w:t>
            </w:r>
            <w:r>
              <w:rPr>
                <w:rFonts w:hint="eastAsia"/>
              </w:rPr>
              <w:t>0</w:t>
            </w:r>
          </w:p>
        </w:tc>
        <w:tc>
          <w:tcPr>
            <w:tcW w:w="1236" w:type="dxa"/>
            <w:vAlign w:val="center"/>
          </w:tcPr>
          <w:p>
            <w:pPr>
              <w:jc w:val="center"/>
            </w:pPr>
            <w:r>
              <w:t>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6.21</w:t>
            </w:r>
          </w:p>
        </w:tc>
        <w:tc>
          <w:tcPr>
            <w:tcW w:w="1232" w:type="dxa"/>
            <w:vAlign w:val="center"/>
          </w:tcPr>
          <w:p>
            <w:pPr>
              <w:jc w:val="center"/>
            </w:pPr>
            <w:r>
              <w:t>12.18</w:t>
            </w:r>
          </w:p>
        </w:tc>
        <w:tc>
          <w:tcPr>
            <w:tcW w:w="1236" w:type="dxa"/>
            <w:vAlign w:val="center"/>
          </w:tcPr>
          <w:p>
            <w:pPr>
              <w:jc w:val="center"/>
            </w:pPr>
            <w:r>
              <w:t>16.55</w:t>
            </w:r>
          </w:p>
        </w:tc>
        <w:tc>
          <w:tcPr>
            <w:tcW w:w="1234" w:type="dxa"/>
            <w:vAlign w:val="center"/>
          </w:tcPr>
          <w:p>
            <w:pPr>
              <w:jc w:val="center"/>
            </w:pPr>
            <w:r>
              <w:t>21.18</w:t>
            </w:r>
          </w:p>
        </w:tc>
        <w:tc>
          <w:tcPr>
            <w:tcW w:w="1236" w:type="dxa"/>
            <w:vAlign w:val="center"/>
          </w:tcPr>
          <w:p>
            <w:pPr>
              <w:jc w:val="center"/>
            </w:pPr>
            <w:r>
              <w:t>26.35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6.15</w:t>
            </w:r>
          </w:p>
        </w:tc>
        <w:tc>
          <w:tcPr>
            <w:tcW w:w="1232" w:type="dxa"/>
            <w:vAlign w:val="center"/>
          </w:tcPr>
          <w:p>
            <w:pPr>
              <w:jc w:val="center"/>
            </w:pPr>
            <w:r>
              <w:t>12.15</w:t>
            </w:r>
          </w:p>
        </w:tc>
        <w:tc>
          <w:tcPr>
            <w:tcW w:w="1236" w:type="dxa"/>
            <w:vAlign w:val="center"/>
          </w:tcPr>
          <w:p>
            <w:pPr>
              <w:jc w:val="center"/>
            </w:pPr>
            <w:r>
              <w:t>16.58</w:t>
            </w:r>
          </w:p>
        </w:tc>
        <w:tc>
          <w:tcPr>
            <w:tcW w:w="1234" w:type="dxa"/>
            <w:vAlign w:val="center"/>
          </w:tcPr>
          <w:p>
            <w:pPr>
              <w:jc w:val="center"/>
            </w:pPr>
            <w:r>
              <w:t>21.19</w:t>
            </w:r>
          </w:p>
        </w:tc>
        <w:tc>
          <w:tcPr>
            <w:tcW w:w="1236" w:type="dxa"/>
            <w:vAlign w:val="center"/>
          </w:tcPr>
          <w:p>
            <w:pPr>
              <w:jc w:val="center"/>
            </w:pPr>
            <w:r>
              <w:t>26.3</w:t>
            </w: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6.18</w:t>
            </w:r>
          </w:p>
        </w:tc>
        <w:tc>
          <w:tcPr>
            <w:tcW w:w="1232" w:type="dxa"/>
            <w:vAlign w:val="center"/>
          </w:tcPr>
          <w:p>
            <w:pPr>
              <w:jc w:val="center"/>
            </w:pPr>
            <w:r>
              <w:t>12.29</w:t>
            </w:r>
          </w:p>
        </w:tc>
        <w:tc>
          <w:tcPr>
            <w:tcW w:w="1236" w:type="dxa"/>
            <w:vAlign w:val="center"/>
          </w:tcPr>
          <w:p>
            <w:pPr>
              <w:jc w:val="center"/>
            </w:pPr>
            <w:r>
              <w:t>16.6</w:t>
            </w:r>
            <w:r>
              <w:rPr>
                <w:rFonts w:hint="eastAsia"/>
              </w:rPr>
              <w:t>0</w:t>
            </w:r>
          </w:p>
        </w:tc>
        <w:tc>
          <w:tcPr>
            <w:tcW w:w="1234" w:type="dxa"/>
            <w:vAlign w:val="center"/>
          </w:tcPr>
          <w:p>
            <w:pPr>
              <w:jc w:val="center"/>
            </w:pPr>
            <w:r>
              <w:t>21.25</w:t>
            </w:r>
          </w:p>
        </w:tc>
        <w:tc>
          <w:tcPr>
            <w:tcW w:w="1236" w:type="dxa"/>
            <w:vAlign w:val="center"/>
          </w:tcPr>
          <w:p>
            <w:pPr>
              <w:jc w:val="center"/>
            </w:pPr>
            <w:r>
              <w:t>26.28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6.14</w:t>
            </w:r>
          </w:p>
        </w:tc>
        <w:tc>
          <w:tcPr>
            <w:tcW w:w="1232" w:type="dxa"/>
            <w:vAlign w:val="center"/>
          </w:tcPr>
          <w:p>
            <w:pPr>
              <w:jc w:val="center"/>
            </w:pPr>
            <w:r>
              <w:t>12.25</w:t>
            </w:r>
          </w:p>
        </w:tc>
        <w:tc>
          <w:tcPr>
            <w:tcW w:w="1236" w:type="dxa"/>
            <w:vAlign w:val="center"/>
          </w:tcPr>
          <w:p>
            <w:pPr>
              <w:jc w:val="center"/>
            </w:pPr>
            <w:r>
              <w:t>16.65</w:t>
            </w:r>
          </w:p>
        </w:tc>
        <w:tc>
          <w:tcPr>
            <w:tcW w:w="1234" w:type="dxa"/>
            <w:vAlign w:val="center"/>
          </w:tcPr>
          <w:p>
            <w:pPr>
              <w:jc w:val="center"/>
            </w:pPr>
            <w:r>
              <w:t>21.22</w:t>
            </w:r>
          </w:p>
        </w:tc>
        <w:tc>
          <w:tcPr>
            <w:tcW w:w="1236" w:type="dxa"/>
            <w:vAlign w:val="center"/>
          </w:tcPr>
          <w:p>
            <w:pPr>
              <w:jc w:val="center"/>
            </w:pPr>
            <w:r>
              <w:t>26.41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Align w:val="center"/>
          </w:tcPr>
          <w:p>
            <w:pPr>
              <w:widowControl/>
              <w:spacing w:before="100" w:beforeAutospacing="1" w:after="100" w:afterAutospacing="1"/>
              <w:jc w:val="center"/>
              <w:rPr>
                <w:b/>
                <w:bCs/>
                <w:kern w:val="0"/>
                <w:szCs w:val="21"/>
              </w:rPr>
            </w:pPr>
            <w:r>
              <w:rPr>
                <w:rFonts w:hint="eastAsia"/>
                <w:b/>
                <w:bCs/>
                <w:kern w:val="0"/>
                <w:szCs w:val="21"/>
              </w:rPr>
              <w:t>平均值</w:t>
            </w:r>
          </w:p>
        </w:tc>
        <w:tc>
          <w:tcPr>
            <w:tcW w:w="1606" w:type="dxa"/>
            <w:vAlign w:val="center"/>
          </w:tcPr>
          <w:p>
            <w:pPr>
              <w:jc w:val="center"/>
              <w:rPr>
                <w:b/>
              </w:rPr>
            </w:pPr>
            <w:r>
              <w:rPr>
                <w:b/>
              </w:rPr>
              <w:t>6.23</w:t>
            </w:r>
          </w:p>
        </w:tc>
        <w:tc>
          <w:tcPr>
            <w:tcW w:w="1232" w:type="dxa"/>
            <w:vAlign w:val="center"/>
          </w:tcPr>
          <w:p>
            <w:pPr>
              <w:jc w:val="center"/>
              <w:rPr>
                <w:b/>
              </w:rPr>
            </w:pPr>
            <w:r>
              <w:rPr>
                <w:b/>
              </w:rPr>
              <w:t>12.23</w:t>
            </w:r>
          </w:p>
        </w:tc>
        <w:tc>
          <w:tcPr>
            <w:tcW w:w="1236" w:type="dxa"/>
            <w:vAlign w:val="center"/>
          </w:tcPr>
          <w:p>
            <w:pPr>
              <w:jc w:val="center"/>
              <w:rPr>
                <w:b/>
              </w:rPr>
            </w:pPr>
            <w:r>
              <w:rPr>
                <w:b/>
              </w:rPr>
              <w:t>16.59</w:t>
            </w:r>
          </w:p>
        </w:tc>
        <w:tc>
          <w:tcPr>
            <w:tcW w:w="1234" w:type="dxa"/>
            <w:vAlign w:val="center"/>
          </w:tcPr>
          <w:p>
            <w:pPr>
              <w:jc w:val="center"/>
              <w:rPr>
                <w:b/>
              </w:rPr>
            </w:pPr>
            <w:r>
              <w:rPr>
                <w:b/>
              </w:rPr>
              <w:t>21.24</w:t>
            </w:r>
          </w:p>
        </w:tc>
        <w:tc>
          <w:tcPr>
            <w:tcW w:w="1236" w:type="dxa"/>
            <w:vAlign w:val="center"/>
          </w:tcPr>
          <w:p>
            <w:pPr>
              <w:jc w:val="center"/>
              <w:rPr>
                <w:b/>
              </w:rPr>
            </w:pPr>
            <w:r>
              <w:rPr>
                <w:b/>
              </w:rPr>
              <w:t>26.35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restart"/>
            <w:vAlign w:val="center"/>
          </w:tcPr>
          <w:p>
            <w:pPr>
              <w:widowControl/>
              <w:spacing w:before="100" w:beforeAutospacing="1" w:after="100" w:afterAutospacing="1"/>
              <w:jc w:val="center"/>
              <w:rPr>
                <w:kern w:val="0"/>
                <w:szCs w:val="21"/>
              </w:rPr>
            </w:pPr>
            <w:r>
              <w:rPr>
                <w:rFonts w:hint="eastAsia"/>
                <w:kern w:val="0"/>
                <w:szCs w:val="21"/>
              </w:rPr>
              <w:t>9山东恒邦</w:t>
            </w:r>
          </w:p>
        </w:tc>
        <w:tc>
          <w:tcPr>
            <w:tcW w:w="1606" w:type="dxa"/>
            <w:vAlign w:val="center"/>
          </w:tcPr>
          <w:p>
            <w:pPr>
              <w:jc w:val="center"/>
            </w:pPr>
            <w:r>
              <w:t>6.25</w:t>
            </w:r>
          </w:p>
        </w:tc>
        <w:tc>
          <w:tcPr>
            <w:tcW w:w="1232" w:type="dxa"/>
            <w:vAlign w:val="center"/>
          </w:tcPr>
          <w:p>
            <w:pPr>
              <w:jc w:val="center"/>
            </w:pPr>
            <w:r>
              <w:t>12.19</w:t>
            </w:r>
          </w:p>
        </w:tc>
        <w:tc>
          <w:tcPr>
            <w:tcW w:w="1236" w:type="dxa"/>
            <w:vAlign w:val="center"/>
          </w:tcPr>
          <w:p>
            <w:pPr>
              <w:jc w:val="center"/>
            </w:pPr>
            <w:r>
              <w:t>16.5</w:t>
            </w:r>
            <w:r>
              <w:rPr>
                <w:rFonts w:hint="eastAsia"/>
              </w:rPr>
              <w:t>0</w:t>
            </w:r>
          </w:p>
        </w:tc>
        <w:tc>
          <w:tcPr>
            <w:tcW w:w="1234" w:type="dxa"/>
            <w:vAlign w:val="center"/>
          </w:tcPr>
          <w:p>
            <w:pPr>
              <w:jc w:val="center"/>
            </w:pPr>
            <w:r>
              <w:t>21.19</w:t>
            </w:r>
          </w:p>
        </w:tc>
        <w:tc>
          <w:tcPr>
            <w:tcW w:w="1236" w:type="dxa"/>
            <w:vAlign w:val="center"/>
          </w:tcPr>
          <w:p>
            <w:pPr>
              <w:jc w:val="center"/>
            </w:pPr>
            <w:r>
              <w:t>26.3</w:t>
            </w: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6.33</w:t>
            </w:r>
          </w:p>
        </w:tc>
        <w:tc>
          <w:tcPr>
            <w:tcW w:w="1232" w:type="dxa"/>
            <w:vAlign w:val="center"/>
          </w:tcPr>
          <w:p>
            <w:pPr>
              <w:jc w:val="center"/>
            </w:pPr>
            <w:r>
              <w:t>12.23</w:t>
            </w:r>
          </w:p>
        </w:tc>
        <w:tc>
          <w:tcPr>
            <w:tcW w:w="1236" w:type="dxa"/>
            <w:vAlign w:val="center"/>
          </w:tcPr>
          <w:p>
            <w:pPr>
              <w:jc w:val="center"/>
            </w:pPr>
            <w:r>
              <w:t>16.63</w:t>
            </w:r>
          </w:p>
        </w:tc>
        <w:tc>
          <w:tcPr>
            <w:tcW w:w="1234" w:type="dxa"/>
            <w:vAlign w:val="center"/>
          </w:tcPr>
          <w:p>
            <w:pPr>
              <w:jc w:val="center"/>
            </w:pPr>
            <w:r>
              <w:t>21.25</w:t>
            </w:r>
          </w:p>
        </w:tc>
        <w:tc>
          <w:tcPr>
            <w:tcW w:w="1236" w:type="dxa"/>
            <w:vAlign w:val="center"/>
          </w:tcPr>
          <w:p>
            <w:pPr>
              <w:jc w:val="center"/>
            </w:pPr>
            <w:r>
              <w:t>26.29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6.33</w:t>
            </w:r>
          </w:p>
        </w:tc>
        <w:tc>
          <w:tcPr>
            <w:tcW w:w="1232" w:type="dxa"/>
            <w:vAlign w:val="center"/>
          </w:tcPr>
          <w:p>
            <w:pPr>
              <w:jc w:val="center"/>
            </w:pPr>
            <w:r>
              <w:t>12.24</w:t>
            </w:r>
          </w:p>
        </w:tc>
        <w:tc>
          <w:tcPr>
            <w:tcW w:w="1236" w:type="dxa"/>
            <w:vAlign w:val="center"/>
          </w:tcPr>
          <w:p>
            <w:pPr>
              <w:jc w:val="center"/>
            </w:pPr>
            <w:r>
              <w:t>16.57</w:t>
            </w:r>
          </w:p>
        </w:tc>
        <w:tc>
          <w:tcPr>
            <w:tcW w:w="1234" w:type="dxa"/>
            <w:vAlign w:val="center"/>
          </w:tcPr>
          <w:p>
            <w:pPr>
              <w:jc w:val="center"/>
            </w:pPr>
            <w:r>
              <w:t>21.13</w:t>
            </w:r>
          </w:p>
        </w:tc>
        <w:tc>
          <w:tcPr>
            <w:tcW w:w="1236" w:type="dxa"/>
            <w:vAlign w:val="center"/>
          </w:tcPr>
          <w:p>
            <w:pPr>
              <w:jc w:val="center"/>
            </w:pPr>
            <w:r>
              <w:t>26.42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6.34</w:t>
            </w:r>
          </w:p>
        </w:tc>
        <w:tc>
          <w:tcPr>
            <w:tcW w:w="1232" w:type="dxa"/>
            <w:vAlign w:val="center"/>
          </w:tcPr>
          <w:p>
            <w:pPr>
              <w:jc w:val="center"/>
            </w:pPr>
            <w:r>
              <w:t>12.32</w:t>
            </w:r>
          </w:p>
        </w:tc>
        <w:tc>
          <w:tcPr>
            <w:tcW w:w="1236" w:type="dxa"/>
            <w:vAlign w:val="center"/>
          </w:tcPr>
          <w:p>
            <w:pPr>
              <w:jc w:val="center"/>
            </w:pPr>
            <w:r>
              <w:t>16.54</w:t>
            </w:r>
          </w:p>
        </w:tc>
        <w:tc>
          <w:tcPr>
            <w:tcW w:w="1234" w:type="dxa"/>
            <w:vAlign w:val="center"/>
          </w:tcPr>
          <w:p>
            <w:pPr>
              <w:jc w:val="center"/>
            </w:pPr>
            <w:r>
              <w:t>21.27</w:t>
            </w:r>
          </w:p>
        </w:tc>
        <w:tc>
          <w:tcPr>
            <w:tcW w:w="1236" w:type="dxa"/>
            <w:vAlign w:val="center"/>
          </w:tcPr>
          <w:p>
            <w:pPr>
              <w:jc w:val="center"/>
            </w:pPr>
            <w:r>
              <w:t>26.34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6.24</w:t>
            </w:r>
          </w:p>
        </w:tc>
        <w:tc>
          <w:tcPr>
            <w:tcW w:w="1232" w:type="dxa"/>
            <w:vAlign w:val="center"/>
          </w:tcPr>
          <w:p>
            <w:pPr>
              <w:jc w:val="center"/>
            </w:pPr>
            <w:r>
              <w:t>12.25</w:t>
            </w:r>
          </w:p>
        </w:tc>
        <w:tc>
          <w:tcPr>
            <w:tcW w:w="1236" w:type="dxa"/>
            <w:vAlign w:val="center"/>
          </w:tcPr>
          <w:p>
            <w:pPr>
              <w:jc w:val="center"/>
            </w:pPr>
            <w:r>
              <w:t>16.56</w:t>
            </w:r>
          </w:p>
        </w:tc>
        <w:tc>
          <w:tcPr>
            <w:tcW w:w="1234" w:type="dxa"/>
            <w:vAlign w:val="center"/>
          </w:tcPr>
          <w:p>
            <w:pPr>
              <w:jc w:val="center"/>
            </w:pPr>
            <w:r>
              <w:t>21.32</w:t>
            </w:r>
          </w:p>
        </w:tc>
        <w:tc>
          <w:tcPr>
            <w:tcW w:w="1236" w:type="dxa"/>
            <w:vAlign w:val="center"/>
          </w:tcPr>
          <w:p>
            <w:pPr>
              <w:jc w:val="center"/>
            </w:pPr>
            <w:r>
              <w:t>26.26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6.30</w:t>
            </w:r>
          </w:p>
        </w:tc>
        <w:tc>
          <w:tcPr>
            <w:tcW w:w="1232" w:type="dxa"/>
            <w:vAlign w:val="center"/>
          </w:tcPr>
          <w:p>
            <w:pPr>
              <w:jc w:val="center"/>
            </w:pPr>
            <w:r>
              <w:t>12.33</w:t>
            </w:r>
          </w:p>
        </w:tc>
        <w:tc>
          <w:tcPr>
            <w:tcW w:w="1236" w:type="dxa"/>
            <w:vAlign w:val="center"/>
          </w:tcPr>
          <w:p>
            <w:pPr>
              <w:jc w:val="center"/>
            </w:pPr>
            <w:r>
              <w:t>16.66</w:t>
            </w:r>
          </w:p>
        </w:tc>
        <w:tc>
          <w:tcPr>
            <w:tcW w:w="1234" w:type="dxa"/>
            <w:vAlign w:val="center"/>
          </w:tcPr>
          <w:p>
            <w:pPr>
              <w:jc w:val="center"/>
            </w:pPr>
            <w:r>
              <w:t>21.35</w:t>
            </w:r>
          </w:p>
        </w:tc>
        <w:tc>
          <w:tcPr>
            <w:tcW w:w="1236" w:type="dxa"/>
            <w:vAlign w:val="center"/>
          </w:tcPr>
          <w:p>
            <w:pPr>
              <w:jc w:val="center"/>
            </w:pPr>
            <w:r>
              <w:t>26.28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80" w:hRule="atLeast"/>
          <w:jc w:val="center"/>
        </w:trPr>
        <w:tc>
          <w:tcPr>
            <w:tcW w:w="1978" w:type="dxa"/>
            <w:vMerge w:val="continue"/>
            <w:vAlign w:val="center"/>
          </w:tcPr>
          <w:p>
            <w:pPr>
              <w:widowControl/>
              <w:spacing w:before="100" w:beforeAutospacing="1" w:after="100" w:afterAutospacing="1"/>
              <w:jc w:val="center"/>
              <w:rPr>
                <w:kern w:val="0"/>
                <w:szCs w:val="21"/>
              </w:rPr>
            </w:pPr>
          </w:p>
        </w:tc>
        <w:tc>
          <w:tcPr>
            <w:tcW w:w="1606" w:type="dxa"/>
            <w:vAlign w:val="center"/>
          </w:tcPr>
          <w:p>
            <w:pPr>
              <w:jc w:val="center"/>
            </w:pPr>
            <w:r>
              <w:t>6.37</w:t>
            </w:r>
          </w:p>
        </w:tc>
        <w:tc>
          <w:tcPr>
            <w:tcW w:w="1232" w:type="dxa"/>
            <w:vAlign w:val="center"/>
          </w:tcPr>
          <w:p>
            <w:pPr>
              <w:jc w:val="center"/>
            </w:pPr>
            <w:r>
              <w:t>12.28</w:t>
            </w:r>
          </w:p>
        </w:tc>
        <w:tc>
          <w:tcPr>
            <w:tcW w:w="1236" w:type="dxa"/>
            <w:vAlign w:val="center"/>
          </w:tcPr>
          <w:p>
            <w:pPr>
              <w:jc w:val="center"/>
            </w:pPr>
            <w:r>
              <w:t>16.57</w:t>
            </w:r>
          </w:p>
        </w:tc>
        <w:tc>
          <w:tcPr>
            <w:tcW w:w="1234" w:type="dxa"/>
            <w:vAlign w:val="center"/>
          </w:tcPr>
          <w:p>
            <w:pPr>
              <w:jc w:val="center"/>
            </w:pPr>
            <w:r>
              <w:t>21.06</w:t>
            </w:r>
          </w:p>
        </w:tc>
        <w:tc>
          <w:tcPr>
            <w:tcW w:w="1236" w:type="dxa"/>
            <w:vAlign w:val="center"/>
          </w:tcPr>
          <w:p>
            <w:pPr>
              <w:jc w:val="center"/>
            </w:pPr>
            <w:r>
              <w:t>26.31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Align w:val="center"/>
          </w:tcPr>
          <w:p>
            <w:pPr>
              <w:widowControl/>
              <w:spacing w:before="100" w:beforeAutospacing="1" w:after="100" w:afterAutospacing="1"/>
              <w:jc w:val="center"/>
              <w:rPr>
                <w:b/>
                <w:bCs/>
                <w:kern w:val="0"/>
                <w:szCs w:val="21"/>
              </w:rPr>
            </w:pPr>
            <w:r>
              <w:rPr>
                <w:rFonts w:hint="eastAsia"/>
                <w:b/>
                <w:bCs/>
                <w:kern w:val="0"/>
                <w:szCs w:val="21"/>
              </w:rPr>
              <w:t>平均值</w:t>
            </w:r>
          </w:p>
        </w:tc>
        <w:tc>
          <w:tcPr>
            <w:tcW w:w="1606" w:type="dxa"/>
            <w:vAlign w:val="center"/>
          </w:tcPr>
          <w:p>
            <w:pPr>
              <w:widowControl/>
              <w:jc w:val="center"/>
              <w:textAlignment w:val="center"/>
              <w:rPr>
                <w:b/>
                <w:bCs/>
                <w:color w:val="000000"/>
                <w:kern w:val="0"/>
                <w:szCs w:val="21"/>
              </w:rPr>
            </w:pPr>
            <w:r>
              <w:rPr>
                <w:b/>
                <w:bCs/>
                <w:color w:val="000000"/>
                <w:kern w:val="0"/>
                <w:szCs w:val="21"/>
              </w:rPr>
              <w:t>6.31</w:t>
            </w:r>
          </w:p>
        </w:tc>
        <w:tc>
          <w:tcPr>
            <w:tcW w:w="1232" w:type="dxa"/>
            <w:vAlign w:val="center"/>
          </w:tcPr>
          <w:p>
            <w:pPr>
              <w:widowControl/>
              <w:jc w:val="center"/>
              <w:textAlignment w:val="center"/>
              <w:rPr>
                <w:b/>
                <w:bCs/>
                <w:color w:val="000000"/>
                <w:kern w:val="0"/>
                <w:szCs w:val="21"/>
              </w:rPr>
            </w:pPr>
            <w:r>
              <w:rPr>
                <w:b/>
                <w:bCs/>
                <w:color w:val="000000"/>
                <w:kern w:val="0"/>
                <w:szCs w:val="21"/>
              </w:rPr>
              <w:t>12.26</w:t>
            </w:r>
          </w:p>
        </w:tc>
        <w:tc>
          <w:tcPr>
            <w:tcW w:w="1236" w:type="dxa"/>
            <w:vAlign w:val="center"/>
          </w:tcPr>
          <w:p>
            <w:pPr>
              <w:widowControl/>
              <w:jc w:val="center"/>
              <w:textAlignment w:val="center"/>
              <w:rPr>
                <w:b/>
                <w:bCs/>
                <w:color w:val="000000"/>
                <w:kern w:val="0"/>
                <w:szCs w:val="21"/>
              </w:rPr>
            </w:pPr>
            <w:r>
              <w:rPr>
                <w:b/>
                <w:bCs/>
                <w:color w:val="000000"/>
                <w:kern w:val="0"/>
                <w:szCs w:val="21"/>
              </w:rPr>
              <w:t>16.58</w:t>
            </w:r>
          </w:p>
        </w:tc>
        <w:tc>
          <w:tcPr>
            <w:tcW w:w="1234" w:type="dxa"/>
            <w:vAlign w:val="center"/>
          </w:tcPr>
          <w:p>
            <w:pPr>
              <w:widowControl/>
              <w:jc w:val="center"/>
              <w:textAlignment w:val="center"/>
              <w:rPr>
                <w:b/>
                <w:bCs/>
                <w:color w:val="000000"/>
                <w:kern w:val="0"/>
                <w:szCs w:val="21"/>
              </w:rPr>
            </w:pPr>
            <w:r>
              <w:rPr>
                <w:b/>
                <w:bCs/>
                <w:color w:val="000000"/>
                <w:kern w:val="0"/>
                <w:szCs w:val="21"/>
              </w:rPr>
              <w:t>21.22</w:t>
            </w:r>
          </w:p>
        </w:tc>
        <w:tc>
          <w:tcPr>
            <w:tcW w:w="1236" w:type="dxa"/>
            <w:vAlign w:val="center"/>
          </w:tcPr>
          <w:p>
            <w:pPr>
              <w:widowControl/>
              <w:jc w:val="center"/>
              <w:textAlignment w:val="center"/>
              <w:rPr>
                <w:b/>
                <w:bCs/>
                <w:color w:val="000000"/>
                <w:kern w:val="0"/>
                <w:szCs w:val="21"/>
              </w:rPr>
            </w:pPr>
            <w:r>
              <w:rPr>
                <w:b/>
                <w:bCs/>
                <w:color w:val="000000"/>
                <w:kern w:val="0"/>
                <w:szCs w:val="21"/>
              </w:rPr>
              <w:t>26.31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restart"/>
            <w:vAlign w:val="center"/>
          </w:tcPr>
          <w:p>
            <w:pPr>
              <w:widowControl/>
              <w:spacing w:before="100" w:beforeAutospacing="1" w:after="100" w:afterAutospacing="1"/>
              <w:jc w:val="center"/>
              <w:rPr>
                <w:bCs/>
                <w:kern w:val="0"/>
                <w:szCs w:val="21"/>
              </w:rPr>
            </w:pPr>
            <w:r>
              <w:rPr>
                <w:rFonts w:hint="eastAsia"/>
                <w:bCs/>
                <w:kern w:val="0"/>
                <w:szCs w:val="21"/>
              </w:rPr>
              <w:t>10大冶有色</w:t>
            </w:r>
          </w:p>
        </w:tc>
        <w:tc>
          <w:tcPr>
            <w:tcW w:w="1606" w:type="dxa"/>
            <w:vAlign w:val="center"/>
          </w:tcPr>
          <w:p>
            <w:pPr>
              <w:jc w:val="center"/>
            </w:pPr>
            <w:r>
              <w:t>6.19</w:t>
            </w:r>
          </w:p>
        </w:tc>
        <w:tc>
          <w:tcPr>
            <w:tcW w:w="1232" w:type="dxa"/>
            <w:vAlign w:val="center"/>
          </w:tcPr>
          <w:p>
            <w:pPr>
              <w:jc w:val="center"/>
            </w:pPr>
            <w:r>
              <w:t>12.19</w:t>
            </w:r>
          </w:p>
        </w:tc>
        <w:tc>
          <w:tcPr>
            <w:tcW w:w="1236" w:type="dxa"/>
            <w:vAlign w:val="center"/>
          </w:tcPr>
          <w:p>
            <w:pPr>
              <w:jc w:val="center"/>
            </w:pPr>
            <w:r>
              <w:t>16.57</w:t>
            </w:r>
          </w:p>
        </w:tc>
        <w:tc>
          <w:tcPr>
            <w:tcW w:w="1234" w:type="dxa"/>
            <w:vAlign w:val="center"/>
          </w:tcPr>
          <w:p>
            <w:pPr>
              <w:jc w:val="center"/>
            </w:pPr>
            <w:r>
              <w:t>21.17</w:t>
            </w:r>
          </w:p>
        </w:tc>
        <w:tc>
          <w:tcPr>
            <w:tcW w:w="1236" w:type="dxa"/>
            <w:vAlign w:val="center"/>
          </w:tcPr>
          <w:p>
            <w:pPr>
              <w:jc w:val="center"/>
            </w:pPr>
            <w:r>
              <w:t>26.27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6.18</w:t>
            </w:r>
          </w:p>
        </w:tc>
        <w:tc>
          <w:tcPr>
            <w:tcW w:w="1232" w:type="dxa"/>
            <w:vAlign w:val="center"/>
          </w:tcPr>
          <w:p>
            <w:pPr>
              <w:jc w:val="center"/>
            </w:pPr>
            <w:r>
              <w:t>12.24</w:t>
            </w:r>
          </w:p>
        </w:tc>
        <w:tc>
          <w:tcPr>
            <w:tcW w:w="1236" w:type="dxa"/>
            <w:vAlign w:val="center"/>
          </w:tcPr>
          <w:p>
            <w:pPr>
              <w:jc w:val="center"/>
            </w:pPr>
            <w:r>
              <w:t>16.55</w:t>
            </w:r>
          </w:p>
        </w:tc>
        <w:tc>
          <w:tcPr>
            <w:tcW w:w="1234" w:type="dxa"/>
            <w:vAlign w:val="center"/>
          </w:tcPr>
          <w:p>
            <w:pPr>
              <w:jc w:val="center"/>
            </w:pPr>
            <w:r>
              <w:t>21.23</w:t>
            </w:r>
          </w:p>
        </w:tc>
        <w:tc>
          <w:tcPr>
            <w:tcW w:w="1236" w:type="dxa"/>
            <w:vAlign w:val="center"/>
          </w:tcPr>
          <w:p>
            <w:pPr>
              <w:jc w:val="center"/>
            </w:pPr>
            <w:r>
              <w:t>26.49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6.17</w:t>
            </w:r>
          </w:p>
        </w:tc>
        <w:tc>
          <w:tcPr>
            <w:tcW w:w="1232" w:type="dxa"/>
            <w:vAlign w:val="center"/>
          </w:tcPr>
          <w:p>
            <w:pPr>
              <w:jc w:val="center"/>
            </w:pPr>
            <w:r>
              <w:t>12.26</w:t>
            </w:r>
          </w:p>
        </w:tc>
        <w:tc>
          <w:tcPr>
            <w:tcW w:w="1236" w:type="dxa"/>
            <w:vAlign w:val="center"/>
          </w:tcPr>
          <w:p>
            <w:pPr>
              <w:jc w:val="center"/>
            </w:pPr>
            <w:r>
              <w:t>16.7</w:t>
            </w:r>
            <w:r>
              <w:rPr>
                <w:rFonts w:hint="eastAsia"/>
              </w:rPr>
              <w:t>0</w:t>
            </w:r>
          </w:p>
        </w:tc>
        <w:tc>
          <w:tcPr>
            <w:tcW w:w="1234" w:type="dxa"/>
            <w:vAlign w:val="center"/>
          </w:tcPr>
          <w:p>
            <w:pPr>
              <w:jc w:val="center"/>
            </w:pPr>
            <w:r>
              <w:t>21.24</w:t>
            </w:r>
          </w:p>
        </w:tc>
        <w:tc>
          <w:tcPr>
            <w:tcW w:w="1236" w:type="dxa"/>
            <w:vAlign w:val="center"/>
          </w:tcPr>
          <w:p>
            <w:pPr>
              <w:jc w:val="center"/>
            </w:pPr>
            <w:r>
              <w:t>26.46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6.07</w:t>
            </w:r>
          </w:p>
        </w:tc>
        <w:tc>
          <w:tcPr>
            <w:tcW w:w="1232" w:type="dxa"/>
            <w:vAlign w:val="center"/>
          </w:tcPr>
          <w:p>
            <w:pPr>
              <w:jc w:val="center"/>
            </w:pPr>
            <w:r>
              <w:t>12.21</w:t>
            </w:r>
          </w:p>
        </w:tc>
        <w:tc>
          <w:tcPr>
            <w:tcW w:w="1236" w:type="dxa"/>
            <w:vAlign w:val="center"/>
          </w:tcPr>
          <w:p>
            <w:pPr>
              <w:jc w:val="center"/>
            </w:pPr>
            <w:r>
              <w:t>16.52</w:t>
            </w:r>
          </w:p>
        </w:tc>
        <w:tc>
          <w:tcPr>
            <w:tcW w:w="1234" w:type="dxa"/>
            <w:vAlign w:val="center"/>
          </w:tcPr>
          <w:p>
            <w:pPr>
              <w:jc w:val="center"/>
            </w:pPr>
            <w:r>
              <w:t>21.1</w:t>
            </w:r>
            <w:r>
              <w:rPr>
                <w:rFonts w:hint="eastAsia"/>
              </w:rPr>
              <w:t>0</w:t>
            </w:r>
          </w:p>
        </w:tc>
        <w:tc>
          <w:tcPr>
            <w:tcW w:w="1236" w:type="dxa"/>
            <w:vAlign w:val="center"/>
          </w:tcPr>
          <w:p>
            <w:pPr>
              <w:jc w:val="center"/>
            </w:pPr>
            <w:r>
              <w:t>26.43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6.14</w:t>
            </w:r>
          </w:p>
        </w:tc>
        <w:tc>
          <w:tcPr>
            <w:tcW w:w="1232" w:type="dxa"/>
            <w:vAlign w:val="center"/>
          </w:tcPr>
          <w:p>
            <w:pPr>
              <w:jc w:val="center"/>
            </w:pPr>
            <w:r>
              <w:t>12.22</w:t>
            </w:r>
          </w:p>
        </w:tc>
        <w:tc>
          <w:tcPr>
            <w:tcW w:w="1236" w:type="dxa"/>
            <w:vAlign w:val="center"/>
          </w:tcPr>
          <w:p>
            <w:pPr>
              <w:jc w:val="center"/>
            </w:pPr>
            <w:r>
              <w:t>16.56</w:t>
            </w:r>
          </w:p>
        </w:tc>
        <w:tc>
          <w:tcPr>
            <w:tcW w:w="1234" w:type="dxa"/>
            <w:vAlign w:val="center"/>
          </w:tcPr>
          <w:p>
            <w:pPr>
              <w:jc w:val="center"/>
            </w:pPr>
            <w:r>
              <w:t>21.3</w:t>
            </w:r>
            <w:r>
              <w:rPr>
                <w:rFonts w:hint="eastAsia"/>
              </w:rPr>
              <w:t>0</w:t>
            </w:r>
          </w:p>
        </w:tc>
        <w:tc>
          <w:tcPr>
            <w:tcW w:w="1236" w:type="dxa"/>
            <w:vAlign w:val="center"/>
          </w:tcPr>
          <w:p>
            <w:pPr>
              <w:jc w:val="center"/>
            </w:pPr>
            <w:r>
              <w:t>26.42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6.11</w:t>
            </w:r>
          </w:p>
        </w:tc>
        <w:tc>
          <w:tcPr>
            <w:tcW w:w="1232" w:type="dxa"/>
            <w:vAlign w:val="center"/>
          </w:tcPr>
          <w:p>
            <w:pPr>
              <w:jc w:val="center"/>
            </w:pPr>
            <w:r>
              <w:t>12.15</w:t>
            </w:r>
          </w:p>
        </w:tc>
        <w:tc>
          <w:tcPr>
            <w:tcW w:w="1236" w:type="dxa"/>
            <w:vAlign w:val="center"/>
          </w:tcPr>
          <w:p>
            <w:pPr>
              <w:jc w:val="center"/>
            </w:pPr>
            <w:r>
              <w:t>16.64</w:t>
            </w:r>
          </w:p>
        </w:tc>
        <w:tc>
          <w:tcPr>
            <w:tcW w:w="1234" w:type="dxa"/>
            <w:vAlign w:val="center"/>
          </w:tcPr>
          <w:p>
            <w:pPr>
              <w:jc w:val="center"/>
            </w:pPr>
            <w:r>
              <w:t>21.19</w:t>
            </w:r>
          </w:p>
        </w:tc>
        <w:tc>
          <w:tcPr>
            <w:tcW w:w="1236" w:type="dxa"/>
            <w:vAlign w:val="center"/>
          </w:tcPr>
          <w:p>
            <w:pPr>
              <w:jc w:val="center"/>
            </w:pPr>
            <w:r>
              <w:t>26.32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6.13</w:t>
            </w:r>
          </w:p>
        </w:tc>
        <w:tc>
          <w:tcPr>
            <w:tcW w:w="1232" w:type="dxa"/>
            <w:vAlign w:val="center"/>
          </w:tcPr>
          <w:p>
            <w:pPr>
              <w:jc w:val="center"/>
            </w:pPr>
            <w:r>
              <w:t>12.3</w:t>
            </w:r>
            <w:r>
              <w:rPr>
                <w:rFonts w:hint="eastAsia"/>
              </w:rPr>
              <w:t>0</w:t>
            </w:r>
          </w:p>
        </w:tc>
        <w:tc>
          <w:tcPr>
            <w:tcW w:w="1236" w:type="dxa"/>
            <w:vAlign w:val="center"/>
          </w:tcPr>
          <w:p>
            <w:pPr>
              <w:jc w:val="center"/>
            </w:pPr>
            <w:r>
              <w:t>16.51</w:t>
            </w:r>
          </w:p>
        </w:tc>
        <w:tc>
          <w:tcPr>
            <w:tcW w:w="1234" w:type="dxa"/>
            <w:vAlign w:val="center"/>
          </w:tcPr>
          <w:p>
            <w:pPr>
              <w:jc w:val="center"/>
            </w:pPr>
            <w:r>
              <w:t>21.08</w:t>
            </w:r>
          </w:p>
        </w:tc>
        <w:tc>
          <w:tcPr>
            <w:tcW w:w="1236" w:type="dxa"/>
            <w:vAlign w:val="center"/>
          </w:tcPr>
          <w:p>
            <w:pPr>
              <w:jc w:val="center"/>
            </w:pPr>
            <w:r>
              <w:t>26.3</w:t>
            </w: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6.21</w:t>
            </w:r>
          </w:p>
        </w:tc>
        <w:tc>
          <w:tcPr>
            <w:tcW w:w="1232" w:type="dxa"/>
            <w:vAlign w:val="center"/>
          </w:tcPr>
          <w:p>
            <w:pPr>
              <w:jc w:val="center"/>
            </w:pPr>
            <w:r>
              <w:t>12.22</w:t>
            </w:r>
          </w:p>
        </w:tc>
        <w:tc>
          <w:tcPr>
            <w:tcW w:w="1236" w:type="dxa"/>
            <w:vAlign w:val="center"/>
          </w:tcPr>
          <w:p>
            <w:pPr>
              <w:jc w:val="center"/>
            </w:pPr>
            <w:r>
              <w:t>16.52</w:t>
            </w:r>
          </w:p>
        </w:tc>
        <w:tc>
          <w:tcPr>
            <w:tcW w:w="1234" w:type="dxa"/>
            <w:vAlign w:val="center"/>
          </w:tcPr>
          <w:p>
            <w:pPr>
              <w:jc w:val="center"/>
            </w:pPr>
            <w:r>
              <w:t>21.21</w:t>
            </w:r>
          </w:p>
        </w:tc>
        <w:tc>
          <w:tcPr>
            <w:tcW w:w="1236" w:type="dxa"/>
            <w:vAlign w:val="center"/>
          </w:tcPr>
          <w:p>
            <w:pPr>
              <w:jc w:val="center"/>
            </w:pPr>
            <w:r>
              <w:t>26.44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6.11</w:t>
            </w:r>
          </w:p>
        </w:tc>
        <w:tc>
          <w:tcPr>
            <w:tcW w:w="1232" w:type="dxa"/>
            <w:vAlign w:val="center"/>
          </w:tcPr>
          <w:p>
            <w:pPr>
              <w:jc w:val="center"/>
            </w:pPr>
            <w:r>
              <w:t>12.2</w:t>
            </w:r>
            <w:r>
              <w:rPr>
                <w:rFonts w:hint="eastAsia"/>
              </w:rPr>
              <w:t>0</w:t>
            </w:r>
          </w:p>
        </w:tc>
        <w:tc>
          <w:tcPr>
            <w:tcW w:w="1236" w:type="dxa"/>
            <w:vAlign w:val="center"/>
          </w:tcPr>
          <w:p>
            <w:pPr>
              <w:jc w:val="center"/>
            </w:pPr>
            <w:r>
              <w:t>16.51</w:t>
            </w:r>
          </w:p>
        </w:tc>
        <w:tc>
          <w:tcPr>
            <w:tcW w:w="1234" w:type="dxa"/>
            <w:vAlign w:val="center"/>
          </w:tcPr>
          <w:p>
            <w:pPr>
              <w:jc w:val="center"/>
            </w:pPr>
            <w:r>
              <w:t>21.16</w:t>
            </w:r>
          </w:p>
        </w:tc>
        <w:tc>
          <w:tcPr>
            <w:tcW w:w="1236" w:type="dxa"/>
            <w:vAlign w:val="center"/>
          </w:tcPr>
          <w:p>
            <w:pPr>
              <w:jc w:val="center"/>
            </w:pPr>
            <w:r>
              <w:t>26.46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6.16</w:t>
            </w:r>
          </w:p>
        </w:tc>
        <w:tc>
          <w:tcPr>
            <w:tcW w:w="1232" w:type="dxa"/>
            <w:vAlign w:val="center"/>
          </w:tcPr>
          <w:p>
            <w:pPr>
              <w:jc w:val="center"/>
            </w:pPr>
            <w:r>
              <w:t>12.21</w:t>
            </w:r>
          </w:p>
        </w:tc>
        <w:tc>
          <w:tcPr>
            <w:tcW w:w="1236" w:type="dxa"/>
            <w:vAlign w:val="center"/>
          </w:tcPr>
          <w:p>
            <w:pPr>
              <w:jc w:val="center"/>
            </w:pPr>
            <w:r>
              <w:t>16.65</w:t>
            </w:r>
          </w:p>
        </w:tc>
        <w:tc>
          <w:tcPr>
            <w:tcW w:w="1234" w:type="dxa"/>
            <w:vAlign w:val="center"/>
          </w:tcPr>
          <w:p>
            <w:pPr>
              <w:jc w:val="center"/>
            </w:pPr>
            <w:r>
              <w:t>21.21</w:t>
            </w:r>
          </w:p>
        </w:tc>
        <w:tc>
          <w:tcPr>
            <w:tcW w:w="1236" w:type="dxa"/>
            <w:vAlign w:val="center"/>
          </w:tcPr>
          <w:p>
            <w:pPr>
              <w:jc w:val="center"/>
            </w:pPr>
            <w:r>
              <w:t>26.5</w:t>
            </w: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6.17</w:t>
            </w:r>
          </w:p>
        </w:tc>
        <w:tc>
          <w:tcPr>
            <w:tcW w:w="1232" w:type="dxa"/>
            <w:vAlign w:val="center"/>
          </w:tcPr>
          <w:p>
            <w:pPr>
              <w:jc w:val="center"/>
            </w:pPr>
            <w:r>
              <w:t>12.25</w:t>
            </w:r>
          </w:p>
        </w:tc>
        <w:tc>
          <w:tcPr>
            <w:tcW w:w="1236" w:type="dxa"/>
            <w:vAlign w:val="center"/>
          </w:tcPr>
          <w:p>
            <w:pPr>
              <w:jc w:val="center"/>
            </w:pPr>
            <w:r>
              <w:t>16.46</w:t>
            </w:r>
          </w:p>
        </w:tc>
        <w:tc>
          <w:tcPr>
            <w:tcW w:w="1234" w:type="dxa"/>
            <w:vAlign w:val="center"/>
          </w:tcPr>
          <w:p>
            <w:pPr>
              <w:jc w:val="center"/>
            </w:pPr>
            <w:r>
              <w:t>21.12</w:t>
            </w:r>
          </w:p>
        </w:tc>
        <w:tc>
          <w:tcPr>
            <w:tcW w:w="1236" w:type="dxa"/>
            <w:vAlign w:val="center"/>
          </w:tcPr>
          <w:p>
            <w:pPr>
              <w:jc w:val="center"/>
            </w:pPr>
            <w:r>
              <w:t>26.39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Align w:val="center"/>
          </w:tcPr>
          <w:p>
            <w:pPr>
              <w:widowControl/>
              <w:spacing w:before="100" w:beforeAutospacing="1" w:after="100" w:afterAutospacing="1"/>
              <w:jc w:val="center"/>
              <w:rPr>
                <w:b/>
                <w:bCs/>
                <w:kern w:val="0"/>
                <w:szCs w:val="21"/>
              </w:rPr>
            </w:pPr>
            <w:r>
              <w:rPr>
                <w:rFonts w:hint="eastAsia"/>
                <w:b/>
                <w:bCs/>
                <w:kern w:val="0"/>
                <w:szCs w:val="21"/>
              </w:rPr>
              <w:t>平均值</w:t>
            </w:r>
          </w:p>
        </w:tc>
        <w:tc>
          <w:tcPr>
            <w:tcW w:w="1606" w:type="dxa"/>
            <w:vAlign w:val="center"/>
          </w:tcPr>
          <w:p>
            <w:pPr>
              <w:widowControl/>
              <w:jc w:val="center"/>
              <w:textAlignment w:val="center"/>
              <w:rPr>
                <w:b/>
              </w:rPr>
            </w:pPr>
            <w:r>
              <w:rPr>
                <w:b/>
                <w:color w:val="000000"/>
                <w:kern w:val="0"/>
                <w:sz w:val="22"/>
                <w:szCs w:val="22"/>
              </w:rPr>
              <w:t>6.15</w:t>
            </w:r>
          </w:p>
        </w:tc>
        <w:tc>
          <w:tcPr>
            <w:tcW w:w="1232" w:type="dxa"/>
            <w:vAlign w:val="center"/>
          </w:tcPr>
          <w:p>
            <w:pPr>
              <w:widowControl/>
              <w:jc w:val="center"/>
              <w:textAlignment w:val="center"/>
              <w:rPr>
                <w:b/>
              </w:rPr>
            </w:pPr>
            <w:r>
              <w:rPr>
                <w:b/>
                <w:color w:val="000000"/>
                <w:kern w:val="0"/>
                <w:sz w:val="22"/>
                <w:szCs w:val="22"/>
              </w:rPr>
              <w:t>12.22</w:t>
            </w:r>
          </w:p>
        </w:tc>
        <w:tc>
          <w:tcPr>
            <w:tcW w:w="1236" w:type="dxa"/>
            <w:vAlign w:val="center"/>
          </w:tcPr>
          <w:p>
            <w:pPr>
              <w:widowControl/>
              <w:jc w:val="center"/>
              <w:textAlignment w:val="center"/>
              <w:rPr>
                <w:b/>
              </w:rPr>
            </w:pPr>
            <w:r>
              <w:rPr>
                <w:b/>
                <w:color w:val="000000"/>
                <w:kern w:val="0"/>
                <w:sz w:val="22"/>
                <w:szCs w:val="22"/>
              </w:rPr>
              <w:t>16.56</w:t>
            </w:r>
          </w:p>
        </w:tc>
        <w:tc>
          <w:tcPr>
            <w:tcW w:w="1234" w:type="dxa"/>
            <w:vAlign w:val="center"/>
          </w:tcPr>
          <w:p>
            <w:pPr>
              <w:widowControl/>
              <w:jc w:val="center"/>
              <w:textAlignment w:val="center"/>
              <w:rPr>
                <w:b/>
              </w:rPr>
            </w:pPr>
            <w:r>
              <w:rPr>
                <w:b/>
                <w:color w:val="000000"/>
                <w:kern w:val="0"/>
                <w:sz w:val="22"/>
                <w:szCs w:val="22"/>
              </w:rPr>
              <w:t>21.18</w:t>
            </w:r>
          </w:p>
        </w:tc>
        <w:tc>
          <w:tcPr>
            <w:tcW w:w="1236" w:type="dxa"/>
            <w:vAlign w:val="center"/>
          </w:tcPr>
          <w:p>
            <w:pPr>
              <w:widowControl/>
              <w:jc w:val="center"/>
              <w:textAlignment w:val="center"/>
              <w:rPr>
                <w:b/>
              </w:rPr>
            </w:pPr>
            <w:r>
              <w:rPr>
                <w:b/>
                <w:color w:val="000000"/>
                <w:kern w:val="0"/>
                <w:sz w:val="22"/>
                <w:szCs w:val="22"/>
              </w:rPr>
              <w:t>26.41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restart"/>
            <w:vAlign w:val="center"/>
          </w:tcPr>
          <w:p>
            <w:pPr>
              <w:widowControl/>
              <w:spacing w:before="100" w:beforeAutospacing="1" w:after="100" w:afterAutospacing="1"/>
              <w:jc w:val="center"/>
              <w:rPr>
                <w:bCs/>
                <w:kern w:val="0"/>
                <w:szCs w:val="21"/>
              </w:rPr>
            </w:pPr>
            <w:r>
              <w:rPr>
                <w:rFonts w:hint="eastAsia"/>
                <w:bCs/>
                <w:kern w:val="0"/>
                <w:szCs w:val="21"/>
              </w:rPr>
              <w:t>11徐州北矿</w:t>
            </w:r>
          </w:p>
        </w:tc>
        <w:tc>
          <w:tcPr>
            <w:tcW w:w="1606" w:type="dxa"/>
            <w:vAlign w:val="center"/>
          </w:tcPr>
          <w:p>
            <w:pPr>
              <w:jc w:val="center"/>
            </w:pPr>
            <w:r>
              <w:t>6.3</w:t>
            </w:r>
            <w:r>
              <w:rPr>
                <w:rFonts w:hint="eastAsia"/>
              </w:rPr>
              <w:t>0</w:t>
            </w:r>
          </w:p>
        </w:tc>
        <w:tc>
          <w:tcPr>
            <w:tcW w:w="1232" w:type="dxa"/>
            <w:vAlign w:val="center"/>
          </w:tcPr>
          <w:p>
            <w:pPr>
              <w:jc w:val="center"/>
            </w:pPr>
            <w:r>
              <w:t>12.16</w:t>
            </w:r>
          </w:p>
        </w:tc>
        <w:tc>
          <w:tcPr>
            <w:tcW w:w="1236" w:type="dxa"/>
            <w:vAlign w:val="center"/>
          </w:tcPr>
          <w:p>
            <w:pPr>
              <w:jc w:val="center"/>
            </w:pPr>
            <w:r>
              <w:t>16.63</w:t>
            </w:r>
          </w:p>
        </w:tc>
        <w:tc>
          <w:tcPr>
            <w:tcW w:w="1234" w:type="dxa"/>
            <w:vAlign w:val="center"/>
          </w:tcPr>
          <w:p>
            <w:pPr>
              <w:jc w:val="center"/>
            </w:pPr>
            <w:r>
              <w:t>21.04</w:t>
            </w:r>
          </w:p>
        </w:tc>
        <w:tc>
          <w:tcPr>
            <w:tcW w:w="1236" w:type="dxa"/>
            <w:vAlign w:val="center"/>
          </w:tcPr>
          <w:p>
            <w:pPr>
              <w:jc w:val="center"/>
            </w:pPr>
            <w:r>
              <w:t>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6.31</w:t>
            </w:r>
          </w:p>
        </w:tc>
        <w:tc>
          <w:tcPr>
            <w:tcW w:w="1232" w:type="dxa"/>
            <w:vAlign w:val="center"/>
          </w:tcPr>
          <w:p>
            <w:pPr>
              <w:jc w:val="center"/>
            </w:pPr>
            <w:r>
              <w:t>12.08</w:t>
            </w:r>
          </w:p>
        </w:tc>
        <w:tc>
          <w:tcPr>
            <w:tcW w:w="1236" w:type="dxa"/>
            <w:vAlign w:val="center"/>
          </w:tcPr>
          <w:p>
            <w:pPr>
              <w:jc w:val="center"/>
            </w:pPr>
            <w:r>
              <w:t>16.36</w:t>
            </w:r>
          </w:p>
        </w:tc>
        <w:tc>
          <w:tcPr>
            <w:tcW w:w="1234" w:type="dxa"/>
            <w:vAlign w:val="center"/>
          </w:tcPr>
          <w:p>
            <w:pPr>
              <w:jc w:val="center"/>
            </w:pPr>
            <w:r>
              <w:t>21.12</w:t>
            </w:r>
          </w:p>
        </w:tc>
        <w:tc>
          <w:tcPr>
            <w:tcW w:w="1236" w:type="dxa"/>
            <w:vAlign w:val="center"/>
          </w:tcPr>
          <w:p>
            <w:pPr>
              <w:jc w:val="center"/>
            </w:pPr>
            <w:r>
              <w:t>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6.3</w:t>
            </w:r>
            <w:r>
              <w:rPr>
                <w:rFonts w:hint="eastAsia"/>
              </w:rPr>
              <w:t>0</w:t>
            </w:r>
          </w:p>
        </w:tc>
        <w:tc>
          <w:tcPr>
            <w:tcW w:w="1232" w:type="dxa"/>
            <w:vAlign w:val="center"/>
          </w:tcPr>
          <w:p>
            <w:pPr>
              <w:jc w:val="center"/>
            </w:pPr>
            <w:r>
              <w:t>12.08</w:t>
            </w:r>
          </w:p>
        </w:tc>
        <w:tc>
          <w:tcPr>
            <w:tcW w:w="1236" w:type="dxa"/>
            <w:vAlign w:val="center"/>
          </w:tcPr>
          <w:p>
            <w:pPr>
              <w:jc w:val="center"/>
            </w:pPr>
            <w:r>
              <w:t>16.34</w:t>
            </w:r>
          </w:p>
        </w:tc>
        <w:tc>
          <w:tcPr>
            <w:tcW w:w="1234" w:type="dxa"/>
            <w:vAlign w:val="center"/>
          </w:tcPr>
          <w:p>
            <w:pPr>
              <w:jc w:val="center"/>
            </w:pPr>
            <w:r>
              <w:t>21.07</w:t>
            </w:r>
          </w:p>
        </w:tc>
        <w:tc>
          <w:tcPr>
            <w:tcW w:w="1236" w:type="dxa"/>
            <w:vAlign w:val="center"/>
          </w:tcPr>
          <w:p>
            <w:pPr>
              <w:jc w:val="center"/>
            </w:pPr>
            <w:r>
              <w:t>26.29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6.37</w:t>
            </w:r>
          </w:p>
        </w:tc>
        <w:tc>
          <w:tcPr>
            <w:tcW w:w="1232" w:type="dxa"/>
            <w:vAlign w:val="center"/>
          </w:tcPr>
          <w:p>
            <w:pPr>
              <w:jc w:val="center"/>
            </w:pPr>
            <w:r>
              <w:t>12.06</w:t>
            </w:r>
          </w:p>
        </w:tc>
        <w:tc>
          <w:tcPr>
            <w:tcW w:w="1236" w:type="dxa"/>
            <w:vAlign w:val="center"/>
          </w:tcPr>
          <w:p>
            <w:pPr>
              <w:jc w:val="center"/>
            </w:pPr>
            <w:r>
              <w:t>16.45</w:t>
            </w:r>
          </w:p>
        </w:tc>
        <w:tc>
          <w:tcPr>
            <w:tcW w:w="1234" w:type="dxa"/>
            <w:vAlign w:val="center"/>
          </w:tcPr>
          <w:p>
            <w:pPr>
              <w:jc w:val="center"/>
            </w:pPr>
            <w:r>
              <w:t>21.06</w:t>
            </w:r>
          </w:p>
        </w:tc>
        <w:tc>
          <w:tcPr>
            <w:tcW w:w="1236" w:type="dxa"/>
            <w:vAlign w:val="center"/>
          </w:tcPr>
          <w:p>
            <w:pPr>
              <w:jc w:val="center"/>
            </w:pPr>
            <w:r>
              <w:t>26.26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6.33</w:t>
            </w:r>
          </w:p>
        </w:tc>
        <w:tc>
          <w:tcPr>
            <w:tcW w:w="1232" w:type="dxa"/>
            <w:vAlign w:val="center"/>
          </w:tcPr>
          <w:p>
            <w:pPr>
              <w:jc w:val="center"/>
            </w:pPr>
            <w:r>
              <w:t>12.39</w:t>
            </w:r>
          </w:p>
        </w:tc>
        <w:tc>
          <w:tcPr>
            <w:tcW w:w="1236" w:type="dxa"/>
            <w:vAlign w:val="center"/>
          </w:tcPr>
          <w:p>
            <w:pPr>
              <w:jc w:val="center"/>
            </w:pPr>
            <w:r>
              <w:t>16.46</w:t>
            </w:r>
          </w:p>
        </w:tc>
        <w:tc>
          <w:tcPr>
            <w:tcW w:w="1234" w:type="dxa"/>
            <w:vAlign w:val="center"/>
          </w:tcPr>
          <w:p>
            <w:pPr>
              <w:jc w:val="center"/>
            </w:pPr>
            <w:r>
              <w:t>21.03</w:t>
            </w:r>
          </w:p>
        </w:tc>
        <w:tc>
          <w:tcPr>
            <w:tcW w:w="1236" w:type="dxa"/>
            <w:vAlign w:val="center"/>
          </w:tcPr>
          <w:p>
            <w:pPr>
              <w:jc w:val="center"/>
            </w:pPr>
            <w:r>
              <w:t>26.19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6.38</w:t>
            </w:r>
          </w:p>
        </w:tc>
        <w:tc>
          <w:tcPr>
            <w:tcW w:w="1232" w:type="dxa"/>
            <w:vAlign w:val="center"/>
          </w:tcPr>
          <w:p>
            <w:pPr>
              <w:jc w:val="center"/>
            </w:pPr>
            <w:r>
              <w:t>12.23</w:t>
            </w:r>
          </w:p>
        </w:tc>
        <w:tc>
          <w:tcPr>
            <w:tcW w:w="1236" w:type="dxa"/>
            <w:vAlign w:val="center"/>
          </w:tcPr>
          <w:p>
            <w:pPr>
              <w:jc w:val="center"/>
            </w:pPr>
            <w:r>
              <w:t>16.56</w:t>
            </w:r>
          </w:p>
        </w:tc>
        <w:tc>
          <w:tcPr>
            <w:tcW w:w="1234" w:type="dxa"/>
            <w:vAlign w:val="center"/>
          </w:tcPr>
          <w:p>
            <w:pPr>
              <w:jc w:val="center"/>
            </w:pPr>
            <w:r>
              <w:t>21.04</w:t>
            </w:r>
          </w:p>
        </w:tc>
        <w:tc>
          <w:tcPr>
            <w:tcW w:w="1236" w:type="dxa"/>
            <w:vAlign w:val="center"/>
          </w:tcPr>
          <w:p>
            <w:pPr>
              <w:jc w:val="center"/>
            </w:pPr>
            <w:r>
              <w:t>26.46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Merge w:val="continue"/>
            <w:vAlign w:val="center"/>
          </w:tcPr>
          <w:p>
            <w:pPr>
              <w:widowControl/>
              <w:spacing w:before="100" w:beforeAutospacing="1" w:after="100" w:afterAutospacing="1"/>
              <w:jc w:val="center"/>
              <w:rPr>
                <w:b/>
                <w:bCs/>
                <w:kern w:val="0"/>
                <w:szCs w:val="21"/>
              </w:rPr>
            </w:pPr>
          </w:p>
        </w:tc>
        <w:tc>
          <w:tcPr>
            <w:tcW w:w="1606" w:type="dxa"/>
            <w:vAlign w:val="center"/>
          </w:tcPr>
          <w:p>
            <w:pPr>
              <w:jc w:val="center"/>
            </w:pPr>
            <w:r>
              <w:t>6.33</w:t>
            </w:r>
          </w:p>
        </w:tc>
        <w:tc>
          <w:tcPr>
            <w:tcW w:w="1232" w:type="dxa"/>
            <w:vAlign w:val="center"/>
          </w:tcPr>
          <w:p>
            <w:pPr>
              <w:jc w:val="center"/>
            </w:pPr>
            <w:r>
              <w:t>12.37</w:t>
            </w:r>
          </w:p>
        </w:tc>
        <w:tc>
          <w:tcPr>
            <w:tcW w:w="1236" w:type="dxa"/>
            <w:vAlign w:val="center"/>
          </w:tcPr>
          <w:p>
            <w:pPr>
              <w:jc w:val="center"/>
            </w:pPr>
            <w:r>
              <w:t>16.72</w:t>
            </w:r>
          </w:p>
        </w:tc>
        <w:tc>
          <w:tcPr>
            <w:tcW w:w="1234" w:type="dxa"/>
            <w:vAlign w:val="center"/>
          </w:tcPr>
          <w:p>
            <w:pPr>
              <w:jc w:val="center"/>
            </w:pPr>
            <w:r>
              <w:t>21</w:t>
            </w:r>
            <w:r>
              <w:rPr>
                <w:rFonts w:hint="eastAsia"/>
              </w:rPr>
              <w:t>.00</w:t>
            </w:r>
          </w:p>
        </w:tc>
        <w:tc>
          <w:tcPr>
            <w:tcW w:w="1236" w:type="dxa"/>
            <w:vAlign w:val="center"/>
          </w:tcPr>
          <w:p>
            <w:pPr>
              <w:jc w:val="center"/>
            </w:pPr>
            <w:r>
              <w:t>26.45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5" w:hRule="atLeast"/>
          <w:jc w:val="center"/>
        </w:trPr>
        <w:tc>
          <w:tcPr>
            <w:tcW w:w="1978" w:type="dxa"/>
            <w:vAlign w:val="center"/>
          </w:tcPr>
          <w:p>
            <w:pPr>
              <w:widowControl/>
              <w:spacing w:before="100" w:beforeAutospacing="1" w:after="100" w:afterAutospacing="1"/>
              <w:jc w:val="center"/>
              <w:rPr>
                <w:b/>
                <w:bCs/>
                <w:kern w:val="0"/>
                <w:szCs w:val="21"/>
              </w:rPr>
            </w:pPr>
            <w:r>
              <w:rPr>
                <w:rFonts w:hint="eastAsia"/>
                <w:b/>
                <w:bCs/>
                <w:kern w:val="0"/>
                <w:szCs w:val="21"/>
              </w:rPr>
              <w:t>平均值</w:t>
            </w:r>
          </w:p>
        </w:tc>
        <w:tc>
          <w:tcPr>
            <w:tcW w:w="1606" w:type="dxa"/>
            <w:vAlign w:val="center"/>
          </w:tcPr>
          <w:p>
            <w:pPr>
              <w:widowControl/>
              <w:jc w:val="center"/>
              <w:rPr>
                <w:b/>
                <w:color w:val="000000"/>
                <w:kern w:val="0"/>
                <w:sz w:val="22"/>
                <w:szCs w:val="22"/>
              </w:rPr>
            </w:pPr>
            <w:r>
              <w:rPr>
                <w:b/>
                <w:color w:val="000000"/>
                <w:kern w:val="0"/>
                <w:sz w:val="22"/>
                <w:szCs w:val="22"/>
              </w:rPr>
              <w:t xml:space="preserve">6.33 </w:t>
            </w:r>
          </w:p>
        </w:tc>
        <w:tc>
          <w:tcPr>
            <w:tcW w:w="1232" w:type="dxa"/>
            <w:vAlign w:val="center"/>
          </w:tcPr>
          <w:p>
            <w:pPr>
              <w:widowControl/>
              <w:jc w:val="center"/>
              <w:rPr>
                <w:b/>
                <w:color w:val="000000"/>
                <w:kern w:val="0"/>
                <w:sz w:val="22"/>
                <w:szCs w:val="22"/>
              </w:rPr>
            </w:pPr>
            <w:r>
              <w:rPr>
                <w:b/>
                <w:color w:val="000000"/>
                <w:kern w:val="0"/>
                <w:sz w:val="22"/>
                <w:szCs w:val="22"/>
              </w:rPr>
              <w:t xml:space="preserve">12.20 </w:t>
            </w:r>
          </w:p>
        </w:tc>
        <w:tc>
          <w:tcPr>
            <w:tcW w:w="1236" w:type="dxa"/>
            <w:vAlign w:val="center"/>
          </w:tcPr>
          <w:p>
            <w:pPr>
              <w:widowControl/>
              <w:jc w:val="center"/>
              <w:rPr>
                <w:b/>
                <w:color w:val="000000"/>
                <w:kern w:val="0"/>
                <w:sz w:val="22"/>
                <w:szCs w:val="22"/>
              </w:rPr>
            </w:pPr>
            <w:r>
              <w:rPr>
                <w:b/>
                <w:color w:val="000000"/>
                <w:kern w:val="0"/>
                <w:sz w:val="22"/>
                <w:szCs w:val="22"/>
              </w:rPr>
              <w:t xml:space="preserve">16.50 </w:t>
            </w:r>
          </w:p>
        </w:tc>
        <w:tc>
          <w:tcPr>
            <w:tcW w:w="1234" w:type="dxa"/>
            <w:vAlign w:val="center"/>
          </w:tcPr>
          <w:p>
            <w:pPr>
              <w:widowControl/>
              <w:jc w:val="center"/>
              <w:rPr>
                <w:b/>
                <w:color w:val="000000"/>
                <w:kern w:val="0"/>
                <w:sz w:val="22"/>
                <w:szCs w:val="22"/>
              </w:rPr>
            </w:pPr>
            <w:r>
              <w:rPr>
                <w:b/>
                <w:color w:val="000000"/>
                <w:kern w:val="0"/>
                <w:sz w:val="22"/>
                <w:szCs w:val="22"/>
              </w:rPr>
              <w:t xml:space="preserve">21.05 </w:t>
            </w:r>
          </w:p>
        </w:tc>
        <w:tc>
          <w:tcPr>
            <w:tcW w:w="1236" w:type="dxa"/>
            <w:vAlign w:val="center"/>
          </w:tcPr>
          <w:p>
            <w:pPr>
              <w:widowControl/>
              <w:jc w:val="center"/>
              <w:rPr>
                <w:b/>
                <w:color w:val="000000"/>
                <w:kern w:val="0"/>
                <w:sz w:val="22"/>
                <w:szCs w:val="22"/>
              </w:rPr>
            </w:pPr>
            <w:r>
              <w:rPr>
                <w:b/>
                <w:color w:val="000000"/>
                <w:kern w:val="0"/>
                <w:sz w:val="22"/>
                <w:szCs w:val="22"/>
              </w:rPr>
              <w:t xml:space="preserve">26.34 </w:t>
            </w:r>
          </w:p>
        </w:tc>
      </w:tr>
    </w:tbl>
    <w:p>
      <w:pPr>
        <w:spacing w:line="360" w:lineRule="auto"/>
        <w:rPr>
          <w:rFonts w:ascii="黑体" w:hAnsi="黑体" w:eastAsia="黑体"/>
          <w:szCs w:val="21"/>
        </w:rPr>
      </w:pPr>
      <w:r>
        <w:rPr>
          <w:rFonts w:ascii="黑体" w:hAnsi="黑体" w:eastAsia="黑体"/>
          <w:szCs w:val="21"/>
        </w:rPr>
        <w:t xml:space="preserve">3 </w:t>
      </w:r>
      <w:r>
        <w:rPr>
          <w:rFonts w:hint="eastAsia" w:ascii="黑体" w:hAnsi="黑体" w:eastAsia="黑体"/>
          <w:szCs w:val="21"/>
        </w:rPr>
        <w:t xml:space="preserve"> </w:t>
      </w:r>
      <w:r>
        <w:rPr>
          <w:rFonts w:ascii="黑体" w:hAnsi="黑体" w:eastAsia="黑体"/>
          <w:szCs w:val="21"/>
        </w:rPr>
        <w:t>一致性和离群值的检查</w:t>
      </w:r>
    </w:p>
    <w:p>
      <w:pPr>
        <w:spacing w:line="360" w:lineRule="auto"/>
        <w:rPr>
          <w:rFonts w:ascii="黑体" w:hAnsi="黑体" w:eastAsia="黑体"/>
          <w:szCs w:val="21"/>
        </w:rPr>
      </w:pPr>
      <w:r>
        <w:rPr>
          <w:rFonts w:ascii="黑体" w:hAnsi="黑体" w:eastAsia="黑体"/>
          <w:szCs w:val="21"/>
        </w:rPr>
        <w:t xml:space="preserve">3.1 </w:t>
      </w:r>
      <w:r>
        <w:rPr>
          <w:rFonts w:hint="eastAsia" w:ascii="黑体" w:hAnsi="黑体" w:eastAsia="黑体"/>
          <w:szCs w:val="21"/>
        </w:rPr>
        <w:t xml:space="preserve"> </w:t>
      </w:r>
      <w:r>
        <w:rPr>
          <w:rFonts w:ascii="黑体" w:hAnsi="黑体" w:eastAsia="黑体"/>
          <w:szCs w:val="21"/>
        </w:rPr>
        <w:t>柯克伦检验</w:t>
      </w:r>
    </w:p>
    <w:p>
      <w:pPr>
        <w:ind w:firstLine="420" w:firstLineChars="200"/>
        <w:rPr>
          <w:szCs w:val="21"/>
        </w:rPr>
      </w:pPr>
      <w:r>
        <w:rPr>
          <w:szCs w:val="21"/>
        </w:rPr>
        <w:t>对n=</w:t>
      </w:r>
      <w:r>
        <w:rPr>
          <w:rFonts w:hint="eastAsia"/>
          <w:szCs w:val="21"/>
        </w:rPr>
        <w:t>6</w:t>
      </w:r>
      <w:r>
        <w:rPr>
          <w:szCs w:val="21"/>
        </w:rPr>
        <w:t>，p=</w:t>
      </w:r>
      <w:r>
        <w:rPr>
          <w:rFonts w:hint="eastAsia"/>
          <w:szCs w:val="21"/>
        </w:rPr>
        <w:t>11</w:t>
      </w:r>
      <w:r>
        <w:rPr>
          <w:szCs w:val="21"/>
        </w:rPr>
        <w:t>，科克伦检验5%临界值为0.</w:t>
      </w:r>
      <w:r>
        <w:rPr>
          <w:rFonts w:hint="eastAsia"/>
          <w:szCs w:val="21"/>
        </w:rPr>
        <w:t>281</w:t>
      </w:r>
      <w:r>
        <w:rPr>
          <w:szCs w:val="21"/>
        </w:rPr>
        <w:t>，1%临界值为0.</w:t>
      </w:r>
      <w:r>
        <w:rPr>
          <w:rFonts w:hint="eastAsia"/>
          <w:szCs w:val="21"/>
        </w:rPr>
        <w:t>332（</w:t>
      </w:r>
      <w:r>
        <w:rPr>
          <w:szCs w:val="21"/>
        </w:rPr>
        <w:t>科克伦检验</w:t>
      </w:r>
      <w:r>
        <w:rPr>
          <w:rFonts w:hint="eastAsia"/>
          <w:szCs w:val="21"/>
        </w:rPr>
        <w:t>没有n=7时的临界值可查询，先按</w:t>
      </w:r>
      <w:r>
        <w:rPr>
          <w:szCs w:val="21"/>
        </w:rPr>
        <w:t>n=</w:t>
      </w:r>
      <w:r>
        <w:rPr>
          <w:rFonts w:hint="eastAsia"/>
          <w:szCs w:val="21"/>
        </w:rPr>
        <w:t>6时的临界值进行离群值的排除。）</w:t>
      </w:r>
    </w:p>
    <w:p>
      <w:pPr>
        <w:ind w:firstLine="420" w:firstLineChars="200"/>
        <w:jc w:val="left"/>
        <w:rPr>
          <w:szCs w:val="21"/>
        </w:rPr>
      </w:pPr>
      <w:r>
        <w:rPr>
          <w:szCs w:val="21"/>
        </w:rPr>
        <w:t>对水平</w:t>
      </w:r>
      <w:r>
        <w:rPr>
          <w:rFonts w:hint="eastAsia"/>
          <w:szCs w:val="21"/>
        </w:rPr>
        <w:t>1</w:t>
      </w:r>
      <w:r>
        <w:rPr>
          <w:szCs w:val="21"/>
        </w:rPr>
        <w:t>，</w:t>
      </w:r>
      <w:r>
        <w:rPr>
          <w:rFonts w:hint="eastAsia"/>
          <w:szCs w:val="21"/>
        </w:rPr>
        <w:t>阳谷祥光</w:t>
      </w:r>
      <w:r>
        <w:rPr>
          <w:szCs w:val="21"/>
        </w:rPr>
        <w:t>的s最大，检验统计量值=0.</w:t>
      </w:r>
      <w:r>
        <w:rPr>
          <w:rFonts w:hint="eastAsia"/>
          <w:szCs w:val="21"/>
        </w:rPr>
        <w:t>247</w:t>
      </w:r>
      <w:r>
        <w:rPr>
          <w:szCs w:val="21"/>
        </w:rPr>
        <w:t>；</w:t>
      </w:r>
    </w:p>
    <w:p>
      <w:pPr>
        <w:ind w:firstLine="420" w:firstLineChars="200"/>
        <w:jc w:val="left"/>
        <w:rPr>
          <w:szCs w:val="21"/>
        </w:rPr>
      </w:pPr>
      <w:r>
        <w:rPr>
          <w:szCs w:val="21"/>
        </w:rPr>
        <w:t>对水平</w:t>
      </w:r>
      <w:r>
        <w:rPr>
          <w:rFonts w:hint="eastAsia"/>
          <w:szCs w:val="21"/>
        </w:rPr>
        <w:t>2</w:t>
      </w:r>
      <w:r>
        <w:rPr>
          <w:szCs w:val="21"/>
        </w:rPr>
        <w:t>，</w:t>
      </w:r>
      <w:r>
        <w:rPr>
          <w:rFonts w:hint="eastAsia"/>
          <w:color w:val="000000"/>
          <w:kern w:val="0"/>
          <w:szCs w:val="21"/>
        </w:rPr>
        <w:t>徐州北矿</w:t>
      </w:r>
      <w:r>
        <w:rPr>
          <w:szCs w:val="21"/>
        </w:rPr>
        <w:t>的s最大，检验统计量值=0.</w:t>
      </w:r>
      <w:r>
        <w:rPr>
          <w:rFonts w:hint="eastAsia"/>
          <w:szCs w:val="21"/>
        </w:rPr>
        <w:t>364，为统计离群值，不参与后续计算；剔除徐州分所的数据后，再进行柯克伦检验，韶光质计的s最大，检验统计量值=0.203；</w:t>
      </w:r>
    </w:p>
    <w:p>
      <w:pPr>
        <w:ind w:firstLine="420" w:firstLineChars="200"/>
        <w:jc w:val="left"/>
        <w:rPr>
          <w:szCs w:val="21"/>
        </w:rPr>
      </w:pPr>
      <w:r>
        <w:rPr>
          <w:szCs w:val="21"/>
        </w:rPr>
        <w:t>对水平</w:t>
      </w:r>
      <w:r>
        <w:rPr>
          <w:rFonts w:hint="eastAsia"/>
          <w:szCs w:val="21"/>
        </w:rPr>
        <w:t>3</w:t>
      </w:r>
      <w:r>
        <w:rPr>
          <w:szCs w:val="21"/>
        </w:rPr>
        <w:t>，</w:t>
      </w:r>
      <w:r>
        <w:rPr>
          <w:rFonts w:hint="eastAsia"/>
          <w:color w:val="000000"/>
          <w:kern w:val="0"/>
          <w:szCs w:val="21"/>
        </w:rPr>
        <w:t>徐州北矿</w:t>
      </w:r>
      <w:r>
        <w:rPr>
          <w:szCs w:val="21"/>
        </w:rPr>
        <w:t>的s最大，检验统计量值=0.</w:t>
      </w:r>
      <w:r>
        <w:rPr>
          <w:rFonts w:hint="eastAsia"/>
          <w:szCs w:val="21"/>
        </w:rPr>
        <w:t>287，为歧离值，参与后续计算；</w:t>
      </w:r>
    </w:p>
    <w:p>
      <w:pPr>
        <w:ind w:firstLine="420" w:firstLineChars="200"/>
        <w:jc w:val="left"/>
        <w:rPr>
          <w:szCs w:val="21"/>
        </w:rPr>
      </w:pPr>
      <w:r>
        <w:rPr>
          <w:szCs w:val="21"/>
        </w:rPr>
        <w:t>对水平</w:t>
      </w:r>
      <w:r>
        <w:rPr>
          <w:rFonts w:hint="eastAsia"/>
          <w:szCs w:val="21"/>
        </w:rPr>
        <w:t>4</w:t>
      </w:r>
      <w:r>
        <w:rPr>
          <w:szCs w:val="21"/>
        </w:rPr>
        <w:t>，</w:t>
      </w:r>
      <w:r>
        <w:rPr>
          <w:rFonts w:hint="eastAsia"/>
          <w:color w:val="000000"/>
          <w:kern w:val="0"/>
          <w:szCs w:val="21"/>
        </w:rPr>
        <w:t>中金岭南</w:t>
      </w:r>
      <w:r>
        <w:rPr>
          <w:szCs w:val="21"/>
        </w:rPr>
        <w:t>的s最大，检验统计量值=0.</w:t>
      </w:r>
      <w:r>
        <w:rPr>
          <w:rFonts w:hint="eastAsia"/>
          <w:szCs w:val="21"/>
        </w:rPr>
        <w:t>181</w:t>
      </w:r>
      <w:r>
        <w:rPr>
          <w:szCs w:val="21"/>
        </w:rPr>
        <w:t>；</w:t>
      </w:r>
    </w:p>
    <w:p>
      <w:pPr>
        <w:ind w:firstLine="420" w:firstLineChars="200"/>
        <w:jc w:val="left"/>
        <w:rPr>
          <w:szCs w:val="21"/>
        </w:rPr>
      </w:pPr>
      <w:r>
        <w:rPr>
          <w:szCs w:val="21"/>
        </w:rPr>
        <w:t>对水平</w:t>
      </w:r>
      <w:r>
        <w:rPr>
          <w:rFonts w:hint="eastAsia"/>
          <w:szCs w:val="21"/>
        </w:rPr>
        <w:t>5</w:t>
      </w:r>
      <w:r>
        <w:rPr>
          <w:szCs w:val="21"/>
        </w:rPr>
        <w:t>，</w:t>
      </w:r>
      <w:r>
        <w:rPr>
          <w:rFonts w:hint="eastAsia"/>
          <w:color w:val="000000"/>
          <w:kern w:val="0"/>
          <w:szCs w:val="21"/>
        </w:rPr>
        <w:t>徐州北矿</w:t>
      </w:r>
      <w:r>
        <w:rPr>
          <w:szCs w:val="21"/>
        </w:rPr>
        <w:t>的s最大，检验统计量值=0.</w:t>
      </w:r>
      <w:r>
        <w:rPr>
          <w:rFonts w:hint="eastAsia"/>
          <w:szCs w:val="21"/>
        </w:rPr>
        <w:t>180。</w:t>
      </w:r>
    </w:p>
    <w:p>
      <w:pPr>
        <w:spacing w:line="360" w:lineRule="auto"/>
        <w:rPr>
          <w:rFonts w:ascii="黑体" w:hAnsi="黑体" w:eastAsia="黑体"/>
          <w:szCs w:val="21"/>
        </w:rPr>
      </w:pPr>
      <w:r>
        <w:rPr>
          <w:rFonts w:ascii="黑体" w:hAnsi="黑体" w:eastAsia="黑体"/>
          <w:szCs w:val="21"/>
        </w:rPr>
        <w:t>3.2</w:t>
      </w:r>
      <w:r>
        <w:rPr>
          <w:rFonts w:hint="eastAsia" w:ascii="黑体" w:hAnsi="黑体" w:eastAsia="黑体"/>
          <w:szCs w:val="21"/>
        </w:rPr>
        <w:t xml:space="preserve"> </w:t>
      </w:r>
      <w:r>
        <w:rPr>
          <w:rFonts w:ascii="黑体" w:hAnsi="黑体" w:eastAsia="黑体"/>
          <w:szCs w:val="21"/>
        </w:rPr>
        <w:t xml:space="preserve"> 格拉布斯检验</w:t>
      </w:r>
    </w:p>
    <w:p>
      <w:pPr>
        <w:spacing w:line="360" w:lineRule="auto"/>
        <w:jc w:val="center"/>
        <w:rPr>
          <w:rFonts w:ascii="黑体" w:hAnsi="黑体" w:eastAsia="黑体"/>
          <w:szCs w:val="21"/>
        </w:rPr>
      </w:pPr>
      <w:r>
        <w:rPr>
          <w:rFonts w:ascii="黑体" w:hAnsi="黑体" w:eastAsia="黑体"/>
          <w:szCs w:val="21"/>
        </w:rPr>
        <w:t>表</w:t>
      </w:r>
      <w:r>
        <w:rPr>
          <w:rFonts w:hint="eastAsia" w:ascii="黑体" w:hAnsi="黑体" w:eastAsia="黑体"/>
          <w:szCs w:val="21"/>
        </w:rPr>
        <w:t xml:space="preserve">2 </w:t>
      </w:r>
      <w:r>
        <w:rPr>
          <w:rFonts w:ascii="黑体" w:hAnsi="黑体" w:eastAsia="黑体"/>
          <w:szCs w:val="21"/>
        </w:rPr>
        <w:t xml:space="preserve"> 格拉布斯检验</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404"/>
        <w:gridCol w:w="1418"/>
        <w:gridCol w:w="1275"/>
        <w:gridCol w:w="141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81" w:type="dxa"/>
            <w:vAlign w:val="center"/>
          </w:tcPr>
          <w:p>
            <w:pPr>
              <w:jc w:val="center"/>
              <w:rPr>
                <w:szCs w:val="21"/>
              </w:rPr>
            </w:pPr>
            <w:r>
              <w:rPr>
                <w:szCs w:val="21"/>
              </w:rPr>
              <w:t>统计量</w:t>
            </w:r>
          </w:p>
        </w:tc>
        <w:tc>
          <w:tcPr>
            <w:tcW w:w="1404" w:type="dxa"/>
            <w:vAlign w:val="center"/>
          </w:tcPr>
          <w:p>
            <w:pPr>
              <w:widowControl/>
              <w:jc w:val="center"/>
              <w:rPr>
                <w:szCs w:val="21"/>
              </w:rPr>
            </w:pPr>
            <w:r>
              <w:rPr>
                <w:szCs w:val="21"/>
              </w:rPr>
              <w:t>水平1</w:t>
            </w:r>
          </w:p>
        </w:tc>
        <w:tc>
          <w:tcPr>
            <w:tcW w:w="1418" w:type="dxa"/>
            <w:vAlign w:val="center"/>
          </w:tcPr>
          <w:p>
            <w:pPr>
              <w:widowControl/>
              <w:jc w:val="center"/>
              <w:rPr>
                <w:szCs w:val="21"/>
              </w:rPr>
            </w:pPr>
            <w:r>
              <w:rPr>
                <w:szCs w:val="21"/>
              </w:rPr>
              <w:t>水平2</w:t>
            </w:r>
          </w:p>
        </w:tc>
        <w:tc>
          <w:tcPr>
            <w:tcW w:w="1275" w:type="dxa"/>
            <w:vAlign w:val="center"/>
          </w:tcPr>
          <w:p>
            <w:pPr>
              <w:widowControl/>
              <w:jc w:val="center"/>
              <w:rPr>
                <w:szCs w:val="21"/>
              </w:rPr>
            </w:pPr>
            <w:r>
              <w:rPr>
                <w:szCs w:val="21"/>
              </w:rPr>
              <w:t>水平3</w:t>
            </w:r>
          </w:p>
        </w:tc>
        <w:tc>
          <w:tcPr>
            <w:tcW w:w="1418" w:type="dxa"/>
            <w:vAlign w:val="center"/>
          </w:tcPr>
          <w:p>
            <w:pPr>
              <w:widowControl/>
              <w:jc w:val="center"/>
              <w:rPr>
                <w:szCs w:val="21"/>
              </w:rPr>
            </w:pPr>
            <w:r>
              <w:rPr>
                <w:szCs w:val="21"/>
              </w:rPr>
              <w:t>水平4</w:t>
            </w:r>
          </w:p>
        </w:tc>
        <w:tc>
          <w:tcPr>
            <w:tcW w:w="1326" w:type="dxa"/>
            <w:vAlign w:val="center"/>
          </w:tcPr>
          <w:p>
            <w:pPr>
              <w:widowControl/>
              <w:jc w:val="center"/>
              <w:rPr>
                <w:szCs w:val="21"/>
              </w:rPr>
            </w:pPr>
            <w:r>
              <w:rPr>
                <w:szCs w:val="21"/>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81" w:type="dxa"/>
            <w:vAlign w:val="center"/>
          </w:tcPr>
          <w:p>
            <w:pPr>
              <w:jc w:val="center"/>
              <w:rPr>
                <w:szCs w:val="21"/>
              </w:rPr>
            </w:pPr>
            <w:r>
              <w:rPr>
                <w:szCs w:val="21"/>
              </w:rPr>
              <w:t>均值的平均值</w:t>
            </w:r>
          </w:p>
        </w:tc>
        <w:tc>
          <w:tcPr>
            <w:tcW w:w="1404" w:type="dxa"/>
            <w:vAlign w:val="center"/>
          </w:tcPr>
          <w:p>
            <w:pPr>
              <w:pStyle w:val="2"/>
              <w:ind w:firstLine="0" w:firstLineChars="0"/>
              <w:jc w:val="center"/>
              <w:rPr>
                <w:szCs w:val="21"/>
              </w:rPr>
            </w:pPr>
            <w:r>
              <w:rPr>
                <w:rFonts w:hint="eastAsia"/>
                <w:szCs w:val="21"/>
              </w:rPr>
              <w:t>6.17</w:t>
            </w:r>
          </w:p>
        </w:tc>
        <w:tc>
          <w:tcPr>
            <w:tcW w:w="1418" w:type="dxa"/>
            <w:vAlign w:val="center"/>
          </w:tcPr>
          <w:p>
            <w:pPr>
              <w:pStyle w:val="2"/>
              <w:ind w:firstLine="0" w:firstLineChars="0"/>
              <w:jc w:val="center"/>
              <w:rPr>
                <w:szCs w:val="21"/>
              </w:rPr>
            </w:pPr>
            <w:r>
              <w:rPr>
                <w:rFonts w:hint="eastAsia"/>
                <w:szCs w:val="21"/>
              </w:rPr>
              <w:t>12.25</w:t>
            </w:r>
          </w:p>
        </w:tc>
        <w:tc>
          <w:tcPr>
            <w:tcW w:w="1275" w:type="dxa"/>
            <w:vAlign w:val="center"/>
          </w:tcPr>
          <w:p>
            <w:pPr>
              <w:pStyle w:val="2"/>
              <w:ind w:firstLine="0" w:firstLineChars="0"/>
              <w:jc w:val="center"/>
              <w:rPr>
                <w:szCs w:val="21"/>
              </w:rPr>
            </w:pPr>
            <w:r>
              <w:rPr>
                <w:rFonts w:hint="eastAsia"/>
                <w:szCs w:val="21"/>
              </w:rPr>
              <w:t>16.53</w:t>
            </w:r>
          </w:p>
        </w:tc>
        <w:tc>
          <w:tcPr>
            <w:tcW w:w="1418" w:type="dxa"/>
            <w:vAlign w:val="center"/>
          </w:tcPr>
          <w:p>
            <w:pPr>
              <w:pStyle w:val="2"/>
              <w:ind w:firstLine="0" w:firstLineChars="0"/>
              <w:jc w:val="center"/>
              <w:rPr>
                <w:szCs w:val="21"/>
              </w:rPr>
            </w:pPr>
            <w:r>
              <w:rPr>
                <w:rFonts w:hint="eastAsia"/>
                <w:szCs w:val="21"/>
              </w:rPr>
              <w:t>21.19</w:t>
            </w:r>
          </w:p>
        </w:tc>
        <w:tc>
          <w:tcPr>
            <w:tcW w:w="1326" w:type="dxa"/>
            <w:vAlign w:val="center"/>
          </w:tcPr>
          <w:p>
            <w:pPr>
              <w:pStyle w:val="2"/>
              <w:ind w:firstLine="0" w:firstLineChars="0"/>
              <w:jc w:val="center"/>
              <w:rPr>
                <w:color w:val="000000"/>
                <w:kern w:val="0"/>
                <w:szCs w:val="21"/>
              </w:rPr>
            </w:pPr>
            <w:r>
              <w:rPr>
                <w:rFonts w:hint="eastAsia"/>
                <w:szCs w:val="21"/>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81" w:type="dxa"/>
            <w:vAlign w:val="center"/>
          </w:tcPr>
          <w:p>
            <w:pPr>
              <w:jc w:val="center"/>
              <w:rPr>
                <w:szCs w:val="21"/>
              </w:rPr>
            </w:pPr>
            <w:r>
              <w:rPr>
                <w:szCs w:val="21"/>
              </w:rPr>
              <w:t>均值的标准差</w:t>
            </w:r>
          </w:p>
        </w:tc>
        <w:tc>
          <w:tcPr>
            <w:tcW w:w="1404" w:type="dxa"/>
            <w:vAlign w:val="center"/>
          </w:tcPr>
          <w:p>
            <w:pPr>
              <w:widowControl/>
              <w:jc w:val="center"/>
              <w:textAlignment w:val="center"/>
              <w:rPr>
                <w:szCs w:val="21"/>
              </w:rPr>
            </w:pPr>
            <w:r>
              <w:rPr>
                <w:szCs w:val="21"/>
              </w:rPr>
              <w:t>0.0001326</w:t>
            </w:r>
          </w:p>
        </w:tc>
        <w:tc>
          <w:tcPr>
            <w:tcW w:w="1418" w:type="dxa"/>
            <w:vAlign w:val="center"/>
          </w:tcPr>
          <w:p>
            <w:pPr>
              <w:widowControl/>
              <w:jc w:val="center"/>
              <w:textAlignment w:val="center"/>
              <w:rPr>
                <w:szCs w:val="21"/>
              </w:rPr>
            </w:pPr>
            <w:r>
              <w:rPr>
                <w:color w:val="000000"/>
                <w:kern w:val="0"/>
                <w:szCs w:val="21"/>
              </w:rPr>
              <w:t>0.002156</w:t>
            </w:r>
          </w:p>
        </w:tc>
        <w:tc>
          <w:tcPr>
            <w:tcW w:w="1275" w:type="dxa"/>
            <w:vAlign w:val="center"/>
          </w:tcPr>
          <w:p>
            <w:pPr>
              <w:widowControl/>
              <w:jc w:val="center"/>
              <w:textAlignment w:val="center"/>
              <w:rPr>
                <w:szCs w:val="21"/>
              </w:rPr>
            </w:pPr>
            <w:r>
              <w:rPr>
                <w:color w:val="000000"/>
                <w:kern w:val="0"/>
                <w:szCs w:val="21"/>
              </w:rPr>
              <w:t>0.007037</w:t>
            </w:r>
          </w:p>
        </w:tc>
        <w:tc>
          <w:tcPr>
            <w:tcW w:w="1418" w:type="dxa"/>
            <w:vAlign w:val="center"/>
          </w:tcPr>
          <w:p>
            <w:pPr>
              <w:widowControl/>
              <w:jc w:val="center"/>
              <w:textAlignment w:val="center"/>
              <w:rPr>
                <w:szCs w:val="21"/>
              </w:rPr>
            </w:pPr>
            <w:r>
              <w:rPr>
                <w:color w:val="000000"/>
                <w:kern w:val="0"/>
                <w:szCs w:val="21"/>
              </w:rPr>
              <w:t>0.03233</w:t>
            </w:r>
          </w:p>
        </w:tc>
        <w:tc>
          <w:tcPr>
            <w:tcW w:w="1326" w:type="dxa"/>
            <w:vAlign w:val="center"/>
          </w:tcPr>
          <w:p>
            <w:pPr>
              <w:widowControl/>
              <w:jc w:val="center"/>
              <w:textAlignment w:val="center"/>
              <w:rPr>
                <w:szCs w:val="21"/>
              </w:rPr>
            </w:pPr>
            <w:r>
              <w:rPr>
                <w:color w:val="000000"/>
                <w:kern w:val="0"/>
                <w:szCs w:val="21"/>
              </w:rPr>
              <w:t>0.03240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81" w:type="dxa"/>
            <w:vAlign w:val="center"/>
          </w:tcPr>
          <w:p>
            <w:pPr>
              <w:jc w:val="center"/>
              <w:rPr>
                <w:szCs w:val="21"/>
              </w:rPr>
            </w:pPr>
            <w:r>
              <w:rPr>
                <w:szCs w:val="21"/>
              </w:rPr>
              <w:t>最大均值</w:t>
            </w:r>
          </w:p>
        </w:tc>
        <w:tc>
          <w:tcPr>
            <w:tcW w:w="1404" w:type="dxa"/>
            <w:vAlign w:val="center"/>
          </w:tcPr>
          <w:p>
            <w:pPr>
              <w:widowControl/>
              <w:jc w:val="center"/>
              <w:textAlignment w:val="center"/>
              <w:rPr>
                <w:szCs w:val="21"/>
              </w:rPr>
            </w:pPr>
            <w:r>
              <w:rPr>
                <w:rFonts w:hint="eastAsia"/>
                <w:szCs w:val="21"/>
              </w:rPr>
              <w:t>0.00103</w:t>
            </w:r>
          </w:p>
        </w:tc>
        <w:tc>
          <w:tcPr>
            <w:tcW w:w="1418" w:type="dxa"/>
            <w:vAlign w:val="center"/>
          </w:tcPr>
          <w:p>
            <w:pPr>
              <w:widowControl/>
              <w:jc w:val="center"/>
              <w:textAlignment w:val="center"/>
              <w:rPr>
                <w:szCs w:val="21"/>
              </w:rPr>
            </w:pPr>
            <w:r>
              <w:rPr>
                <w:rFonts w:hint="eastAsia"/>
                <w:szCs w:val="21"/>
              </w:rPr>
              <w:t>0.0256</w:t>
            </w:r>
          </w:p>
        </w:tc>
        <w:tc>
          <w:tcPr>
            <w:tcW w:w="1275" w:type="dxa"/>
            <w:vAlign w:val="center"/>
          </w:tcPr>
          <w:p>
            <w:pPr>
              <w:widowControl/>
              <w:jc w:val="center"/>
              <w:textAlignment w:val="center"/>
              <w:rPr>
                <w:szCs w:val="21"/>
              </w:rPr>
            </w:pPr>
            <w:r>
              <w:rPr>
                <w:rFonts w:hint="eastAsia"/>
                <w:szCs w:val="21"/>
              </w:rPr>
              <w:t>0.137</w:t>
            </w:r>
          </w:p>
        </w:tc>
        <w:tc>
          <w:tcPr>
            <w:tcW w:w="1418" w:type="dxa"/>
            <w:vAlign w:val="center"/>
          </w:tcPr>
          <w:p>
            <w:pPr>
              <w:widowControl/>
              <w:jc w:val="center"/>
              <w:textAlignment w:val="center"/>
              <w:rPr>
                <w:szCs w:val="21"/>
              </w:rPr>
            </w:pPr>
            <w:r>
              <w:rPr>
                <w:rFonts w:hint="eastAsia"/>
                <w:szCs w:val="21"/>
              </w:rPr>
              <w:t>0.641</w:t>
            </w:r>
          </w:p>
        </w:tc>
        <w:tc>
          <w:tcPr>
            <w:tcW w:w="1326" w:type="dxa"/>
            <w:vAlign w:val="center"/>
          </w:tcPr>
          <w:p>
            <w:pPr>
              <w:widowControl/>
              <w:jc w:val="center"/>
              <w:textAlignment w:val="center"/>
              <w:rPr>
                <w:szCs w:val="21"/>
              </w:rPr>
            </w:pPr>
            <w:r>
              <w:rPr>
                <w:rFonts w:hint="eastAsia"/>
                <w:szCs w:val="21"/>
              </w:rPr>
              <w:t>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81" w:type="dxa"/>
            <w:vAlign w:val="center"/>
          </w:tcPr>
          <w:p>
            <w:pPr>
              <w:jc w:val="center"/>
              <w:rPr>
                <w:szCs w:val="21"/>
              </w:rPr>
            </w:pPr>
            <w:r>
              <w:rPr>
                <w:szCs w:val="21"/>
              </w:rPr>
              <w:t>最小均值</w:t>
            </w:r>
          </w:p>
        </w:tc>
        <w:tc>
          <w:tcPr>
            <w:tcW w:w="1404" w:type="dxa"/>
            <w:vAlign w:val="center"/>
          </w:tcPr>
          <w:p>
            <w:pPr>
              <w:widowControl/>
              <w:jc w:val="center"/>
              <w:textAlignment w:val="center"/>
              <w:rPr>
                <w:szCs w:val="21"/>
              </w:rPr>
            </w:pPr>
            <w:r>
              <w:rPr>
                <w:rFonts w:hint="eastAsia"/>
                <w:szCs w:val="21"/>
              </w:rPr>
              <w:t>0.00060</w:t>
            </w:r>
          </w:p>
        </w:tc>
        <w:tc>
          <w:tcPr>
            <w:tcW w:w="1418" w:type="dxa"/>
            <w:vAlign w:val="center"/>
          </w:tcPr>
          <w:p>
            <w:pPr>
              <w:widowControl/>
              <w:jc w:val="center"/>
              <w:textAlignment w:val="center"/>
              <w:rPr>
                <w:szCs w:val="21"/>
              </w:rPr>
            </w:pPr>
            <w:r>
              <w:rPr>
                <w:rFonts w:hint="eastAsia"/>
                <w:szCs w:val="21"/>
              </w:rPr>
              <w:t>0.0182</w:t>
            </w:r>
          </w:p>
        </w:tc>
        <w:tc>
          <w:tcPr>
            <w:tcW w:w="1275" w:type="dxa"/>
            <w:vAlign w:val="center"/>
          </w:tcPr>
          <w:p>
            <w:pPr>
              <w:widowControl/>
              <w:jc w:val="center"/>
              <w:textAlignment w:val="center"/>
              <w:rPr>
                <w:szCs w:val="21"/>
              </w:rPr>
            </w:pPr>
            <w:r>
              <w:rPr>
                <w:rFonts w:hint="eastAsia"/>
                <w:szCs w:val="21"/>
              </w:rPr>
              <w:t>0.114</w:t>
            </w:r>
          </w:p>
        </w:tc>
        <w:tc>
          <w:tcPr>
            <w:tcW w:w="1418" w:type="dxa"/>
            <w:vAlign w:val="center"/>
          </w:tcPr>
          <w:p>
            <w:pPr>
              <w:widowControl/>
              <w:jc w:val="center"/>
              <w:textAlignment w:val="center"/>
              <w:rPr>
                <w:szCs w:val="21"/>
              </w:rPr>
            </w:pPr>
            <w:r>
              <w:rPr>
                <w:rFonts w:hint="eastAsia"/>
                <w:szCs w:val="21"/>
              </w:rPr>
              <w:t>0.534</w:t>
            </w:r>
          </w:p>
        </w:tc>
        <w:tc>
          <w:tcPr>
            <w:tcW w:w="1326" w:type="dxa"/>
            <w:vAlign w:val="center"/>
          </w:tcPr>
          <w:p>
            <w:pPr>
              <w:widowControl/>
              <w:jc w:val="center"/>
              <w:textAlignment w:val="center"/>
              <w:rPr>
                <w:szCs w:val="21"/>
              </w:rPr>
            </w:pPr>
            <w:r>
              <w:rPr>
                <w:rFonts w:hint="eastAsia"/>
                <w:szCs w:val="21"/>
              </w:rPr>
              <w:t>0.937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81" w:type="dxa"/>
            <w:vAlign w:val="center"/>
          </w:tcPr>
          <w:p>
            <w:pPr>
              <w:jc w:val="center"/>
              <w:rPr>
                <w:szCs w:val="21"/>
              </w:rPr>
            </w:pPr>
            <w:r>
              <w:rPr>
                <w:szCs w:val="21"/>
              </w:rPr>
              <w:t>Gmax</w:t>
            </w:r>
          </w:p>
        </w:tc>
        <w:tc>
          <w:tcPr>
            <w:tcW w:w="1404" w:type="dxa"/>
            <w:shd w:val="clear" w:color="auto" w:fill="auto"/>
            <w:vAlign w:val="center"/>
          </w:tcPr>
          <w:p>
            <w:pPr>
              <w:jc w:val="center"/>
            </w:pPr>
            <w:r>
              <w:t>0.471</w:t>
            </w:r>
          </w:p>
        </w:tc>
        <w:tc>
          <w:tcPr>
            <w:tcW w:w="1418" w:type="dxa"/>
            <w:shd w:val="clear" w:color="auto" w:fill="auto"/>
            <w:vAlign w:val="center"/>
          </w:tcPr>
          <w:p>
            <w:pPr>
              <w:jc w:val="center"/>
            </w:pPr>
            <w:r>
              <w:t>1.726</w:t>
            </w:r>
          </w:p>
        </w:tc>
        <w:tc>
          <w:tcPr>
            <w:tcW w:w="1275" w:type="dxa"/>
            <w:shd w:val="clear" w:color="auto" w:fill="auto"/>
            <w:vAlign w:val="center"/>
          </w:tcPr>
          <w:p>
            <w:pPr>
              <w:jc w:val="center"/>
            </w:pPr>
            <w:r>
              <w:t>0.741</w:t>
            </w:r>
          </w:p>
        </w:tc>
        <w:tc>
          <w:tcPr>
            <w:tcW w:w="1418" w:type="dxa"/>
            <w:shd w:val="clear" w:color="auto" w:fill="auto"/>
            <w:vAlign w:val="center"/>
          </w:tcPr>
          <w:p>
            <w:pPr>
              <w:jc w:val="center"/>
            </w:pPr>
            <w:r>
              <w:t>1.124</w:t>
            </w:r>
          </w:p>
        </w:tc>
        <w:tc>
          <w:tcPr>
            <w:tcW w:w="1326" w:type="dxa"/>
            <w:shd w:val="clear" w:color="auto" w:fill="auto"/>
            <w:vAlign w:val="center"/>
          </w:tcPr>
          <w:p>
            <w:pPr>
              <w:jc w:val="center"/>
            </w:pPr>
            <w:r>
              <w:t>1.174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81" w:type="dxa"/>
            <w:vAlign w:val="center"/>
          </w:tcPr>
          <w:p>
            <w:pPr>
              <w:jc w:val="center"/>
              <w:rPr>
                <w:szCs w:val="21"/>
              </w:rPr>
            </w:pPr>
            <w:bookmarkStart w:id="8" w:name="_GoBack" w:colFirst="1" w:colLast="5"/>
            <w:r>
              <w:rPr>
                <w:szCs w:val="21"/>
              </w:rPr>
              <w:t>Gmin</w:t>
            </w:r>
          </w:p>
        </w:tc>
        <w:tc>
          <w:tcPr>
            <w:tcW w:w="1404" w:type="dxa"/>
            <w:shd w:val="clear" w:color="auto" w:fill="auto"/>
            <w:vAlign w:val="center"/>
          </w:tcPr>
          <w:p>
            <w:pPr>
              <w:jc w:val="center"/>
              <w:rPr>
                <w:color w:val="auto"/>
              </w:rPr>
            </w:pPr>
            <w:r>
              <w:rPr>
                <w:color w:val="auto"/>
              </w:rPr>
              <w:t>2.966</w:t>
            </w:r>
          </w:p>
        </w:tc>
        <w:tc>
          <w:tcPr>
            <w:tcW w:w="1418" w:type="dxa"/>
            <w:shd w:val="clear" w:color="auto" w:fill="auto"/>
            <w:vAlign w:val="center"/>
          </w:tcPr>
          <w:p>
            <w:pPr>
              <w:jc w:val="center"/>
              <w:rPr>
                <w:color w:val="auto"/>
              </w:rPr>
            </w:pPr>
            <w:r>
              <w:rPr>
                <w:color w:val="auto"/>
              </w:rPr>
              <w:t>1.637</w:t>
            </w:r>
          </w:p>
        </w:tc>
        <w:tc>
          <w:tcPr>
            <w:tcW w:w="1275" w:type="dxa"/>
            <w:shd w:val="clear" w:color="auto" w:fill="auto"/>
            <w:vAlign w:val="center"/>
          </w:tcPr>
          <w:p>
            <w:pPr>
              <w:jc w:val="center"/>
              <w:rPr>
                <w:color w:val="auto"/>
              </w:rPr>
            </w:pPr>
            <w:r>
              <w:rPr>
                <w:color w:val="auto"/>
              </w:rPr>
              <w:t>2.945</w:t>
            </w:r>
          </w:p>
        </w:tc>
        <w:tc>
          <w:tcPr>
            <w:tcW w:w="1418" w:type="dxa"/>
            <w:shd w:val="clear" w:color="auto" w:fill="auto"/>
            <w:vAlign w:val="center"/>
          </w:tcPr>
          <w:p>
            <w:pPr>
              <w:jc w:val="center"/>
              <w:rPr>
                <w:color w:val="auto"/>
              </w:rPr>
            </w:pPr>
            <w:r>
              <w:rPr>
                <w:color w:val="auto"/>
              </w:rPr>
              <w:t>2.650</w:t>
            </w:r>
          </w:p>
        </w:tc>
        <w:tc>
          <w:tcPr>
            <w:tcW w:w="1326" w:type="dxa"/>
            <w:shd w:val="clear" w:color="auto" w:fill="auto"/>
            <w:vAlign w:val="center"/>
          </w:tcPr>
          <w:p>
            <w:pPr>
              <w:jc w:val="center"/>
              <w:rPr>
                <w:color w:val="auto"/>
              </w:rPr>
            </w:pPr>
            <w:r>
              <w:rPr>
                <w:color w:val="auto"/>
              </w:rPr>
              <w:t>2.732</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81" w:type="dxa"/>
            <w:vAlign w:val="center"/>
          </w:tcPr>
          <w:p>
            <w:pPr>
              <w:jc w:val="center"/>
              <w:rPr>
                <w:szCs w:val="21"/>
              </w:rPr>
            </w:pPr>
            <w:r>
              <w:rPr>
                <w:szCs w:val="21"/>
              </w:rPr>
              <w:t>G临界值</w:t>
            </w:r>
          </w:p>
        </w:tc>
        <w:tc>
          <w:tcPr>
            <w:tcW w:w="6841" w:type="dxa"/>
            <w:gridSpan w:val="5"/>
            <w:vAlign w:val="center"/>
          </w:tcPr>
          <w:p>
            <w:pPr>
              <w:jc w:val="center"/>
              <w:rPr>
                <w:szCs w:val="21"/>
              </w:rPr>
            </w:pPr>
            <w:r>
              <w:rPr>
                <w:szCs w:val="21"/>
              </w:rPr>
              <w:t>实验室数p=</w:t>
            </w:r>
            <w:r>
              <w:rPr>
                <w:rFonts w:hint="eastAsia"/>
                <w:szCs w:val="21"/>
              </w:rPr>
              <w:t>10</w:t>
            </w:r>
            <w:r>
              <w:rPr>
                <w:szCs w:val="21"/>
              </w:rPr>
              <w:t>时，G临界值：上1%点时为2.</w:t>
            </w:r>
            <w:r>
              <w:rPr>
                <w:rFonts w:hint="eastAsia"/>
                <w:szCs w:val="21"/>
              </w:rPr>
              <w:t>482</w:t>
            </w:r>
            <w:r>
              <w:rPr>
                <w:szCs w:val="21"/>
              </w:rPr>
              <w:t>；上5%点时为</w:t>
            </w:r>
            <w:r>
              <w:rPr>
                <w:rFonts w:hint="eastAsia"/>
                <w:szCs w:val="21"/>
              </w:rPr>
              <w:t>2.290</w:t>
            </w:r>
            <w:r>
              <w:rPr>
                <w:szCs w:val="21"/>
              </w:rPr>
              <w:t>。</w:t>
            </w:r>
          </w:p>
          <w:p>
            <w:pPr>
              <w:jc w:val="center"/>
              <w:rPr>
                <w:szCs w:val="21"/>
              </w:rPr>
            </w:pPr>
            <w:r>
              <w:rPr>
                <w:szCs w:val="21"/>
              </w:rPr>
              <w:t>实验室数p=</w:t>
            </w:r>
            <w:r>
              <w:rPr>
                <w:rFonts w:hint="eastAsia"/>
                <w:szCs w:val="21"/>
              </w:rPr>
              <w:t>11</w:t>
            </w:r>
            <w:r>
              <w:rPr>
                <w:szCs w:val="21"/>
              </w:rPr>
              <w:t>时，G临界值：上1%点时为2.</w:t>
            </w:r>
            <w:r>
              <w:rPr>
                <w:rFonts w:hint="eastAsia"/>
                <w:szCs w:val="21"/>
              </w:rPr>
              <w:t>564</w:t>
            </w:r>
            <w:r>
              <w:rPr>
                <w:szCs w:val="21"/>
              </w:rPr>
              <w:t>；上5%点时为</w:t>
            </w:r>
            <w:r>
              <w:rPr>
                <w:rFonts w:hint="eastAsia"/>
                <w:szCs w:val="21"/>
              </w:rPr>
              <w:t>2.355</w:t>
            </w:r>
            <w:r>
              <w:rPr>
                <w:szCs w:val="21"/>
              </w:rPr>
              <w:t>。</w:t>
            </w:r>
          </w:p>
        </w:tc>
      </w:tr>
    </w:tbl>
    <w:p>
      <w:pPr>
        <w:ind w:firstLine="437"/>
        <w:jc w:val="left"/>
        <w:rPr>
          <w:rFonts w:ascii="宋体" w:hAnsi="宋体" w:cs="宋体"/>
          <w:kern w:val="0"/>
          <w:szCs w:val="21"/>
        </w:rPr>
      </w:pPr>
      <w:r>
        <w:rPr>
          <w:rFonts w:hint="eastAsia" w:ascii="宋体" w:hAnsi="宋体" w:cs="宋体"/>
          <w:kern w:val="0"/>
          <w:szCs w:val="21"/>
        </w:rPr>
        <w:t>对于水平1,浙江富冶的</w:t>
      </w:r>
      <w:r>
        <w:rPr>
          <w:szCs w:val="21"/>
        </w:rPr>
        <w:t>检验统计量大于1%临界值，为统计离群值，不参与后续计算</w:t>
      </w:r>
      <w:r>
        <w:rPr>
          <w:rFonts w:hint="eastAsia"/>
          <w:szCs w:val="21"/>
        </w:rPr>
        <w:t>，剔除浙江富冶的数据后，再进行格拉布斯检验，Gmax=1.104，Gmin=2.176；对于水平3，浙江富冶的</w:t>
      </w:r>
      <w:r>
        <w:rPr>
          <w:szCs w:val="21"/>
        </w:rPr>
        <w:t>检验统计量大于1%临界值，为统计离群值，不参与后续计算</w:t>
      </w:r>
      <w:r>
        <w:rPr>
          <w:rFonts w:hint="eastAsia"/>
          <w:szCs w:val="21"/>
        </w:rPr>
        <w:t>，剔除浙江富冶的数据后，再进行格拉布斯检验，Gmax=1.773，Gmin=1.737；对于水平4，浙江富冶的</w:t>
      </w:r>
      <w:r>
        <w:rPr>
          <w:szCs w:val="21"/>
        </w:rPr>
        <w:t>检验统计量大于1%临界值，为统计离群值，不参与后续计算</w:t>
      </w:r>
      <w:r>
        <w:rPr>
          <w:rFonts w:hint="eastAsia"/>
          <w:szCs w:val="21"/>
        </w:rPr>
        <w:t>，剔除浙江富冶的数据后，再进行格拉布斯检验，Gmax=1.701，Gmin=2.248；对于水平5，浙江富冶的</w:t>
      </w:r>
      <w:r>
        <w:rPr>
          <w:szCs w:val="21"/>
        </w:rPr>
        <w:t>检验统计量大于1%临界值，为统计离群值，不参与后续计算</w:t>
      </w:r>
      <w:r>
        <w:rPr>
          <w:rFonts w:hint="eastAsia"/>
          <w:szCs w:val="21"/>
        </w:rPr>
        <w:t>，剔除浙江富冶的数据后，再进行格拉布斯检验，Gmax=2.111，Gmin=1.594。</w:t>
      </w:r>
    </w:p>
    <w:p>
      <w:pPr>
        <w:ind w:firstLine="437"/>
        <w:jc w:val="left"/>
        <w:rPr>
          <w:rFonts w:ascii="宋体" w:hAnsi="宋体" w:cs="宋体"/>
          <w:kern w:val="0"/>
          <w:szCs w:val="21"/>
        </w:rPr>
      </w:pPr>
    </w:p>
    <w:p>
      <w:pPr>
        <w:spacing w:line="360" w:lineRule="auto"/>
        <w:rPr>
          <w:rFonts w:ascii="黑体" w:hAnsi="黑体" w:eastAsia="黑体"/>
          <w:szCs w:val="21"/>
        </w:rPr>
      </w:pPr>
      <w:r>
        <w:rPr>
          <w:rFonts w:ascii="黑体" w:hAnsi="黑体" w:eastAsia="黑体"/>
          <w:szCs w:val="21"/>
        </w:rPr>
        <w:t>4  S</w:t>
      </w:r>
      <w:r>
        <w:rPr>
          <w:rFonts w:ascii="黑体" w:hAnsi="黑体" w:eastAsia="黑体"/>
          <w:szCs w:val="21"/>
          <w:vertAlign w:val="subscript"/>
        </w:rPr>
        <w:t>r</w:t>
      </w:r>
      <w:r>
        <w:rPr>
          <w:rFonts w:ascii="黑体" w:hAnsi="黑体" w:eastAsia="黑体"/>
          <w:szCs w:val="21"/>
        </w:rPr>
        <w:t>、S</w:t>
      </w:r>
      <w:r>
        <w:rPr>
          <w:rFonts w:ascii="黑体" w:hAnsi="黑体" w:eastAsia="黑体"/>
          <w:szCs w:val="21"/>
          <w:vertAlign w:val="subscript"/>
        </w:rPr>
        <w:t>R</w:t>
      </w:r>
      <w:r>
        <w:rPr>
          <w:rFonts w:ascii="黑体" w:hAnsi="黑体" w:eastAsia="黑体"/>
          <w:szCs w:val="21"/>
        </w:rPr>
        <w:t>、R与r的计算</w:t>
      </w:r>
    </w:p>
    <w:p>
      <w:pPr>
        <w:spacing w:line="360" w:lineRule="auto"/>
        <w:jc w:val="center"/>
        <w:rPr>
          <w:rFonts w:ascii="黑体" w:hAnsi="黑体" w:eastAsia="黑体"/>
          <w:szCs w:val="21"/>
        </w:rPr>
      </w:pPr>
      <w:r>
        <w:rPr>
          <w:rFonts w:ascii="黑体" w:hAnsi="黑体" w:eastAsia="黑体"/>
          <w:szCs w:val="21"/>
        </w:rPr>
        <w:t>表</w:t>
      </w:r>
      <w:r>
        <w:rPr>
          <w:rFonts w:hint="eastAsia" w:ascii="黑体" w:hAnsi="黑体" w:eastAsia="黑体"/>
          <w:szCs w:val="21"/>
        </w:rPr>
        <w:t xml:space="preserve">3  </w:t>
      </w:r>
      <w:r>
        <w:rPr>
          <w:rFonts w:ascii="黑体" w:hAnsi="黑体" w:eastAsia="黑体"/>
          <w:szCs w:val="21"/>
        </w:rPr>
        <w:t>精密度计算</w:t>
      </w:r>
    </w:p>
    <w:tbl>
      <w:tblPr>
        <w:tblStyle w:val="9"/>
        <w:tblW w:w="8326" w:type="dxa"/>
        <w:jc w:val="center"/>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87"/>
        <w:gridCol w:w="1388"/>
        <w:gridCol w:w="1387"/>
        <w:gridCol w:w="1389"/>
        <w:gridCol w:w="1387"/>
        <w:gridCol w:w="13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27" w:hRule="atLeast"/>
          <w:jc w:val="center"/>
        </w:trPr>
        <w:tc>
          <w:tcPr>
            <w:tcW w:w="1387" w:type="dxa"/>
            <w:vAlign w:val="center"/>
          </w:tcPr>
          <w:p>
            <w:pPr>
              <w:autoSpaceDE w:val="0"/>
              <w:autoSpaceDN w:val="0"/>
              <w:adjustRightInd w:val="0"/>
              <w:jc w:val="center"/>
              <w:rPr>
                <w:color w:val="000000"/>
                <w:kern w:val="0"/>
                <w:szCs w:val="21"/>
              </w:rPr>
            </w:pPr>
          </w:p>
        </w:tc>
        <w:tc>
          <w:tcPr>
            <w:tcW w:w="1388" w:type="dxa"/>
            <w:vAlign w:val="center"/>
          </w:tcPr>
          <w:p>
            <w:pPr>
              <w:widowControl/>
              <w:jc w:val="center"/>
              <w:rPr>
                <w:color w:val="000000"/>
                <w:kern w:val="0"/>
                <w:szCs w:val="21"/>
              </w:rPr>
            </w:pPr>
            <w:r>
              <w:rPr>
                <w:rFonts w:hint="eastAsia"/>
                <w:szCs w:val="21"/>
              </w:rPr>
              <w:t>水平1</w:t>
            </w:r>
          </w:p>
        </w:tc>
        <w:tc>
          <w:tcPr>
            <w:tcW w:w="1387" w:type="dxa"/>
            <w:vAlign w:val="center"/>
          </w:tcPr>
          <w:p>
            <w:pPr>
              <w:widowControl/>
              <w:jc w:val="center"/>
              <w:rPr>
                <w:color w:val="000000"/>
                <w:kern w:val="0"/>
                <w:szCs w:val="21"/>
              </w:rPr>
            </w:pPr>
            <w:r>
              <w:rPr>
                <w:rFonts w:hint="eastAsia"/>
                <w:szCs w:val="21"/>
              </w:rPr>
              <w:t>水平2</w:t>
            </w:r>
          </w:p>
        </w:tc>
        <w:tc>
          <w:tcPr>
            <w:tcW w:w="1389" w:type="dxa"/>
            <w:vAlign w:val="center"/>
          </w:tcPr>
          <w:p>
            <w:pPr>
              <w:widowControl/>
              <w:jc w:val="center"/>
              <w:rPr>
                <w:color w:val="000000"/>
                <w:kern w:val="0"/>
                <w:szCs w:val="21"/>
              </w:rPr>
            </w:pPr>
            <w:r>
              <w:rPr>
                <w:rFonts w:hint="eastAsia"/>
                <w:szCs w:val="21"/>
              </w:rPr>
              <w:t>水平3</w:t>
            </w:r>
          </w:p>
        </w:tc>
        <w:tc>
          <w:tcPr>
            <w:tcW w:w="1387" w:type="dxa"/>
            <w:vAlign w:val="center"/>
          </w:tcPr>
          <w:p>
            <w:pPr>
              <w:widowControl/>
              <w:jc w:val="center"/>
              <w:rPr>
                <w:color w:val="000000"/>
                <w:kern w:val="0"/>
                <w:szCs w:val="21"/>
              </w:rPr>
            </w:pPr>
            <w:r>
              <w:rPr>
                <w:rFonts w:hint="eastAsia"/>
                <w:szCs w:val="21"/>
              </w:rPr>
              <w:t>水平4</w:t>
            </w:r>
          </w:p>
        </w:tc>
        <w:tc>
          <w:tcPr>
            <w:tcW w:w="1388" w:type="dxa"/>
            <w:vAlign w:val="center"/>
          </w:tcPr>
          <w:p>
            <w:pPr>
              <w:widowControl/>
              <w:jc w:val="center"/>
              <w:rPr>
                <w:color w:val="000000"/>
                <w:kern w:val="0"/>
                <w:szCs w:val="21"/>
              </w:rPr>
            </w:pPr>
            <w:r>
              <w:rPr>
                <w:rFonts w:hint="eastAsia"/>
                <w:szCs w:val="21"/>
              </w:rPr>
              <w:t>水平5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27" w:hRule="atLeast"/>
          <w:jc w:val="center"/>
        </w:trPr>
        <w:tc>
          <w:tcPr>
            <w:tcW w:w="1387" w:type="dxa"/>
            <w:vAlign w:val="center"/>
          </w:tcPr>
          <w:p>
            <w:pPr>
              <w:autoSpaceDE w:val="0"/>
              <w:autoSpaceDN w:val="0"/>
              <w:adjustRightInd w:val="0"/>
              <w:jc w:val="center"/>
              <w:rPr>
                <w:color w:val="000000"/>
                <w:kern w:val="0"/>
                <w:szCs w:val="21"/>
              </w:rPr>
            </w:pPr>
            <w:r>
              <w:rPr>
                <w:color w:val="000000"/>
                <w:kern w:val="0"/>
                <w:szCs w:val="21"/>
              </w:rPr>
              <w:t>总平均值</w:t>
            </w:r>
          </w:p>
        </w:tc>
        <w:tc>
          <w:tcPr>
            <w:tcW w:w="1388" w:type="dxa"/>
            <w:vAlign w:val="center"/>
          </w:tcPr>
          <w:p>
            <w:pPr>
              <w:pStyle w:val="2"/>
              <w:ind w:firstLine="0" w:firstLineChars="0"/>
              <w:jc w:val="center"/>
              <w:rPr>
                <w:szCs w:val="21"/>
              </w:rPr>
            </w:pPr>
            <w:r>
              <w:rPr>
                <w:rFonts w:hint="eastAsia"/>
                <w:szCs w:val="21"/>
              </w:rPr>
              <w:t>6.26</w:t>
            </w:r>
          </w:p>
        </w:tc>
        <w:tc>
          <w:tcPr>
            <w:tcW w:w="1387" w:type="dxa"/>
            <w:vAlign w:val="center"/>
          </w:tcPr>
          <w:p>
            <w:pPr>
              <w:pStyle w:val="2"/>
              <w:ind w:firstLine="0" w:firstLineChars="0"/>
              <w:jc w:val="center"/>
              <w:rPr>
                <w:szCs w:val="21"/>
              </w:rPr>
            </w:pPr>
            <w:r>
              <w:rPr>
                <w:rFonts w:hint="eastAsia"/>
                <w:szCs w:val="21"/>
              </w:rPr>
              <w:t>12.25</w:t>
            </w:r>
          </w:p>
        </w:tc>
        <w:tc>
          <w:tcPr>
            <w:tcW w:w="1389" w:type="dxa"/>
            <w:vAlign w:val="center"/>
          </w:tcPr>
          <w:p>
            <w:pPr>
              <w:pStyle w:val="2"/>
              <w:ind w:firstLine="0" w:firstLineChars="0"/>
              <w:jc w:val="center"/>
              <w:rPr>
                <w:szCs w:val="21"/>
              </w:rPr>
            </w:pPr>
            <w:r>
              <w:rPr>
                <w:rFonts w:hint="eastAsia"/>
                <w:szCs w:val="21"/>
              </w:rPr>
              <w:t>16.60</w:t>
            </w:r>
          </w:p>
        </w:tc>
        <w:tc>
          <w:tcPr>
            <w:tcW w:w="1387" w:type="dxa"/>
            <w:vAlign w:val="center"/>
          </w:tcPr>
          <w:p>
            <w:pPr>
              <w:pStyle w:val="2"/>
              <w:ind w:firstLine="0" w:firstLineChars="0"/>
              <w:jc w:val="center"/>
              <w:rPr>
                <w:szCs w:val="21"/>
              </w:rPr>
            </w:pPr>
            <w:r>
              <w:rPr>
                <w:rFonts w:hint="eastAsia"/>
                <w:szCs w:val="21"/>
              </w:rPr>
              <w:t>21.23</w:t>
            </w:r>
          </w:p>
        </w:tc>
        <w:tc>
          <w:tcPr>
            <w:tcW w:w="1388" w:type="dxa"/>
            <w:vAlign w:val="center"/>
          </w:tcPr>
          <w:p>
            <w:pPr>
              <w:pStyle w:val="2"/>
              <w:ind w:firstLine="0" w:firstLineChars="0"/>
              <w:jc w:val="center"/>
              <w:rPr>
                <w:szCs w:val="21"/>
              </w:rPr>
            </w:pPr>
            <w:r>
              <w:rPr>
                <w:rFonts w:hint="eastAsia"/>
                <w:szCs w:val="21"/>
              </w:rPr>
              <w:t>26.36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27" w:hRule="atLeast"/>
          <w:jc w:val="center"/>
        </w:trPr>
        <w:tc>
          <w:tcPr>
            <w:tcW w:w="1387" w:type="dxa"/>
            <w:vAlign w:val="center"/>
          </w:tcPr>
          <w:p>
            <w:pPr>
              <w:autoSpaceDE w:val="0"/>
              <w:autoSpaceDN w:val="0"/>
              <w:adjustRightInd w:val="0"/>
              <w:jc w:val="center"/>
              <w:rPr>
                <w:color w:val="000000"/>
                <w:kern w:val="0"/>
                <w:szCs w:val="21"/>
              </w:rPr>
            </w:pPr>
            <w:r>
              <w:rPr>
                <w:color w:val="000000"/>
                <w:kern w:val="0"/>
                <w:szCs w:val="21"/>
              </w:rPr>
              <w:t>s</w:t>
            </w:r>
            <w:r>
              <w:rPr>
                <w:color w:val="000000"/>
                <w:kern w:val="0"/>
                <w:szCs w:val="21"/>
                <w:vertAlign w:val="subscript"/>
              </w:rPr>
              <w:t>r</w:t>
            </w:r>
          </w:p>
        </w:tc>
        <w:tc>
          <w:tcPr>
            <w:tcW w:w="1388" w:type="dxa"/>
            <w:vAlign w:val="center"/>
          </w:tcPr>
          <w:p>
            <w:pPr>
              <w:jc w:val="center"/>
              <w:rPr>
                <w:szCs w:val="21"/>
              </w:rPr>
            </w:pPr>
            <w:r>
              <w:rPr>
                <w:rFonts w:hint="eastAsia"/>
                <w:szCs w:val="21"/>
              </w:rPr>
              <w:t>0.05019</w:t>
            </w:r>
          </w:p>
        </w:tc>
        <w:tc>
          <w:tcPr>
            <w:tcW w:w="1387" w:type="dxa"/>
            <w:vAlign w:val="center"/>
          </w:tcPr>
          <w:p>
            <w:pPr>
              <w:widowControl/>
              <w:jc w:val="center"/>
              <w:textAlignment w:val="center"/>
              <w:rPr>
                <w:szCs w:val="21"/>
              </w:rPr>
            </w:pPr>
            <w:r>
              <w:rPr>
                <w:rFonts w:hint="eastAsia"/>
                <w:szCs w:val="21"/>
              </w:rPr>
              <w:t>0.05817</w:t>
            </w:r>
          </w:p>
        </w:tc>
        <w:tc>
          <w:tcPr>
            <w:tcW w:w="1389" w:type="dxa"/>
            <w:vAlign w:val="center"/>
          </w:tcPr>
          <w:p>
            <w:pPr>
              <w:widowControl/>
              <w:jc w:val="center"/>
              <w:textAlignment w:val="center"/>
              <w:rPr>
                <w:szCs w:val="21"/>
              </w:rPr>
            </w:pPr>
            <w:r>
              <w:rPr>
                <w:rFonts w:hint="eastAsia"/>
                <w:szCs w:val="21"/>
              </w:rPr>
              <w:t>0.08015</w:t>
            </w:r>
          </w:p>
        </w:tc>
        <w:tc>
          <w:tcPr>
            <w:tcW w:w="1387" w:type="dxa"/>
            <w:vAlign w:val="center"/>
          </w:tcPr>
          <w:p>
            <w:pPr>
              <w:widowControl/>
              <w:jc w:val="center"/>
              <w:textAlignment w:val="center"/>
              <w:rPr>
                <w:szCs w:val="21"/>
              </w:rPr>
            </w:pPr>
            <w:r>
              <w:rPr>
                <w:rFonts w:hint="eastAsia"/>
                <w:szCs w:val="21"/>
              </w:rPr>
              <w:t>0.07806</w:t>
            </w:r>
          </w:p>
        </w:tc>
        <w:tc>
          <w:tcPr>
            <w:tcW w:w="1388" w:type="dxa"/>
            <w:vAlign w:val="center"/>
          </w:tcPr>
          <w:p>
            <w:pPr>
              <w:widowControl/>
              <w:jc w:val="center"/>
              <w:textAlignment w:val="center"/>
              <w:rPr>
                <w:szCs w:val="21"/>
              </w:rPr>
            </w:pPr>
            <w:r>
              <w:rPr>
                <w:rFonts w:hint="eastAsia"/>
                <w:szCs w:val="21"/>
              </w:rPr>
              <w:t xml:space="preserve">0.07197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27" w:hRule="atLeast"/>
          <w:jc w:val="center"/>
        </w:trPr>
        <w:tc>
          <w:tcPr>
            <w:tcW w:w="1387" w:type="dxa"/>
            <w:vAlign w:val="center"/>
          </w:tcPr>
          <w:p>
            <w:pPr>
              <w:autoSpaceDE w:val="0"/>
              <w:autoSpaceDN w:val="0"/>
              <w:adjustRightInd w:val="0"/>
              <w:jc w:val="center"/>
              <w:rPr>
                <w:color w:val="000000"/>
                <w:kern w:val="0"/>
                <w:szCs w:val="21"/>
              </w:rPr>
            </w:pPr>
            <w:r>
              <w:rPr>
                <w:color w:val="000000"/>
                <w:kern w:val="0"/>
                <w:szCs w:val="21"/>
              </w:rPr>
              <w:t>s</w:t>
            </w:r>
            <w:r>
              <w:rPr>
                <w:color w:val="000000"/>
                <w:kern w:val="0"/>
                <w:szCs w:val="21"/>
                <w:vertAlign w:val="subscript"/>
              </w:rPr>
              <w:t>R</w:t>
            </w:r>
          </w:p>
        </w:tc>
        <w:tc>
          <w:tcPr>
            <w:tcW w:w="1388" w:type="dxa"/>
            <w:vAlign w:val="center"/>
          </w:tcPr>
          <w:p>
            <w:pPr>
              <w:jc w:val="center"/>
              <w:rPr>
                <w:szCs w:val="21"/>
              </w:rPr>
            </w:pPr>
            <w:r>
              <w:rPr>
                <w:rFonts w:hint="eastAsia"/>
                <w:szCs w:val="21"/>
              </w:rPr>
              <w:t xml:space="preserve">0.07549587 </w:t>
            </w:r>
          </w:p>
        </w:tc>
        <w:tc>
          <w:tcPr>
            <w:tcW w:w="1387" w:type="dxa"/>
            <w:vAlign w:val="center"/>
          </w:tcPr>
          <w:p>
            <w:pPr>
              <w:widowControl/>
              <w:jc w:val="center"/>
              <w:textAlignment w:val="center"/>
              <w:rPr>
                <w:szCs w:val="21"/>
              </w:rPr>
            </w:pPr>
            <w:r>
              <w:rPr>
                <w:rFonts w:hint="eastAsia"/>
                <w:szCs w:val="21"/>
              </w:rPr>
              <w:t xml:space="preserve">0.075840 </w:t>
            </w:r>
          </w:p>
        </w:tc>
        <w:tc>
          <w:tcPr>
            <w:tcW w:w="1389" w:type="dxa"/>
            <w:vAlign w:val="center"/>
          </w:tcPr>
          <w:p>
            <w:pPr>
              <w:widowControl/>
              <w:jc w:val="center"/>
              <w:textAlignment w:val="center"/>
              <w:rPr>
                <w:szCs w:val="21"/>
              </w:rPr>
            </w:pPr>
            <w:r>
              <w:rPr>
                <w:rFonts w:hint="eastAsia"/>
                <w:szCs w:val="21"/>
              </w:rPr>
              <w:t xml:space="preserve">0.092893 </w:t>
            </w:r>
          </w:p>
        </w:tc>
        <w:tc>
          <w:tcPr>
            <w:tcW w:w="1387" w:type="dxa"/>
            <w:vAlign w:val="center"/>
          </w:tcPr>
          <w:p>
            <w:pPr>
              <w:widowControl/>
              <w:jc w:val="center"/>
              <w:textAlignment w:val="center"/>
              <w:rPr>
                <w:szCs w:val="21"/>
              </w:rPr>
            </w:pPr>
            <w:r>
              <w:rPr>
                <w:rFonts w:hint="eastAsia"/>
                <w:szCs w:val="21"/>
              </w:rPr>
              <w:t xml:space="preserve">0.10553 </w:t>
            </w:r>
          </w:p>
        </w:tc>
        <w:tc>
          <w:tcPr>
            <w:tcW w:w="1388" w:type="dxa"/>
            <w:vAlign w:val="center"/>
          </w:tcPr>
          <w:p>
            <w:pPr>
              <w:widowControl/>
              <w:jc w:val="center"/>
              <w:textAlignment w:val="center"/>
              <w:rPr>
                <w:szCs w:val="21"/>
              </w:rPr>
            </w:pPr>
            <w:r>
              <w:rPr>
                <w:rFonts w:hint="eastAsia"/>
                <w:szCs w:val="21"/>
              </w:rPr>
              <w:t xml:space="preserve">0.09389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27" w:hRule="atLeast"/>
          <w:jc w:val="center"/>
        </w:trPr>
        <w:tc>
          <w:tcPr>
            <w:tcW w:w="1387" w:type="dxa"/>
            <w:vAlign w:val="center"/>
          </w:tcPr>
          <w:p>
            <w:pPr>
              <w:autoSpaceDE w:val="0"/>
              <w:autoSpaceDN w:val="0"/>
              <w:adjustRightInd w:val="0"/>
              <w:jc w:val="center"/>
              <w:rPr>
                <w:color w:val="000000"/>
                <w:kern w:val="0"/>
                <w:szCs w:val="21"/>
              </w:rPr>
            </w:pPr>
            <w:r>
              <w:rPr>
                <w:color w:val="000000"/>
                <w:kern w:val="0"/>
                <w:szCs w:val="21"/>
              </w:rPr>
              <w:t>r</w:t>
            </w:r>
          </w:p>
        </w:tc>
        <w:tc>
          <w:tcPr>
            <w:tcW w:w="1388" w:type="dxa"/>
            <w:vAlign w:val="center"/>
          </w:tcPr>
          <w:p>
            <w:pPr>
              <w:jc w:val="center"/>
              <w:rPr>
                <w:szCs w:val="21"/>
              </w:rPr>
            </w:pPr>
            <w:r>
              <w:rPr>
                <w:rFonts w:hint="eastAsia"/>
                <w:szCs w:val="21"/>
              </w:rPr>
              <w:t>0.141</w:t>
            </w:r>
          </w:p>
        </w:tc>
        <w:tc>
          <w:tcPr>
            <w:tcW w:w="1387" w:type="dxa"/>
            <w:vAlign w:val="center"/>
          </w:tcPr>
          <w:p>
            <w:pPr>
              <w:widowControl/>
              <w:jc w:val="center"/>
              <w:textAlignment w:val="center"/>
              <w:rPr>
                <w:szCs w:val="21"/>
              </w:rPr>
            </w:pPr>
            <w:r>
              <w:rPr>
                <w:rFonts w:hint="eastAsia"/>
                <w:szCs w:val="21"/>
              </w:rPr>
              <w:t>0.163</w:t>
            </w:r>
          </w:p>
        </w:tc>
        <w:tc>
          <w:tcPr>
            <w:tcW w:w="1389" w:type="dxa"/>
            <w:vAlign w:val="center"/>
          </w:tcPr>
          <w:p>
            <w:pPr>
              <w:widowControl/>
              <w:jc w:val="center"/>
              <w:textAlignment w:val="center"/>
              <w:rPr>
                <w:szCs w:val="21"/>
              </w:rPr>
            </w:pPr>
            <w:r>
              <w:rPr>
                <w:rFonts w:hint="eastAsia"/>
                <w:szCs w:val="21"/>
              </w:rPr>
              <w:t>0.224</w:t>
            </w:r>
          </w:p>
        </w:tc>
        <w:tc>
          <w:tcPr>
            <w:tcW w:w="1387" w:type="dxa"/>
            <w:vAlign w:val="center"/>
          </w:tcPr>
          <w:p>
            <w:pPr>
              <w:widowControl/>
              <w:jc w:val="center"/>
              <w:textAlignment w:val="center"/>
              <w:rPr>
                <w:szCs w:val="21"/>
              </w:rPr>
            </w:pPr>
            <w:r>
              <w:rPr>
                <w:rFonts w:hint="eastAsia"/>
                <w:szCs w:val="21"/>
              </w:rPr>
              <w:t>0.219</w:t>
            </w:r>
          </w:p>
        </w:tc>
        <w:tc>
          <w:tcPr>
            <w:tcW w:w="1388" w:type="dxa"/>
            <w:vAlign w:val="center"/>
          </w:tcPr>
          <w:p>
            <w:pPr>
              <w:widowControl/>
              <w:jc w:val="center"/>
              <w:textAlignment w:val="center"/>
              <w:rPr>
                <w:szCs w:val="21"/>
              </w:rPr>
            </w:pPr>
            <w:r>
              <w:rPr>
                <w:rFonts w:hint="eastAsia"/>
                <w:szCs w:val="21"/>
              </w:rPr>
              <w:t>0.202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27" w:hRule="atLeast"/>
          <w:jc w:val="center"/>
        </w:trPr>
        <w:tc>
          <w:tcPr>
            <w:tcW w:w="1387" w:type="dxa"/>
            <w:vAlign w:val="center"/>
          </w:tcPr>
          <w:p>
            <w:pPr>
              <w:autoSpaceDE w:val="0"/>
              <w:autoSpaceDN w:val="0"/>
              <w:adjustRightInd w:val="0"/>
              <w:jc w:val="center"/>
              <w:rPr>
                <w:color w:val="000000"/>
                <w:kern w:val="0"/>
                <w:szCs w:val="21"/>
              </w:rPr>
            </w:pPr>
            <w:r>
              <w:rPr>
                <w:color w:val="000000"/>
                <w:kern w:val="0"/>
                <w:szCs w:val="21"/>
              </w:rPr>
              <w:t>R</w:t>
            </w:r>
          </w:p>
        </w:tc>
        <w:tc>
          <w:tcPr>
            <w:tcW w:w="1388" w:type="dxa"/>
            <w:vAlign w:val="center"/>
          </w:tcPr>
          <w:p>
            <w:pPr>
              <w:jc w:val="center"/>
              <w:rPr>
                <w:szCs w:val="21"/>
              </w:rPr>
            </w:pPr>
            <w:r>
              <w:rPr>
                <w:rFonts w:hint="eastAsia"/>
                <w:szCs w:val="21"/>
              </w:rPr>
              <w:t>0.211</w:t>
            </w:r>
          </w:p>
        </w:tc>
        <w:tc>
          <w:tcPr>
            <w:tcW w:w="1387" w:type="dxa"/>
            <w:vAlign w:val="center"/>
          </w:tcPr>
          <w:p>
            <w:pPr>
              <w:widowControl/>
              <w:jc w:val="center"/>
              <w:textAlignment w:val="center"/>
              <w:rPr>
                <w:szCs w:val="21"/>
              </w:rPr>
            </w:pPr>
            <w:r>
              <w:rPr>
                <w:rFonts w:hint="eastAsia"/>
                <w:szCs w:val="21"/>
              </w:rPr>
              <w:t>0.212</w:t>
            </w:r>
          </w:p>
        </w:tc>
        <w:tc>
          <w:tcPr>
            <w:tcW w:w="1389" w:type="dxa"/>
            <w:vAlign w:val="center"/>
          </w:tcPr>
          <w:p>
            <w:pPr>
              <w:widowControl/>
              <w:jc w:val="center"/>
              <w:textAlignment w:val="center"/>
              <w:rPr>
                <w:szCs w:val="21"/>
              </w:rPr>
            </w:pPr>
            <w:r>
              <w:rPr>
                <w:rFonts w:hint="eastAsia"/>
                <w:szCs w:val="21"/>
              </w:rPr>
              <w:t>0.260</w:t>
            </w:r>
          </w:p>
        </w:tc>
        <w:tc>
          <w:tcPr>
            <w:tcW w:w="1387" w:type="dxa"/>
            <w:vAlign w:val="center"/>
          </w:tcPr>
          <w:p>
            <w:pPr>
              <w:widowControl/>
              <w:jc w:val="center"/>
              <w:textAlignment w:val="center"/>
              <w:rPr>
                <w:szCs w:val="21"/>
              </w:rPr>
            </w:pPr>
            <w:r>
              <w:rPr>
                <w:rFonts w:hint="eastAsia"/>
                <w:szCs w:val="21"/>
              </w:rPr>
              <w:t>0.296</w:t>
            </w:r>
          </w:p>
        </w:tc>
        <w:tc>
          <w:tcPr>
            <w:tcW w:w="1388" w:type="dxa"/>
            <w:vAlign w:val="center"/>
          </w:tcPr>
          <w:p>
            <w:pPr>
              <w:widowControl/>
              <w:jc w:val="center"/>
              <w:textAlignment w:val="center"/>
              <w:rPr>
                <w:szCs w:val="21"/>
              </w:rPr>
            </w:pPr>
            <w:r>
              <w:rPr>
                <w:rFonts w:hint="eastAsia"/>
                <w:szCs w:val="21"/>
              </w:rPr>
              <w:t>0.263</w:t>
            </w:r>
          </w:p>
        </w:tc>
      </w:tr>
    </w:tbl>
    <w:p>
      <w:pPr>
        <w:jc w:val="center"/>
        <w:rPr>
          <w:b/>
          <w:szCs w:val="21"/>
        </w:rPr>
      </w:pPr>
    </w:p>
    <w:p>
      <w:pPr>
        <w:rPr>
          <w:szCs w:val="21"/>
        </w:rPr>
      </w:pPr>
    </w:p>
    <w:p>
      <w:pPr>
        <w:pStyle w:val="18"/>
        <w:spacing w:line="400" w:lineRule="exact"/>
        <w:jc w:val="both"/>
        <w:rPr>
          <w:b/>
          <w:szCs w:val="21"/>
        </w:rPr>
      </w:pPr>
    </w:p>
    <w:p>
      <w:pPr>
        <w:pStyle w:val="18"/>
        <w:spacing w:line="400" w:lineRule="exact"/>
        <w:jc w:val="both"/>
        <w:rPr>
          <w:b/>
          <w:szCs w:val="21"/>
        </w:rPr>
      </w:pPr>
    </w:p>
    <w:p>
      <w:pPr>
        <w:pStyle w:val="18"/>
        <w:spacing w:line="400" w:lineRule="exact"/>
        <w:jc w:val="both"/>
        <w:rPr>
          <w:b/>
          <w:szCs w:val="21"/>
        </w:rPr>
      </w:pPr>
    </w:p>
    <w:p>
      <w:pPr>
        <w:pStyle w:val="18"/>
        <w:spacing w:line="400" w:lineRule="exact"/>
        <w:jc w:val="both"/>
        <w:rPr>
          <w:b/>
          <w:szCs w:val="21"/>
        </w:rPr>
      </w:pPr>
    </w:p>
    <w:p>
      <w:pPr>
        <w:pStyle w:val="18"/>
        <w:spacing w:line="400" w:lineRule="exact"/>
        <w:jc w:val="both"/>
        <w:rPr>
          <w:b/>
          <w:szCs w:val="21"/>
        </w:rPr>
      </w:pPr>
    </w:p>
    <w:p/>
    <w:p>
      <w:pPr>
        <w:ind w:right="315" w:firstLine="437"/>
      </w:pPr>
    </w:p>
    <w:p>
      <w:pPr>
        <w:widowControl/>
        <w:jc w:val="left"/>
      </w:pPr>
      <w:r>
        <w:br w:type="page"/>
      </w:r>
    </w:p>
    <w:p>
      <w:pPr>
        <w:pageBreakBefore/>
        <w:rPr>
          <w:szCs w:val="21"/>
        </w:rPr>
      </w:pPr>
      <w:r>
        <w:rPr>
          <w:rFonts w:hint="eastAsia"/>
          <w:szCs w:val="21"/>
        </w:rPr>
        <w:t>附件</w:t>
      </w:r>
      <w:r>
        <w:rPr>
          <w:szCs w:val="21"/>
        </w:rPr>
        <w:t xml:space="preserve"> 3</w:t>
      </w:r>
    </w:p>
    <w:p>
      <w:pPr>
        <w:spacing w:line="300" w:lineRule="auto"/>
        <w:jc w:val="center"/>
        <w:rPr>
          <w:rFonts w:eastAsia="黑体"/>
          <w:sz w:val="32"/>
          <w:szCs w:val="32"/>
        </w:rPr>
      </w:pPr>
      <w:r>
        <w:rPr>
          <w:rFonts w:hint="eastAsia" w:eastAsia="黑体"/>
          <w:sz w:val="32"/>
          <w:szCs w:val="32"/>
        </w:rPr>
        <w:t>标准征求意见稿意见汇总处理表</w:t>
      </w:r>
    </w:p>
    <w:p>
      <w:pPr>
        <w:spacing w:line="300" w:lineRule="auto"/>
        <w:rPr>
          <w:szCs w:val="21"/>
        </w:rPr>
      </w:pPr>
      <w:r>
        <w:rPr>
          <w:rFonts w:hint="eastAsia"/>
          <w:szCs w:val="21"/>
        </w:rPr>
        <w:t>标准项目名称：铜阳极泥分银渣化学分析方法</w:t>
      </w:r>
      <w:r>
        <w:rPr>
          <w:szCs w:val="21"/>
        </w:rPr>
        <w:t xml:space="preserve"> </w:t>
      </w:r>
      <w:r>
        <w:rPr>
          <w:rFonts w:hint="eastAsia"/>
          <w:szCs w:val="21"/>
        </w:rPr>
        <w:t>第6部分</w:t>
      </w:r>
      <w:r>
        <w:rPr>
          <w:szCs w:val="21"/>
        </w:rPr>
        <w:t xml:space="preserve"> </w:t>
      </w:r>
      <w:r>
        <w:rPr>
          <w:rFonts w:hint="eastAsia"/>
          <w:szCs w:val="21"/>
        </w:rPr>
        <w:t>铜量的测定</w:t>
      </w:r>
      <w:r>
        <w:rPr>
          <w:szCs w:val="21"/>
        </w:rPr>
        <w:t xml:space="preserve"> </w:t>
      </w:r>
      <w:r>
        <w:rPr>
          <w:rFonts w:hint="eastAsia"/>
          <w:szCs w:val="21"/>
        </w:rPr>
        <w:t>碘量法</w:t>
      </w:r>
    </w:p>
    <w:tbl>
      <w:tblPr>
        <w:tblStyle w:val="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42"/>
        <w:gridCol w:w="2976"/>
        <w:gridCol w:w="1701"/>
        <w:gridCol w:w="1134"/>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序号</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标准章条编号</w:t>
            </w:r>
          </w:p>
        </w:tc>
        <w:tc>
          <w:tcPr>
            <w:tcW w:w="297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意见内容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提出单位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处理意见</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1</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1.2.1</w:t>
            </w:r>
          </w:p>
        </w:tc>
        <w:tc>
          <w:tcPr>
            <w:tcW w:w="2976" w:type="dxa"/>
            <w:tcBorders>
              <w:top w:val="single" w:color="auto" w:sz="4" w:space="0"/>
              <w:left w:val="single" w:color="auto" w:sz="4" w:space="0"/>
              <w:bottom w:val="single" w:color="auto" w:sz="4" w:space="0"/>
              <w:right w:val="single" w:color="auto" w:sz="4" w:space="0"/>
            </w:tcBorders>
          </w:tcPr>
          <w:p>
            <w:pPr>
              <w:spacing w:line="300" w:lineRule="auto"/>
              <w:rPr>
                <w:rFonts w:eastAsiaTheme="minorEastAsia"/>
                <w:szCs w:val="21"/>
              </w:rPr>
            </w:pPr>
            <w:r>
              <w:rPr>
                <w:rFonts w:eastAsiaTheme="minorEastAsia"/>
                <w:bCs/>
                <w:color w:val="000000" w:themeColor="text1"/>
                <w:szCs w:val="21"/>
              </w:rPr>
              <w:t>“……</w:t>
            </w:r>
            <w:r>
              <w:rPr>
                <w:rFonts w:hAnsiTheme="minorEastAsia" w:eastAsiaTheme="minorEastAsia"/>
                <w:bCs/>
                <w:color w:val="000000" w:themeColor="text1"/>
                <w:szCs w:val="21"/>
              </w:rPr>
              <w:t>加入</w:t>
            </w:r>
            <w:r>
              <w:rPr>
                <w:rFonts w:eastAsiaTheme="minorEastAsia"/>
                <w:bCs/>
                <w:color w:val="000000" w:themeColor="text1"/>
                <w:szCs w:val="21"/>
              </w:rPr>
              <w:t>5mL</w:t>
            </w:r>
            <w:r>
              <w:rPr>
                <w:rFonts w:hAnsiTheme="minorEastAsia" w:eastAsiaTheme="minorEastAsia"/>
                <w:bCs/>
                <w:color w:val="000000" w:themeColor="text1"/>
                <w:szCs w:val="21"/>
              </w:rPr>
              <w:t>硫酸（</w:t>
            </w:r>
            <w:r>
              <w:rPr>
                <w:rFonts w:eastAsiaTheme="minorEastAsia"/>
                <w:bCs/>
                <w:color w:val="000000" w:themeColor="text1"/>
                <w:szCs w:val="21"/>
              </w:rPr>
              <w:t>1.1.12</w:t>
            </w:r>
            <w:r>
              <w:rPr>
                <w:rFonts w:hAnsiTheme="minorEastAsia" w:eastAsiaTheme="minorEastAsia"/>
                <w:bCs/>
                <w:color w:val="000000" w:themeColor="text1"/>
                <w:szCs w:val="21"/>
              </w:rPr>
              <w:t>），加热至近干</w:t>
            </w:r>
            <w:r>
              <w:rPr>
                <w:rFonts w:eastAsiaTheme="minorEastAsia"/>
                <w:bCs/>
                <w:color w:val="000000" w:themeColor="text1"/>
                <w:szCs w:val="21"/>
              </w:rPr>
              <w:t>”</w:t>
            </w:r>
            <w:r>
              <w:rPr>
                <w:rFonts w:hAnsiTheme="minorEastAsia" w:eastAsiaTheme="minorEastAsia"/>
                <w:bCs/>
                <w:color w:val="000000" w:themeColor="text1"/>
                <w:szCs w:val="21"/>
              </w:rPr>
              <w:t>，建议蒸干溶液，除尽硝酸。</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Cs w:val="21"/>
              </w:rPr>
            </w:pPr>
            <w:r>
              <w:rPr>
                <w:rFonts w:hAnsiTheme="minorEastAsia" w:eastAsiaTheme="minorEastAsia"/>
                <w:szCs w:val="21"/>
              </w:rPr>
              <w:t>韶关质计所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不采纳</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近干条件下硝酸已无残留</w:t>
            </w:r>
            <w:r>
              <w:rPr>
                <w:rFonts w:eastAsiaTheme="minorEastAsia"/>
                <w:szCs w:val="21"/>
              </w:rPr>
              <w:t>,</w:t>
            </w:r>
            <w:r>
              <w:rPr>
                <w:rFonts w:hAnsiTheme="minorEastAsia" w:eastAsiaTheme="minorEastAsia"/>
                <w:szCs w:val="21"/>
              </w:rPr>
              <w:t>太干铜</w:t>
            </w:r>
            <w:r>
              <w:rPr>
                <w:rFonts w:hint="eastAsia" w:hAnsiTheme="minorEastAsia" w:eastAsiaTheme="minorEastAsia"/>
                <w:szCs w:val="21"/>
              </w:rPr>
              <w:t>结果偏低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2</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2.1.2</w:t>
            </w:r>
          </w:p>
        </w:tc>
        <w:tc>
          <w:tcPr>
            <w:tcW w:w="2976" w:type="dxa"/>
            <w:tcBorders>
              <w:top w:val="single" w:color="auto" w:sz="4" w:space="0"/>
              <w:left w:val="single" w:color="auto" w:sz="4" w:space="0"/>
              <w:bottom w:val="single" w:color="auto" w:sz="4" w:space="0"/>
              <w:right w:val="single" w:color="auto" w:sz="4" w:space="0"/>
            </w:tcBorders>
            <w:vAlign w:val="center"/>
          </w:tcPr>
          <w:p>
            <w:pPr>
              <w:spacing w:line="300" w:lineRule="auto"/>
              <w:rPr>
                <w:rFonts w:eastAsiaTheme="minorEastAsia"/>
                <w:szCs w:val="21"/>
              </w:rPr>
            </w:pPr>
            <w:r>
              <w:rPr>
                <w:rFonts w:eastAsiaTheme="minorEastAsia"/>
                <w:bCs/>
                <w:color w:val="000000" w:themeColor="text1"/>
                <w:szCs w:val="21"/>
              </w:rPr>
              <w:t>“……</w:t>
            </w:r>
            <w:r>
              <w:rPr>
                <w:rFonts w:hAnsiTheme="minorEastAsia" w:eastAsiaTheme="minorEastAsia"/>
                <w:bCs/>
                <w:color w:val="000000" w:themeColor="text1"/>
                <w:szCs w:val="21"/>
              </w:rPr>
              <w:t>通过表</w:t>
            </w:r>
            <w:r>
              <w:rPr>
                <w:rFonts w:eastAsiaTheme="minorEastAsia"/>
                <w:bCs/>
                <w:color w:val="000000" w:themeColor="text1"/>
                <w:szCs w:val="21"/>
              </w:rPr>
              <w:t>2</w:t>
            </w:r>
            <w:r>
              <w:rPr>
                <w:rFonts w:hAnsiTheme="minorEastAsia" w:eastAsiaTheme="minorEastAsia"/>
                <w:bCs/>
                <w:color w:val="000000" w:themeColor="text1"/>
                <w:szCs w:val="21"/>
              </w:rPr>
              <w:t>可以看出，一次氢溴酸除杂和两次氢溴酸除杂没有很大区别</w:t>
            </w:r>
            <w:r>
              <w:rPr>
                <w:rFonts w:eastAsiaTheme="minorEastAsia"/>
                <w:bCs/>
                <w:color w:val="000000" w:themeColor="text1"/>
                <w:szCs w:val="21"/>
              </w:rPr>
              <w:t>”</w:t>
            </w:r>
            <w:r>
              <w:rPr>
                <w:rFonts w:hAnsiTheme="minorEastAsia" w:eastAsiaTheme="minorEastAsia"/>
                <w:bCs/>
                <w:color w:val="000000" w:themeColor="text1"/>
                <w:szCs w:val="21"/>
              </w:rPr>
              <w:t>，建议两次氢溴酸除杂以免样品成分波动较大时可能除不干净而干扰测定。</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Theme="minorEastAsia"/>
                <w:szCs w:val="21"/>
              </w:rPr>
            </w:pPr>
            <w:r>
              <w:rPr>
                <w:rFonts w:hAnsiTheme="minorEastAsia" w:eastAsiaTheme="minorEastAsia"/>
                <w:szCs w:val="21"/>
              </w:rPr>
              <w:t>韶关质计所</w:t>
            </w:r>
          </w:p>
          <w:p>
            <w:pPr>
              <w:spacing w:line="360" w:lineRule="auto"/>
              <w:jc w:val="center"/>
              <w:rPr>
                <w:rFonts w:eastAsiaTheme="minorEastAsia"/>
                <w:szCs w:val="21"/>
              </w:rPr>
            </w:pPr>
            <w:r>
              <w:rPr>
                <w:rFonts w:hAnsiTheme="minorEastAsia" w:eastAsiaTheme="minorEastAsia"/>
                <w:szCs w:val="21"/>
              </w:rPr>
              <w:t>中金岭南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不采纳</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eastAsiaTheme="minorEastAsia"/>
                <w:szCs w:val="21"/>
              </w:rPr>
            </w:pPr>
            <w:r>
              <w:rPr>
                <w:rFonts w:hAnsiTheme="minorEastAsia" w:eastAsiaTheme="minorEastAsia"/>
                <w:szCs w:val="21"/>
              </w:rPr>
              <w:t>一次氢溴酸和两次氢溴酸除杂效果无明显差别</w:t>
            </w:r>
            <w:r>
              <w:rPr>
                <w:rFonts w:hint="eastAsia" w:hAnsiTheme="minorEastAsia" w:eastAsiaTheme="minorEastAsia"/>
                <w:szCs w:val="21"/>
              </w:rPr>
              <w:t>。一次氢溴酸除杂效果差的原因可能是温度没控制好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3</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1.2.1</w:t>
            </w:r>
          </w:p>
        </w:tc>
        <w:tc>
          <w:tcPr>
            <w:tcW w:w="2976" w:type="dxa"/>
            <w:tcBorders>
              <w:top w:val="single" w:color="auto" w:sz="4" w:space="0"/>
              <w:left w:val="single" w:color="auto" w:sz="4" w:space="0"/>
              <w:bottom w:val="single" w:color="auto" w:sz="4" w:space="0"/>
              <w:right w:val="single" w:color="auto" w:sz="4" w:space="0"/>
            </w:tcBorders>
            <w:vAlign w:val="center"/>
          </w:tcPr>
          <w:p>
            <w:pPr>
              <w:pStyle w:val="3"/>
              <w:spacing w:beforeLines="50" w:line="360" w:lineRule="auto"/>
              <w:ind w:firstLine="315" w:firstLineChars="150"/>
              <w:rPr>
                <w:rFonts w:eastAsiaTheme="minorEastAsia"/>
                <w:szCs w:val="21"/>
              </w:rPr>
            </w:pPr>
            <w:r>
              <w:rPr>
                <w:rFonts w:hAnsiTheme="minorEastAsia" w:eastAsiaTheme="minorEastAsia"/>
                <w:szCs w:val="21"/>
              </w:rPr>
              <w:t>加入</w:t>
            </w:r>
            <w:r>
              <w:rPr>
                <w:rFonts w:eastAsiaTheme="minorEastAsia"/>
                <w:szCs w:val="21"/>
              </w:rPr>
              <w:t>5mL</w:t>
            </w:r>
            <w:r>
              <w:rPr>
                <w:rFonts w:hAnsiTheme="minorEastAsia" w:eastAsiaTheme="minorEastAsia"/>
                <w:szCs w:val="21"/>
              </w:rPr>
              <w:t>盐酸（</w:t>
            </w:r>
            <w:r>
              <w:rPr>
                <w:rFonts w:eastAsiaTheme="minorEastAsia"/>
                <w:szCs w:val="21"/>
              </w:rPr>
              <w:t>1.1.4</w:t>
            </w:r>
            <w:r>
              <w:rPr>
                <w:rFonts w:hAnsiTheme="minorEastAsia" w:eastAsiaTheme="minorEastAsia"/>
                <w:szCs w:val="21"/>
              </w:rPr>
              <w:t>）后，应蒸至近干后再吹水，否则会因为酸度太大导致后续加入大量的氨水。</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Theme="minorEastAsia"/>
                <w:szCs w:val="21"/>
              </w:rPr>
            </w:pPr>
            <w:r>
              <w:rPr>
                <w:rFonts w:hAnsiTheme="minorEastAsia" w:eastAsiaTheme="minorEastAsia"/>
                <w:szCs w:val="21"/>
              </w:rPr>
              <w:t>江铜贵冶</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不采纳</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此处加盐酸是把样品加热溶解盐类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4</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1.2.1</w:t>
            </w:r>
          </w:p>
        </w:tc>
        <w:tc>
          <w:tcPr>
            <w:tcW w:w="297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试料溶解后盐酸加入量能否改为</w:t>
            </w:r>
            <w:r>
              <w:rPr>
                <w:rFonts w:eastAsiaTheme="minorEastAsia"/>
                <w:szCs w:val="21"/>
              </w:rPr>
              <w:t>2ml</w:t>
            </w:r>
            <w:r>
              <w:rPr>
                <w:rFonts w:hAnsiTheme="minorEastAsia" w:eastAsiaTheme="minorEastAsia"/>
                <w:szCs w:val="21"/>
              </w:rPr>
              <w:t>～</w:t>
            </w:r>
            <w:r>
              <w:rPr>
                <w:rFonts w:eastAsiaTheme="minorEastAsia"/>
                <w:szCs w:val="21"/>
              </w:rPr>
              <w:t>3ml</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Theme="minorEastAsia"/>
                <w:szCs w:val="21"/>
              </w:rPr>
            </w:pPr>
            <w:r>
              <w:rPr>
                <w:rFonts w:hAnsiTheme="minorEastAsia" w:eastAsiaTheme="minorEastAsia"/>
                <w:szCs w:val="21"/>
              </w:rPr>
              <w:t>中条山</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不采纳</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zCs w:val="21"/>
              </w:rPr>
              <w:t>盐酸量小不能使样品充分溶解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5</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1.2.1</w:t>
            </w:r>
          </w:p>
        </w:tc>
        <w:tc>
          <w:tcPr>
            <w:tcW w:w="297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AnsiTheme="minorEastAsia" w:eastAsiaTheme="minorEastAsia"/>
                <w:spacing w:val="6"/>
                <w:szCs w:val="21"/>
              </w:rPr>
              <w:t>对于</w:t>
            </w:r>
            <w:r>
              <w:rPr>
                <w:rFonts w:eastAsiaTheme="minorEastAsia"/>
                <w:spacing w:val="6"/>
                <w:szCs w:val="21"/>
              </w:rPr>
              <w:t>“</w:t>
            </w:r>
            <w:r>
              <w:rPr>
                <w:rFonts w:hAnsiTheme="minorEastAsia" w:eastAsiaTheme="minorEastAsia"/>
                <w:spacing w:val="6"/>
                <w:szCs w:val="21"/>
              </w:rPr>
              <w:t>低温加热至冒高氯酸浓白烟</w:t>
            </w:r>
            <w:r>
              <w:rPr>
                <w:rFonts w:eastAsiaTheme="minorEastAsia"/>
                <w:spacing w:val="6"/>
                <w:szCs w:val="21"/>
              </w:rPr>
              <w:t>”</w:t>
            </w:r>
            <w:r>
              <w:rPr>
                <w:rFonts w:hAnsiTheme="minorEastAsia" w:eastAsiaTheme="minorEastAsia"/>
                <w:spacing w:val="6"/>
                <w:szCs w:val="21"/>
              </w:rPr>
              <w:t>中</w:t>
            </w:r>
            <w:r>
              <w:rPr>
                <w:rFonts w:eastAsiaTheme="minorEastAsia"/>
                <w:spacing w:val="6"/>
                <w:szCs w:val="21"/>
              </w:rPr>
              <w:t>“</w:t>
            </w:r>
            <w:r>
              <w:rPr>
                <w:rFonts w:hAnsiTheme="minorEastAsia" w:eastAsiaTheme="minorEastAsia"/>
                <w:spacing w:val="6"/>
                <w:szCs w:val="21"/>
              </w:rPr>
              <w:t>低温加热</w:t>
            </w:r>
            <w:r>
              <w:rPr>
                <w:rFonts w:eastAsiaTheme="minorEastAsia"/>
                <w:spacing w:val="6"/>
                <w:szCs w:val="21"/>
              </w:rPr>
              <w:t>”</w:t>
            </w:r>
            <w:r>
              <w:rPr>
                <w:rFonts w:hAnsiTheme="minorEastAsia" w:eastAsiaTheme="minorEastAsia"/>
                <w:spacing w:val="6"/>
                <w:szCs w:val="21"/>
              </w:rPr>
              <w:t>这个描述是否可以更加具体一点？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Theme="minorEastAsia"/>
                <w:szCs w:val="21"/>
              </w:rPr>
            </w:pPr>
            <w:r>
              <w:rPr>
                <w:rFonts w:hAnsiTheme="minorEastAsia" w:eastAsiaTheme="minorEastAsia"/>
                <w:szCs w:val="21"/>
              </w:rPr>
              <w:t>大冶</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int="eastAsia" w:eastAsiaTheme="minorEastAsia"/>
                <w:szCs w:val="21"/>
              </w:rPr>
              <w:t>不采纳</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hint="eastAsia" w:eastAsiaTheme="minorEastAsia"/>
                <w:szCs w:val="21"/>
              </w:rPr>
              <w:t>改为“</w:t>
            </w:r>
            <w:r>
              <w:rPr>
                <w:rFonts w:hint="eastAsia" w:hAnsiTheme="minorEastAsia" w:eastAsiaTheme="minorEastAsia"/>
                <w:bCs/>
                <w:color w:val="000000"/>
                <w:szCs w:val="21"/>
              </w:rPr>
              <w:t>继续</w:t>
            </w:r>
            <w:r>
              <w:rPr>
                <w:rFonts w:hAnsiTheme="minorEastAsia" w:eastAsiaTheme="minorEastAsia"/>
                <w:bCs/>
                <w:color w:val="000000"/>
                <w:szCs w:val="21"/>
              </w:rPr>
              <w:t>加热至冒高氯酸浓白烟</w:t>
            </w: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6</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297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Theme="minorEastAsia"/>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7</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297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Theme="minorEastAsia"/>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8</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297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Theme="minorEastAsia"/>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9</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297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r>
              <w:rPr>
                <w:rFonts w:eastAsiaTheme="minorEastAsia"/>
                <w:szCs w:val="21"/>
              </w:rPr>
              <w:t>10</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297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eastAsiaTheme="minorEastAsia"/>
                <w:szCs w:val="21"/>
              </w:rPr>
            </w:pPr>
          </w:p>
        </w:tc>
      </w:tr>
    </w:tbl>
    <w:p>
      <w:pPr>
        <w:spacing w:line="300" w:lineRule="auto"/>
        <w:rPr>
          <w:szCs w:val="21"/>
        </w:rPr>
      </w:pPr>
      <w:r>
        <w:rPr>
          <w:rFonts w:hint="eastAsia"/>
          <w:szCs w:val="21"/>
        </w:rPr>
        <w:t>说明（</w:t>
      </w:r>
      <w:r>
        <w:rPr>
          <w:szCs w:val="21"/>
        </w:rPr>
        <w:t>1</w:t>
      </w:r>
      <w:r>
        <w:rPr>
          <w:rFonts w:hint="eastAsia"/>
          <w:szCs w:val="21"/>
        </w:rPr>
        <w:t>）发送《征求意见稿》的单位数：10</w:t>
      </w:r>
    </w:p>
    <w:p>
      <w:pPr>
        <w:spacing w:line="300" w:lineRule="auto"/>
        <w:ind w:firstLine="420"/>
        <w:rPr>
          <w:szCs w:val="21"/>
        </w:rPr>
      </w:pPr>
      <w:r>
        <w:rPr>
          <w:rFonts w:hint="eastAsia"/>
          <w:szCs w:val="21"/>
        </w:rPr>
        <w:t>（</w:t>
      </w:r>
      <w:r>
        <w:rPr>
          <w:szCs w:val="21"/>
        </w:rPr>
        <w:t>2</w:t>
      </w:r>
      <w:r>
        <w:rPr>
          <w:rFonts w:hint="eastAsia"/>
          <w:szCs w:val="21"/>
        </w:rPr>
        <w:t>）收到《征求意见稿》后，回函的单位数：10</w:t>
      </w:r>
    </w:p>
    <w:p>
      <w:pPr>
        <w:spacing w:line="300" w:lineRule="auto"/>
        <w:ind w:firstLine="420"/>
        <w:rPr>
          <w:szCs w:val="21"/>
        </w:rPr>
      </w:pPr>
      <w:r>
        <w:rPr>
          <w:rFonts w:hint="eastAsia"/>
          <w:szCs w:val="21"/>
        </w:rPr>
        <w:t>（</w:t>
      </w:r>
      <w:r>
        <w:rPr>
          <w:szCs w:val="21"/>
        </w:rPr>
        <w:t>3</w:t>
      </w:r>
      <w:r>
        <w:rPr>
          <w:rFonts w:hint="eastAsia"/>
          <w:szCs w:val="21"/>
        </w:rPr>
        <w:t>）收到《征求意见稿》后，回函并有建议或意见的单位数：5</w:t>
      </w:r>
    </w:p>
    <w:p>
      <w:pPr>
        <w:spacing w:line="300" w:lineRule="auto"/>
        <w:ind w:firstLine="420"/>
        <w:rPr>
          <w:szCs w:val="21"/>
        </w:rPr>
      </w:pPr>
      <w:r>
        <w:rPr>
          <w:rFonts w:hint="eastAsia"/>
          <w:szCs w:val="21"/>
        </w:rPr>
        <w:t>（</w:t>
      </w:r>
      <w:r>
        <w:rPr>
          <w:szCs w:val="21"/>
        </w:rPr>
        <w:t>4</w:t>
      </w:r>
      <w:r>
        <w:rPr>
          <w:rFonts w:hint="eastAsia"/>
          <w:szCs w:val="21"/>
        </w:rPr>
        <w:t>）没有回函的单位数：</w:t>
      </w:r>
      <w:r>
        <w:rPr>
          <w:szCs w:val="21"/>
        </w:rPr>
        <w:t>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381"/>
    <w:multiLevelType w:val="multilevel"/>
    <w:tmpl w:val="1C7F7381"/>
    <w:lvl w:ilvl="0" w:tentative="0">
      <w:start w:val="1"/>
      <w:numFmt w:val="decimal"/>
      <w:pStyle w:val="12"/>
      <w:lvlText w:val="%1）"/>
      <w:lvlJc w:val="left"/>
      <w:pPr>
        <w:tabs>
          <w:tab w:val="left" w:pos="675"/>
        </w:tabs>
        <w:ind w:left="67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251F2"/>
    <w:rsid w:val="00005531"/>
    <w:rsid w:val="00030BA8"/>
    <w:rsid w:val="00063771"/>
    <w:rsid w:val="000637EA"/>
    <w:rsid w:val="000B5531"/>
    <w:rsid w:val="000B7B57"/>
    <w:rsid w:val="000C58A9"/>
    <w:rsid w:val="000D6796"/>
    <w:rsid w:val="000F0863"/>
    <w:rsid w:val="00132FBC"/>
    <w:rsid w:val="001513DB"/>
    <w:rsid w:val="00156716"/>
    <w:rsid w:val="00176A66"/>
    <w:rsid w:val="001944DE"/>
    <w:rsid w:val="00195154"/>
    <w:rsid w:val="001B08BC"/>
    <w:rsid w:val="001B4225"/>
    <w:rsid w:val="001D192C"/>
    <w:rsid w:val="00201E52"/>
    <w:rsid w:val="00224970"/>
    <w:rsid w:val="00241A6F"/>
    <w:rsid w:val="00246137"/>
    <w:rsid w:val="00274AF9"/>
    <w:rsid w:val="002B42A2"/>
    <w:rsid w:val="002F2CEB"/>
    <w:rsid w:val="002F3807"/>
    <w:rsid w:val="003116C8"/>
    <w:rsid w:val="003271B9"/>
    <w:rsid w:val="00371722"/>
    <w:rsid w:val="0037744E"/>
    <w:rsid w:val="003D45CE"/>
    <w:rsid w:val="003E72E5"/>
    <w:rsid w:val="004220CB"/>
    <w:rsid w:val="00422C76"/>
    <w:rsid w:val="0043267E"/>
    <w:rsid w:val="00460FBB"/>
    <w:rsid w:val="00494101"/>
    <w:rsid w:val="00496474"/>
    <w:rsid w:val="004A0843"/>
    <w:rsid w:val="004A53F2"/>
    <w:rsid w:val="004B5D10"/>
    <w:rsid w:val="004E6ED4"/>
    <w:rsid w:val="004F4BF1"/>
    <w:rsid w:val="005048FF"/>
    <w:rsid w:val="00504FC9"/>
    <w:rsid w:val="00514DC6"/>
    <w:rsid w:val="00525D23"/>
    <w:rsid w:val="005360FE"/>
    <w:rsid w:val="00551845"/>
    <w:rsid w:val="00561E76"/>
    <w:rsid w:val="00577BF5"/>
    <w:rsid w:val="00593FB4"/>
    <w:rsid w:val="00596AB7"/>
    <w:rsid w:val="005A2E3F"/>
    <w:rsid w:val="005B1B02"/>
    <w:rsid w:val="005C7162"/>
    <w:rsid w:val="005D400F"/>
    <w:rsid w:val="005F01A1"/>
    <w:rsid w:val="006129C7"/>
    <w:rsid w:val="00634811"/>
    <w:rsid w:val="0064694F"/>
    <w:rsid w:val="006878EA"/>
    <w:rsid w:val="006B1354"/>
    <w:rsid w:val="006E53C6"/>
    <w:rsid w:val="00731B0D"/>
    <w:rsid w:val="00794307"/>
    <w:rsid w:val="007B7D5C"/>
    <w:rsid w:val="007D4CA4"/>
    <w:rsid w:val="00801FD3"/>
    <w:rsid w:val="00825DC4"/>
    <w:rsid w:val="00831801"/>
    <w:rsid w:val="0086041D"/>
    <w:rsid w:val="008A1566"/>
    <w:rsid w:val="008D3793"/>
    <w:rsid w:val="008E7262"/>
    <w:rsid w:val="00902A8C"/>
    <w:rsid w:val="009147C8"/>
    <w:rsid w:val="00962505"/>
    <w:rsid w:val="0097482E"/>
    <w:rsid w:val="00992D0D"/>
    <w:rsid w:val="00994228"/>
    <w:rsid w:val="009A620F"/>
    <w:rsid w:val="009B1C18"/>
    <w:rsid w:val="009C71FF"/>
    <w:rsid w:val="009C7C80"/>
    <w:rsid w:val="00A13204"/>
    <w:rsid w:val="00A34119"/>
    <w:rsid w:val="00A46D9B"/>
    <w:rsid w:val="00A9559F"/>
    <w:rsid w:val="00A9693B"/>
    <w:rsid w:val="00AA5A17"/>
    <w:rsid w:val="00AD37A8"/>
    <w:rsid w:val="00AD6EB8"/>
    <w:rsid w:val="00AE4037"/>
    <w:rsid w:val="00B144CE"/>
    <w:rsid w:val="00B53833"/>
    <w:rsid w:val="00BB73D7"/>
    <w:rsid w:val="00BE29CB"/>
    <w:rsid w:val="00C6326F"/>
    <w:rsid w:val="00C746FF"/>
    <w:rsid w:val="00C81FFC"/>
    <w:rsid w:val="00CA22E0"/>
    <w:rsid w:val="00D20449"/>
    <w:rsid w:val="00D251F2"/>
    <w:rsid w:val="00D54F66"/>
    <w:rsid w:val="00D87F63"/>
    <w:rsid w:val="00DB1D9A"/>
    <w:rsid w:val="00DB34B6"/>
    <w:rsid w:val="00DC31DA"/>
    <w:rsid w:val="00DE1159"/>
    <w:rsid w:val="00DE7AB3"/>
    <w:rsid w:val="00E3487C"/>
    <w:rsid w:val="00E937E1"/>
    <w:rsid w:val="00EA7CAF"/>
    <w:rsid w:val="00EC6A2E"/>
    <w:rsid w:val="00EE5C7F"/>
    <w:rsid w:val="00EF48CB"/>
    <w:rsid w:val="00F25CEA"/>
    <w:rsid w:val="00F502EF"/>
    <w:rsid w:val="00F81590"/>
    <w:rsid w:val="00FA4D33"/>
    <w:rsid w:val="00FC5A4D"/>
    <w:rsid w:val="00FD034E"/>
    <w:rsid w:val="00FE033F"/>
    <w:rsid w:val="00FE558A"/>
    <w:rsid w:val="028F4B6B"/>
    <w:rsid w:val="082345BC"/>
    <w:rsid w:val="087E0551"/>
    <w:rsid w:val="0C396B81"/>
    <w:rsid w:val="15D00676"/>
    <w:rsid w:val="1FAE37E8"/>
    <w:rsid w:val="21974F79"/>
    <w:rsid w:val="23B32956"/>
    <w:rsid w:val="24852B53"/>
    <w:rsid w:val="262F09E5"/>
    <w:rsid w:val="29DD1C43"/>
    <w:rsid w:val="2C013B50"/>
    <w:rsid w:val="2CF47680"/>
    <w:rsid w:val="30A57371"/>
    <w:rsid w:val="349B1AE3"/>
    <w:rsid w:val="400F7397"/>
    <w:rsid w:val="456A591E"/>
    <w:rsid w:val="467F47AD"/>
    <w:rsid w:val="46AA0FC2"/>
    <w:rsid w:val="48E77009"/>
    <w:rsid w:val="4E97312C"/>
    <w:rsid w:val="4F291FB4"/>
    <w:rsid w:val="534D78BD"/>
    <w:rsid w:val="538E0425"/>
    <w:rsid w:val="53D64B4E"/>
    <w:rsid w:val="55E32788"/>
    <w:rsid w:val="5F690FCF"/>
    <w:rsid w:val="60EC34D2"/>
    <w:rsid w:val="63D50E62"/>
    <w:rsid w:val="649F4A20"/>
    <w:rsid w:val="673E68DF"/>
    <w:rsid w:val="6EC83828"/>
    <w:rsid w:val="6F3B2F8D"/>
    <w:rsid w:val="6F5B10D8"/>
    <w:rsid w:val="6FA94D46"/>
    <w:rsid w:val="78190B31"/>
    <w:rsid w:val="7B686892"/>
    <w:rsid w:val="7B6A206E"/>
    <w:rsid w:val="7C23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link w:val="20"/>
    <w:uiPriority w:val="0"/>
    <w:pPr>
      <w:spacing w:after="120"/>
    </w:pPr>
  </w:style>
  <w:style w:type="paragraph" w:styleId="4">
    <w:name w:val="Balloon Text"/>
    <w:basedOn w:val="1"/>
    <w:link w:val="19"/>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1">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szCs w:val="22"/>
      <w:lang w:val="en-US" w:eastAsia="zh-CN" w:bidi="ar-SA"/>
    </w:rPr>
  </w:style>
  <w:style w:type="paragraph" w:customStyle="1" w:styleId="12">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paragraph" w:customStyle="1" w:styleId="13">
    <w:name w:val="封面标准号2"/>
    <w:basedOn w:val="1"/>
    <w:qFormat/>
    <w:uiPriority w:val="0"/>
  </w:style>
  <w:style w:type="paragraph" w:customStyle="1" w:styleId="14">
    <w:name w:val="段"/>
    <w:qFormat/>
    <w:uiPriority w:val="0"/>
    <w:pPr>
      <w:autoSpaceDE w:val="0"/>
      <w:autoSpaceDN w:val="0"/>
      <w:ind w:firstLine="200" w:firstLineChars="200"/>
      <w:jc w:val="both"/>
    </w:pPr>
    <w:rPr>
      <w:rFonts w:ascii="宋体" w:hAnsi="宋体" w:eastAsia="宋体" w:cs="Times New Roman"/>
      <w:sz w:val="21"/>
      <w:szCs w:val="22"/>
      <w:lang w:val="en-US" w:eastAsia="zh-CN" w:bidi="ar-SA"/>
    </w:rPr>
  </w:style>
  <w:style w:type="character" w:customStyle="1" w:styleId="15">
    <w:name w:val="页眉 Char"/>
    <w:basedOn w:val="7"/>
    <w:link w:val="6"/>
    <w:qFormat/>
    <w:uiPriority w:val="0"/>
    <w:rPr>
      <w:rFonts w:ascii="Times New Roman" w:hAnsi="Times New Roman" w:eastAsia="宋体" w:cs="Times New Roman"/>
      <w:kern w:val="2"/>
      <w:sz w:val="18"/>
      <w:szCs w:val="18"/>
    </w:rPr>
  </w:style>
  <w:style w:type="character" w:customStyle="1" w:styleId="16">
    <w:name w:val="页脚 Char"/>
    <w:basedOn w:val="7"/>
    <w:link w:val="5"/>
    <w:qFormat/>
    <w:uiPriority w:val="99"/>
    <w:rPr>
      <w:rFonts w:ascii="Times New Roman" w:hAnsi="Times New Roman" w:eastAsia="宋体" w:cs="Times New Roman"/>
      <w:kern w:val="2"/>
      <w:sz w:val="18"/>
      <w:szCs w:val="18"/>
    </w:rPr>
  </w:style>
  <w:style w:type="paragraph" w:customStyle="1" w:styleId="17">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
    <w:name w:val="标准"/>
    <w:basedOn w:val="1"/>
    <w:qFormat/>
    <w:uiPriority w:val="0"/>
    <w:pPr>
      <w:adjustRightInd w:val="0"/>
      <w:spacing w:line="312" w:lineRule="atLeast"/>
      <w:jc w:val="center"/>
      <w:textAlignment w:val="baseline"/>
    </w:pPr>
    <w:rPr>
      <w:kern w:val="0"/>
      <w:szCs w:val="20"/>
    </w:rPr>
  </w:style>
  <w:style w:type="character" w:customStyle="1" w:styleId="19">
    <w:name w:val="批注框文本 Char"/>
    <w:basedOn w:val="7"/>
    <w:link w:val="4"/>
    <w:qFormat/>
    <w:uiPriority w:val="0"/>
    <w:rPr>
      <w:rFonts w:ascii="Times New Roman" w:hAnsi="Times New Roman" w:eastAsia="宋体" w:cs="Times New Roman"/>
      <w:kern w:val="2"/>
      <w:sz w:val="18"/>
      <w:szCs w:val="18"/>
    </w:rPr>
  </w:style>
  <w:style w:type="character" w:customStyle="1" w:styleId="20">
    <w:name w:val="正文文本 Char"/>
    <w:basedOn w:val="7"/>
    <w:link w:val="3"/>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7989</Words>
  <Characters>7087</Characters>
  <Lines>59</Lines>
  <Paragraphs>30</Paragraphs>
  <TotalTime>0</TotalTime>
  <ScaleCrop>false</ScaleCrop>
  <LinksUpToDate>false</LinksUpToDate>
  <CharactersWithSpaces>15046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2017-11-11T12:01:31Z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