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jc w:val="center"/>
        <w:rPr>
          <w:rFonts w:ascii="黑体" w:hAnsi="黑体" w:eastAsia="黑体"/>
          <w:sz w:val="52"/>
          <w:szCs w:val="52"/>
        </w:rPr>
      </w:pPr>
      <w:r>
        <w:rPr>
          <w:rFonts w:hint="eastAsia" w:ascii="黑体" w:hAnsi="黑体" w:eastAsia="黑体"/>
          <w:sz w:val="52"/>
          <w:szCs w:val="52"/>
        </w:rPr>
        <w:t>锆铌中间合金</w:t>
      </w:r>
    </w:p>
    <w:p/>
    <w:p/>
    <w:p>
      <w:pPr>
        <w:rPr>
          <w:sz w:val="28"/>
          <w:szCs w:val="28"/>
        </w:rPr>
      </w:pPr>
    </w:p>
    <w:p>
      <w:pPr>
        <w:jc w:val="center"/>
        <w:rPr>
          <w:sz w:val="28"/>
          <w:szCs w:val="28"/>
        </w:rPr>
      </w:pPr>
      <w:r>
        <w:rPr>
          <w:rFonts w:hint="eastAsia"/>
          <w:sz w:val="28"/>
          <w:szCs w:val="28"/>
        </w:rPr>
        <w:t>编制说明</w:t>
      </w:r>
    </w:p>
    <w:p>
      <w:pPr>
        <w:ind w:firstLine="4480" w:firstLineChars="1600"/>
        <w:rPr>
          <w:sz w:val="28"/>
          <w:szCs w:val="28"/>
        </w:rPr>
      </w:pPr>
    </w:p>
    <w:p>
      <w:pPr>
        <w:ind w:firstLine="4480" w:firstLineChars="1600"/>
        <w:rPr>
          <w:sz w:val="28"/>
          <w:szCs w:val="28"/>
        </w:rPr>
      </w:pPr>
    </w:p>
    <w:p>
      <w:pPr>
        <w:ind w:firstLine="3500" w:firstLineChars="1250"/>
        <w:rPr>
          <w:sz w:val="28"/>
          <w:szCs w:val="28"/>
        </w:rPr>
      </w:pPr>
      <w:r>
        <w:rPr>
          <w:rFonts w:hint="eastAsia"/>
          <w:sz w:val="28"/>
          <w:szCs w:val="28"/>
        </w:rPr>
        <w:t>（讨论稿）</w:t>
      </w:r>
    </w:p>
    <w:p/>
    <w:p/>
    <w:p/>
    <w:p/>
    <w:p/>
    <w:p/>
    <w:p/>
    <w:p/>
    <w:p/>
    <w:p/>
    <w:p/>
    <w:p/>
    <w:p/>
    <w:p/>
    <w:p/>
    <w:p/>
    <w:p/>
    <w:p/>
    <w:p>
      <w:pPr>
        <w:jc w:val="center"/>
        <w:rPr>
          <w:rFonts w:ascii="Times New Roman" w:hAnsi="Times New Roman" w:cs="Times New Roman"/>
          <w:sz w:val="28"/>
          <w:szCs w:val="28"/>
        </w:rPr>
      </w:pPr>
      <w:r>
        <w:rPr>
          <w:rFonts w:ascii="Times New Roman" w:hAnsi="Times New Roman" w:cs="Times New Roman"/>
          <w:sz w:val="28"/>
          <w:szCs w:val="28"/>
        </w:rPr>
        <w:t>2016-</w:t>
      </w:r>
      <w:r>
        <w:rPr>
          <w:rFonts w:hint="eastAsia" w:ascii="Times New Roman" w:hAnsi="Times New Roman" w:cs="Times New Roman"/>
          <w:sz w:val="28"/>
          <w:szCs w:val="28"/>
        </w:rPr>
        <w:t>11</w:t>
      </w:r>
    </w:p>
    <w:p>
      <w:pPr>
        <w:widowControl/>
        <w:jc w:val="left"/>
        <w:rPr>
          <w:rFonts w:ascii="Times New Roman" w:hAnsi="Times New Roman" w:cs="Times New Roman"/>
        </w:rPr>
      </w:pPr>
      <w:r>
        <w:rPr>
          <w:rFonts w:ascii="Times New Roman" w:hAnsi="Times New Roman" w:cs="Times New Roman"/>
        </w:rPr>
        <w:br w:type="page"/>
      </w:r>
    </w:p>
    <w:p>
      <w:pPr>
        <w:adjustRightInd w:val="0"/>
        <w:snapToGrid w:val="0"/>
        <w:spacing w:line="360" w:lineRule="auto"/>
        <w:jc w:val="center"/>
        <w:rPr>
          <w:rFonts w:ascii="黑体" w:hAnsi="黑体" w:eastAsia="黑体" w:cs="Times New Roman"/>
          <w:sz w:val="28"/>
          <w:szCs w:val="28"/>
        </w:rPr>
      </w:pPr>
      <w:r>
        <w:rPr>
          <w:rFonts w:hint="eastAsia" w:ascii="黑体" w:hAnsi="黑体" w:eastAsia="黑体" w:cs="Times New Roman"/>
          <w:sz w:val="28"/>
          <w:szCs w:val="28"/>
        </w:rPr>
        <w:t>锆铌中间合金</w:t>
      </w:r>
    </w:p>
    <w:p>
      <w:pPr>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编制说明（讨论稿）</w:t>
      </w:r>
    </w:p>
    <w:p>
      <w:pPr>
        <w:pStyle w:val="9"/>
        <w:numPr>
          <w:ilvl w:val="0"/>
          <w:numId w:val="1"/>
        </w:numPr>
        <w:adjustRightInd w:val="0"/>
        <w:snapToGrid w:val="0"/>
        <w:spacing w:beforeLines="10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工作简况</w:t>
      </w:r>
    </w:p>
    <w:p>
      <w:pPr>
        <w:pStyle w:val="9"/>
        <w:numPr>
          <w:ilvl w:val="0"/>
          <w:numId w:val="2"/>
        </w:numPr>
        <w:adjustRightInd w:val="0"/>
        <w:snapToGrid w:val="0"/>
        <w:spacing w:line="360" w:lineRule="auto"/>
        <w:ind w:firstLineChars="0"/>
        <w:jc w:val="left"/>
        <w:rPr>
          <w:rFonts w:ascii="黑体" w:hAnsi="黑体" w:eastAsia="黑体" w:cs="Times New Roman"/>
          <w:sz w:val="24"/>
          <w:szCs w:val="24"/>
        </w:rPr>
      </w:pPr>
      <w:r>
        <w:rPr>
          <w:rFonts w:hint="eastAsia" w:ascii="黑体" w:hAnsi="黑体" w:eastAsia="黑体" w:cs="Times New Roman"/>
          <w:sz w:val="24"/>
          <w:szCs w:val="24"/>
        </w:rPr>
        <w:t>任务来源</w:t>
      </w:r>
    </w:p>
    <w:p>
      <w:pPr>
        <w:pStyle w:val="9"/>
        <w:adjustRightInd w:val="0"/>
        <w:snapToGrid w:val="0"/>
        <w:spacing w:line="360" w:lineRule="auto"/>
        <w:ind w:firstLine="473" w:firstLineChars="197"/>
        <w:jc w:val="left"/>
        <w:rPr>
          <w:sz w:val="24"/>
          <w:szCs w:val="24"/>
          <w:shd w:val="clear" w:color="auto" w:fill="FFFFFF" w:themeFill="background1"/>
        </w:rPr>
      </w:pPr>
      <w:r>
        <w:rPr>
          <w:rFonts w:hint="eastAsia"/>
          <w:sz w:val="24"/>
          <w:szCs w:val="24"/>
        </w:rPr>
        <w:t>根据公信厅科</w:t>
      </w:r>
      <w:r>
        <w:rPr>
          <w:rFonts w:hint="eastAsia" w:asciiTheme="minorEastAsia" w:hAnsiTheme="minorEastAsia"/>
          <w:sz w:val="24"/>
          <w:szCs w:val="24"/>
        </w:rPr>
        <w:t>〔2015〕115号《工业和信息化部办公厅关于印发2015年第三批标准制修订计划的通知》要求，由西部新锆核材料科技有限公司负责制定《锆铌中间合金》有色行业标准。项目计划编号：2015-1083T-YS，计划完成年限为2017年。</w:t>
      </w:r>
    </w:p>
    <w:p>
      <w:pPr>
        <w:pStyle w:val="9"/>
        <w:numPr>
          <w:ilvl w:val="0"/>
          <w:numId w:val="2"/>
        </w:numPr>
        <w:adjustRightInd w:val="0"/>
        <w:snapToGrid w:val="0"/>
        <w:spacing w:line="360" w:lineRule="auto"/>
        <w:ind w:firstLineChars="0"/>
        <w:jc w:val="left"/>
        <w:rPr>
          <w:rFonts w:ascii="黑体" w:hAnsi="黑体" w:eastAsia="黑体" w:cs="Times New Roman"/>
          <w:sz w:val="24"/>
          <w:szCs w:val="24"/>
        </w:rPr>
      </w:pPr>
      <w:r>
        <w:rPr>
          <w:rFonts w:hint="eastAsia" w:ascii="黑体" w:hAnsi="黑体" w:eastAsia="黑体" w:cs="Times New Roman"/>
          <w:sz w:val="24"/>
          <w:szCs w:val="24"/>
        </w:rPr>
        <w:t>起草单位</w:t>
      </w:r>
    </w:p>
    <w:p>
      <w:pPr>
        <w:adjustRightInd w:val="0"/>
        <w:snapToGrid w:val="0"/>
        <w:spacing w:line="360" w:lineRule="auto"/>
        <w:ind w:firstLine="480" w:firstLineChars="200"/>
        <w:rPr>
          <w:sz w:val="24"/>
          <w:szCs w:val="24"/>
        </w:rPr>
      </w:pPr>
      <w:r>
        <w:rPr>
          <w:rFonts w:hint="eastAsia"/>
          <w:sz w:val="24"/>
          <w:szCs w:val="24"/>
        </w:rPr>
        <w:t>西部新锆核材料科技有限公司成立于</w:t>
      </w:r>
      <w:r>
        <w:rPr>
          <w:sz w:val="24"/>
          <w:szCs w:val="24"/>
        </w:rPr>
        <w:t>2013</w:t>
      </w:r>
      <w:r>
        <w:rPr>
          <w:rFonts w:hint="eastAsia"/>
          <w:sz w:val="24"/>
          <w:szCs w:val="24"/>
        </w:rPr>
        <w:t>年</w:t>
      </w:r>
      <w:r>
        <w:rPr>
          <w:sz w:val="24"/>
          <w:szCs w:val="24"/>
        </w:rPr>
        <w:t>4</w:t>
      </w:r>
      <w:r>
        <w:rPr>
          <w:rFonts w:hint="eastAsia"/>
          <w:sz w:val="24"/>
          <w:szCs w:val="24"/>
        </w:rPr>
        <w:t>月，是以发改委、工信部、财政部三部委批准的“自主化先进压水堆燃料组件用锆合金结构材料产业化”项目为推动成立的独立法人公司。公司</w:t>
      </w:r>
      <w:r>
        <w:rPr>
          <w:rFonts w:hint="eastAsia"/>
          <w:bCs/>
          <w:sz w:val="24"/>
          <w:szCs w:val="24"/>
        </w:rPr>
        <w:t>前身来自于西北有色金属研究院新材料研究所，具有雄厚的锆及锆合金研发实力，</w:t>
      </w:r>
      <w:r>
        <w:rPr>
          <w:rFonts w:hint="eastAsia"/>
          <w:sz w:val="24"/>
          <w:szCs w:val="24"/>
        </w:rPr>
        <w:t>是核用锆、铪材自主化科研生产基地，是世界一流的国家级核用特种金属材料研发、评价、性能分析、检测、中试和工业化生产为一体的创新平台。</w:t>
      </w:r>
    </w:p>
    <w:p>
      <w:pPr>
        <w:adjustRightInd w:val="0"/>
        <w:snapToGrid w:val="0"/>
        <w:spacing w:line="360" w:lineRule="auto"/>
        <w:ind w:firstLine="480" w:firstLineChars="200"/>
        <w:rPr>
          <w:bCs/>
          <w:sz w:val="24"/>
          <w:szCs w:val="24"/>
        </w:rPr>
      </w:pPr>
      <w:r>
        <w:rPr>
          <w:rFonts w:hint="eastAsia"/>
          <w:bCs/>
          <w:sz w:val="24"/>
          <w:szCs w:val="24"/>
        </w:rPr>
        <w:t>公司目前</w:t>
      </w:r>
      <w:r>
        <w:rPr>
          <w:rFonts w:hint="eastAsia"/>
          <w:sz w:val="24"/>
          <w:szCs w:val="24"/>
        </w:rPr>
        <w:t>拥有各项发明专利</w:t>
      </w:r>
      <w:r>
        <w:rPr>
          <w:sz w:val="24"/>
          <w:szCs w:val="24"/>
        </w:rPr>
        <w:t>16</w:t>
      </w:r>
      <w:r>
        <w:rPr>
          <w:rFonts w:hint="eastAsia"/>
          <w:sz w:val="24"/>
          <w:szCs w:val="24"/>
        </w:rPr>
        <w:t>项，</w:t>
      </w:r>
      <w:r>
        <w:rPr>
          <w:rFonts w:hint="eastAsia"/>
          <w:bCs/>
          <w:sz w:val="24"/>
          <w:szCs w:val="24"/>
        </w:rPr>
        <w:t>拥有自主知识产权的合金牌号如</w:t>
      </w:r>
      <w:r>
        <w:rPr>
          <w:bCs/>
          <w:sz w:val="24"/>
          <w:szCs w:val="24"/>
        </w:rPr>
        <w:t>C7</w:t>
      </w:r>
      <w:r>
        <w:rPr>
          <w:rFonts w:hint="eastAsia"/>
          <w:bCs/>
          <w:sz w:val="24"/>
          <w:szCs w:val="24"/>
        </w:rPr>
        <w:t>、</w:t>
      </w:r>
      <w:r>
        <w:rPr>
          <w:bCs/>
          <w:sz w:val="24"/>
          <w:szCs w:val="24"/>
        </w:rPr>
        <w:t>N18</w:t>
      </w:r>
      <w:r>
        <w:rPr>
          <w:rFonts w:hint="eastAsia"/>
          <w:bCs/>
          <w:sz w:val="24"/>
          <w:szCs w:val="24"/>
        </w:rPr>
        <w:t>、</w:t>
      </w:r>
      <w:r>
        <w:rPr>
          <w:bCs/>
          <w:sz w:val="24"/>
          <w:szCs w:val="24"/>
        </w:rPr>
        <w:t>N36</w:t>
      </w:r>
      <w:r>
        <w:rPr>
          <w:rFonts w:hint="eastAsia"/>
          <w:bCs/>
          <w:sz w:val="24"/>
          <w:szCs w:val="24"/>
        </w:rPr>
        <w:t>等，并掌握其全部金属压力加工技术，所研制、生产的合金性能优异，达到了国外</w:t>
      </w:r>
      <w:r>
        <w:rPr>
          <w:bCs/>
          <w:sz w:val="24"/>
          <w:szCs w:val="24"/>
        </w:rPr>
        <w:t>M5</w:t>
      </w:r>
      <w:r>
        <w:rPr>
          <w:rFonts w:hint="eastAsia"/>
          <w:bCs/>
          <w:sz w:val="24"/>
          <w:szCs w:val="24"/>
        </w:rPr>
        <w:t>、</w:t>
      </w:r>
      <w:r>
        <w:rPr>
          <w:bCs/>
          <w:sz w:val="24"/>
          <w:szCs w:val="24"/>
        </w:rPr>
        <w:t>Zirlo</w:t>
      </w:r>
      <w:r>
        <w:rPr>
          <w:rFonts w:hint="eastAsia"/>
          <w:bCs/>
          <w:sz w:val="24"/>
          <w:szCs w:val="24"/>
        </w:rPr>
        <w:t>锆合金水平，产品广泛应用于国防、核工业和民用领域。</w:t>
      </w:r>
    </w:p>
    <w:p>
      <w:pPr>
        <w:pStyle w:val="9"/>
        <w:numPr>
          <w:ilvl w:val="0"/>
          <w:numId w:val="2"/>
        </w:numPr>
        <w:adjustRightInd w:val="0"/>
        <w:snapToGrid w:val="0"/>
        <w:spacing w:line="360" w:lineRule="auto"/>
        <w:ind w:firstLineChars="0"/>
        <w:jc w:val="left"/>
        <w:rPr>
          <w:rFonts w:ascii="黑体" w:hAnsi="黑体" w:eastAsia="黑体" w:cs="Times New Roman"/>
          <w:sz w:val="24"/>
          <w:szCs w:val="24"/>
        </w:rPr>
      </w:pPr>
      <w:r>
        <w:rPr>
          <w:rFonts w:hint="eastAsia" w:ascii="黑体" w:hAnsi="黑体" w:eastAsia="黑体" w:cs="Times New Roman"/>
          <w:sz w:val="24"/>
          <w:szCs w:val="24"/>
        </w:rPr>
        <w:t>主要工作过程</w:t>
      </w:r>
    </w:p>
    <w:p>
      <w:pPr>
        <w:pStyle w:val="9"/>
        <w:numPr>
          <w:ilvl w:val="0"/>
          <w:numId w:val="3"/>
        </w:numPr>
        <w:tabs>
          <w:tab w:val="left" w:pos="426"/>
          <w:tab w:val="left" w:pos="709"/>
        </w:tabs>
        <w:adjustRightInd w:val="0"/>
        <w:snapToGrid w:val="0"/>
        <w:spacing w:line="360" w:lineRule="auto"/>
        <w:ind w:left="0" w:firstLine="0" w:firstLineChars="0"/>
        <w:rPr>
          <w:rFonts w:ascii="黑体" w:hAnsi="黑体" w:eastAsia="黑体" w:cs="Times New Roman"/>
          <w:sz w:val="24"/>
          <w:szCs w:val="24"/>
        </w:rPr>
      </w:pPr>
      <w:r>
        <w:rPr>
          <w:rFonts w:hint="eastAsia" w:ascii="黑体" w:hAnsi="黑体" w:eastAsia="黑体" w:cs="Times New Roman"/>
          <w:sz w:val="24"/>
          <w:szCs w:val="24"/>
        </w:rPr>
        <w:t>工作分工</w:t>
      </w:r>
    </w:p>
    <w:p>
      <w:pPr>
        <w:pStyle w:val="9"/>
        <w:adjustRightInd w:val="0"/>
        <w:snapToGrid w:val="0"/>
        <w:spacing w:line="360" w:lineRule="auto"/>
        <w:ind w:firstLine="480"/>
        <w:rPr>
          <w:rFonts w:ascii="宋体" w:hAnsi="宋体"/>
          <w:sz w:val="24"/>
          <w:szCs w:val="24"/>
        </w:rPr>
      </w:pPr>
      <w:r>
        <w:rPr>
          <w:rFonts w:hint="eastAsia" w:ascii="宋体" w:hAnsi="宋体"/>
          <w:sz w:val="24"/>
          <w:szCs w:val="24"/>
        </w:rPr>
        <w:t>本标准由西部新锆核材料科技有限公司负责起草，西北有色金属研究院等企事业单位参与起草。</w:t>
      </w:r>
    </w:p>
    <w:p>
      <w:pPr>
        <w:pStyle w:val="9"/>
        <w:numPr>
          <w:ilvl w:val="0"/>
          <w:numId w:val="3"/>
        </w:numPr>
        <w:tabs>
          <w:tab w:val="left" w:pos="426"/>
          <w:tab w:val="left" w:pos="709"/>
        </w:tabs>
        <w:adjustRightInd w:val="0"/>
        <w:snapToGrid w:val="0"/>
        <w:spacing w:line="360" w:lineRule="auto"/>
        <w:ind w:left="0" w:firstLine="0" w:firstLineChars="0"/>
        <w:rPr>
          <w:rFonts w:ascii="黑体" w:hAnsi="黑体" w:eastAsia="黑体" w:cs="Times New Roman"/>
          <w:sz w:val="24"/>
          <w:szCs w:val="24"/>
        </w:rPr>
      </w:pPr>
      <w:r>
        <w:rPr>
          <w:rFonts w:hint="eastAsia" w:ascii="黑体" w:hAnsi="黑体" w:eastAsia="黑体" w:cs="Times New Roman"/>
          <w:sz w:val="24"/>
          <w:szCs w:val="24"/>
        </w:rPr>
        <w:t>各阶段工作过程</w:t>
      </w:r>
    </w:p>
    <w:p>
      <w:pPr>
        <w:pStyle w:val="9"/>
        <w:tabs>
          <w:tab w:val="left" w:pos="709"/>
        </w:tabs>
        <w:adjustRightInd w:val="0"/>
        <w:snapToGrid w:val="0"/>
        <w:spacing w:line="360" w:lineRule="auto"/>
        <w:ind w:firstLine="566" w:firstLineChars="236"/>
        <w:rPr>
          <w:rFonts w:ascii="宋体" w:hAnsi="宋体"/>
          <w:sz w:val="24"/>
          <w:szCs w:val="24"/>
        </w:rPr>
      </w:pPr>
      <w:r>
        <w:rPr>
          <w:rFonts w:hint="eastAsia" w:ascii="宋体" w:hAnsi="宋体"/>
          <w:sz w:val="24"/>
          <w:szCs w:val="24"/>
        </w:rPr>
        <w:t>西部新锆核材料科技有限公司承担《锆铌中间合金》行业标准修订任务后，通过收集和整理国内外锆铌中间合金信息和技术资料，对国内外生产和使用状况，以及产品质量水平进行充分论证，于2016年10月形成国家标准《锆铌中间合金》征求意见稿草案。</w:t>
      </w:r>
    </w:p>
    <w:p>
      <w:pPr>
        <w:adjustRightInd w:val="0"/>
        <w:snapToGrid w:val="0"/>
        <w:spacing w:line="360" w:lineRule="auto"/>
        <w:ind w:firstLine="480" w:firstLineChars="200"/>
        <w:rPr>
          <w:rFonts w:ascii="Times New Roman" w:hAnsi="Times New Roman"/>
          <w:sz w:val="24"/>
          <w:szCs w:val="24"/>
        </w:rPr>
      </w:pPr>
      <w:r>
        <w:rPr>
          <w:rFonts w:hint="eastAsia" w:ascii="宋体" w:hAnsi="宋体"/>
          <w:sz w:val="24"/>
          <w:szCs w:val="24"/>
        </w:rPr>
        <w:t>征求意见稿草案形成后及时发送各单位征求意见，分别向西北有色金属研究院、宝钛集团有限公司、国核宝钛锆业股份公司、西部超导材料科技股份有限公司等4家单位发出征求意见函。</w:t>
      </w:r>
      <w:r>
        <w:rPr>
          <w:rFonts w:hint="eastAsia" w:ascii="Times New Roman" w:hAnsi="宋体"/>
          <w:sz w:val="24"/>
          <w:szCs w:val="24"/>
        </w:rPr>
        <w:t>4家</w:t>
      </w:r>
      <w:r>
        <w:rPr>
          <w:rFonts w:ascii="Times New Roman" w:hAnsi="宋体"/>
          <w:sz w:val="24"/>
          <w:szCs w:val="24"/>
        </w:rPr>
        <w:t>单位的相关专家对本标准的征求意见稿进行讨论，提出了宝贵的意见和建议。标准编制小组对所有反馈的意见和建议进行讨论后，对征求意见稿草案进行修改，形成讨论稿。</w:t>
      </w:r>
    </w:p>
    <w:p>
      <w:pPr>
        <w:pStyle w:val="9"/>
        <w:numPr>
          <w:ilvl w:val="0"/>
          <w:numId w:val="1"/>
        </w:numPr>
        <w:adjustRightInd w:val="0"/>
        <w:snapToGrid w:val="0"/>
        <w:spacing w:beforeLines="50" w:afterLines="5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标准编制原则和确定标准主要内容的论据</w:t>
      </w:r>
    </w:p>
    <w:p>
      <w:pPr>
        <w:pStyle w:val="9"/>
        <w:numPr>
          <w:ilvl w:val="0"/>
          <w:numId w:val="4"/>
        </w:numPr>
        <w:tabs>
          <w:tab w:val="left" w:pos="426"/>
          <w:tab w:val="left" w:pos="709"/>
        </w:tabs>
        <w:adjustRightInd w:val="0"/>
        <w:snapToGrid w:val="0"/>
        <w:spacing w:line="360" w:lineRule="auto"/>
        <w:ind w:left="0" w:firstLine="0" w:firstLineChars="0"/>
        <w:rPr>
          <w:rFonts w:ascii="黑体" w:hAnsi="黑体" w:eastAsia="黑体" w:cs="Times New Roman"/>
          <w:sz w:val="24"/>
          <w:szCs w:val="24"/>
        </w:rPr>
      </w:pPr>
      <w:r>
        <w:rPr>
          <w:rFonts w:hint="eastAsia" w:ascii="黑体" w:hAnsi="黑体" w:eastAsia="黑体" w:cs="Times New Roman"/>
          <w:sz w:val="24"/>
          <w:szCs w:val="24"/>
        </w:rPr>
        <w:t>标准编制原则</w:t>
      </w:r>
    </w:p>
    <w:p>
      <w:pPr>
        <w:pStyle w:val="9"/>
        <w:adjustRightInd w:val="0"/>
        <w:snapToGrid w:val="0"/>
        <w:spacing w:line="360" w:lineRule="auto"/>
        <w:ind w:firstLine="480"/>
        <w:rPr>
          <w:rFonts w:ascii="宋体" w:hAnsi="宋体"/>
          <w:sz w:val="24"/>
          <w:szCs w:val="24"/>
        </w:rPr>
      </w:pPr>
      <w:r>
        <w:rPr>
          <w:rFonts w:hint="eastAsia" w:ascii="宋体" w:hAnsi="宋体"/>
          <w:sz w:val="24"/>
          <w:szCs w:val="24"/>
        </w:rPr>
        <w:t>本标准严格按照GB/T 1.1-2009《标准化工作导则 第1部分：标准的结构和编写》的规定格式进行编写。</w:t>
      </w:r>
    </w:p>
    <w:p>
      <w:pPr>
        <w:pStyle w:val="9"/>
        <w:adjustRightInd w:val="0"/>
        <w:snapToGrid w:val="0"/>
        <w:spacing w:line="360" w:lineRule="auto"/>
        <w:ind w:firstLine="480"/>
        <w:rPr>
          <w:rFonts w:ascii="宋体" w:hAnsi="宋体"/>
          <w:sz w:val="24"/>
          <w:szCs w:val="24"/>
        </w:rPr>
      </w:pPr>
      <w:r>
        <w:rPr>
          <w:rFonts w:hint="eastAsia" w:ascii="宋体" w:hAnsi="宋体"/>
          <w:sz w:val="24"/>
          <w:szCs w:val="24"/>
        </w:rPr>
        <w:t>本标准根据国内一般工业用锆铌合金，以及第三代核电技术使用的锆铌系、锆锡铌系合金熔炼用锆铌中间合金生产研究的成果，充分并全面的汇总锆铌中间合金的种类和要求，汇总全部锆铌中间合金的牌号。并制订了标准起草所遵循的基本原则和编制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1）查阅相关标准和国内外客户的相关技术要求；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2）根据国内外锆合金生产企业生产的具体情况，力求做到标准的合理性与实用性；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3）广泛适用，操作可行的原则；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4）有利于创新发展与国际接轨的原则。</w:t>
      </w:r>
    </w:p>
    <w:p>
      <w:pPr>
        <w:pStyle w:val="9"/>
        <w:numPr>
          <w:ilvl w:val="0"/>
          <w:numId w:val="4"/>
        </w:numPr>
        <w:tabs>
          <w:tab w:val="left" w:pos="426"/>
          <w:tab w:val="left" w:pos="709"/>
        </w:tabs>
        <w:adjustRightInd w:val="0"/>
        <w:snapToGrid w:val="0"/>
        <w:spacing w:line="360" w:lineRule="auto"/>
        <w:ind w:left="0" w:firstLine="0" w:firstLineChars="0"/>
        <w:rPr>
          <w:rFonts w:ascii="黑体" w:hAnsi="黑体" w:eastAsia="黑体"/>
          <w:sz w:val="24"/>
          <w:szCs w:val="24"/>
        </w:rPr>
      </w:pPr>
      <w:r>
        <w:rPr>
          <w:rFonts w:hint="eastAsia" w:ascii="黑体" w:hAnsi="黑体" w:eastAsia="黑体"/>
          <w:sz w:val="24"/>
          <w:szCs w:val="24"/>
        </w:rPr>
        <w:t>确定标准主要内容的论据</w:t>
      </w:r>
    </w:p>
    <w:p>
      <w:pPr>
        <w:pStyle w:val="13"/>
        <w:numPr>
          <w:ilvl w:val="0"/>
          <w:numId w:val="5"/>
        </w:numPr>
        <w:adjustRightInd w:val="0"/>
        <w:snapToGrid w:val="0"/>
        <w:spacing w:line="360" w:lineRule="auto"/>
        <w:ind w:left="0" w:firstLine="0" w:firstLineChars="0"/>
        <w:rPr>
          <w:rFonts w:ascii="Times New Roman" w:hAnsi="宋体" w:eastAsiaTheme="minorEastAsia" w:cstheme="minorBidi"/>
          <w:sz w:val="24"/>
          <w:szCs w:val="24"/>
        </w:rPr>
      </w:pPr>
      <w:r>
        <w:rPr>
          <w:rFonts w:hint="eastAsia" w:ascii="Times New Roman" w:hAnsi="宋体" w:eastAsiaTheme="minorEastAsia" w:cstheme="minorBidi"/>
          <w:sz w:val="24"/>
          <w:szCs w:val="24"/>
        </w:rPr>
        <w:t>产品牌号、规格、制造方法</w:t>
      </w:r>
    </w:p>
    <w:p>
      <w:pPr>
        <w:adjustRightInd w:val="0"/>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在锆中适量的加入Nb可以抑制C、Al、Ti及N的有害作用，减少吸氢量，提高耐蚀性能，使合金得到强化。目前，核工业用含铌锆合金主要用于制造第三代核电技术的反应堆芯材料，如美国的Zirlo合金、俄罗斯的E635合金、法国的M5合金、日本的NDA合金，以及我国的N36合金，均为含铌锆合金。一般工业用含铌锆合金广泛应用的为Zr-5合金。在含铌锆合金的生产过程中，由于Nb</w:t>
      </w:r>
      <w:r>
        <w:rPr>
          <w:rFonts w:hint="eastAsia" w:ascii="Times New Roman" w:hAnsi="Times New Roman" w:cs="Times New Roman"/>
          <w:sz w:val="24"/>
          <w:szCs w:val="24"/>
          <w:lang w:eastAsia="zh-CN"/>
        </w:rPr>
        <w:t>与</w:t>
      </w:r>
      <w:r>
        <w:rPr>
          <w:rFonts w:hint="eastAsia" w:ascii="Times New Roman" w:hAnsi="Times New Roman" w:cs="Times New Roman"/>
          <w:sz w:val="24"/>
          <w:szCs w:val="24"/>
        </w:rPr>
        <w:t>锆</w:t>
      </w:r>
      <w:r>
        <w:rPr>
          <w:rFonts w:hint="eastAsia" w:ascii="Times New Roman" w:hAnsi="Times New Roman" w:cs="Times New Roman"/>
          <w:sz w:val="24"/>
          <w:szCs w:val="24"/>
          <w:lang w:eastAsia="zh-CN"/>
        </w:rPr>
        <w:t>的熔点相差较大</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Nb在熔炼过程中易偏析。因此，Nb</w:t>
      </w:r>
      <w:bookmarkStart w:id="0" w:name="_GoBack"/>
      <w:bookmarkEnd w:id="0"/>
      <w:r>
        <w:rPr>
          <w:rFonts w:hint="eastAsia" w:ascii="Times New Roman" w:hAnsi="Times New Roman" w:cs="Times New Roman"/>
          <w:sz w:val="24"/>
          <w:szCs w:val="24"/>
        </w:rPr>
        <w:t>一般以锆铌中间合金的形式添加。根据调研，目前国内外主要生产含铌锆合金的企业，其锆铌中间合金添加时，锆铌按比例分为</w:t>
      </w:r>
      <w:r>
        <w:rPr>
          <w:rFonts w:ascii="Times New Roman" w:hAnsi="Times New Roman" w:cs="Times New Roman"/>
          <w:sz w:val="24"/>
          <w:szCs w:val="24"/>
        </w:rPr>
        <w:t>ZrNb30</w:t>
      </w:r>
      <w:r>
        <w:rPr>
          <w:rFonts w:hint="eastAsia" w:ascii="Times New Roman" w:hAnsi="Times New Roman" w:cs="Times New Roman"/>
          <w:sz w:val="24"/>
          <w:szCs w:val="24"/>
        </w:rPr>
        <w:t>、</w:t>
      </w:r>
      <w:r>
        <w:rPr>
          <w:rFonts w:ascii="Times New Roman" w:hAnsi="Times New Roman" w:cs="Times New Roman"/>
          <w:sz w:val="24"/>
          <w:szCs w:val="24"/>
        </w:rPr>
        <w:t>ZrNb40</w:t>
      </w:r>
      <w:r>
        <w:rPr>
          <w:rFonts w:hint="eastAsia" w:ascii="Times New Roman" w:hAnsi="Times New Roman" w:cs="Times New Roman"/>
          <w:sz w:val="24"/>
          <w:szCs w:val="24"/>
        </w:rPr>
        <w:t>、</w:t>
      </w:r>
      <w:r>
        <w:rPr>
          <w:rFonts w:ascii="Times New Roman" w:hAnsi="Times New Roman" w:cs="Times New Roman"/>
          <w:sz w:val="24"/>
          <w:szCs w:val="24"/>
        </w:rPr>
        <w:t>ZrNb50</w:t>
      </w:r>
      <w:r>
        <w:rPr>
          <w:rFonts w:hint="eastAsia" w:ascii="Times New Roman" w:hAnsi="Times New Roman" w:cs="Times New Roman"/>
          <w:sz w:val="24"/>
          <w:szCs w:val="24"/>
        </w:rPr>
        <w:t>三种。因此，标准中设计了三种牌号的锆铌合金，产品牌号见表1。</w:t>
      </w:r>
    </w:p>
    <w:p>
      <w:pPr>
        <w:adjustRightInd w:val="0"/>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目前，国内外锆合金生产企业生产含铌合金均是采用真空自耗电弧熔炼的方式。在熔炼过程中，为了提高合金化条件、提高合金成分均匀性、克服偏析等，要求锆铌中间合金以屑状产品添加，并至少经过三次真空自耗电弧熔炼。产品规格和制造方法见表1。</w:t>
      </w:r>
    </w:p>
    <w:p>
      <w:pPr>
        <w:spacing w:line="240" w:lineRule="atLeast"/>
        <w:ind w:firstLine="420"/>
        <w:jc w:val="center"/>
        <w:rPr>
          <w:rFonts w:ascii="黑体" w:hAnsi="宋体" w:eastAsia="黑体"/>
          <w:color w:val="000000"/>
        </w:rPr>
      </w:pPr>
      <w:r>
        <w:rPr>
          <w:rFonts w:hint="eastAsia" w:ascii="黑体" w:hAnsi="宋体" w:eastAsia="黑体"/>
          <w:color w:val="000000"/>
        </w:rPr>
        <w:t>表1产品牌号、规格、制造方法</w:t>
      </w:r>
    </w:p>
    <w:tbl>
      <w:tblPr>
        <w:tblStyle w:val="6"/>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8"/>
        <w:gridCol w:w="2788"/>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5" w:hRule="atLeast"/>
        </w:trPr>
        <w:tc>
          <w:tcPr>
            <w:tcW w:w="2838" w:type="dxa"/>
            <w:tcBorders>
              <w:top w:val="single" w:color="auto" w:sz="12" w:space="0"/>
              <w:left w:val="single" w:color="auto" w:sz="12" w:space="0"/>
            </w:tcBorders>
            <w:vAlign w:val="center"/>
          </w:tcPr>
          <w:p>
            <w:pPr>
              <w:jc w:val="center"/>
              <w:rPr>
                <w:color w:val="000000"/>
                <w:sz w:val="18"/>
                <w:szCs w:val="18"/>
              </w:rPr>
            </w:pPr>
            <w:r>
              <w:rPr>
                <w:rFonts w:hint="eastAsia" w:ascii="宋体" w:hAnsi="宋体"/>
                <w:color w:val="000000"/>
                <w:sz w:val="18"/>
                <w:szCs w:val="18"/>
              </w:rPr>
              <w:t>牌号</w:t>
            </w:r>
          </w:p>
        </w:tc>
        <w:tc>
          <w:tcPr>
            <w:tcW w:w="2788" w:type="dxa"/>
            <w:tcBorders>
              <w:top w:val="single" w:color="auto" w:sz="12" w:space="0"/>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规格</w:t>
            </w:r>
          </w:p>
        </w:tc>
        <w:tc>
          <w:tcPr>
            <w:tcW w:w="2788" w:type="dxa"/>
            <w:tcBorders>
              <w:top w:val="single" w:color="auto" w:sz="12" w:space="0"/>
              <w:left w:val="single" w:color="auto" w:sz="8" w:space="0"/>
              <w:right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制造方法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38" w:type="dxa"/>
            <w:tcBorders>
              <w:top w:val="single" w:color="auto" w:sz="12" w:space="0"/>
              <w:left w:val="single" w:color="auto" w:sz="12" w:space="0"/>
              <w:bottom w:val="single" w:color="auto" w:sz="8" w:space="0"/>
            </w:tcBorders>
            <w:vAlign w:val="center"/>
          </w:tcPr>
          <w:p>
            <w:pPr>
              <w:jc w:val="center"/>
              <w:rPr>
                <w:color w:val="000000"/>
                <w:sz w:val="18"/>
                <w:szCs w:val="18"/>
              </w:rPr>
            </w:pPr>
            <w:r>
              <w:rPr>
                <w:color w:val="000000"/>
                <w:sz w:val="18"/>
                <w:szCs w:val="18"/>
              </w:rPr>
              <w:t>ZrNb30</w:t>
            </w:r>
          </w:p>
        </w:tc>
        <w:tc>
          <w:tcPr>
            <w:tcW w:w="2788" w:type="dxa"/>
            <w:vMerge w:val="restart"/>
            <w:tcBorders>
              <w:top w:val="single" w:color="auto" w:sz="12" w:space="0"/>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产品按屑状交货</w:t>
            </w:r>
          </w:p>
        </w:tc>
        <w:tc>
          <w:tcPr>
            <w:tcW w:w="2788" w:type="dxa"/>
            <w:vMerge w:val="restart"/>
            <w:tcBorders>
              <w:top w:val="single" w:color="auto" w:sz="12" w:space="0"/>
              <w:left w:val="single" w:color="auto" w:sz="8" w:space="0"/>
              <w:right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至少三次真空自耗电弧熔炼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38" w:type="dxa"/>
            <w:tcBorders>
              <w:top w:val="single" w:color="auto" w:sz="8" w:space="0"/>
              <w:left w:val="single" w:color="auto" w:sz="12" w:space="0"/>
              <w:bottom w:val="single" w:color="auto" w:sz="8" w:space="0"/>
            </w:tcBorders>
            <w:vAlign w:val="center"/>
          </w:tcPr>
          <w:p>
            <w:pPr>
              <w:jc w:val="center"/>
              <w:rPr>
                <w:rFonts w:ascii="宋体" w:hAnsi="宋体"/>
                <w:color w:val="000000"/>
                <w:szCs w:val="21"/>
              </w:rPr>
            </w:pPr>
            <w:r>
              <w:rPr>
                <w:color w:val="000000"/>
                <w:sz w:val="18"/>
                <w:szCs w:val="18"/>
              </w:rPr>
              <w:t>ZrNb40</w:t>
            </w:r>
          </w:p>
        </w:tc>
        <w:tc>
          <w:tcPr>
            <w:tcW w:w="2788" w:type="dxa"/>
            <w:vMerge w:val="continue"/>
            <w:tcBorders>
              <w:right w:val="single" w:color="auto" w:sz="8" w:space="0"/>
            </w:tcBorders>
          </w:tcPr>
          <w:p>
            <w:pPr>
              <w:rPr>
                <w:rFonts w:ascii="宋体" w:hAnsi="宋体"/>
                <w:color w:val="000000"/>
                <w:szCs w:val="21"/>
              </w:rPr>
            </w:pPr>
          </w:p>
        </w:tc>
        <w:tc>
          <w:tcPr>
            <w:tcW w:w="2788" w:type="dxa"/>
            <w:vMerge w:val="continue"/>
            <w:tcBorders>
              <w:left w:val="single" w:color="auto" w:sz="8" w:space="0"/>
              <w:right w:val="single" w:color="auto" w:sz="12" w:space="0"/>
            </w:tcBorders>
          </w:tcPr>
          <w:p>
            <w:pP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38" w:type="dxa"/>
            <w:tcBorders>
              <w:top w:val="single" w:color="auto" w:sz="8" w:space="0"/>
              <w:left w:val="single" w:color="auto" w:sz="12" w:space="0"/>
              <w:bottom w:val="single" w:color="auto" w:sz="12" w:space="0"/>
            </w:tcBorders>
            <w:vAlign w:val="center"/>
          </w:tcPr>
          <w:p>
            <w:pPr>
              <w:jc w:val="center"/>
              <w:rPr>
                <w:rFonts w:ascii="宋体" w:hAnsi="宋体"/>
                <w:color w:val="000000"/>
                <w:szCs w:val="21"/>
              </w:rPr>
            </w:pPr>
            <w:r>
              <w:rPr>
                <w:color w:val="000000"/>
                <w:sz w:val="18"/>
                <w:szCs w:val="18"/>
              </w:rPr>
              <w:t>ZrNb50</w:t>
            </w:r>
          </w:p>
        </w:tc>
        <w:tc>
          <w:tcPr>
            <w:tcW w:w="2788" w:type="dxa"/>
            <w:vMerge w:val="continue"/>
            <w:tcBorders>
              <w:bottom w:val="single" w:color="auto" w:sz="12" w:space="0"/>
              <w:right w:val="single" w:color="auto" w:sz="8" w:space="0"/>
            </w:tcBorders>
          </w:tcPr>
          <w:p>
            <w:pPr>
              <w:rPr>
                <w:rFonts w:ascii="宋体" w:hAnsi="宋体"/>
                <w:color w:val="000000"/>
                <w:szCs w:val="21"/>
              </w:rPr>
            </w:pPr>
          </w:p>
        </w:tc>
        <w:tc>
          <w:tcPr>
            <w:tcW w:w="2788" w:type="dxa"/>
            <w:vMerge w:val="continue"/>
            <w:tcBorders>
              <w:left w:val="single" w:color="auto" w:sz="8" w:space="0"/>
              <w:bottom w:val="single" w:color="auto" w:sz="12" w:space="0"/>
              <w:right w:val="single" w:color="auto" w:sz="12" w:space="0"/>
            </w:tcBorders>
          </w:tcPr>
          <w:p>
            <w:pPr>
              <w:rPr>
                <w:rFonts w:ascii="宋体" w:hAnsi="宋体"/>
                <w:color w:val="000000"/>
                <w:szCs w:val="21"/>
              </w:rPr>
            </w:pPr>
          </w:p>
        </w:tc>
      </w:tr>
    </w:tbl>
    <w:p>
      <w:pPr>
        <w:pStyle w:val="13"/>
        <w:numPr>
          <w:ilvl w:val="0"/>
          <w:numId w:val="5"/>
        </w:numPr>
        <w:adjustRightInd w:val="0"/>
        <w:snapToGrid w:val="0"/>
        <w:spacing w:beforeLines="50" w:line="360" w:lineRule="auto"/>
        <w:ind w:left="0" w:firstLine="0" w:firstLineChars="0"/>
        <w:rPr>
          <w:rFonts w:ascii="黑体" w:hAnsi="黑体" w:eastAsia="黑体"/>
          <w:sz w:val="24"/>
          <w:szCs w:val="24"/>
        </w:rPr>
      </w:pPr>
      <w:r>
        <w:rPr>
          <w:rFonts w:hint="eastAsia" w:ascii="黑体" w:hAnsi="黑体" w:eastAsia="黑体"/>
          <w:sz w:val="24"/>
          <w:szCs w:val="24"/>
        </w:rPr>
        <w:t>化学成分</w:t>
      </w:r>
    </w:p>
    <w:p>
      <w:pPr>
        <w:adjustRightInd w:val="0"/>
        <w:snapToGrid w:val="0"/>
        <w:spacing w:line="360" w:lineRule="auto"/>
        <w:ind w:firstLine="480" w:firstLineChars="200"/>
        <w:jc w:val="left"/>
        <w:rPr>
          <w:rFonts w:ascii="宋体" w:hAnsi="宋体"/>
          <w:color w:val="000000"/>
        </w:rPr>
      </w:pPr>
      <w:r>
        <w:rPr>
          <w:rFonts w:hint="eastAsia" w:ascii="Times New Roman" w:hAnsi="Times New Roman" w:cs="Times New Roman"/>
          <w:sz w:val="24"/>
          <w:szCs w:val="24"/>
        </w:rPr>
        <w:t>锆铌中间合金制备过程中，考虑到熔炼工艺的要求，以及后续锆铌合金熔炼时添加的锆铌中间合金对成品铸锭成分的影响，锆铌中间合金的化学成分应符合表2的要求。由于一般工业用锆铌合金对杂质元素没有严格的要求，标准中仅提出了对气体元素的含量要求。</w:t>
      </w:r>
    </w:p>
    <w:p>
      <w:pPr>
        <w:tabs>
          <w:tab w:val="left" w:pos="567"/>
        </w:tabs>
        <w:wordWrap w:val="0"/>
        <w:ind w:right="315"/>
        <w:jc w:val="right"/>
        <w:rPr>
          <w:rFonts w:ascii="宋体" w:hAnsi="宋体"/>
          <w:color w:val="000000"/>
        </w:rPr>
      </w:pPr>
      <w:r>
        <w:rPr>
          <w:rFonts w:hint="eastAsia" w:ascii="黑体" w:hAnsi="宋体" w:eastAsia="黑体"/>
          <w:color w:val="000000"/>
        </w:rPr>
        <w:t xml:space="preserve">表2  化学成分         </w:t>
      </w:r>
      <w:r>
        <w:rPr>
          <w:rFonts w:hint="eastAsia" w:ascii="宋体" w:hAnsi="宋体"/>
          <w:color w:val="000000"/>
        </w:rPr>
        <w:t xml:space="preserve">           </w:t>
      </w:r>
      <w:r>
        <w:rPr>
          <w:rFonts w:hint="eastAsia"/>
          <w:color w:val="000000"/>
          <w:sz w:val="18"/>
          <w:szCs w:val="18"/>
        </w:rPr>
        <w:t>质量分数/</w:t>
      </w:r>
      <w:r>
        <w:rPr>
          <w:color w:val="000000"/>
          <w:sz w:val="18"/>
          <w:szCs w:val="18"/>
        </w:rPr>
        <w:t>%</w:t>
      </w:r>
    </w:p>
    <w:tbl>
      <w:tblPr>
        <w:tblStyle w:val="6"/>
        <w:tblpPr w:leftFromText="180" w:rightFromText="180" w:vertAnchor="text" w:horzAnchor="margin" w:tblpY="29"/>
        <w:tblOverlap w:val="never"/>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9"/>
        <w:gridCol w:w="2083"/>
        <w:gridCol w:w="1042"/>
        <w:gridCol w:w="104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056" w:type="dxa"/>
            <w:gridSpan w:val="2"/>
            <w:tcBorders>
              <w:top w:val="single" w:color="auto" w:sz="12" w:space="0"/>
              <w:left w:val="single" w:color="auto" w:sz="12" w:space="0"/>
              <w:bottom w:val="single" w:color="auto" w:sz="12" w:space="0"/>
              <w:right w:val="single" w:color="auto" w:sz="8" w:space="0"/>
            </w:tcBorders>
            <w:shd w:val="clear" w:color="auto" w:fill="auto"/>
            <w:vAlign w:val="center"/>
          </w:tcPr>
          <w:p>
            <w:pPr>
              <w:jc w:val="center"/>
              <w:rPr>
                <w:color w:val="000000"/>
                <w:sz w:val="18"/>
                <w:szCs w:val="18"/>
              </w:rPr>
            </w:pPr>
            <w:r>
              <w:rPr>
                <w:color w:val="000000"/>
                <w:sz w:val="18"/>
                <w:szCs w:val="18"/>
              </w:rPr>
              <w:t>牌号</w:t>
            </w:r>
          </w:p>
        </w:tc>
        <w:tc>
          <w:tcPr>
            <w:tcW w:w="2083" w:type="dxa"/>
            <w:tcBorders>
              <w:top w:val="single" w:color="auto" w:sz="12" w:space="0"/>
              <w:left w:val="single" w:color="auto" w:sz="8" w:space="0"/>
              <w:bottom w:val="single" w:color="auto" w:sz="12" w:space="0"/>
              <w:right w:val="single" w:color="auto" w:sz="8" w:space="0"/>
            </w:tcBorders>
            <w:vAlign w:val="center"/>
          </w:tcPr>
          <w:p>
            <w:pPr>
              <w:jc w:val="center"/>
              <w:rPr>
                <w:color w:val="000000"/>
                <w:sz w:val="18"/>
                <w:szCs w:val="18"/>
              </w:rPr>
            </w:pPr>
            <w:r>
              <w:rPr>
                <w:color w:val="000000"/>
                <w:sz w:val="18"/>
                <w:szCs w:val="18"/>
              </w:rPr>
              <w:t>ZrNb30</w:t>
            </w:r>
          </w:p>
        </w:tc>
        <w:tc>
          <w:tcPr>
            <w:tcW w:w="2084" w:type="dxa"/>
            <w:gridSpan w:val="2"/>
            <w:tcBorders>
              <w:top w:val="single" w:color="auto" w:sz="12" w:space="0"/>
              <w:left w:val="single" w:color="auto" w:sz="8" w:space="0"/>
              <w:bottom w:val="single" w:color="auto" w:sz="12" w:space="0"/>
            </w:tcBorders>
            <w:vAlign w:val="center"/>
          </w:tcPr>
          <w:p>
            <w:pPr>
              <w:jc w:val="center"/>
              <w:rPr>
                <w:color w:val="000000"/>
                <w:sz w:val="18"/>
                <w:szCs w:val="18"/>
              </w:rPr>
            </w:pPr>
            <w:r>
              <w:rPr>
                <w:color w:val="000000"/>
                <w:sz w:val="18"/>
                <w:szCs w:val="18"/>
              </w:rPr>
              <w:t>ZrNb40</w:t>
            </w:r>
          </w:p>
        </w:tc>
        <w:tc>
          <w:tcPr>
            <w:tcW w:w="2250" w:type="dxa"/>
            <w:tcBorders>
              <w:top w:val="single" w:color="auto" w:sz="12" w:space="0"/>
              <w:left w:val="single" w:color="auto" w:sz="8" w:space="0"/>
              <w:bottom w:val="single" w:color="auto" w:sz="12" w:space="0"/>
              <w:right w:val="single" w:color="auto" w:sz="12" w:space="0"/>
            </w:tcBorders>
            <w:vAlign w:val="center"/>
          </w:tcPr>
          <w:p>
            <w:pPr>
              <w:jc w:val="center"/>
              <w:rPr>
                <w:color w:val="000000"/>
                <w:sz w:val="18"/>
                <w:szCs w:val="18"/>
              </w:rPr>
            </w:pPr>
            <w:r>
              <w:rPr>
                <w:color w:val="000000"/>
                <w:sz w:val="18"/>
                <w:szCs w:val="18"/>
              </w:rPr>
              <w:t>ZrNb50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restart"/>
            <w:tcBorders>
              <w:top w:val="single" w:color="auto" w:sz="12" w:space="0"/>
              <w:left w:val="single" w:color="auto" w:sz="12" w:space="0"/>
            </w:tcBorders>
            <w:shd w:val="clear" w:color="auto" w:fill="auto"/>
            <w:vAlign w:val="center"/>
          </w:tcPr>
          <w:p>
            <w:pPr>
              <w:jc w:val="center"/>
              <w:rPr>
                <w:color w:val="000000"/>
                <w:sz w:val="18"/>
                <w:szCs w:val="18"/>
              </w:rPr>
            </w:pPr>
            <w:r>
              <w:rPr>
                <w:rFonts w:hint="eastAsia"/>
                <w:color w:val="000000"/>
                <w:sz w:val="18"/>
                <w:szCs w:val="18"/>
              </w:rPr>
              <w:t>主元素</w:t>
            </w:r>
          </w:p>
        </w:tc>
        <w:tc>
          <w:tcPr>
            <w:tcW w:w="1029" w:type="dxa"/>
            <w:tcBorders>
              <w:top w:val="single" w:color="auto" w:sz="12" w:space="0"/>
              <w:right w:val="single" w:color="auto" w:sz="8" w:space="0"/>
            </w:tcBorders>
            <w:vAlign w:val="center"/>
          </w:tcPr>
          <w:p>
            <w:pPr>
              <w:jc w:val="center"/>
              <w:rPr>
                <w:color w:val="000000"/>
                <w:sz w:val="18"/>
                <w:szCs w:val="18"/>
              </w:rPr>
            </w:pPr>
            <w:r>
              <w:rPr>
                <w:color w:val="000000"/>
                <w:sz w:val="18"/>
                <w:szCs w:val="18"/>
              </w:rPr>
              <w:t>Nb</w:t>
            </w:r>
          </w:p>
        </w:tc>
        <w:tc>
          <w:tcPr>
            <w:tcW w:w="2083" w:type="dxa"/>
            <w:tcBorders>
              <w:top w:val="single" w:color="auto" w:sz="12" w:space="0"/>
              <w:left w:val="single" w:color="auto" w:sz="8" w:space="0"/>
              <w:right w:val="single" w:color="auto" w:sz="8" w:space="0"/>
            </w:tcBorders>
            <w:vAlign w:val="center"/>
          </w:tcPr>
          <w:p>
            <w:pPr>
              <w:jc w:val="center"/>
              <w:rPr>
                <w:color w:val="000000"/>
                <w:sz w:val="18"/>
                <w:szCs w:val="18"/>
              </w:rPr>
            </w:pPr>
            <w:r>
              <w:rPr>
                <w:color w:val="000000"/>
                <w:sz w:val="18"/>
                <w:szCs w:val="18"/>
              </w:rPr>
              <w:t>28</w:t>
            </w:r>
            <w:r>
              <w:rPr>
                <w:rFonts w:hAnsi="宋体"/>
                <w:color w:val="000000"/>
                <w:sz w:val="18"/>
                <w:szCs w:val="18"/>
              </w:rPr>
              <w:t>～</w:t>
            </w:r>
            <w:r>
              <w:rPr>
                <w:color w:val="000000"/>
                <w:sz w:val="18"/>
                <w:szCs w:val="18"/>
              </w:rPr>
              <w:t>32</w:t>
            </w:r>
          </w:p>
        </w:tc>
        <w:tc>
          <w:tcPr>
            <w:tcW w:w="2084" w:type="dxa"/>
            <w:gridSpan w:val="2"/>
            <w:tcBorders>
              <w:top w:val="single" w:color="auto" w:sz="12" w:space="0"/>
              <w:left w:val="single" w:color="auto" w:sz="8" w:space="0"/>
            </w:tcBorders>
            <w:vAlign w:val="center"/>
          </w:tcPr>
          <w:p>
            <w:pPr>
              <w:jc w:val="center"/>
              <w:rPr>
                <w:color w:val="000000"/>
                <w:sz w:val="18"/>
                <w:szCs w:val="18"/>
              </w:rPr>
            </w:pPr>
            <w:r>
              <w:rPr>
                <w:color w:val="000000"/>
                <w:sz w:val="18"/>
                <w:szCs w:val="18"/>
              </w:rPr>
              <w:t>38</w:t>
            </w:r>
            <w:r>
              <w:rPr>
                <w:rFonts w:hAnsi="宋体"/>
                <w:color w:val="000000"/>
                <w:sz w:val="18"/>
                <w:szCs w:val="18"/>
              </w:rPr>
              <w:t>～</w:t>
            </w:r>
            <w:r>
              <w:rPr>
                <w:color w:val="000000"/>
                <w:sz w:val="18"/>
                <w:szCs w:val="18"/>
              </w:rPr>
              <w:t>42</w:t>
            </w:r>
          </w:p>
        </w:tc>
        <w:tc>
          <w:tcPr>
            <w:tcW w:w="2250" w:type="dxa"/>
            <w:tcBorders>
              <w:top w:val="single" w:color="auto" w:sz="12" w:space="0"/>
              <w:left w:val="single" w:color="auto" w:sz="8" w:space="0"/>
              <w:right w:val="single" w:color="auto" w:sz="12" w:space="0"/>
            </w:tcBorders>
            <w:vAlign w:val="center"/>
          </w:tcPr>
          <w:p>
            <w:pPr>
              <w:jc w:val="center"/>
              <w:rPr>
                <w:color w:val="000000"/>
                <w:sz w:val="18"/>
                <w:szCs w:val="18"/>
              </w:rPr>
            </w:pPr>
            <w:r>
              <w:rPr>
                <w:color w:val="000000"/>
                <w:sz w:val="18"/>
                <w:szCs w:val="18"/>
              </w:rPr>
              <w:t>48</w:t>
            </w:r>
            <w:r>
              <w:rPr>
                <w:rFonts w:hAnsi="宋体"/>
                <w:color w:val="000000"/>
                <w:sz w:val="18"/>
                <w:szCs w:val="18"/>
              </w:rPr>
              <w:t>～</w:t>
            </w:r>
            <w:r>
              <w:rPr>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color w:val="000000"/>
                <w:sz w:val="18"/>
                <w:szCs w:val="18"/>
              </w:rPr>
              <w:t>Zr</w:t>
            </w:r>
          </w:p>
        </w:tc>
        <w:tc>
          <w:tcPr>
            <w:tcW w:w="2083" w:type="dxa"/>
            <w:tcBorders>
              <w:right w:val="single" w:color="auto" w:sz="8" w:space="0"/>
            </w:tcBorders>
            <w:vAlign w:val="center"/>
          </w:tcPr>
          <w:p>
            <w:pPr>
              <w:jc w:val="center"/>
              <w:rPr>
                <w:color w:val="000000"/>
                <w:sz w:val="18"/>
                <w:szCs w:val="18"/>
              </w:rPr>
            </w:pPr>
            <w:r>
              <w:rPr>
                <w:rFonts w:hAnsi="宋体"/>
                <w:color w:val="000000"/>
                <w:sz w:val="18"/>
                <w:szCs w:val="18"/>
              </w:rPr>
              <w:t>余量</w:t>
            </w:r>
          </w:p>
        </w:tc>
        <w:tc>
          <w:tcPr>
            <w:tcW w:w="2084" w:type="dxa"/>
            <w:gridSpan w:val="2"/>
            <w:tcBorders>
              <w:left w:val="single" w:color="auto" w:sz="8" w:space="0"/>
            </w:tcBorders>
            <w:vAlign w:val="center"/>
          </w:tcPr>
          <w:p>
            <w:pPr>
              <w:jc w:val="center"/>
              <w:rPr>
                <w:color w:val="000000"/>
                <w:sz w:val="18"/>
                <w:szCs w:val="18"/>
              </w:rPr>
            </w:pPr>
            <w:r>
              <w:rPr>
                <w:rFonts w:hAnsi="宋体"/>
                <w:color w:val="000000"/>
                <w:sz w:val="18"/>
                <w:szCs w:val="18"/>
              </w:rPr>
              <w:t>余量</w:t>
            </w:r>
          </w:p>
        </w:tc>
        <w:tc>
          <w:tcPr>
            <w:tcW w:w="2250" w:type="dxa"/>
            <w:tcBorders>
              <w:left w:val="single" w:color="auto" w:sz="8" w:space="0"/>
              <w:right w:val="single" w:color="auto" w:sz="12" w:space="0"/>
            </w:tcBorders>
            <w:vAlign w:val="center"/>
          </w:tcPr>
          <w:p>
            <w:pPr>
              <w:jc w:val="center"/>
              <w:rPr>
                <w:color w:val="000000"/>
                <w:sz w:val="18"/>
                <w:szCs w:val="18"/>
              </w:rPr>
            </w:pPr>
            <w:r>
              <w:rPr>
                <w:rFonts w:hAnsi="宋体"/>
                <w:color w:val="000000"/>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restart"/>
            <w:tcBorders>
              <w:left w:val="single" w:color="auto" w:sz="12" w:space="0"/>
            </w:tcBorders>
            <w:shd w:val="clear" w:color="auto" w:fill="auto"/>
            <w:vAlign w:val="center"/>
          </w:tcPr>
          <w:p>
            <w:pPr>
              <w:jc w:val="center"/>
              <w:rPr>
                <w:color w:val="000000"/>
                <w:sz w:val="18"/>
                <w:szCs w:val="18"/>
              </w:rPr>
            </w:pPr>
            <w:r>
              <w:rPr>
                <w:rFonts w:hint="eastAsia"/>
                <w:color w:val="000000"/>
                <w:sz w:val="18"/>
                <w:szCs w:val="18"/>
              </w:rPr>
              <w:t>杂质元素，不大于</w:t>
            </w:r>
          </w:p>
        </w:tc>
        <w:tc>
          <w:tcPr>
            <w:tcW w:w="1029" w:type="dxa"/>
            <w:vAlign w:val="center"/>
          </w:tcPr>
          <w:p>
            <w:pPr>
              <w:jc w:val="center"/>
              <w:rPr>
                <w:color w:val="000000"/>
                <w:sz w:val="18"/>
                <w:szCs w:val="18"/>
              </w:rPr>
            </w:pPr>
            <w:r>
              <w:rPr>
                <w:rFonts w:hint="eastAsia"/>
                <w:color w:val="000000"/>
                <w:sz w:val="18"/>
                <w:szCs w:val="18"/>
              </w:rPr>
              <w:t>分类</w:t>
            </w:r>
          </w:p>
        </w:tc>
        <w:tc>
          <w:tcPr>
            <w:tcW w:w="3125" w:type="dxa"/>
            <w:gridSpan w:val="2"/>
            <w:tcBorders>
              <w:right w:val="single" w:color="auto" w:sz="8" w:space="0"/>
            </w:tcBorders>
            <w:vAlign w:val="center"/>
          </w:tcPr>
          <w:p>
            <w:pPr>
              <w:jc w:val="center"/>
              <w:rPr>
                <w:color w:val="000000"/>
                <w:sz w:val="18"/>
                <w:szCs w:val="18"/>
              </w:rPr>
            </w:pPr>
            <w:r>
              <w:rPr>
                <w:rFonts w:hint="eastAsia"/>
                <w:color w:val="000000"/>
                <w:sz w:val="18"/>
                <w:szCs w:val="18"/>
              </w:rPr>
              <w:t>一般工业</w:t>
            </w:r>
          </w:p>
        </w:tc>
        <w:tc>
          <w:tcPr>
            <w:tcW w:w="3292" w:type="dxa"/>
            <w:gridSpan w:val="2"/>
            <w:tcBorders>
              <w:left w:val="single" w:color="auto" w:sz="8" w:space="0"/>
              <w:right w:val="single" w:color="auto" w:sz="12" w:space="0"/>
            </w:tcBorders>
            <w:vAlign w:val="center"/>
          </w:tcPr>
          <w:p>
            <w:pPr>
              <w:jc w:val="center"/>
              <w:rPr>
                <w:color w:val="000000"/>
                <w:sz w:val="18"/>
                <w:szCs w:val="18"/>
              </w:rPr>
            </w:pPr>
            <w:r>
              <w:rPr>
                <w:rFonts w:hint="eastAsia"/>
                <w:color w:val="000000"/>
                <w:sz w:val="18"/>
                <w:szCs w:val="18"/>
              </w:rPr>
              <w:t>核工业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Al</w:t>
            </w:r>
          </w:p>
        </w:tc>
        <w:tc>
          <w:tcPr>
            <w:tcW w:w="3125" w:type="dxa"/>
            <w:gridSpan w:val="2"/>
            <w:tcBorders>
              <w:right w:val="single" w:color="auto" w:sz="8" w:space="0"/>
            </w:tcBorders>
            <w:vAlign w:val="center"/>
          </w:tcPr>
          <w:p>
            <w:pPr>
              <w:jc w:val="center"/>
              <w:rPr>
                <w:rFonts w:hAnsi="宋体"/>
                <w:color w:val="000000"/>
                <w:sz w:val="18"/>
                <w:szCs w:val="18"/>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B</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0.000 05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Cd</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color w:val="000000"/>
                <w:sz w:val="18"/>
                <w:szCs w:val="18"/>
              </w:rPr>
            </w:pPr>
            <w:r>
              <w:rPr>
                <w:rFonts w:hint="eastAsia"/>
                <w:color w:val="000000"/>
                <w:sz w:val="18"/>
                <w:szCs w:val="18"/>
              </w:rPr>
              <w:t>0.000 05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Co</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color w:val="000000"/>
                <w:sz w:val="18"/>
                <w:szCs w:val="18"/>
              </w:rPr>
            </w:pPr>
            <w:r>
              <w:rPr>
                <w:rFonts w:hint="eastAsia"/>
                <w:color w:val="000000"/>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Cu</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color w:val="000000"/>
                <w:sz w:val="18"/>
                <w:szCs w:val="18"/>
              </w:rPr>
            </w:pPr>
            <w:r>
              <w:rPr>
                <w:rFonts w:hint="eastAsia"/>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Cr</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Fe</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Hf</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Mg</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Mn</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Mo</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Ni</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Pb</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Si</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Sn</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Ti</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U</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0.000 35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V</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tcBorders>
            <w:shd w:val="clear" w:color="auto" w:fill="auto"/>
            <w:vAlign w:val="center"/>
          </w:tcPr>
          <w:p>
            <w:pPr>
              <w:jc w:val="center"/>
              <w:rPr>
                <w:color w:val="000000"/>
                <w:sz w:val="18"/>
                <w:szCs w:val="18"/>
              </w:rPr>
            </w:pPr>
          </w:p>
        </w:tc>
        <w:tc>
          <w:tcPr>
            <w:tcW w:w="1029" w:type="dxa"/>
            <w:vAlign w:val="center"/>
          </w:tcPr>
          <w:p>
            <w:pPr>
              <w:jc w:val="center"/>
              <w:rPr>
                <w:color w:val="000000"/>
                <w:sz w:val="18"/>
                <w:szCs w:val="18"/>
              </w:rPr>
            </w:pPr>
            <w:r>
              <w:rPr>
                <w:rFonts w:hint="eastAsia"/>
                <w:color w:val="000000"/>
                <w:sz w:val="18"/>
                <w:szCs w:val="18"/>
              </w:rPr>
              <w:t>W</w:t>
            </w:r>
          </w:p>
        </w:tc>
        <w:tc>
          <w:tcPr>
            <w:tcW w:w="3125" w:type="dxa"/>
            <w:gridSpan w:val="2"/>
            <w:tcBorders>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27" w:type="dxa"/>
            <w:vMerge w:val="continue"/>
            <w:tcBorders>
              <w:left w:val="single" w:color="auto" w:sz="12" w:space="0"/>
              <w:bottom w:val="single" w:color="auto" w:sz="12" w:space="0"/>
            </w:tcBorders>
            <w:shd w:val="clear" w:color="auto" w:fill="auto"/>
            <w:vAlign w:val="center"/>
          </w:tcPr>
          <w:p>
            <w:pPr>
              <w:jc w:val="center"/>
              <w:rPr>
                <w:color w:val="000000"/>
                <w:sz w:val="18"/>
                <w:szCs w:val="18"/>
              </w:rPr>
            </w:pPr>
          </w:p>
        </w:tc>
        <w:tc>
          <w:tcPr>
            <w:tcW w:w="1029" w:type="dxa"/>
            <w:tcBorders>
              <w:bottom w:val="single" w:color="auto" w:sz="12" w:space="0"/>
            </w:tcBorders>
            <w:vAlign w:val="center"/>
          </w:tcPr>
          <w:p>
            <w:pPr>
              <w:jc w:val="center"/>
              <w:rPr>
                <w:color w:val="000000"/>
                <w:sz w:val="18"/>
                <w:szCs w:val="18"/>
              </w:rPr>
            </w:pPr>
            <w:r>
              <w:rPr>
                <w:rFonts w:hint="eastAsia"/>
                <w:color w:val="000000"/>
                <w:sz w:val="18"/>
                <w:szCs w:val="18"/>
              </w:rPr>
              <w:t>Cl</w:t>
            </w:r>
          </w:p>
        </w:tc>
        <w:tc>
          <w:tcPr>
            <w:tcW w:w="3125" w:type="dxa"/>
            <w:gridSpan w:val="2"/>
            <w:tcBorders>
              <w:bottom w:val="single" w:color="auto" w:sz="12" w:space="0"/>
              <w:right w:val="single" w:color="auto" w:sz="8" w:space="0"/>
            </w:tcBorders>
            <w:vAlign w:val="center"/>
          </w:tcPr>
          <w:p>
            <w:pPr>
              <w:jc w:val="center"/>
              <w:rPr>
                <w:color w:val="000000"/>
              </w:rPr>
            </w:pPr>
            <w:r>
              <w:rPr>
                <w:rFonts w:hAnsi="宋体"/>
                <w:color w:val="000000"/>
                <w:sz w:val="18"/>
                <w:szCs w:val="18"/>
              </w:rPr>
              <w:t>—</w:t>
            </w:r>
          </w:p>
        </w:tc>
        <w:tc>
          <w:tcPr>
            <w:tcW w:w="3292" w:type="dxa"/>
            <w:gridSpan w:val="2"/>
            <w:tcBorders>
              <w:left w:val="single" w:color="auto" w:sz="8" w:space="0"/>
              <w:bottom w:val="single" w:color="auto" w:sz="12"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0.010</w:t>
            </w:r>
          </w:p>
        </w:tc>
      </w:tr>
    </w:tbl>
    <w:p>
      <w:pPr>
        <w:tabs>
          <w:tab w:val="left" w:pos="8364"/>
        </w:tabs>
        <w:wordWrap w:val="0"/>
        <w:jc w:val="right"/>
        <w:rPr>
          <w:rFonts w:ascii="黑体" w:hAnsi="宋体" w:eastAsia="黑体"/>
          <w:color w:val="000000"/>
        </w:rPr>
      </w:pPr>
    </w:p>
    <w:p>
      <w:pPr>
        <w:tabs>
          <w:tab w:val="left" w:pos="8364"/>
        </w:tabs>
        <w:jc w:val="right"/>
        <w:rPr>
          <w:rFonts w:ascii="黑体" w:hAnsi="宋体" w:eastAsia="黑体"/>
          <w:color w:val="000000"/>
        </w:rPr>
      </w:pPr>
      <w:r>
        <w:rPr>
          <w:rFonts w:hint="eastAsia" w:ascii="黑体" w:hAnsi="宋体" w:eastAsia="黑体"/>
          <w:color w:val="000000"/>
        </w:rPr>
        <w:t xml:space="preserve">表2（续）                          </w:t>
      </w:r>
      <w:r>
        <w:rPr>
          <w:rFonts w:hint="eastAsia"/>
          <w:color w:val="000000"/>
          <w:sz w:val="18"/>
          <w:szCs w:val="18"/>
        </w:rPr>
        <w:t>质量分数/</w:t>
      </w:r>
      <w:r>
        <w:rPr>
          <w:color w:val="000000"/>
          <w:sz w:val="18"/>
          <w:szCs w:val="18"/>
        </w:rPr>
        <w:t>%</w:t>
      </w:r>
    </w:p>
    <w:tbl>
      <w:tblPr>
        <w:tblStyle w:val="6"/>
        <w:tblpPr w:leftFromText="180" w:rightFromText="180" w:vertAnchor="text" w:tblpY="1"/>
        <w:tblOverlap w:val="never"/>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98"/>
        <w:gridCol w:w="3308"/>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0" w:type="dxa"/>
            <w:vMerge w:val="restart"/>
            <w:tcBorders>
              <w:top w:val="single" w:color="auto" w:sz="12" w:space="0"/>
              <w:left w:val="single" w:color="auto" w:sz="12" w:space="0"/>
            </w:tcBorders>
            <w:shd w:val="clear" w:color="auto" w:fill="auto"/>
            <w:vAlign w:val="center"/>
          </w:tcPr>
          <w:p>
            <w:pPr>
              <w:jc w:val="center"/>
              <w:rPr>
                <w:color w:val="000000"/>
                <w:sz w:val="18"/>
                <w:szCs w:val="18"/>
              </w:rPr>
            </w:pPr>
            <w:r>
              <w:rPr>
                <w:rFonts w:hint="eastAsia"/>
                <w:color w:val="000000"/>
                <w:sz w:val="18"/>
                <w:szCs w:val="18"/>
              </w:rPr>
              <w:t>杂质</w:t>
            </w:r>
          </w:p>
          <w:p>
            <w:pPr>
              <w:jc w:val="center"/>
              <w:rPr>
                <w:color w:val="000000"/>
                <w:sz w:val="18"/>
                <w:szCs w:val="18"/>
              </w:rPr>
            </w:pPr>
            <w:r>
              <w:rPr>
                <w:rFonts w:hint="eastAsia"/>
                <w:color w:val="000000"/>
                <w:sz w:val="18"/>
                <w:szCs w:val="18"/>
              </w:rPr>
              <w:t>元素</w:t>
            </w:r>
          </w:p>
        </w:tc>
        <w:tc>
          <w:tcPr>
            <w:tcW w:w="798" w:type="dxa"/>
            <w:tcBorders>
              <w:top w:val="single" w:color="auto" w:sz="12" w:space="0"/>
              <w:bottom w:val="single" w:color="auto" w:sz="12" w:space="0"/>
            </w:tcBorders>
            <w:vAlign w:val="center"/>
          </w:tcPr>
          <w:p>
            <w:pPr>
              <w:jc w:val="center"/>
              <w:rPr>
                <w:color w:val="000000"/>
                <w:sz w:val="18"/>
                <w:szCs w:val="18"/>
              </w:rPr>
            </w:pPr>
            <w:r>
              <w:rPr>
                <w:rFonts w:hint="eastAsia"/>
                <w:color w:val="000000"/>
                <w:sz w:val="18"/>
                <w:szCs w:val="18"/>
              </w:rPr>
              <w:t>分类</w:t>
            </w:r>
          </w:p>
        </w:tc>
        <w:tc>
          <w:tcPr>
            <w:tcW w:w="3308" w:type="dxa"/>
            <w:tcBorders>
              <w:top w:val="single" w:color="auto" w:sz="12" w:space="0"/>
              <w:bottom w:val="single" w:color="auto" w:sz="12" w:space="0"/>
              <w:right w:val="single" w:color="auto" w:sz="8" w:space="0"/>
            </w:tcBorders>
            <w:vAlign w:val="center"/>
          </w:tcPr>
          <w:p>
            <w:pPr>
              <w:jc w:val="center"/>
              <w:rPr>
                <w:color w:val="000000"/>
                <w:sz w:val="18"/>
                <w:szCs w:val="18"/>
              </w:rPr>
            </w:pPr>
            <w:r>
              <w:rPr>
                <w:rFonts w:hint="eastAsia"/>
                <w:color w:val="000000"/>
                <w:sz w:val="18"/>
                <w:szCs w:val="18"/>
              </w:rPr>
              <w:t>一般工业</w:t>
            </w:r>
          </w:p>
        </w:tc>
        <w:tc>
          <w:tcPr>
            <w:tcW w:w="3457" w:type="dxa"/>
            <w:tcBorders>
              <w:top w:val="single" w:color="auto" w:sz="12" w:space="0"/>
              <w:left w:val="single" w:color="auto" w:sz="8" w:space="0"/>
              <w:bottom w:val="single" w:color="auto" w:sz="12" w:space="0"/>
              <w:right w:val="single" w:color="auto" w:sz="12" w:space="0"/>
            </w:tcBorders>
            <w:vAlign w:val="center"/>
          </w:tcPr>
          <w:p>
            <w:pPr>
              <w:jc w:val="center"/>
              <w:rPr>
                <w:color w:val="000000"/>
                <w:sz w:val="18"/>
                <w:szCs w:val="18"/>
              </w:rPr>
            </w:pPr>
            <w:r>
              <w:rPr>
                <w:rFonts w:hint="eastAsia"/>
                <w:color w:val="000000"/>
                <w:sz w:val="18"/>
                <w:szCs w:val="18"/>
              </w:rPr>
              <w:t>核工业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0" w:type="dxa"/>
            <w:vMerge w:val="continue"/>
            <w:tcBorders>
              <w:left w:val="single" w:color="auto" w:sz="12" w:space="0"/>
            </w:tcBorders>
            <w:shd w:val="clear" w:color="auto" w:fill="auto"/>
            <w:vAlign w:val="center"/>
          </w:tcPr>
          <w:p>
            <w:pPr>
              <w:jc w:val="center"/>
              <w:rPr>
                <w:color w:val="000000"/>
                <w:sz w:val="18"/>
                <w:szCs w:val="18"/>
              </w:rPr>
            </w:pPr>
          </w:p>
        </w:tc>
        <w:tc>
          <w:tcPr>
            <w:tcW w:w="798" w:type="dxa"/>
            <w:vAlign w:val="center"/>
          </w:tcPr>
          <w:p>
            <w:pPr>
              <w:jc w:val="center"/>
              <w:rPr>
                <w:color w:val="000000"/>
                <w:sz w:val="18"/>
                <w:szCs w:val="18"/>
              </w:rPr>
            </w:pPr>
            <w:r>
              <w:rPr>
                <w:rFonts w:hint="eastAsia"/>
                <w:color w:val="000000"/>
                <w:sz w:val="18"/>
                <w:szCs w:val="18"/>
              </w:rPr>
              <w:t>C</w:t>
            </w:r>
          </w:p>
        </w:tc>
        <w:tc>
          <w:tcPr>
            <w:tcW w:w="3308" w:type="dxa"/>
            <w:tcBorders>
              <w:right w:val="single" w:color="auto" w:sz="8" w:space="0"/>
            </w:tcBorders>
            <w:vAlign w:val="center"/>
          </w:tcPr>
          <w:p>
            <w:pPr>
              <w:jc w:val="center"/>
              <w:rPr>
                <w:rFonts w:hAnsi="宋体"/>
                <w:color w:val="000000"/>
                <w:sz w:val="18"/>
                <w:szCs w:val="18"/>
              </w:rPr>
            </w:pPr>
            <w:r>
              <w:rPr>
                <w:rFonts w:hint="eastAsia" w:hAnsi="宋体"/>
                <w:color w:val="000000"/>
                <w:sz w:val="18"/>
                <w:szCs w:val="18"/>
              </w:rPr>
              <w:t>0.05</w:t>
            </w:r>
          </w:p>
        </w:tc>
        <w:tc>
          <w:tcPr>
            <w:tcW w:w="3457" w:type="dxa"/>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0" w:type="dxa"/>
            <w:vMerge w:val="continue"/>
            <w:tcBorders>
              <w:left w:val="single" w:color="auto" w:sz="12" w:space="0"/>
            </w:tcBorders>
            <w:shd w:val="clear" w:color="auto" w:fill="auto"/>
            <w:vAlign w:val="center"/>
          </w:tcPr>
          <w:p>
            <w:pPr>
              <w:jc w:val="center"/>
              <w:rPr>
                <w:color w:val="000000"/>
                <w:sz w:val="18"/>
                <w:szCs w:val="18"/>
              </w:rPr>
            </w:pPr>
          </w:p>
        </w:tc>
        <w:tc>
          <w:tcPr>
            <w:tcW w:w="798" w:type="dxa"/>
            <w:vAlign w:val="center"/>
          </w:tcPr>
          <w:p>
            <w:pPr>
              <w:jc w:val="center"/>
              <w:rPr>
                <w:color w:val="000000"/>
                <w:sz w:val="18"/>
                <w:szCs w:val="18"/>
              </w:rPr>
            </w:pPr>
            <w:r>
              <w:rPr>
                <w:rFonts w:hint="eastAsia"/>
                <w:color w:val="000000"/>
                <w:sz w:val="18"/>
                <w:szCs w:val="18"/>
              </w:rPr>
              <w:t>N</w:t>
            </w:r>
          </w:p>
        </w:tc>
        <w:tc>
          <w:tcPr>
            <w:tcW w:w="3308" w:type="dxa"/>
            <w:tcBorders>
              <w:right w:val="single" w:color="auto" w:sz="8" w:space="0"/>
            </w:tcBorders>
            <w:vAlign w:val="center"/>
          </w:tcPr>
          <w:p>
            <w:pPr>
              <w:jc w:val="center"/>
              <w:rPr>
                <w:rFonts w:hAnsi="宋体"/>
                <w:color w:val="000000"/>
                <w:sz w:val="18"/>
                <w:szCs w:val="18"/>
              </w:rPr>
            </w:pPr>
            <w:r>
              <w:rPr>
                <w:rFonts w:hint="eastAsia" w:hAnsi="宋体"/>
                <w:color w:val="000000"/>
                <w:sz w:val="18"/>
                <w:szCs w:val="18"/>
              </w:rPr>
              <w:t>0.025</w:t>
            </w:r>
          </w:p>
        </w:tc>
        <w:tc>
          <w:tcPr>
            <w:tcW w:w="3457" w:type="dxa"/>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0" w:type="dxa"/>
            <w:vMerge w:val="continue"/>
            <w:tcBorders>
              <w:left w:val="single" w:color="auto" w:sz="12" w:space="0"/>
            </w:tcBorders>
            <w:shd w:val="clear" w:color="auto" w:fill="auto"/>
            <w:vAlign w:val="center"/>
          </w:tcPr>
          <w:p>
            <w:pPr>
              <w:jc w:val="center"/>
              <w:rPr>
                <w:color w:val="000000"/>
                <w:sz w:val="18"/>
                <w:szCs w:val="18"/>
              </w:rPr>
            </w:pPr>
          </w:p>
        </w:tc>
        <w:tc>
          <w:tcPr>
            <w:tcW w:w="798" w:type="dxa"/>
            <w:vAlign w:val="center"/>
          </w:tcPr>
          <w:p>
            <w:pPr>
              <w:jc w:val="center"/>
              <w:rPr>
                <w:color w:val="000000"/>
                <w:sz w:val="18"/>
                <w:szCs w:val="18"/>
              </w:rPr>
            </w:pPr>
            <w:r>
              <w:rPr>
                <w:rFonts w:hint="eastAsia"/>
                <w:color w:val="000000"/>
                <w:sz w:val="18"/>
                <w:szCs w:val="18"/>
              </w:rPr>
              <w:t>H</w:t>
            </w:r>
          </w:p>
        </w:tc>
        <w:tc>
          <w:tcPr>
            <w:tcW w:w="3308" w:type="dxa"/>
            <w:tcBorders>
              <w:right w:val="single" w:color="auto" w:sz="8" w:space="0"/>
            </w:tcBorders>
            <w:vAlign w:val="center"/>
          </w:tcPr>
          <w:p>
            <w:pPr>
              <w:jc w:val="center"/>
              <w:rPr>
                <w:rFonts w:hAnsi="宋体"/>
                <w:color w:val="000000"/>
                <w:sz w:val="18"/>
                <w:szCs w:val="18"/>
              </w:rPr>
            </w:pPr>
            <w:r>
              <w:rPr>
                <w:rFonts w:hint="eastAsia" w:hAnsi="宋体"/>
                <w:color w:val="000000"/>
                <w:sz w:val="18"/>
                <w:szCs w:val="18"/>
              </w:rPr>
              <w:t>0.005</w:t>
            </w:r>
          </w:p>
        </w:tc>
        <w:tc>
          <w:tcPr>
            <w:tcW w:w="3457" w:type="dxa"/>
            <w:tcBorders>
              <w:left w:val="single" w:color="auto" w:sz="8"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0" w:type="dxa"/>
            <w:vMerge w:val="continue"/>
            <w:tcBorders>
              <w:left w:val="single" w:color="auto" w:sz="12" w:space="0"/>
              <w:bottom w:val="single" w:color="auto" w:sz="12" w:space="0"/>
            </w:tcBorders>
            <w:shd w:val="clear" w:color="auto" w:fill="auto"/>
            <w:vAlign w:val="center"/>
          </w:tcPr>
          <w:p>
            <w:pPr>
              <w:jc w:val="center"/>
              <w:rPr>
                <w:color w:val="000000"/>
                <w:sz w:val="18"/>
                <w:szCs w:val="18"/>
              </w:rPr>
            </w:pPr>
          </w:p>
        </w:tc>
        <w:tc>
          <w:tcPr>
            <w:tcW w:w="798" w:type="dxa"/>
            <w:tcBorders>
              <w:bottom w:val="single" w:color="auto" w:sz="12" w:space="0"/>
            </w:tcBorders>
            <w:vAlign w:val="center"/>
          </w:tcPr>
          <w:p>
            <w:pPr>
              <w:jc w:val="center"/>
              <w:rPr>
                <w:color w:val="000000"/>
                <w:sz w:val="18"/>
                <w:szCs w:val="18"/>
              </w:rPr>
            </w:pPr>
            <w:r>
              <w:rPr>
                <w:rFonts w:hint="eastAsia"/>
                <w:color w:val="000000"/>
                <w:sz w:val="18"/>
                <w:szCs w:val="18"/>
              </w:rPr>
              <w:t>O</w:t>
            </w:r>
          </w:p>
        </w:tc>
        <w:tc>
          <w:tcPr>
            <w:tcW w:w="3308" w:type="dxa"/>
            <w:tcBorders>
              <w:bottom w:val="single" w:color="auto" w:sz="12"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0.10</w:t>
            </w:r>
          </w:p>
        </w:tc>
        <w:tc>
          <w:tcPr>
            <w:tcW w:w="3457" w:type="dxa"/>
            <w:tcBorders>
              <w:left w:val="single" w:color="auto" w:sz="8" w:space="0"/>
              <w:bottom w:val="single" w:color="auto" w:sz="12" w:space="0"/>
              <w:right w:val="single" w:color="auto" w:sz="12" w:space="0"/>
            </w:tcBorders>
            <w:vAlign w:val="center"/>
          </w:tcPr>
          <w:p>
            <w:pPr>
              <w:jc w:val="center"/>
              <w:rPr>
                <w:rFonts w:hAnsi="宋体"/>
                <w:color w:val="000000"/>
                <w:sz w:val="18"/>
                <w:szCs w:val="18"/>
              </w:rPr>
            </w:pPr>
            <w:r>
              <w:rPr>
                <w:rFonts w:hint="eastAsia" w:hAnsi="宋体"/>
                <w:color w:val="000000"/>
                <w:sz w:val="18"/>
                <w:szCs w:val="18"/>
              </w:rPr>
              <w:t>0.10</w:t>
            </w:r>
          </w:p>
        </w:tc>
      </w:tr>
    </w:tbl>
    <w:p>
      <w:pPr>
        <w:tabs>
          <w:tab w:val="left" w:pos="567"/>
        </w:tabs>
        <w:adjustRightInd w:val="0"/>
        <w:snapToGrid w:val="0"/>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需方从产品上取样进行化学成分复验时，其成分允许偏差应符合表3的规定。</w:t>
      </w:r>
    </w:p>
    <w:p>
      <w:pPr>
        <w:ind w:left="420" w:leftChars="200" w:firstLine="840" w:firstLineChars="400"/>
        <w:jc w:val="center"/>
        <w:rPr>
          <w:color w:val="000000"/>
          <w:sz w:val="18"/>
          <w:szCs w:val="18"/>
        </w:rPr>
      </w:pPr>
      <w:r>
        <w:rPr>
          <w:rFonts w:hint="eastAsia" w:ascii="黑体" w:hAnsi="宋体" w:eastAsia="黑体"/>
          <w:color w:val="000000"/>
        </w:rPr>
        <w:t xml:space="preserve">                 表3 化学成分复验分析允许偏差  </w:t>
      </w:r>
      <w:r>
        <w:rPr>
          <w:rFonts w:hint="eastAsia" w:ascii="宋体" w:hAnsi="宋体"/>
          <w:color w:val="000000"/>
        </w:rPr>
        <w:t xml:space="preserve">          </w:t>
      </w:r>
      <w:r>
        <w:rPr>
          <w:rFonts w:hint="eastAsia"/>
          <w:color w:val="000000"/>
          <w:sz w:val="18"/>
          <w:szCs w:val="18"/>
        </w:rPr>
        <w:t>质量分数/</w:t>
      </w:r>
      <w:r>
        <w:rPr>
          <w:color w:val="000000"/>
          <w:sz w:val="18"/>
          <w:szCs w:val="18"/>
        </w:rPr>
        <w:t>%</w:t>
      </w:r>
      <w:r>
        <w:rPr>
          <w:rFonts w:hint="eastAsia"/>
          <w:color w:val="000000"/>
          <w:sz w:val="18"/>
          <w:szCs w:val="18"/>
        </w:rPr>
        <w:t xml:space="preserve">  </w:t>
      </w:r>
    </w:p>
    <w:tbl>
      <w:tblPr>
        <w:tblStyle w:val="6"/>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2"/>
        <w:gridCol w:w="4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2" w:type="dxa"/>
            <w:tcBorders>
              <w:top w:val="single" w:color="auto" w:sz="12" w:space="0"/>
              <w:left w:val="single" w:color="auto" w:sz="12" w:space="0"/>
              <w:bottom w:val="single" w:color="auto" w:sz="12" w:space="0"/>
            </w:tcBorders>
          </w:tcPr>
          <w:p>
            <w:pPr>
              <w:jc w:val="center"/>
              <w:rPr>
                <w:color w:val="000000"/>
                <w:sz w:val="18"/>
                <w:szCs w:val="18"/>
              </w:rPr>
            </w:pPr>
            <w:r>
              <w:rPr>
                <w:rFonts w:hint="eastAsia"/>
                <w:color w:val="000000"/>
                <w:sz w:val="18"/>
                <w:szCs w:val="18"/>
              </w:rPr>
              <w:t>元素</w:t>
            </w:r>
          </w:p>
        </w:tc>
        <w:tc>
          <w:tcPr>
            <w:tcW w:w="4162" w:type="dxa"/>
            <w:tcBorders>
              <w:top w:val="single" w:color="auto" w:sz="12" w:space="0"/>
              <w:bottom w:val="single" w:color="auto" w:sz="12" w:space="0"/>
              <w:right w:val="single" w:color="auto" w:sz="12" w:space="0"/>
            </w:tcBorders>
          </w:tcPr>
          <w:p>
            <w:pPr>
              <w:jc w:val="center"/>
              <w:rPr>
                <w:color w:val="000000"/>
                <w:sz w:val="18"/>
                <w:szCs w:val="18"/>
              </w:rPr>
            </w:pPr>
            <w:r>
              <w:rPr>
                <w:rFonts w:hint="eastAsia"/>
                <w:color w:val="000000"/>
                <w:sz w:val="18"/>
                <w:szCs w:val="18"/>
              </w:rPr>
              <w:t xml:space="preserve">表2规定范围的成分复验允许偏差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2" w:type="dxa"/>
            <w:tcBorders>
              <w:left w:val="single" w:color="auto" w:sz="12" w:space="0"/>
            </w:tcBorders>
          </w:tcPr>
          <w:p>
            <w:pPr>
              <w:tabs>
                <w:tab w:val="left" w:pos="567"/>
              </w:tabs>
              <w:jc w:val="center"/>
              <w:rPr>
                <w:rFonts w:ascii="黑体" w:hAnsi="宋体" w:eastAsia="黑体"/>
                <w:color w:val="000000"/>
              </w:rPr>
            </w:pPr>
            <w:r>
              <w:rPr>
                <w:color w:val="000000"/>
                <w:sz w:val="18"/>
                <w:szCs w:val="18"/>
              </w:rPr>
              <w:t>Nb</w:t>
            </w:r>
          </w:p>
        </w:tc>
        <w:tc>
          <w:tcPr>
            <w:tcW w:w="4162" w:type="dxa"/>
            <w:tcBorders>
              <w:right w:val="single" w:color="auto" w:sz="12" w:space="0"/>
            </w:tcBorders>
          </w:tcPr>
          <w:p>
            <w:pPr>
              <w:tabs>
                <w:tab w:val="left" w:pos="567"/>
              </w:tabs>
              <w:jc w:val="center"/>
              <w:rPr>
                <w:rFonts w:hAnsi="宋体"/>
                <w:color w:val="000000"/>
                <w:sz w:val="18"/>
                <w:szCs w:val="18"/>
              </w:rPr>
            </w:pPr>
            <w:r>
              <w:rPr>
                <w:rFonts w:hint="eastAsia"/>
                <w:color w:val="000000"/>
                <w:sz w:val="18"/>
                <w:szCs w:val="18"/>
              </w:rPr>
              <w:t>不大于</w:t>
            </w:r>
            <w:r>
              <w:rPr>
                <w:rFonts w:hint="eastAsia" w:hAnsi="宋体"/>
                <w:color w:val="000000"/>
                <w:sz w:val="18"/>
                <w:szCs w:val="18"/>
              </w:rPr>
              <w:t>规定极限值的5%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2" w:type="dxa"/>
            <w:tcBorders>
              <w:left w:val="single" w:color="auto" w:sz="12" w:space="0"/>
              <w:bottom w:val="single" w:color="auto" w:sz="12" w:space="0"/>
            </w:tcBorders>
          </w:tcPr>
          <w:p>
            <w:pPr>
              <w:tabs>
                <w:tab w:val="left" w:pos="567"/>
              </w:tabs>
              <w:jc w:val="center"/>
              <w:rPr>
                <w:color w:val="000000"/>
                <w:sz w:val="18"/>
                <w:szCs w:val="18"/>
              </w:rPr>
            </w:pPr>
            <w:r>
              <w:rPr>
                <w:rFonts w:hint="eastAsia"/>
                <w:color w:val="000000"/>
                <w:sz w:val="18"/>
                <w:szCs w:val="18"/>
              </w:rPr>
              <w:t>杂质元素</w:t>
            </w:r>
          </w:p>
        </w:tc>
        <w:tc>
          <w:tcPr>
            <w:tcW w:w="4162" w:type="dxa"/>
            <w:tcBorders>
              <w:bottom w:val="single" w:color="auto" w:sz="12" w:space="0"/>
              <w:right w:val="single" w:color="auto" w:sz="12" w:space="0"/>
            </w:tcBorders>
          </w:tcPr>
          <w:p>
            <w:pPr>
              <w:tabs>
                <w:tab w:val="left" w:pos="567"/>
              </w:tabs>
              <w:jc w:val="center"/>
              <w:rPr>
                <w:rFonts w:hAnsi="宋体"/>
                <w:color w:val="000000"/>
                <w:sz w:val="18"/>
                <w:szCs w:val="18"/>
              </w:rPr>
            </w:pPr>
            <w:r>
              <w:rPr>
                <w:rFonts w:hint="eastAsia" w:hAnsi="宋体"/>
                <w:color w:val="000000"/>
                <w:sz w:val="18"/>
                <w:szCs w:val="18"/>
              </w:rPr>
              <w:t>符合GB/T 26314中一般工业和核工业的要求</w:t>
            </w:r>
          </w:p>
        </w:tc>
      </w:tr>
    </w:tbl>
    <w:p>
      <w:pPr>
        <w:pStyle w:val="13"/>
        <w:numPr>
          <w:ilvl w:val="0"/>
          <w:numId w:val="5"/>
        </w:numPr>
        <w:adjustRightInd w:val="0"/>
        <w:snapToGrid w:val="0"/>
        <w:spacing w:beforeLines="50" w:line="360" w:lineRule="auto"/>
        <w:ind w:left="0" w:firstLine="0" w:firstLineChars="0"/>
        <w:rPr>
          <w:rFonts w:ascii="黑体" w:hAnsi="黑体" w:eastAsia="黑体"/>
          <w:sz w:val="24"/>
          <w:szCs w:val="24"/>
        </w:rPr>
      </w:pPr>
      <w:r>
        <w:rPr>
          <w:rFonts w:hint="eastAsia" w:ascii="黑体" w:hAnsi="黑体" w:eastAsia="黑体"/>
          <w:sz w:val="24"/>
          <w:szCs w:val="24"/>
        </w:rPr>
        <w:t>产品尺寸</w:t>
      </w:r>
    </w:p>
    <w:p>
      <w:pPr>
        <w:tabs>
          <w:tab w:val="left" w:pos="567"/>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锆铌中间合金的常规以屑状供货，允许有少量超出尺寸范围的产品，但其数量应不超过交付批重的3%。需方如果对产品的尺寸有特殊要求时，由供需双方协商确定。产品尺寸应该符合表4的要求。</w:t>
      </w:r>
    </w:p>
    <w:p>
      <w:pPr>
        <w:tabs>
          <w:tab w:val="left" w:pos="567"/>
          <w:tab w:val="left" w:pos="4678"/>
          <w:tab w:val="left" w:pos="4820"/>
          <w:tab w:val="left" w:pos="8364"/>
        </w:tabs>
        <w:jc w:val="center"/>
        <w:rPr>
          <w:rFonts w:ascii="宋体" w:hAnsi="宋体"/>
          <w:color w:val="000000"/>
          <w:szCs w:val="21"/>
        </w:rPr>
      </w:pPr>
      <w:r>
        <w:rPr>
          <w:rFonts w:hint="eastAsia" w:ascii="黑体" w:hAnsi="宋体" w:eastAsia="黑体"/>
          <w:color w:val="000000"/>
        </w:rPr>
        <w:t xml:space="preserve">                            表4 产品尺寸                            </w:t>
      </w:r>
      <w:r>
        <w:rPr>
          <w:rFonts w:hint="eastAsia" w:ascii="宋体" w:hAnsi="宋体"/>
          <w:color w:val="000000"/>
        </w:rPr>
        <w:t>单位为毫米</w:t>
      </w:r>
    </w:p>
    <w:tbl>
      <w:tblPr>
        <w:tblStyle w:val="6"/>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0"/>
        <w:gridCol w:w="2807"/>
        <w:gridCol w:w="2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0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olor w:val="000000"/>
                <w:sz w:val="18"/>
                <w:szCs w:val="18"/>
              </w:rPr>
            </w:pPr>
            <w:r>
              <w:rPr>
                <w:rFonts w:hAnsi="宋体"/>
                <w:color w:val="000000"/>
                <w:sz w:val="18"/>
                <w:szCs w:val="18"/>
              </w:rPr>
              <w:t>厚度</w:t>
            </w:r>
          </w:p>
        </w:tc>
        <w:tc>
          <w:tcPr>
            <w:tcW w:w="280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长度</w:t>
            </w:r>
          </w:p>
        </w:tc>
        <w:tc>
          <w:tcPr>
            <w:tcW w:w="2807"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宽度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2800" w:type="dxa"/>
            <w:tcBorders>
              <w:top w:val="single" w:color="auto" w:sz="4" w:space="0"/>
              <w:left w:val="single" w:color="auto" w:sz="12" w:space="0"/>
              <w:bottom w:val="single" w:color="auto" w:sz="12" w:space="0"/>
              <w:right w:val="single" w:color="auto" w:sz="4" w:space="0"/>
            </w:tcBorders>
            <w:vAlign w:val="center"/>
          </w:tcPr>
          <w:p>
            <w:pPr>
              <w:jc w:val="center"/>
              <w:rPr>
                <w:color w:val="000000"/>
                <w:sz w:val="18"/>
                <w:szCs w:val="18"/>
              </w:rPr>
            </w:pPr>
            <w:r>
              <w:rPr>
                <w:color w:val="000000"/>
                <w:sz w:val="18"/>
                <w:szCs w:val="18"/>
              </w:rPr>
              <w:t>不大于0.3</w:t>
            </w:r>
          </w:p>
        </w:tc>
        <w:tc>
          <w:tcPr>
            <w:tcW w:w="2807"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color w:val="000000"/>
                <w:sz w:val="18"/>
                <w:szCs w:val="18"/>
              </w:rPr>
              <w:t>3～25</w:t>
            </w:r>
          </w:p>
        </w:tc>
        <w:tc>
          <w:tcPr>
            <w:tcW w:w="2807" w:type="dxa"/>
            <w:tcBorders>
              <w:top w:val="single" w:color="auto" w:sz="4" w:space="0"/>
              <w:left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2~5</w:t>
            </w:r>
          </w:p>
        </w:tc>
      </w:tr>
    </w:tbl>
    <w:p>
      <w:pPr>
        <w:pStyle w:val="13"/>
        <w:numPr>
          <w:ilvl w:val="0"/>
          <w:numId w:val="5"/>
        </w:numPr>
        <w:adjustRightInd w:val="0"/>
        <w:snapToGrid w:val="0"/>
        <w:spacing w:beforeLines="50" w:line="360" w:lineRule="auto"/>
        <w:ind w:left="0" w:firstLine="0" w:firstLineChars="0"/>
        <w:rPr>
          <w:rFonts w:ascii="黑体" w:hAnsi="黑体" w:eastAsia="黑体"/>
          <w:sz w:val="24"/>
          <w:szCs w:val="24"/>
        </w:rPr>
      </w:pPr>
      <w:r>
        <w:rPr>
          <w:rFonts w:hint="eastAsia" w:ascii="黑体" w:hAnsi="黑体" w:eastAsia="黑体"/>
          <w:sz w:val="24"/>
          <w:szCs w:val="24"/>
        </w:rPr>
        <w:t>外观质量</w:t>
      </w:r>
    </w:p>
    <w:p>
      <w:pPr>
        <w:adjustRightInd w:val="0"/>
        <w:snapToGrid w:val="0"/>
        <w:spacing w:line="360" w:lineRule="auto"/>
        <w:ind w:firstLine="425" w:firstLineChars="177"/>
        <w:rPr>
          <w:rFonts w:ascii="宋体" w:hAnsi="宋体"/>
          <w:sz w:val="24"/>
          <w:szCs w:val="24"/>
        </w:rPr>
      </w:pPr>
      <w:r>
        <w:rPr>
          <w:rFonts w:hint="eastAsia" w:ascii="宋体" w:hAnsi="宋体"/>
          <w:sz w:val="24"/>
          <w:szCs w:val="24"/>
        </w:rPr>
        <w:t>由于锆铌中间合金主要是作为含铌锆合金的添加元素，除原材料中得杂质元素外，不能带入其他杂质元素和异物。因此，所供应的产品表面应洁净，不允许有目视可见的氧化和其他夹杂物。</w:t>
      </w:r>
    </w:p>
    <w:p>
      <w:pPr>
        <w:pStyle w:val="13"/>
        <w:numPr>
          <w:ilvl w:val="0"/>
          <w:numId w:val="5"/>
        </w:numPr>
        <w:adjustRightInd w:val="0"/>
        <w:snapToGrid w:val="0"/>
        <w:spacing w:beforeLines="50" w:line="360" w:lineRule="auto"/>
        <w:ind w:left="0" w:firstLine="0" w:firstLineChars="0"/>
        <w:rPr>
          <w:rFonts w:ascii="黑体" w:hAnsi="黑体" w:eastAsia="黑体"/>
          <w:sz w:val="24"/>
          <w:szCs w:val="24"/>
        </w:rPr>
      </w:pPr>
      <w:r>
        <w:rPr>
          <w:rFonts w:hint="eastAsia" w:ascii="黑体" w:hAnsi="黑体" w:eastAsia="黑体"/>
          <w:sz w:val="24"/>
          <w:szCs w:val="24"/>
        </w:rPr>
        <w:t>其他要求</w:t>
      </w:r>
    </w:p>
    <w:p>
      <w:pPr>
        <w:pStyle w:val="13"/>
        <w:adjustRightInd w:val="0"/>
        <w:snapToGrid w:val="0"/>
        <w:spacing w:line="360" w:lineRule="auto"/>
        <w:ind w:firstLine="0" w:firstLineChars="0"/>
        <w:rPr>
          <w:rFonts w:asciiTheme="minorEastAsia" w:hAnsiTheme="minorEastAsia" w:eastAsiaTheme="minorEastAsia"/>
          <w:sz w:val="24"/>
          <w:szCs w:val="24"/>
        </w:rPr>
      </w:pPr>
      <w:r>
        <w:rPr>
          <w:rFonts w:hint="eastAsia" w:ascii="黑体" w:hAnsi="黑体" w:eastAsia="黑体"/>
          <w:sz w:val="24"/>
          <w:szCs w:val="24"/>
        </w:rPr>
        <w:t xml:space="preserve">   </w:t>
      </w:r>
      <w:r>
        <w:rPr>
          <w:rFonts w:hint="eastAsia" w:asciiTheme="minorEastAsia" w:hAnsiTheme="minorEastAsia" w:eastAsiaTheme="minorEastAsia"/>
          <w:sz w:val="24"/>
          <w:szCs w:val="24"/>
        </w:rPr>
        <w:t>根据生产过程中的技术要求等，本标准还规定了锆铌中间合金化学成分、尺寸、外观质量的实验方法，并对锆铌中间合金的检查和验收、组批、检验项目、取样位置和数量、检验结果判定等进行了规定，规定了锆铌中间合金的标志、包装、运输、储存、质量证明书、合同（或订货单）内容要求。</w:t>
      </w:r>
    </w:p>
    <w:p>
      <w:pPr>
        <w:pStyle w:val="9"/>
        <w:numPr>
          <w:ilvl w:val="0"/>
          <w:numId w:val="1"/>
        </w:numPr>
        <w:adjustRightInd w:val="0"/>
        <w:snapToGrid w:val="0"/>
        <w:spacing w:beforeLines="5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标准水平分析</w:t>
      </w:r>
    </w:p>
    <w:p>
      <w:pPr>
        <w:pStyle w:val="9"/>
        <w:numPr>
          <w:ilvl w:val="0"/>
          <w:numId w:val="6"/>
        </w:numPr>
        <w:spacing w:line="360" w:lineRule="auto"/>
        <w:ind w:firstLineChars="0"/>
        <w:rPr>
          <w:rFonts w:ascii="黑体" w:hAnsi="黑体" w:eastAsia="黑体" w:cs="Times New Roman"/>
          <w:sz w:val="24"/>
        </w:rPr>
      </w:pPr>
      <w:r>
        <w:rPr>
          <w:rFonts w:hint="eastAsia" w:ascii="黑体" w:hAnsi="黑体" w:eastAsia="黑体" w:cs="Times New Roman"/>
          <w:sz w:val="24"/>
        </w:rPr>
        <w:t>采用国际标准和国外先进标准的程度</w:t>
      </w:r>
    </w:p>
    <w:p>
      <w:pPr>
        <w:spacing w:line="360" w:lineRule="auto"/>
        <w:ind w:firstLine="480" w:firstLineChars="200"/>
        <w:rPr>
          <w:rFonts w:ascii="宋体" w:hAnsi="宋体"/>
          <w:sz w:val="24"/>
        </w:rPr>
      </w:pPr>
      <w:r>
        <w:rPr>
          <w:rFonts w:hint="eastAsia" w:ascii="宋体" w:hAnsi="宋体" w:eastAsia="宋体" w:cs="Times New Roman"/>
          <w:sz w:val="24"/>
        </w:rPr>
        <w:t>经查新，国外无相关产品标准</w:t>
      </w:r>
      <w:r>
        <w:rPr>
          <w:rFonts w:hint="eastAsia" w:ascii="宋体" w:hAnsi="宋体"/>
          <w:sz w:val="24"/>
        </w:rPr>
        <w:t>。</w:t>
      </w:r>
    </w:p>
    <w:p>
      <w:pPr>
        <w:pStyle w:val="9"/>
        <w:numPr>
          <w:ilvl w:val="0"/>
          <w:numId w:val="6"/>
        </w:numPr>
        <w:spacing w:line="400" w:lineRule="exact"/>
        <w:ind w:firstLineChars="0"/>
        <w:rPr>
          <w:rFonts w:ascii="黑体" w:eastAsia="黑体"/>
          <w:sz w:val="24"/>
          <w:szCs w:val="24"/>
        </w:rPr>
      </w:pPr>
      <w:r>
        <w:rPr>
          <w:rFonts w:hint="eastAsia" w:ascii="黑体" w:eastAsia="黑体"/>
          <w:sz w:val="24"/>
          <w:szCs w:val="24"/>
        </w:rPr>
        <w:t>标准水平简析</w:t>
      </w:r>
    </w:p>
    <w:p>
      <w:pPr>
        <w:pStyle w:val="10"/>
        <w:spacing w:line="400" w:lineRule="exact"/>
        <w:ind w:firstLine="480"/>
        <w:rPr>
          <w:sz w:val="24"/>
          <w:szCs w:val="24"/>
        </w:rPr>
      </w:pPr>
      <w:r>
        <w:rPr>
          <w:rFonts w:hint="eastAsia" w:hAnsi="宋体" w:cs="宋体"/>
          <w:sz w:val="24"/>
          <w:szCs w:val="24"/>
        </w:rPr>
        <w:t>通过文献检索，网上查询，国内外并没有</w:t>
      </w:r>
      <w:r>
        <w:rPr>
          <w:rFonts w:hint="eastAsia" w:hAnsi="宋体"/>
          <w:spacing w:val="8"/>
          <w:sz w:val="24"/>
          <w:szCs w:val="24"/>
        </w:rPr>
        <w:t>锆铌中间合金</w:t>
      </w:r>
      <w:r>
        <w:rPr>
          <w:rFonts w:hint="eastAsia" w:hAnsi="宋体" w:cs="宋体"/>
          <w:sz w:val="24"/>
          <w:szCs w:val="24"/>
        </w:rPr>
        <w:t>的相关国家、行业标准，</w:t>
      </w:r>
      <w:r>
        <w:rPr>
          <w:rFonts w:hint="eastAsia" w:hAnsi="宋体"/>
          <w:sz w:val="24"/>
          <w:szCs w:val="24"/>
        </w:rPr>
        <w:t>本标准为首次制定。在标准制定过程中，总结国内外锆铌中间合金的实际生产情况，首次对</w:t>
      </w:r>
      <w:r>
        <w:rPr>
          <w:rFonts w:hint="eastAsia"/>
          <w:sz w:val="24"/>
          <w:szCs w:val="24"/>
        </w:rPr>
        <w:t>锆铌中间合金的生产</w:t>
      </w:r>
      <w:r>
        <w:rPr>
          <w:rFonts w:hint="eastAsia" w:hAnsi="宋体"/>
          <w:sz w:val="24"/>
          <w:szCs w:val="24"/>
        </w:rPr>
        <w:t>制定了标准，</w:t>
      </w:r>
      <w:r>
        <w:rPr>
          <w:rFonts w:hint="eastAsia" w:hAnsi="宋体" w:cs="宋体"/>
          <w:sz w:val="24"/>
          <w:szCs w:val="24"/>
        </w:rPr>
        <w:t>确定该标准总体水平为国际一般水平</w:t>
      </w:r>
      <w:r>
        <w:rPr>
          <w:rFonts w:hint="eastAsia"/>
          <w:sz w:val="24"/>
          <w:szCs w:val="24"/>
        </w:rPr>
        <w:t>。</w:t>
      </w:r>
    </w:p>
    <w:p>
      <w:pPr>
        <w:pStyle w:val="9"/>
        <w:numPr>
          <w:ilvl w:val="0"/>
          <w:numId w:val="1"/>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与现行相关法律、法规、规章及相关标准，特别是强制性标准的协调性</w:t>
      </w:r>
    </w:p>
    <w:p>
      <w:pPr>
        <w:adjustRightInd w:val="0"/>
        <w:snapToGrid w:val="0"/>
        <w:spacing w:line="400" w:lineRule="exact"/>
        <w:ind w:firstLine="480" w:firstLineChars="200"/>
        <w:rPr>
          <w:sz w:val="24"/>
          <w:szCs w:val="24"/>
        </w:rPr>
      </w:pPr>
      <w:r>
        <w:rPr>
          <w:rFonts w:hint="eastAsia" w:ascii="宋体" w:hAnsi="宋体"/>
          <w:sz w:val="24"/>
          <w:szCs w:val="24"/>
        </w:rPr>
        <w:t>本标准属于专业基础标准</w:t>
      </w:r>
      <w:r>
        <w:rPr>
          <w:rFonts w:hint="eastAsia"/>
          <w:sz w:val="24"/>
          <w:szCs w:val="24"/>
        </w:rPr>
        <w:t>，没有现行的法律、法规、规章制度等对其要求，本领域没有强制性标准，且</w:t>
      </w:r>
      <w:r>
        <w:rPr>
          <w:rFonts w:hint="eastAsia" w:hAnsi="宋体"/>
          <w:sz w:val="24"/>
          <w:szCs w:val="24"/>
        </w:rPr>
        <w:t>与其他标准无矛盾与不协调之处。</w:t>
      </w:r>
    </w:p>
    <w:p>
      <w:pPr>
        <w:pStyle w:val="9"/>
        <w:numPr>
          <w:ilvl w:val="0"/>
          <w:numId w:val="1"/>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专利及涉及知识产权</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本标准起草过程中没有检索到专利和知识产权问题，如果涉及到专利和知识产权时请使用单位与专利和知识产权方协商，本文件的发布机构不承担识别这些专利的责任。</w:t>
      </w:r>
    </w:p>
    <w:p>
      <w:pPr>
        <w:pStyle w:val="9"/>
        <w:numPr>
          <w:ilvl w:val="0"/>
          <w:numId w:val="1"/>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标准作为强制性或推荐性标准的建议</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建议该标准为推荐性标准。</w:t>
      </w:r>
    </w:p>
    <w:p>
      <w:pPr>
        <w:pStyle w:val="9"/>
        <w:numPr>
          <w:ilvl w:val="0"/>
          <w:numId w:val="1"/>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贯彻标准的要求和措施建议，包括：组织措施、技术措施、过度办法</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建议标准发布实施后，组织国内锆铌系合金生产企业和核电设计单位进行宣贯，大力推荐标准的技术要求，扩大标准的知悉范围，促进我国核电用锆铌合金的应用。</w:t>
      </w:r>
    </w:p>
    <w:p>
      <w:pPr>
        <w:pStyle w:val="9"/>
        <w:numPr>
          <w:ilvl w:val="0"/>
          <w:numId w:val="1"/>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废止现行有关标准的建议</w:t>
      </w:r>
    </w:p>
    <w:p>
      <w:pPr>
        <w:pStyle w:val="9"/>
        <w:adjustRightInd w:val="0"/>
        <w:snapToGrid w:val="0"/>
        <w:spacing w:beforeLines="50" w:afterLines="50" w:line="400" w:lineRule="exact"/>
        <w:ind w:firstLineChars="0"/>
        <w:rPr>
          <w:sz w:val="24"/>
          <w:szCs w:val="24"/>
        </w:rPr>
      </w:pPr>
      <w:r>
        <w:rPr>
          <w:rFonts w:hint="eastAsia"/>
          <w:sz w:val="24"/>
          <w:szCs w:val="24"/>
        </w:rPr>
        <w:t>无</w:t>
      </w:r>
    </w:p>
    <w:p>
      <w:pPr>
        <w:pStyle w:val="9"/>
        <w:numPr>
          <w:ilvl w:val="0"/>
          <w:numId w:val="1"/>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其他应予说明的事项</w:t>
      </w:r>
    </w:p>
    <w:p>
      <w:pPr>
        <w:pStyle w:val="9"/>
        <w:adjustRightInd w:val="0"/>
        <w:snapToGrid w:val="0"/>
        <w:spacing w:beforeLines="50" w:afterLines="50" w:line="400" w:lineRule="exact"/>
        <w:ind w:firstLineChars="0"/>
        <w:rPr>
          <w:sz w:val="24"/>
          <w:szCs w:val="24"/>
        </w:rPr>
      </w:pPr>
      <w:r>
        <w:rPr>
          <w:rFonts w:hint="eastAsia"/>
          <w:sz w:val="24"/>
          <w:szCs w:val="24"/>
        </w:rPr>
        <w:t>无</w:t>
      </w:r>
    </w:p>
    <w:p>
      <w:pPr>
        <w:pStyle w:val="9"/>
        <w:numPr>
          <w:ilvl w:val="0"/>
          <w:numId w:val="1"/>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预期效果</w:t>
      </w:r>
    </w:p>
    <w:p>
      <w:pPr>
        <w:pStyle w:val="9"/>
        <w:adjustRightInd w:val="0"/>
        <w:snapToGrid w:val="0"/>
        <w:spacing w:beforeLines="50" w:afterLines="50" w:line="400" w:lineRule="exact"/>
        <w:ind w:left="1" w:firstLine="425" w:firstLineChars="177"/>
        <w:rPr>
          <w:sz w:val="24"/>
          <w:szCs w:val="24"/>
        </w:rPr>
      </w:pPr>
      <w:r>
        <w:rPr>
          <w:rFonts w:hint="eastAsia"/>
          <w:sz w:val="24"/>
          <w:szCs w:val="24"/>
        </w:rPr>
        <w:t>本标准的发布实施，规范了作为锆合金生产添加合金的锆铌中间合金的质量要求，为锆铌中间合金的规范化生产和销售提供参考。</w:t>
      </w:r>
    </w:p>
    <w:p>
      <w:pPr>
        <w:pStyle w:val="9"/>
        <w:adjustRightInd w:val="0"/>
        <w:snapToGrid w:val="0"/>
        <w:spacing w:beforeLines="50" w:afterLines="50" w:line="400" w:lineRule="exact"/>
        <w:ind w:left="483" w:leftChars="230" w:right="482" w:firstLine="5880" w:firstLineChars="2450"/>
        <w:rPr>
          <w:sz w:val="24"/>
          <w:szCs w:val="24"/>
        </w:rPr>
      </w:pPr>
      <w:r>
        <w:rPr>
          <w:rFonts w:hint="eastAsia"/>
          <w:sz w:val="24"/>
          <w:szCs w:val="24"/>
        </w:rPr>
        <w:t>标准编制组</w:t>
      </w:r>
    </w:p>
    <w:p>
      <w:pPr>
        <w:pStyle w:val="9"/>
        <w:adjustRightInd w:val="0"/>
        <w:snapToGrid w:val="0"/>
        <w:spacing w:beforeLines="50" w:afterLines="50" w:line="400" w:lineRule="exact"/>
        <w:ind w:left="483" w:leftChars="230" w:right="482" w:firstLine="5880" w:firstLineChars="2450"/>
        <w:rPr>
          <w:rFonts w:ascii="Times New Roman" w:hAnsi="Times New Roman" w:cs="Times New Roman"/>
          <w:sz w:val="24"/>
          <w:szCs w:val="24"/>
        </w:rPr>
      </w:pPr>
      <w:r>
        <w:rPr>
          <w:rFonts w:hint="eastAsia"/>
          <w:sz w:val="24"/>
          <w:szCs w:val="24"/>
        </w:rPr>
        <w:t>2016年11月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280"/>
    <w:multiLevelType w:val="multilevel"/>
    <w:tmpl w:val="07061280"/>
    <w:lvl w:ilvl="0" w:tentative="0">
      <w:start w:val="1"/>
      <w:numFmt w:val="decimal"/>
      <w:lvlText w:val="2.%1"/>
      <w:lvlJc w:val="left"/>
      <w:pPr>
        <w:ind w:left="840" w:hanging="420"/>
      </w:pPr>
      <w:rPr>
        <w:rFonts w:hint="default" w:ascii="黑体" w:hAnsi="黑体" w:eastAsia="黑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1B0AE0"/>
    <w:multiLevelType w:val="multilevel"/>
    <w:tmpl w:val="101B0AE0"/>
    <w:lvl w:ilvl="0" w:tentative="0">
      <w:start w:val="1"/>
      <w:numFmt w:val="decimal"/>
      <w:lvlText w:val="3.%1"/>
      <w:lvlJc w:val="left"/>
      <w:pPr>
        <w:ind w:left="420" w:hanging="420"/>
      </w:pPr>
      <w:rPr>
        <w:rFonts w:hint="default" w:ascii="黑体" w:hAnsi="黑体" w:eastAsia="黑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58266D"/>
    <w:multiLevelType w:val="multilevel"/>
    <w:tmpl w:val="1F58266D"/>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891FE8"/>
    <w:multiLevelType w:val="multilevel"/>
    <w:tmpl w:val="4A891FE8"/>
    <w:lvl w:ilvl="0" w:tentative="0">
      <w:start w:val="1"/>
      <w:numFmt w:val="decimal"/>
      <w:lvlText w:val="%1"/>
      <w:lvlJc w:val="left"/>
      <w:pPr>
        <w:ind w:left="420" w:hanging="420"/>
      </w:pPr>
      <w:rPr>
        <w:rFonts w:hint="default" w:ascii="黑体" w:hAnsi="黑体" w:eastAsia="黑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4A45F1"/>
    <w:multiLevelType w:val="multilevel"/>
    <w:tmpl w:val="514A45F1"/>
    <w:lvl w:ilvl="0" w:tentative="0">
      <w:start w:val="1"/>
      <w:numFmt w:val="decimal"/>
      <w:lvlText w:val="3.%1"/>
      <w:lvlJc w:val="left"/>
      <w:pPr>
        <w:ind w:left="420" w:hanging="420"/>
      </w:pPr>
      <w:rPr>
        <w:rFonts w:hint="default" w:ascii="Times New Roman" w:hAnsi="Times New Roman" w:eastAsia="黑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CD7E2E"/>
    <w:multiLevelType w:val="multilevel"/>
    <w:tmpl w:val="6ACD7E2E"/>
    <w:lvl w:ilvl="0" w:tentative="0">
      <w:start w:val="1"/>
      <w:numFmt w:val="decimal"/>
      <w:lvlText w:val="%1"/>
      <w:lvlJc w:val="left"/>
      <w:pPr>
        <w:ind w:left="420" w:hanging="420"/>
      </w:pPr>
      <w:rPr>
        <w:rFonts w:hint="default" w:ascii="黑体" w:hAnsi="黑体" w:eastAsia="黑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7094"/>
    <w:rsid w:val="000165B5"/>
    <w:rsid w:val="00074A31"/>
    <w:rsid w:val="00082664"/>
    <w:rsid w:val="000868F4"/>
    <w:rsid w:val="000A1265"/>
    <w:rsid w:val="000A4C7B"/>
    <w:rsid w:val="000A4E9C"/>
    <w:rsid w:val="000E26C7"/>
    <w:rsid w:val="00101AF5"/>
    <w:rsid w:val="00113F7D"/>
    <w:rsid w:val="001571BB"/>
    <w:rsid w:val="00170006"/>
    <w:rsid w:val="001C49D0"/>
    <w:rsid w:val="00203C57"/>
    <w:rsid w:val="00227D0C"/>
    <w:rsid w:val="00243E7C"/>
    <w:rsid w:val="0026796C"/>
    <w:rsid w:val="00270D49"/>
    <w:rsid w:val="00280FFF"/>
    <w:rsid w:val="00292D3A"/>
    <w:rsid w:val="002A5DC1"/>
    <w:rsid w:val="002D7517"/>
    <w:rsid w:val="003069DC"/>
    <w:rsid w:val="00373021"/>
    <w:rsid w:val="0039375D"/>
    <w:rsid w:val="00394CF3"/>
    <w:rsid w:val="003B54EC"/>
    <w:rsid w:val="003E2E32"/>
    <w:rsid w:val="003F1718"/>
    <w:rsid w:val="0040272C"/>
    <w:rsid w:val="00402F99"/>
    <w:rsid w:val="00421697"/>
    <w:rsid w:val="00451409"/>
    <w:rsid w:val="004F3AD1"/>
    <w:rsid w:val="005440B0"/>
    <w:rsid w:val="00574C50"/>
    <w:rsid w:val="0059421E"/>
    <w:rsid w:val="00596D23"/>
    <w:rsid w:val="005C5967"/>
    <w:rsid w:val="005E7F6A"/>
    <w:rsid w:val="006417C7"/>
    <w:rsid w:val="00682C80"/>
    <w:rsid w:val="006B13B4"/>
    <w:rsid w:val="006B7BEB"/>
    <w:rsid w:val="006D2E39"/>
    <w:rsid w:val="006E43F3"/>
    <w:rsid w:val="006F7AF5"/>
    <w:rsid w:val="00704FBD"/>
    <w:rsid w:val="007525AE"/>
    <w:rsid w:val="00762B31"/>
    <w:rsid w:val="00764A3D"/>
    <w:rsid w:val="00777403"/>
    <w:rsid w:val="00787967"/>
    <w:rsid w:val="00790026"/>
    <w:rsid w:val="007A14BA"/>
    <w:rsid w:val="00843177"/>
    <w:rsid w:val="0089161F"/>
    <w:rsid w:val="00893832"/>
    <w:rsid w:val="009237EF"/>
    <w:rsid w:val="0093696D"/>
    <w:rsid w:val="009778A8"/>
    <w:rsid w:val="009B20AE"/>
    <w:rsid w:val="009B532A"/>
    <w:rsid w:val="009F0FDC"/>
    <w:rsid w:val="009F41CE"/>
    <w:rsid w:val="00A00FBD"/>
    <w:rsid w:val="00A17D5E"/>
    <w:rsid w:val="00A20AD7"/>
    <w:rsid w:val="00A63AE8"/>
    <w:rsid w:val="00A76D85"/>
    <w:rsid w:val="00A816C2"/>
    <w:rsid w:val="00A871E7"/>
    <w:rsid w:val="00AB2B44"/>
    <w:rsid w:val="00AE7B77"/>
    <w:rsid w:val="00AF364E"/>
    <w:rsid w:val="00B00C0C"/>
    <w:rsid w:val="00B05E73"/>
    <w:rsid w:val="00B3125B"/>
    <w:rsid w:val="00B4117D"/>
    <w:rsid w:val="00B53733"/>
    <w:rsid w:val="00B65724"/>
    <w:rsid w:val="00B8012A"/>
    <w:rsid w:val="00B80278"/>
    <w:rsid w:val="00B91D3D"/>
    <w:rsid w:val="00BB60C9"/>
    <w:rsid w:val="00C1587A"/>
    <w:rsid w:val="00C36645"/>
    <w:rsid w:val="00C370BA"/>
    <w:rsid w:val="00C5222E"/>
    <w:rsid w:val="00CB2D02"/>
    <w:rsid w:val="00CC368C"/>
    <w:rsid w:val="00CE3DC3"/>
    <w:rsid w:val="00CE55CB"/>
    <w:rsid w:val="00D20307"/>
    <w:rsid w:val="00D404EF"/>
    <w:rsid w:val="00D842B4"/>
    <w:rsid w:val="00DC075B"/>
    <w:rsid w:val="00DC29A6"/>
    <w:rsid w:val="00DC385B"/>
    <w:rsid w:val="00E45996"/>
    <w:rsid w:val="00E46764"/>
    <w:rsid w:val="00E97094"/>
    <w:rsid w:val="00EA3407"/>
    <w:rsid w:val="00EC13A5"/>
    <w:rsid w:val="00F257FA"/>
    <w:rsid w:val="00F61159"/>
    <w:rsid w:val="00F75E7A"/>
    <w:rsid w:val="00F77457"/>
    <w:rsid w:val="00FB6DFA"/>
    <w:rsid w:val="00FC3DAA"/>
    <w:rsid w:val="00FF09E7"/>
    <w:rsid w:val="241B2211"/>
    <w:rsid w:val="2D6801E2"/>
    <w:rsid w:val="4DFE00EE"/>
    <w:rsid w:val="751A16F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段"/>
    <w:link w:val="1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D7D9C-3855-4BA0-9979-19668064F830}">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6</Pages>
  <Words>511</Words>
  <Characters>2916</Characters>
  <Lines>24</Lines>
  <Paragraphs>6</Paragraphs>
  <TotalTime>0</TotalTime>
  <ScaleCrop>false</ScaleCrop>
  <LinksUpToDate>false</LinksUpToDate>
  <CharactersWithSpaces>3421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2016-07-22T07:01:00Z</dcterms:created>
  <dc:creator>李佳</dc:creator>
  <cp:lastModifiedBy>Administrator</cp:lastModifiedBy>
  <cp:lastPrinted>2017-03-14T01:28:00Z</cp:lastPrinted>
  <dcterms:modified xsi:type="dcterms:W3CDTF">2017-03-15T07:37:23Z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